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footer2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9.xml" ContentType="application/vnd.openxmlformats-officedocument.wordprocessingml.header+xml"/>
  <Override PartName="/word/footer3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4.xml" ContentType="application/vnd.openxmlformats-officedocument.wordprocessingml.header+xml"/>
  <Override PartName="/word/footer4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9.xml" ContentType="application/vnd.openxmlformats-officedocument.wordprocessingml.header+xml"/>
  <Override PartName="/word/footer4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4.xml" ContentType="application/vnd.openxmlformats-officedocument.wordprocessingml.header+xml"/>
  <Override PartName="/word/footer5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3.xml" ContentType="application/vnd.openxmlformats-officedocument.wordprocessingml.header+xml"/>
  <Override PartName="/word/footer6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5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3.xml" ContentType="application/vnd.openxmlformats-officedocument.wordprocessingml.header+xml"/>
  <Override PartName="/word/footer7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793" w:rsidRPr="007B4060" w:rsidRDefault="00336793" w:rsidP="0028370C">
      <w:pPr>
        <w:spacing w:before="2400" w:after="0"/>
        <w:jc w:val="center"/>
        <w:rPr>
          <w:rFonts w:ascii="Calibri" w:hAnsi="Calibri"/>
          <w:b/>
          <w:sz w:val="56"/>
          <w:szCs w:val="48"/>
        </w:rPr>
      </w:pPr>
      <w:bookmarkStart w:id="0" w:name="_GoBack"/>
      <w:bookmarkEnd w:id="0"/>
      <w:r w:rsidRPr="007B4060">
        <w:rPr>
          <w:rFonts w:ascii="Calibri" w:hAnsi="Calibri"/>
          <w:b/>
          <w:sz w:val="56"/>
          <w:szCs w:val="48"/>
        </w:rPr>
        <w:t>Financial Report</w:t>
      </w:r>
    </w:p>
    <w:p w:rsidR="00336793" w:rsidRPr="003A0092" w:rsidRDefault="00336793" w:rsidP="0028370C">
      <w:pPr>
        <w:pBdr>
          <w:bottom w:val="single" w:sz="12" w:space="1" w:color="auto"/>
        </w:pBdr>
        <w:jc w:val="center"/>
        <w:rPr>
          <w:rFonts w:ascii="Calibri" w:hAnsi="Calibri"/>
          <w:b/>
          <w:sz w:val="40"/>
          <w:szCs w:val="40"/>
        </w:rPr>
      </w:pPr>
      <w:r w:rsidRPr="003A0092">
        <w:rPr>
          <w:rFonts w:ascii="Calibri" w:hAnsi="Calibri"/>
          <w:b/>
          <w:sz w:val="40"/>
          <w:szCs w:val="40"/>
        </w:rPr>
        <w:t>(incorporating Quarterly Financial Report No. 4</w:t>
      </w:r>
      <w:r>
        <w:rPr>
          <w:rFonts w:ascii="Calibri" w:hAnsi="Calibri"/>
          <w:b/>
          <w:sz w:val="40"/>
          <w:szCs w:val="40"/>
        </w:rPr>
        <w:t>)</w:t>
      </w:r>
    </w:p>
    <w:p w:rsidR="00336793" w:rsidRPr="003A0092" w:rsidRDefault="00336793" w:rsidP="0028370C">
      <w:pPr>
        <w:jc w:val="center"/>
        <w:rPr>
          <w:rFonts w:ascii="Calibri" w:hAnsi="Calibri"/>
          <w:b/>
          <w:sz w:val="56"/>
          <w:szCs w:val="48"/>
        </w:rPr>
      </w:pPr>
      <w:r w:rsidRPr="007B4060">
        <w:rPr>
          <w:rFonts w:ascii="Calibri" w:hAnsi="Calibri"/>
          <w:b/>
          <w:sz w:val="56"/>
          <w:szCs w:val="48"/>
        </w:rPr>
        <w:t>201</w:t>
      </w:r>
      <w:r>
        <w:rPr>
          <w:rFonts w:ascii="Calibri" w:hAnsi="Calibri"/>
          <w:b/>
          <w:sz w:val="56"/>
          <w:szCs w:val="48"/>
        </w:rPr>
        <w:t>4</w:t>
      </w:r>
      <w:r>
        <w:rPr>
          <w:rFonts w:ascii="Calibri" w:hAnsi="Calibri"/>
          <w:b/>
          <w:sz w:val="56"/>
          <w:szCs w:val="48"/>
        </w:rPr>
        <w:noBreakHyphen/>
        <w:t>15</w:t>
      </w:r>
    </w:p>
    <w:p w:rsidR="00336793" w:rsidRPr="007B4060" w:rsidRDefault="00336793" w:rsidP="0028370C">
      <w:pPr>
        <w:jc w:val="center"/>
        <w:rPr>
          <w:rFonts w:ascii="Calibri" w:hAnsi="Calibri"/>
          <w:b/>
          <w:szCs w:val="24"/>
        </w:rPr>
      </w:pPr>
    </w:p>
    <w:p w:rsidR="00336793" w:rsidRPr="007B4060" w:rsidRDefault="00336793" w:rsidP="0028370C">
      <w:pPr>
        <w:jc w:val="center"/>
        <w:rPr>
          <w:rFonts w:ascii="Calibri" w:hAnsi="Calibri"/>
          <w:szCs w:val="24"/>
        </w:rPr>
      </w:pPr>
      <w:r>
        <w:rPr>
          <w:noProof/>
          <w:lang w:eastAsia="en-AU"/>
        </w:rPr>
        <w:drawing>
          <wp:inline distT="0" distB="0" distL="0" distR="0" wp14:anchorId="03996B2C" wp14:editId="2FB12D9C">
            <wp:extent cx="940435" cy="11474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rsidR="00336793" w:rsidRPr="007B4060" w:rsidRDefault="00336793" w:rsidP="0028370C">
      <w:pPr>
        <w:jc w:val="center"/>
        <w:rPr>
          <w:rFonts w:ascii="Calibri" w:hAnsi="Calibri"/>
        </w:rPr>
      </w:pPr>
    </w:p>
    <w:p w:rsidR="00336793" w:rsidRPr="007B4060" w:rsidRDefault="00336793" w:rsidP="0028370C">
      <w:pPr>
        <w:jc w:val="center"/>
        <w:rPr>
          <w:rFonts w:ascii="Calibri" w:hAnsi="Calibri"/>
        </w:rPr>
      </w:pPr>
    </w:p>
    <w:p w:rsidR="00336793" w:rsidRPr="007B4060" w:rsidRDefault="00336793" w:rsidP="0028370C">
      <w:pPr>
        <w:jc w:val="center"/>
        <w:rPr>
          <w:rFonts w:ascii="Calibri" w:hAnsi="Calibri"/>
        </w:rPr>
      </w:pPr>
    </w:p>
    <w:p w:rsidR="00336793" w:rsidRPr="007B4060" w:rsidRDefault="00336793" w:rsidP="0028370C">
      <w:pPr>
        <w:jc w:val="center"/>
        <w:rPr>
          <w:rFonts w:ascii="Calibri" w:hAnsi="Calibri"/>
          <w:sz w:val="28"/>
          <w:szCs w:val="28"/>
        </w:rPr>
      </w:pPr>
      <w:r w:rsidRPr="007B4060">
        <w:rPr>
          <w:rFonts w:ascii="Calibri" w:hAnsi="Calibri"/>
          <w:sz w:val="28"/>
          <w:szCs w:val="28"/>
        </w:rPr>
        <w:t>Presented by</w:t>
      </w:r>
    </w:p>
    <w:p w:rsidR="00336793" w:rsidRPr="007B4060" w:rsidRDefault="00336793" w:rsidP="0028370C">
      <w:pPr>
        <w:jc w:val="center"/>
        <w:rPr>
          <w:rFonts w:ascii="Calibri" w:hAnsi="Calibri"/>
          <w:b/>
          <w:sz w:val="48"/>
          <w:szCs w:val="40"/>
        </w:rPr>
      </w:pPr>
      <w:r>
        <w:rPr>
          <w:rFonts w:ascii="Calibri" w:hAnsi="Calibri"/>
          <w:b/>
          <w:sz w:val="48"/>
          <w:szCs w:val="40"/>
        </w:rPr>
        <w:t>Tim Pallas MP</w:t>
      </w:r>
    </w:p>
    <w:p w:rsidR="00336793" w:rsidRPr="007B4060" w:rsidRDefault="00336793" w:rsidP="0028370C">
      <w:pPr>
        <w:jc w:val="center"/>
        <w:rPr>
          <w:rFonts w:ascii="Calibri" w:hAnsi="Calibri"/>
          <w:sz w:val="36"/>
          <w:szCs w:val="32"/>
        </w:rPr>
      </w:pPr>
      <w:r w:rsidRPr="007B4060">
        <w:rPr>
          <w:rFonts w:ascii="Calibri" w:hAnsi="Calibri"/>
          <w:sz w:val="36"/>
          <w:szCs w:val="32"/>
        </w:rPr>
        <w:t xml:space="preserve">Treasurer of the State of </w:t>
      </w:r>
      <w:smartTag w:uri="urn:schemas-microsoft-com:office:smarttags" w:element="place">
        <w:smartTag w:uri="urn:schemas-microsoft-com:office:smarttags" w:element="State">
          <w:r w:rsidRPr="007B4060">
            <w:rPr>
              <w:rFonts w:ascii="Calibri" w:hAnsi="Calibri"/>
              <w:sz w:val="36"/>
              <w:szCs w:val="32"/>
            </w:rPr>
            <w:t>Victoria</w:t>
          </w:r>
        </w:smartTag>
      </w:smartTag>
    </w:p>
    <w:p w:rsidR="00336793" w:rsidRPr="007B4060" w:rsidRDefault="00336793" w:rsidP="0028370C">
      <w:pPr>
        <w:jc w:val="center"/>
        <w:rPr>
          <w:rFonts w:ascii="Calibri" w:hAnsi="Calibri"/>
          <w:sz w:val="32"/>
          <w:szCs w:val="32"/>
        </w:rPr>
      </w:pPr>
      <w:r w:rsidRPr="007B4060">
        <w:rPr>
          <w:rFonts w:ascii="Calibri" w:hAnsi="Calibri"/>
          <w:sz w:val="32"/>
          <w:szCs w:val="32"/>
        </w:rPr>
        <w:t>for the information of Honourable Members</w:t>
      </w:r>
    </w:p>
    <w:p w:rsidR="00336793" w:rsidRPr="007B4060" w:rsidRDefault="00336793" w:rsidP="0028370C">
      <w:pPr>
        <w:spacing w:after="0"/>
        <w:jc w:val="center"/>
        <w:rPr>
          <w:rFonts w:ascii="Calibri" w:hAnsi="Calibri"/>
        </w:rPr>
      </w:pPr>
      <w:r w:rsidRPr="007B4060">
        <w:rPr>
          <w:rFonts w:ascii="Calibri" w:hAnsi="Calibri"/>
        </w:rPr>
        <w:t>_______________________</w:t>
      </w:r>
    </w:p>
    <w:p w:rsidR="00336793" w:rsidRPr="007B4060" w:rsidRDefault="00336793" w:rsidP="0028370C">
      <w:pPr>
        <w:spacing w:after="0"/>
        <w:jc w:val="center"/>
        <w:rPr>
          <w:rFonts w:ascii="Calibri" w:hAnsi="Calibri"/>
        </w:rPr>
      </w:pPr>
    </w:p>
    <w:p w:rsidR="00336793" w:rsidRPr="007B4060" w:rsidRDefault="00336793" w:rsidP="0028370C">
      <w:pPr>
        <w:spacing w:after="0"/>
        <w:jc w:val="center"/>
        <w:rPr>
          <w:rFonts w:ascii="Calibri" w:hAnsi="Calibri"/>
        </w:rPr>
      </w:pPr>
      <w:r w:rsidRPr="007B4060">
        <w:rPr>
          <w:rFonts w:ascii="Calibri" w:hAnsi="Calibri"/>
        </w:rPr>
        <w:t>Ordered to be printed</w:t>
      </w:r>
    </w:p>
    <w:p w:rsidR="00336793" w:rsidRPr="007B4060" w:rsidRDefault="00336793" w:rsidP="0028370C">
      <w:pPr>
        <w:spacing w:after="0"/>
        <w:jc w:val="center"/>
        <w:rPr>
          <w:rFonts w:ascii="Calibri" w:hAnsi="Calibri"/>
        </w:rPr>
      </w:pPr>
      <w:r w:rsidRPr="007B4060">
        <w:rPr>
          <w:rFonts w:ascii="Calibri" w:hAnsi="Calibri"/>
        </w:rPr>
        <w:t>_______________________</w:t>
      </w:r>
    </w:p>
    <w:p w:rsidR="00336793" w:rsidRPr="007B4060" w:rsidRDefault="00336793" w:rsidP="0028370C">
      <w:pPr>
        <w:jc w:val="center"/>
        <w:rPr>
          <w:rFonts w:ascii="Calibri" w:hAnsi="Calibri"/>
        </w:rPr>
      </w:pPr>
    </w:p>
    <w:p w:rsidR="00336793" w:rsidRPr="007B4060" w:rsidRDefault="00336793" w:rsidP="0028370C">
      <w:pPr>
        <w:jc w:val="center"/>
        <w:rPr>
          <w:rFonts w:ascii="Calibri" w:hAnsi="Calibri"/>
        </w:rPr>
      </w:pPr>
      <w:r>
        <w:rPr>
          <w:rFonts w:ascii="Calibri" w:hAnsi="Calibri"/>
        </w:rPr>
        <w:t xml:space="preserve">November </w:t>
      </w:r>
      <w:r w:rsidRPr="007B4060">
        <w:rPr>
          <w:rFonts w:ascii="Calibri" w:hAnsi="Calibri"/>
        </w:rPr>
        <w:t>201</w:t>
      </w:r>
      <w:r>
        <w:rPr>
          <w:rFonts w:ascii="Calibri" w:hAnsi="Calibri"/>
        </w:rPr>
        <w:t>5</w:t>
      </w:r>
    </w:p>
    <w:p w:rsidR="00336793" w:rsidRDefault="00336793" w:rsidP="0028370C">
      <w:pPr>
        <w:jc w:val="center"/>
      </w:pPr>
    </w:p>
    <w:p w:rsidR="00336793" w:rsidRDefault="00336793" w:rsidP="0028370C">
      <w:pPr>
        <w:rPr>
          <w:highlight w:val="yellow"/>
        </w:rPr>
      </w:pPr>
    </w:p>
    <w:p w:rsidR="00336793" w:rsidRPr="007B4060" w:rsidRDefault="00336793" w:rsidP="0028370C">
      <w:pPr>
        <w:rPr>
          <w:highlight w:val="yellow"/>
        </w:rPr>
      </w:pPr>
    </w:p>
    <w:p w:rsidR="00336793" w:rsidRDefault="00336793" w:rsidP="0028370C">
      <w:pPr>
        <w:spacing w:before="400"/>
        <w:rPr>
          <w:rFonts w:ascii="Calibri" w:hAnsi="Calibri"/>
        </w:rPr>
      </w:pPr>
      <w:r w:rsidRPr="0028370C">
        <w:rPr>
          <w:rFonts w:ascii="Calibri" w:hAnsi="Calibri"/>
        </w:rPr>
        <w:t xml:space="preserve">No. </w:t>
      </w:r>
      <w:r>
        <w:rPr>
          <w:rFonts w:ascii="Calibri" w:hAnsi="Calibri"/>
        </w:rPr>
        <w:t>73</w:t>
      </w:r>
      <w:r w:rsidRPr="0028370C">
        <w:rPr>
          <w:rFonts w:ascii="Calibri" w:hAnsi="Calibri"/>
        </w:rPr>
        <w:t>, Session 2014</w:t>
      </w:r>
      <w:r>
        <w:rPr>
          <w:rFonts w:ascii="Calibri" w:hAnsi="Calibri"/>
        </w:rPr>
        <w:noBreakHyphen/>
      </w:r>
      <w:r w:rsidRPr="0028370C">
        <w:rPr>
          <w:rFonts w:ascii="Calibri" w:hAnsi="Calibri"/>
        </w:rPr>
        <w:t>15</w:t>
      </w:r>
    </w:p>
    <w:p w:rsidR="00336793" w:rsidRDefault="00336793" w:rsidP="0028370C">
      <w:pPr>
        <w:spacing w:before="400"/>
        <w:rPr>
          <w:rFonts w:ascii="Calibri" w:hAnsi="Calibri"/>
        </w:rPr>
      </w:pPr>
    </w:p>
    <w:p w:rsidR="00CB3C3B" w:rsidRDefault="00CB3C3B" w:rsidP="0028370C">
      <w:pPr>
        <w:spacing w:before="400"/>
        <w:rPr>
          <w:rFonts w:ascii="Calibri" w:hAnsi="Calibri"/>
        </w:rPr>
      </w:pPr>
      <w:r w:rsidRPr="00CB3C3B">
        <w:rPr>
          <w:rFonts w:ascii="Calibri" w:hAnsi="Calibri"/>
        </w:rPr>
        <mc:AlternateContent>
          <mc:Choice Requires="wps">
            <w:drawing>
              <wp:anchor distT="0" distB="0" distL="114300" distR="114300" simplePos="0" relativeHeight="251659264" behindDoc="0" locked="0" layoutInCell="1" allowOverlap="1" wp14:anchorId="1678495B" wp14:editId="1FA2E9B3">
                <wp:simplePos x="0" y="0"/>
                <wp:positionH relativeFrom="column">
                  <wp:posOffset>-283845</wp:posOffset>
                </wp:positionH>
                <wp:positionV relativeFrom="paragraph">
                  <wp:posOffset>4264025</wp:posOffset>
                </wp:positionV>
                <wp:extent cx="3023870" cy="4943475"/>
                <wp:effectExtent l="0" t="0" r="0" b="0"/>
                <wp:wrapNone/>
                <wp:docPr id="20" name="TextBox 13"/>
                <wp:cNvGraphicFramePr/>
                <a:graphic xmlns:a="http://schemas.openxmlformats.org/drawingml/2006/main">
                  <a:graphicData uri="http://schemas.microsoft.com/office/word/2010/wordprocessingShape">
                    <wps:wsp>
                      <wps:cNvSpPr txBox="1"/>
                      <wps:spPr>
                        <a:xfrm>
                          <a:off x="0" y="0"/>
                          <a:ext cx="3023870" cy="4943475"/>
                        </a:xfrm>
                        <a:prstGeom prst="rect">
                          <a:avLst/>
                        </a:prstGeom>
                        <a:noFill/>
                      </wps:spPr>
                      <wps:txbx>
                        <w:txbxContent>
                          <w:p w:rsidR="00CB3C3B" w:rsidRDefault="00CB3C3B" w:rsidP="00CB3C3B">
                            <w:pPr>
                              <w:pStyle w:val="NormalWeb"/>
                              <w:spacing w:after="0"/>
                            </w:pPr>
                            <w:r>
                              <w:rPr>
                                <w:rFonts w:ascii="Calibri" w:hAnsi="Calibri" w:cs="Calibri"/>
                                <w:color w:val="000000" w:themeColor="text1"/>
                                <w:kern w:val="24"/>
                                <w:sz w:val="20"/>
                                <w:szCs w:val="20"/>
                              </w:rPr>
                              <w:t>The Secretary</w:t>
                            </w:r>
                          </w:p>
                          <w:p w:rsidR="00CB3C3B" w:rsidRDefault="00CB3C3B" w:rsidP="00CB3C3B">
                            <w:pPr>
                              <w:pStyle w:val="NormalWeb"/>
                              <w:spacing w:after="0"/>
                            </w:pPr>
                            <w:r>
                              <w:rPr>
                                <w:rFonts w:ascii="Calibri" w:hAnsi="Calibri" w:cs="Calibri"/>
                                <w:color w:val="000000" w:themeColor="text1"/>
                                <w:kern w:val="24"/>
                                <w:sz w:val="20"/>
                                <w:szCs w:val="20"/>
                              </w:rPr>
                              <w:t>Department of Treasury and Finance</w:t>
                            </w:r>
                          </w:p>
                          <w:p w:rsidR="00CB3C3B" w:rsidRDefault="00CB3C3B" w:rsidP="00CB3C3B">
                            <w:pPr>
                              <w:pStyle w:val="NormalWeb"/>
                              <w:spacing w:after="0"/>
                            </w:pPr>
                            <w:r>
                              <w:rPr>
                                <w:rFonts w:ascii="Calibri" w:hAnsi="Calibri" w:cs="Calibri"/>
                                <w:color w:val="000000" w:themeColor="text1"/>
                                <w:kern w:val="24"/>
                                <w:sz w:val="20"/>
                                <w:szCs w:val="20"/>
                              </w:rPr>
                              <w:t>1 Treasury Place</w:t>
                            </w:r>
                          </w:p>
                          <w:p w:rsidR="00CB3C3B" w:rsidRDefault="00CB3C3B" w:rsidP="00CB3C3B">
                            <w:pPr>
                              <w:pStyle w:val="NormalWeb"/>
                              <w:spacing w:after="0"/>
                            </w:pPr>
                            <w:r>
                              <w:rPr>
                                <w:rFonts w:ascii="Calibri" w:hAnsi="Calibri" w:cs="Calibri"/>
                                <w:color w:val="000000" w:themeColor="text1"/>
                                <w:kern w:val="24"/>
                                <w:sz w:val="20"/>
                                <w:szCs w:val="20"/>
                              </w:rPr>
                              <w:t>Melbourne Victoria 3002</w:t>
                            </w:r>
                          </w:p>
                          <w:p w:rsidR="00CB3C3B" w:rsidRDefault="00CB3C3B" w:rsidP="00CB3C3B">
                            <w:pPr>
                              <w:pStyle w:val="NormalWeb"/>
                              <w:spacing w:after="0"/>
                            </w:pPr>
                            <w:r>
                              <w:rPr>
                                <w:rFonts w:ascii="Calibri" w:hAnsi="Calibri" w:cs="Calibri"/>
                                <w:color w:val="000000" w:themeColor="text1"/>
                                <w:kern w:val="24"/>
                                <w:sz w:val="20"/>
                                <w:szCs w:val="20"/>
                              </w:rPr>
                              <w:t>Australia</w:t>
                            </w:r>
                          </w:p>
                          <w:p w:rsidR="00CB3C3B" w:rsidRDefault="00CB3C3B" w:rsidP="00CB3C3B">
                            <w:pPr>
                              <w:pStyle w:val="NormalWeb"/>
                              <w:spacing w:after="0"/>
                            </w:pPr>
                            <w:r>
                              <w:rPr>
                                <w:rFonts w:ascii="Calibri" w:hAnsi="Calibri" w:cs="Calibri"/>
                                <w:color w:val="000000" w:themeColor="text1"/>
                                <w:kern w:val="24"/>
                                <w:sz w:val="20"/>
                                <w:szCs w:val="20"/>
                              </w:rPr>
                              <w:t>Telephone: +61 3 9651 5111</w:t>
                            </w:r>
                          </w:p>
                          <w:p w:rsidR="00CB3C3B" w:rsidRDefault="00CB3C3B" w:rsidP="00CB3C3B">
                            <w:pPr>
                              <w:pStyle w:val="NormalWeb"/>
                              <w:spacing w:after="0"/>
                            </w:pPr>
                            <w:r>
                              <w:rPr>
                                <w:rFonts w:ascii="Calibri" w:hAnsi="Calibri" w:cs="Calibri"/>
                                <w:color w:val="000000" w:themeColor="text1"/>
                                <w:kern w:val="24"/>
                                <w:sz w:val="20"/>
                                <w:szCs w:val="20"/>
                              </w:rPr>
                              <w:t>Facsimile: +61 3 9651 2062</w:t>
                            </w:r>
                          </w:p>
                          <w:p w:rsidR="00CB3C3B" w:rsidRDefault="00CB3C3B" w:rsidP="00CB3C3B">
                            <w:pPr>
                              <w:pStyle w:val="NormalWeb"/>
                              <w:spacing w:after="0"/>
                            </w:pPr>
                            <w:r>
                              <w:rPr>
                                <w:rFonts w:ascii="Calibri" w:hAnsi="Calibri" w:cs="Calibri"/>
                                <w:color w:val="000000" w:themeColor="text1"/>
                                <w:kern w:val="24"/>
                                <w:sz w:val="20"/>
                                <w:szCs w:val="20"/>
                              </w:rPr>
                              <w:t>dtf.vic.gov.au</w:t>
                            </w:r>
                          </w:p>
                          <w:p w:rsidR="00CB3C3B" w:rsidRDefault="00CB3C3B" w:rsidP="00CB3C3B">
                            <w:pPr>
                              <w:pStyle w:val="NormalWeb"/>
                              <w:spacing w:before="120" w:after="0"/>
                            </w:pPr>
                            <w:r>
                              <w:rPr>
                                <w:rFonts w:ascii="Calibri" w:hAnsi="Calibri" w:cs="Calibri"/>
                                <w:color w:val="000000" w:themeColor="text1"/>
                                <w:kern w:val="24"/>
                                <w:sz w:val="20"/>
                                <w:szCs w:val="20"/>
                              </w:rPr>
                              <w:t>Authorised by the Victorian Government</w:t>
                            </w:r>
                          </w:p>
                          <w:p w:rsidR="00CB3C3B" w:rsidRDefault="00CB3C3B" w:rsidP="00CB3C3B">
                            <w:pPr>
                              <w:pStyle w:val="NormalWeb"/>
                              <w:spacing w:after="0"/>
                            </w:pPr>
                            <w:r>
                              <w:rPr>
                                <w:rFonts w:ascii="Calibri" w:hAnsi="Calibri" w:cs="Calibri"/>
                                <w:color w:val="000000" w:themeColor="text1"/>
                                <w:kern w:val="24"/>
                                <w:sz w:val="20"/>
                                <w:szCs w:val="20"/>
                              </w:rPr>
                              <w:t>1 Treasury Place, Melbourne, 3002</w:t>
                            </w:r>
                            <w:r>
                              <w:rPr>
                                <w:rFonts w:ascii="Calibri" w:hAnsi="Calibri" w:cs="Calibri"/>
                                <w:color w:val="000000" w:themeColor="text1"/>
                                <w:kern w:val="24"/>
                                <w:sz w:val="20"/>
                                <w:szCs w:val="20"/>
                              </w:rPr>
                              <w:tab/>
                            </w:r>
                          </w:p>
                          <w:p w:rsidR="00CB3C3B" w:rsidRDefault="00CB3C3B" w:rsidP="00CB3C3B">
                            <w:pPr>
                              <w:pStyle w:val="NormalWeb"/>
                              <w:spacing w:before="120" w:after="0"/>
                            </w:pPr>
                            <w:r>
                              <w:rPr>
                                <w:rFonts w:ascii="Calibri" w:hAnsi="Calibri" w:cs="Calibri"/>
                                <w:color w:val="000000" w:themeColor="text1"/>
                                <w:kern w:val="24"/>
                                <w:sz w:val="20"/>
                                <w:szCs w:val="20"/>
                              </w:rPr>
                              <w:t>Printed by On Demand, Port Melbourne</w:t>
                            </w:r>
                          </w:p>
                          <w:p w:rsidR="00CB3C3B" w:rsidRDefault="00CB3C3B" w:rsidP="00CB3C3B">
                            <w:pPr>
                              <w:pStyle w:val="NormalWeb"/>
                              <w:spacing w:before="120" w:after="0"/>
                            </w:pPr>
                            <w:r>
                              <w:rPr>
                                <w:rFonts w:ascii="Calibri" w:hAnsi="Calibri" w:cs="Calibri"/>
                                <w:color w:val="000000" w:themeColor="text1"/>
                                <w:kern w:val="24"/>
                                <w:sz w:val="20"/>
                                <w:szCs w:val="20"/>
                              </w:rPr>
                              <w:t>© State of Victoria 2015</w:t>
                            </w:r>
                          </w:p>
                          <w:p w:rsidR="00CB3C3B" w:rsidRDefault="00CB3C3B" w:rsidP="00CB3C3B">
                            <w:pPr>
                              <w:pStyle w:val="NormalWeb"/>
                              <w:spacing w:after="0"/>
                            </w:pPr>
                            <w:r>
                              <w:rPr>
                                <w:rFonts w:ascii="Calibri" w:hAnsi="Calibri" w:cs="Calibri"/>
                                <w:color w:val="000000" w:themeColor="text1"/>
                                <w:kern w:val="24"/>
                                <w:sz w:val="20"/>
                                <w:szCs w:val="20"/>
                              </w:rPr>
                              <w:t xml:space="preserve"> </w:t>
                            </w:r>
                          </w:p>
                          <w:p w:rsidR="00CB3C3B" w:rsidRDefault="00CB3C3B" w:rsidP="00CB3C3B">
                            <w:pPr>
                              <w:pStyle w:val="NormalWeb"/>
                              <w:spacing w:after="0"/>
                            </w:pPr>
                            <w:r>
                              <w:rPr>
                                <w:rFonts w:ascii="Calibri" w:hAnsi="Calibri" w:cs="Calibri"/>
                                <w:color w:val="000000" w:themeColor="text1"/>
                                <w:kern w:val="24"/>
                                <w:sz w:val="20"/>
                                <w:szCs w:val="20"/>
                                <w:lang w:val="en-US"/>
                              </w:rPr>
                              <w:t xml:space="preserve">This work, </w:t>
                            </w:r>
                            <w:r>
                              <w:rPr>
                                <w:rFonts w:ascii="Calibri" w:hAnsi="Calibri" w:cs="Calibri"/>
                                <w:i/>
                                <w:iCs/>
                                <w:color w:val="000000" w:themeColor="text1"/>
                                <w:kern w:val="24"/>
                                <w:sz w:val="20"/>
                                <w:szCs w:val="20"/>
                                <w:lang w:val="en-US"/>
                              </w:rPr>
                              <w:t>2014-15 Financial Report (incorporating</w:t>
                            </w:r>
                          </w:p>
                          <w:p w:rsidR="00CB3C3B" w:rsidRDefault="00CB3C3B" w:rsidP="00CB3C3B">
                            <w:pPr>
                              <w:pStyle w:val="NormalWeb"/>
                              <w:spacing w:after="0"/>
                            </w:pPr>
                            <w:r>
                              <w:rPr>
                                <w:rFonts w:ascii="Calibri" w:hAnsi="Calibri" w:cs="Calibri"/>
                                <w:i/>
                                <w:iCs/>
                                <w:color w:val="000000" w:themeColor="text1"/>
                                <w:kern w:val="24"/>
                                <w:sz w:val="20"/>
                                <w:szCs w:val="20"/>
                                <w:lang w:val="en-US"/>
                              </w:rPr>
                              <w:t>Quarterly Financial Report No. 4)</w:t>
                            </w:r>
                            <w:r>
                              <w:rPr>
                                <w:rFonts w:ascii="Calibri" w:hAnsi="Calibri" w:cs="Calibri"/>
                                <w:color w:val="000000" w:themeColor="text1"/>
                                <w:kern w:val="24"/>
                                <w:sz w:val="20"/>
                                <w:szCs w:val="20"/>
                                <w:lang w:val="en-US"/>
                              </w:rPr>
                              <w:t xml:space="preserve"> is licensed under a</w:t>
                            </w:r>
                          </w:p>
                          <w:p w:rsidR="00CB3C3B" w:rsidRDefault="00CB3C3B" w:rsidP="00CB3C3B">
                            <w:pPr>
                              <w:pStyle w:val="NormalWeb"/>
                              <w:spacing w:after="0"/>
                            </w:pPr>
                            <w:r>
                              <w:rPr>
                                <w:rFonts w:ascii="Calibri" w:hAnsi="Calibri" w:cs="Calibri"/>
                                <w:color w:val="000000" w:themeColor="text1"/>
                                <w:kern w:val="24"/>
                                <w:sz w:val="20"/>
                                <w:szCs w:val="20"/>
                                <w:lang w:val="en-US"/>
                              </w:rPr>
                              <w:t>Creative Commons Attribution 4.0 Australia licence.</w:t>
                            </w:r>
                          </w:p>
                          <w:p w:rsidR="00CB3C3B" w:rsidRDefault="00CB3C3B" w:rsidP="00CB3C3B">
                            <w:pPr>
                              <w:pStyle w:val="NormalWeb"/>
                              <w:spacing w:after="0"/>
                            </w:pPr>
                            <w:r>
                              <w:rPr>
                                <w:rFonts w:ascii="Calibri" w:hAnsi="Calibri" w:cs="Calibri"/>
                                <w:color w:val="000000" w:themeColor="text1"/>
                                <w:kern w:val="24"/>
                                <w:sz w:val="20"/>
                                <w:szCs w:val="20"/>
                                <w:lang w:val="en-US"/>
                              </w:rPr>
                              <w:t>You are free to re-use the work under that licence,</w:t>
                            </w:r>
                          </w:p>
                          <w:p w:rsidR="00CB3C3B" w:rsidRDefault="00CB3C3B" w:rsidP="00CB3C3B">
                            <w:pPr>
                              <w:pStyle w:val="NormalWeb"/>
                              <w:spacing w:after="0"/>
                            </w:pPr>
                            <w:r>
                              <w:rPr>
                                <w:rFonts w:ascii="Calibri" w:hAnsi="Calibri" w:cs="Calibri"/>
                                <w:color w:val="000000" w:themeColor="text1"/>
                                <w:kern w:val="24"/>
                                <w:sz w:val="20"/>
                                <w:szCs w:val="20"/>
                                <w:lang w:val="en-US"/>
                              </w:rPr>
                              <w:t>on the condition that you credit the State of Victoria</w:t>
                            </w:r>
                          </w:p>
                          <w:p w:rsidR="00CB3C3B" w:rsidRDefault="00CB3C3B" w:rsidP="00CB3C3B">
                            <w:pPr>
                              <w:pStyle w:val="NormalWeb"/>
                              <w:spacing w:after="0"/>
                            </w:pPr>
                            <w:r>
                              <w:rPr>
                                <w:rFonts w:ascii="Calibri" w:hAnsi="Calibri" w:cs="Calibri"/>
                                <w:color w:val="000000" w:themeColor="text1"/>
                                <w:kern w:val="24"/>
                                <w:sz w:val="20"/>
                                <w:szCs w:val="20"/>
                                <w:lang w:val="en-US"/>
                              </w:rPr>
                              <w:t>(Department of Treasury and Finance) as author and</w:t>
                            </w:r>
                          </w:p>
                          <w:p w:rsidR="00CB3C3B" w:rsidRDefault="00CB3C3B" w:rsidP="00CB3C3B">
                            <w:pPr>
                              <w:pStyle w:val="NormalWeb"/>
                              <w:spacing w:after="0"/>
                            </w:pPr>
                            <w:r>
                              <w:rPr>
                                <w:rFonts w:ascii="Calibri" w:hAnsi="Calibri" w:cs="Calibri"/>
                                <w:color w:val="000000" w:themeColor="text1"/>
                                <w:kern w:val="24"/>
                                <w:sz w:val="20"/>
                                <w:szCs w:val="20"/>
                                <w:lang w:val="en-US"/>
                              </w:rPr>
                              <w:t>comply with the other licence terms. The licence does not</w:t>
                            </w:r>
                          </w:p>
                          <w:p w:rsidR="00CB3C3B" w:rsidRDefault="00CB3C3B" w:rsidP="00CB3C3B">
                            <w:pPr>
                              <w:pStyle w:val="NormalWeb"/>
                              <w:spacing w:after="0"/>
                            </w:pPr>
                            <w:r>
                              <w:rPr>
                                <w:rFonts w:ascii="Calibri" w:hAnsi="Calibri" w:cs="Calibri"/>
                                <w:color w:val="000000" w:themeColor="text1"/>
                                <w:kern w:val="24"/>
                                <w:sz w:val="20"/>
                                <w:szCs w:val="20"/>
                                <w:lang w:val="en-US"/>
                              </w:rPr>
                              <w:t>apply to any images, photographs or branding, including</w:t>
                            </w:r>
                          </w:p>
                          <w:p w:rsidR="00CB3C3B" w:rsidRDefault="00CB3C3B" w:rsidP="00CB3C3B">
                            <w:pPr>
                              <w:pStyle w:val="NormalWeb"/>
                              <w:spacing w:after="0"/>
                            </w:pPr>
                            <w:r>
                              <w:rPr>
                                <w:rFonts w:ascii="Calibri" w:hAnsi="Calibri" w:cs="Calibri"/>
                                <w:color w:val="000000" w:themeColor="text1"/>
                                <w:kern w:val="24"/>
                                <w:sz w:val="20"/>
                                <w:szCs w:val="20"/>
                                <w:lang w:val="en-US"/>
                              </w:rPr>
                              <w:t>the Victorian Coat of Arms, the Victorian Government</w:t>
                            </w:r>
                          </w:p>
                          <w:p w:rsidR="00CB3C3B" w:rsidRDefault="00CB3C3B" w:rsidP="00CB3C3B">
                            <w:pPr>
                              <w:pStyle w:val="NormalWeb"/>
                              <w:spacing w:after="0"/>
                            </w:pPr>
                            <w:r>
                              <w:rPr>
                                <w:rFonts w:ascii="Calibri" w:hAnsi="Calibri" w:cs="Calibri"/>
                                <w:color w:val="000000" w:themeColor="text1"/>
                                <w:kern w:val="24"/>
                                <w:sz w:val="20"/>
                                <w:szCs w:val="20"/>
                                <w:lang w:val="en-US"/>
                              </w:rPr>
                              <w:t>logo and the Department of Treasury and Finance logo.</w:t>
                            </w:r>
                          </w:p>
                          <w:p w:rsidR="00CB3C3B" w:rsidRDefault="00CB3C3B" w:rsidP="00CB3C3B">
                            <w:pPr>
                              <w:pStyle w:val="NormalWeb"/>
                              <w:spacing w:after="0"/>
                            </w:pPr>
                            <w:r>
                              <w:rPr>
                                <w:rFonts w:ascii="Calibri" w:hAnsi="Calibri" w:cs="Calibri"/>
                                <w:color w:val="000000" w:themeColor="text1"/>
                                <w:kern w:val="24"/>
                                <w:sz w:val="20"/>
                                <w:szCs w:val="20"/>
                              </w:rPr>
                              <w:t>Copyright queries may be directed to</w:t>
                            </w:r>
                          </w:p>
                          <w:p w:rsidR="00CB3C3B" w:rsidRDefault="00CB3C3B" w:rsidP="00CB3C3B">
                            <w:pPr>
                              <w:pStyle w:val="NormalWeb"/>
                              <w:spacing w:after="0"/>
                            </w:pPr>
                            <w:r>
                              <w:rPr>
                                <w:rFonts w:ascii="Calibri" w:hAnsi="Calibri" w:cs="Calibri"/>
                                <w:color w:val="000000" w:themeColor="text1"/>
                                <w:kern w:val="24"/>
                                <w:sz w:val="20"/>
                                <w:szCs w:val="20"/>
                              </w:rPr>
                              <w:t>IPpolicy@dtf.vic.gov.au</w:t>
                            </w:r>
                          </w:p>
                          <w:p w:rsidR="00CB3C3B" w:rsidRDefault="00CB3C3B" w:rsidP="00CB3C3B">
                            <w:pPr>
                              <w:pStyle w:val="NormalWeb"/>
                              <w:spacing w:before="120"/>
                            </w:pPr>
                            <w:r>
                              <w:rPr>
                                <w:rFonts w:ascii="Calibri" w:hAnsi="Calibri" w:cs="Calibri"/>
                                <w:color w:val="000000" w:themeColor="text1"/>
                                <w:kern w:val="24"/>
                                <w:sz w:val="20"/>
                                <w:szCs w:val="20"/>
                              </w:rPr>
                              <w:t>ISSN 2204-7166</w:t>
                            </w:r>
                          </w:p>
                          <w:p w:rsidR="00CB3C3B" w:rsidRDefault="00CB3C3B" w:rsidP="00CB3C3B">
                            <w:pPr>
                              <w:pStyle w:val="NormalWeb"/>
                              <w:spacing w:after="0"/>
                            </w:pPr>
                            <w:r>
                              <w:rPr>
                                <w:rFonts w:ascii="Calibri" w:hAnsi="Calibri" w:cs="Calibri"/>
                                <w:color w:val="000000" w:themeColor="text1"/>
                                <w:kern w:val="24"/>
                                <w:sz w:val="20"/>
                                <w:szCs w:val="20"/>
                              </w:rPr>
                              <w:t>Published November 2015</w:t>
                            </w:r>
                          </w:p>
                          <w:p w:rsidR="00CB3C3B" w:rsidRDefault="00CB3C3B" w:rsidP="00CB3C3B">
                            <w:pPr>
                              <w:pStyle w:val="NormalWeb"/>
                              <w:spacing w:after="0"/>
                            </w:pPr>
                            <w:r>
                              <w:rPr>
                                <w:rFonts w:ascii="Calibri" w:hAnsi="Calibri" w:cs="Calibri"/>
                                <w:color w:val="000000" w:themeColor="text1"/>
                                <w:kern w:val="24"/>
                                <w:sz w:val="20"/>
                                <w:szCs w:val="20"/>
                              </w:rPr>
                              <w:t>Printed on recycled paper</w:t>
                            </w:r>
                          </w:p>
                        </w:txbxContent>
                      </wps:txbx>
                      <wps:bodyPr wrap="square" lIns="0" tIns="36000" rIns="3600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3" o:spid="_x0000_s1026" type="#_x0000_t202" style="position:absolute;margin-left:-22.35pt;margin-top:335.75pt;width:238.1pt;height:38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" filled="f" stroked="f">
                <v:textbox inset="0,1mm,1mm,0">
                  <w:txbxContent>
                    <w:p w:rsidR="00CB3C3B" w:rsidRDefault="00CB3C3B" w:rsidP="00CB3C3B">
                      <w:pPr>
                        <w:pStyle w:val="NormalWeb"/>
                        <w:spacing w:after="0"/>
                      </w:pPr>
                      <w:r>
                        <w:rPr>
                          <w:rFonts w:ascii="Calibri" w:hAnsi="Calibri" w:cs="Calibri"/>
                          <w:color w:val="000000" w:themeColor="text1"/>
                          <w:kern w:val="24"/>
                          <w:sz w:val="20"/>
                          <w:szCs w:val="20"/>
                        </w:rPr>
                        <w:t>The Secretary</w:t>
                      </w:r>
                    </w:p>
                    <w:p w:rsidR="00CB3C3B" w:rsidRDefault="00CB3C3B" w:rsidP="00CB3C3B">
                      <w:pPr>
                        <w:pStyle w:val="NormalWeb"/>
                        <w:spacing w:after="0"/>
                      </w:pPr>
                      <w:r>
                        <w:rPr>
                          <w:rFonts w:ascii="Calibri" w:hAnsi="Calibri" w:cs="Calibri"/>
                          <w:color w:val="000000" w:themeColor="text1"/>
                          <w:kern w:val="24"/>
                          <w:sz w:val="20"/>
                          <w:szCs w:val="20"/>
                        </w:rPr>
                        <w:t>Department of Treasury and Finance</w:t>
                      </w:r>
                    </w:p>
                    <w:p w:rsidR="00CB3C3B" w:rsidRDefault="00CB3C3B" w:rsidP="00CB3C3B">
                      <w:pPr>
                        <w:pStyle w:val="NormalWeb"/>
                        <w:spacing w:after="0"/>
                      </w:pPr>
                      <w:r>
                        <w:rPr>
                          <w:rFonts w:ascii="Calibri" w:hAnsi="Calibri" w:cs="Calibri"/>
                          <w:color w:val="000000" w:themeColor="text1"/>
                          <w:kern w:val="24"/>
                          <w:sz w:val="20"/>
                          <w:szCs w:val="20"/>
                        </w:rPr>
                        <w:t>1 Treasury Place</w:t>
                      </w:r>
                    </w:p>
                    <w:p w:rsidR="00CB3C3B" w:rsidRDefault="00CB3C3B" w:rsidP="00CB3C3B">
                      <w:pPr>
                        <w:pStyle w:val="NormalWeb"/>
                        <w:spacing w:after="0"/>
                      </w:pPr>
                      <w:r>
                        <w:rPr>
                          <w:rFonts w:ascii="Calibri" w:hAnsi="Calibri" w:cs="Calibri"/>
                          <w:color w:val="000000" w:themeColor="text1"/>
                          <w:kern w:val="24"/>
                          <w:sz w:val="20"/>
                          <w:szCs w:val="20"/>
                        </w:rPr>
                        <w:t>Melbourne Victoria 3002</w:t>
                      </w:r>
                    </w:p>
                    <w:p w:rsidR="00CB3C3B" w:rsidRDefault="00CB3C3B" w:rsidP="00CB3C3B">
                      <w:pPr>
                        <w:pStyle w:val="NormalWeb"/>
                        <w:spacing w:after="0"/>
                      </w:pPr>
                      <w:r>
                        <w:rPr>
                          <w:rFonts w:ascii="Calibri" w:hAnsi="Calibri" w:cs="Calibri"/>
                          <w:color w:val="000000" w:themeColor="text1"/>
                          <w:kern w:val="24"/>
                          <w:sz w:val="20"/>
                          <w:szCs w:val="20"/>
                        </w:rPr>
                        <w:t>Australia</w:t>
                      </w:r>
                    </w:p>
                    <w:p w:rsidR="00CB3C3B" w:rsidRDefault="00CB3C3B" w:rsidP="00CB3C3B">
                      <w:pPr>
                        <w:pStyle w:val="NormalWeb"/>
                        <w:spacing w:after="0"/>
                      </w:pPr>
                      <w:r>
                        <w:rPr>
                          <w:rFonts w:ascii="Calibri" w:hAnsi="Calibri" w:cs="Calibri"/>
                          <w:color w:val="000000" w:themeColor="text1"/>
                          <w:kern w:val="24"/>
                          <w:sz w:val="20"/>
                          <w:szCs w:val="20"/>
                        </w:rPr>
                        <w:t>Telephone: +61 3 9651 5111</w:t>
                      </w:r>
                    </w:p>
                    <w:p w:rsidR="00CB3C3B" w:rsidRDefault="00CB3C3B" w:rsidP="00CB3C3B">
                      <w:pPr>
                        <w:pStyle w:val="NormalWeb"/>
                        <w:spacing w:after="0"/>
                      </w:pPr>
                      <w:r>
                        <w:rPr>
                          <w:rFonts w:ascii="Calibri" w:hAnsi="Calibri" w:cs="Calibri"/>
                          <w:color w:val="000000" w:themeColor="text1"/>
                          <w:kern w:val="24"/>
                          <w:sz w:val="20"/>
                          <w:szCs w:val="20"/>
                        </w:rPr>
                        <w:t>Facsimile: +61 3 9651 2062</w:t>
                      </w:r>
                    </w:p>
                    <w:p w:rsidR="00CB3C3B" w:rsidRDefault="00CB3C3B" w:rsidP="00CB3C3B">
                      <w:pPr>
                        <w:pStyle w:val="NormalWeb"/>
                        <w:spacing w:after="0"/>
                      </w:pPr>
                      <w:r>
                        <w:rPr>
                          <w:rFonts w:ascii="Calibri" w:hAnsi="Calibri" w:cs="Calibri"/>
                          <w:color w:val="000000" w:themeColor="text1"/>
                          <w:kern w:val="24"/>
                          <w:sz w:val="20"/>
                          <w:szCs w:val="20"/>
                        </w:rPr>
                        <w:t>dtf.vic.gov.au</w:t>
                      </w:r>
                    </w:p>
                    <w:p w:rsidR="00CB3C3B" w:rsidRDefault="00CB3C3B" w:rsidP="00CB3C3B">
                      <w:pPr>
                        <w:pStyle w:val="NormalWeb"/>
                        <w:spacing w:before="120" w:after="0"/>
                      </w:pPr>
                      <w:r>
                        <w:rPr>
                          <w:rFonts w:ascii="Calibri" w:hAnsi="Calibri" w:cs="Calibri"/>
                          <w:color w:val="000000" w:themeColor="text1"/>
                          <w:kern w:val="24"/>
                          <w:sz w:val="20"/>
                          <w:szCs w:val="20"/>
                        </w:rPr>
                        <w:t>Authorised by the Victorian Government</w:t>
                      </w:r>
                    </w:p>
                    <w:p w:rsidR="00CB3C3B" w:rsidRDefault="00CB3C3B" w:rsidP="00CB3C3B">
                      <w:pPr>
                        <w:pStyle w:val="NormalWeb"/>
                        <w:spacing w:after="0"/>
                      </w:pPr>
                      <w:r>
                        <w:rPr>
                          <w:rFonts w:ascii="Calibri" w:hAnsi="Calibri" w:cs="Calibri"/>
                          <w:color w:val="000000" w:themeColor="text1"/>
                          <w:kern w:val="24"/>
                          <w:sz w:val="20"/>
                          <w:szCs w:val="20"/>
                        </w:rPr>
                        <w:t>1 Treasury Place, Melbourne, 3002</w:t>
                      </w:r>
                      <w:r>
                        <w:rPr>
                          <w:rFonts w:ascii="Calibri" w:hAnsi="Calibri" w:cs="Calibri"/>
                          <w:color w:val="000000" w:themeColor="text1"/>
                          <w:kern w:val="24"/>
                          <w:sz w:val="20"/>
                          <w:szCs w:val="20"/>
                        </w:rPr>
                        <w:tab/>
                      </w:r>
                    </w:p>
                    <w:p w:rsidR="00CB3C3B" w:rsidRDefault="00CB3C3B" w:rsidP="00CB3C3B">
                      <w:pPr>
                        <w:pStyle w:val="NormalWeb"/>
                        <w:spacing w:before="120" w:after="0"/>
                      </w:pPr>
                      <w:r>
                        <w:rPr>
                          <w:rFonts w:ascii="Calibri" w:hAnsi="Calibri" w:cs="Calibri"/>
                          <w:color w:val="000000" w:themeColor="text1"/>
                          <w:kern w:val="24"/>
                          <w:sz w:val="20"/>
                          <w:szCs w:val="20"/>
                        </w:rPr>
                        <w:t>Printed by On Demand, Port Melbourne</w:t>
                      </w:r>
                    </w:p>
                    <w:p w:rsidR="00CB3C3B" w:rsidRDefault="00CB3C3B" w:rsidP="00CB3C3B">
                      <w:pPr>
                        <w:pStyle w:val="NormalWeb"/>
                        <w:spacing w:before="120" w:after="0"/>
                      </w:pPr>
                      <w:r>
                        <w:rPr>
                          <w:rFonts w:ascii="Calibri" w:hAnsi="Calibri" w:cs="Calibri"/>
                          <w:color w:val="000000" w:themeColor="text1"/>
                          <w:kern w:val="24"/>
                          <w:sz w:val="20"/>
                          <w:szCs w:val="20"/>
                        </w:rPr>
                        <w:t>© State of Victoria 2015</w:t>
                      </w:r>
                    </w:p>
                    <w:p w:rsidR="00CB3C3B" w:rsidRDefault="00CB3C3B" w:rsidP="00CB3C3B">
                      <w:pPr>
                        <w:pStyle w:val="NormalWeb"/>
                        <w:spacing w:after="0"/>
                      </w:pPr>
                      <w:r>
                        <w:rPr>
                          <w:rFonts w:ascii="Calibri" w:hAnsi="Calibri" w:cs="Calibri"/>
                          <w:color w:val="000000" w:themeColor="text1"/>
                          <w:kern w:val="24"/>
                          <w:sz w:val="20"/>
                          <w:szCs w:val="20"/>
                        </w:rPr>
                        <w:t xml:space="preserve"> </w:t>
                      </w:r>
                    </w:p>
                    <w:p w:rsidR="00CB3C3B" w:rsidRDefault="00CB3C3B" w:rsidP="00CB3C3B">
                      <w:pPr>
                        <w:pStyle w:val="NormalWeb"/>
                        <w:spacing w:after="0"/>
                      </w:pPr>
                      <w:r>
                        <w:rPr>
                          <w:rFonts w:ascii="Calibri" w:hAnsi="Calibri" w:cs="Calibri"/>
                          <w:color w:val="000000" w:themeColor="text1"/>
                          <w:kern w:val="24"/>
                          <w:sz w:val="20"/>
                          <w:szCs w:val="20"/>
                          <w:lang w:val="en-US"/>
                        </w:rPr>
                        <w:t xml:space="preserve">This work, </w:t>
                      </w:r>
                      <w:r>
                        <w:rPr>
                          <w:rFonts w:ascii="Calibri" w:hAnsi="Calibri" w:cs="Calibri"/>
                          <w:i/>
                          <w:iCs/>
                          <w:color w:val="000000" w:themeColor="text1"/>
                          <w:kern w:val="24"/>
                          <w:sz w:val="20"/>
                          <w:szCs w:val="20"/>
                          <w:lang w:val="en-US"/>
                        </w:rPr>
                        <w:t>2014-15 Financial Report (incorporating</w:t>
                      </w:r>
                    </w:p>
                    <w:p w:rsidR="00CB3C3B" w:rsidRDefault="00CB3C3B" w:rsidP="00CB3C3B">
                      <w:pPr>
                        <w:pStyle w:val="NormalWeb"/>
                        <w:spacing w:after="0"/>
                      </w:pPr>
                      <w:r>
                        <w:rPr>
                          <w:rFonts w:ascii="Calibri" w:hAnsi="Calibri" w:cs="Calibri"/>
                          <w:i/>
                          <w:iCs/>
                          <w:color w:val="000000" w:themeColor="text1"/>
                          <w:kern w:val="24"/>
                          <w:sz w:val="20"/>
                          <w:szCs w:val="20"/>
                          <w:lang w:val="en-US"/>
                        </w:rPr>
                        <w:t>Quarterly Financial Report No. 4)</w:t>
                      </w:r>
                      <w:r>
                        <w:rPr>
                          <w:rFonts w:ascii="Calibri" w:hAnsi="Calibri" w:cs="Calibri"/>
                          <w:color w:val="000000" w:themeColor="text1"/>
                          <w:kern w:val="24"/>
                          <w:sz w:val="20"/>
                          <w:szCs w:val="20"/>
                          <w:lang w:val="en-US"/>
                        </w:rPr>
                        <w:t xml:space="preserve"> is licensed under a</w:t>
                      </w:r>
                    </w:p>
                    <w:p w:rsidR="00CB3C3B" w:rsidRDefault="00CB3C3B" w:rsidP="00CB3C3B">
                      <w:pPr>
                        <w:pStyle w:val="NormalWeb"/>
                        <w:spacing w:after="0"/>
                      </w:pPr>
                      <w:r>
                        <w:rPr>
                          <w:rFonts w:ascii="Calibri" w:hAnsi="Calibri" w:cs="Calibri"/>
                          <w:color w:val="000000" w:themeColor="text1"/>
                          <w:kern w:val="24"/>
                          <w:sz w:val="20"/>
                          <w:szCs w:val="20"/>
                          <w:lang w:val="en-US"/>
                        </w:rPr>
                        <w:t>Creative Commons Attribution 4.0 Australia licence.</w:t>
                      </w:r>
                    </w:p>
                    <w:p w:rsidR="00CB3C3B" w:rsidRDefault="00CB3C3B" w:rsidP="00CB3C3B">
                      <w:pPr>
                        <w:pStyle w:val="NormalWeb"/>
                        <w:spacing w:after="0"/>
                      </w:pPr>
                      <w:r>
                        <w:rPr>
                          <w:rFonts w:ascii="Calibri" w:hAnsi="Calibri" w:cs="Calibri"/>
                          <w:color w:val="000000" w:themeColor="text1"/>
                          <w:kern w:val="24"/>
                          <w:sz w:val="20"/>
                          <w:szCs w:val="20"/>
                          <w:lang w:val="en-US"/>
                        </w:rPr>
                        <w:t>You are free to re-use the work under that licence,</w:t>
                      </w:r>
                    </w:p>
                    <w:p w:rsidR="00CB3C3B" w:rsidRDefault="00CB3C3B" w:rsidP="00CB3C3B">
                      <w:pPr>
                        <w:pStyle w:val="NormalWeb"/>
                        <w:spacing w:after="0"/>
                      </w:pPr>
                      <w:r>
                        <w:rPr>
                          <w:rFonts w:ascii="Calibri" w:hAnsi="Calibri" w:cs="Calibri"/>
                          <w:color w:val="000000" w:themeColor="text1"/>
                          <w:kern w:val="24"/>
                          <w:sz w:val="20"/>
                          <w:szCs w:val="20"/>
                          <w:lang w:val="en-US"/>
                        </w:rPr>
                        <w:t>on the condition that you credit the State of Victoria</w:t>
                      </w:r>
                    </w:p>
                    <w:p w:rsidR="00CB3C3B" w:rsidRDefault="00CB3C3B" w:rsidP="00CB3C3B">
                      <w:pPr>
                        <w:pStyle w:val="NormalWeb"/>
                        <w:spacing w:after="0"/>
                      </w:pPr>
                      <w:r>
                        <w:rPr>
                          <w:rFonts w:ascii="Calibri" w:hAnsi="Calibri" w:cs="Calibri"/>
                          <w:color w:val="000000" w:themeColor="text1"/>
                          <w:kern w:val="24"/>
                          <w:sz w:val="20"/>
                          <w:szCs w:val="20"/>
                          <w:lang w:val="en-US"/>
                        </w:rPr>
                        <w:t>(Department of Treasury and Finance) as author and</w:t>
                      </w:r>
                    </w:p>
                    <w:p w:rsidR="00CB3C3B" w:rsidRDefault="00CB3C3B" w:rsidP="00CB3C3B">
                      <w:pPr>
                        <w:pStyle w:val="NormalWeb"/>
                        <w:spacing w:after="0"/>
                      </w:pPr>
                      <w:r>
                        <w:rPr>
                          <w:rFonts w:ascii="Calibri" w:hAnsi="Calibri" w:cs="Calibri"/>
                          <w:color w:val="000000" w:themeColor="text1"/>
                          <w:kern w:val="24"/>
                          <w:sz w:val="20"/>
                          <w:szCs w:val="20"/>
                          <w:lang w:val="en-US"/>
                        </w:rPr>
                        <w:t>comply with the other licence terms. The licence does not</w:t>
                      </w:r>
                    </w:p>
                    <w:p w:rsidR="00CB3C3B" w:rsidRDefault="00CB3C3B" w:rsidP="00CB3C3B">
                      <w:pPr>
                        <w:pStyle w:val="NormalWeb"/>
                        <w:spacing w:after="0"/>
                      </w:pPr>
                      <w:r>
                        <w:rPr>
                          <w:rFonts w:ascii="Calibri" w:hAnsi="Calibri" w:cs="Calibri"/>
                          <w:color w:val="000000" w:themeColor="text1"/>
                          <w:kern w:val="24"/>
                          <w:sz w:val="20"/>
                          <w:szCs w:val="20"/>
                          <w:lang w:val="en-US"/>
                        </w:rPr>
                        <w:t>apply to any images, photographs or branding, including</w:t>
                      </w:r>
                    </w:p>
                    <w:p w:rsidR="00CB3C3B" w:rsidRDefault="00CB3C3B" w:rsidP="00CB3C3B">
                      <w:pPr>
                        <w:pStyle w:val="NormalWeb"/>
                        <w:spacing w:after="0"/>
                      </w:pPr>
                      <w:r>
                        <w:rPr>
                          <w:rFonts w:ascii="Calibri" w:hAnsi="Calibri" w:cs="Calibri"/>
                          <w:color w:val="000000" w:themeColor="text1"/>
                          <w:kern w:val="24"/>
                          <w:sz w:val="20"/>
                          <w:szCs w:val="20"/>
                          <w:lang w:val="en-US"/>
                        </w:rPr>
                        <w:t>the Victorian Coat of Arms, the Victorian Government</w:t>
                      </w:r>
                    </w:p>
                    <w:p w:rsidR="00CB3C3B" w:rsidRDefault="00CB3C3B" w:rsidP="00CB3C3B">
                      <w:pPr>
                        <w:pStyle w:val="NormalWeb"/>
                        <w:spacing w:after="0"/>
                      </w:pPr>
                      <w:r>
                        <w:rPr>
                          <w:rFonts w:ascii="Calibri" w:hAnsi="Calibri" w:cs="Calibri"/>
                          <w:color w:val="000000" w:themeColor="text1"/>
                          <w:kern w:val="24"/>
                          <w:sz w:val="20"/>
                          <w:szCs w:val="20"/>
                          <w:lang w:val="en-US"/>
                        </w:rPr>
                        <w:t>logo and the Department of Treasury and Finance logo.</w:t>
                      </w:r>
                    </w:p>
                    <w:p w:rsidR="00CB3C3B" w:rsidRDefault="00CB3C3B" w:rsidP="00CB3C3B">
                      <w:pPr>
                        <w:pStyle w:val="NormalWeb"/>
                        <w:spacing w:after="0"/>
                      </w:pPr>
                      <w:r>
                        <w:rPr>
                          <w:rFonts w:ascii="Calibri" w:hAnsi="Calibri" w:cs="Calibri"/>
                          <w:color w:val="000000" w:themeColor="text1"/>
                          <w:kern w:val="24"/>
                          <w:sz w:val="20"/>
                          <w:szCs w:val="20"/>
                        </w:rPr>
                        <w:t>Copyright queries may be directed to</w:t>
                      </w:r>
                    </w:p>
                    <w:p w:rsidR="00CB3C3B" w:rsidRDefault="00CB3C3B" w:rsidP="00CB3C3B">
                      <w:pPr>
                        <w:pStyle w:val="NormalWeb"/>
                        <w:spacing w:after="0"/>
                      </w:pPr>
                      <w:r>
                        <w:rPr>
                          <w:rFonts w:ascii="Calibri" w:hAnsi="Calibri" w:cs="Calibri"/>
                          <w:color w:val="000000" w:themeColor="text1"/>
                          <w:kern w:val="24"/>
                          <w:sz w:val="20"/>
                          <w:szCs w:val="20"/>
                        </w:rPr>
                        <w:t>IPpolicy@dtf.vic.gov.au</w:t>
                      </w:r>
                    </w:p>
                    <w:p w:rsidR="00CB3C3B" w:rsidRDefault="00CB3C3B" w:rsidP="00CB3C3B">
                      <w:pPr>
                        <w:pStyle w:val="NormalWeb"/>
                        <w:spacing w:before="120"/>
                      </w:pPr>
                      <w:r>
                        <w:rPr>
                          <w:rFonts w:ascii="Calibri" w:hAnsi="Calibri" w:cs="Calibri"/>
                          <w:color w:val="000000" w:themeColor="text1"/>
                          <w:kern w:val="24"/>
                          <w:sz w:val="20"/>
                          <w:szCs w:val="20"/>
                        </w:rPr>
                        <w:t>ISSN 2204-7166</w:t>
                      </w:r>
                    </w:p>
                    <w:p w:rsidR="00CB3C3B" w:rsidRDefault="00CB3C3B" w:rsidP="00CB3C3B">
                      <w:pPr>
                        <w:pStyle w:val="NormalWeb"/>
                        <w:spacing w:after="0"/>
                      </w:pPr>
                      <w:r>
                        <w:rPr>
                          <w:rFonts w:ascii="Calibri" w:hAnsi="Calibri" w:cs="Calibri"/>
                          <w:color w:val="000000" w:themeColor="text1"/>
                          <w:kern w:val="24"/>
                          <w:sz w:val="20"/>
                          <w:szCs w:val="20"/>
                        </w:rPr>
                        <w:t>Published November 2015</w:t>
                      </w:r>
                    </w:p>
                    <w:p w:rsidR="00CB3C3B" w:rsidRDefault="00CB3C3B" w:rsidP="00CB3C3B">
                      <w:pPr>
                        <w:pStyle w:val="NormalWeb"/>
                        <w:spacing w:after="0"/>
                      </w:pPr>
                      <w:r>
                        <w:rPr>
                          <w:rFonts w:ascii="Calibri" w:hAnsi="Calibri" w:cs="Calibri"/>
                          <w:color w:val="000000" w:themeColor="text1"/>
                          <w:kern w:val="24"/>
                          <w:sz w:val="20"/>
                          <w:szCs w:val="20"/>
                        </w:rPr>
                        <w:t>Printed on recycled paper</w:t>
                      </w:r>
                    </w:p>
                  </w:txbxContent>
                </v:textbox>
              </v:shape>
            </w:pict>
          </mc:Fallback>
        </mc:AlternateContent>
      </w:r>
    </w:p>
    <w:p w:rsidR="00336793" w:rsidRDefault="00336793" w:rsidP="0028370C">
      <w:pPr>
        <w:sectPr w:rsidR="00336793" w:rsidSect="00DF0B96">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1152" w:right="1152" w:bottom="1152" w:left="1152" w:header="720" w:footer="576" w:gutter="0"/>
          <w:cols w:space="708"/>
          <w:docGrid w:linePitch="360"/>
        </w:sectPr>
      </w:pPr>
    </w:p>
    <w:p w:rsidR="00336793" w:rsidRDefault="00336793" w:rsidP="0028370C">
      <w:pPr>
        <w:pStyle w:val="TableofContentsheading"/>
      </w:pPr>
      <w:r>
        <w:lastRenderedPageBreak/>
        <w:t>Table of contents</w:t>
      </w:r>
    </w:p>
    <w:p w:rsidR="0092044D" w:rsidRDefault="00336793">
      <w:pPr>
        <w:pStyle w:val="TOC1"/>
        <w:rPr>
          <w:rFonts w:asciiTheme="minorHAnsi" w:eastAsiaTheme="minorEastAsia" w:hAnsiTheme="minorHAnsi" w:cstheme="minorBidi"/>
          <w:b w:val="0"/>
          <w:sz w:val="22"/>
          <w:szCs w:val="22"/>
          <w:lang w:eastAsia="en-AU"/>
        </w:rPr>
      </w:pPr>
      <w:r>
        <w:fldChar w:fldCharType="begin"/>
      </w:r>
      <w:r>
        <w:instrText xml:space="preserve"> TOC \h \z \t "Heading 1,2,Chapter Heading,1" </w:instrText>
      </w:r>
      <w:r>
        <w:fldChar w:fldCharType="separate"/>
      </w:r>
      <w:hyperlink w:anchor="_Toc433984458" w:history="1">
        <w:r w:rsidR="0092044D" w:rsidRPr="00E6455B">
          <w:rPr>
            <w:rStyle w:val="Hyperlink"/>
          </w:rPr>
          <w:t>Chapter 1 – Foreword</w:t>
        </w:r>
        <w:r w:rsidR="0092044D">
          <w:rPr>
            <w:webHidden/>
          </w:rPr>
          <w:tab/>
        </w:r>
        <w:r w:rsidR="0092044D">
          <w:rPr>
            <w:webHidden/>
          </w:rPr>
          <w:fldChar w:fldCharType="begin"/>
        </w:r>
        <w:r w:rsidR="0092044D">
          <w:rPr>
            <w:webHidden/>
          </w:rPr>
          <w:instrText xml:space="preserve"> PAGEREF _Toc433984458 \h </w:instrText>
        </w:r>
        <w:r w:rsidR="0092044D">
          <w:rPr>
            <w:webHidden/>
          </w:rPr>
        </w:r>
        <w:r w:rsidR="0092044D">
          <w:rPr>
            <w:webHidden/>
          </w:rPr>
          <w:fldChar w:fldCharType="separate"/>
        </w:r>
        <w:r w:rsidR="0092044D">
          <w:rPr>
            <w:webHidden/>
          </w:rPr>
          <w:t>1</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59" w:history="1">
        <w:r w:rsidR="0092044D" w:rsidRPr="00E6455B">
          <w:rPr>
            <w:rStyle w:val="Hyperlink"/>
          </w:rPr>
          <w:t>Purpose</w:t>
        </w:r>
        <w:r w:rsidR="0092044D">
          <w:rPr>
            <w:webHidden/>
          </w:rPr>
          <w:tab/>
        </w:r>
        <w:r w:rsidR="0092044D">
          <w:rPr>
            <w:webHidden/>
          </w:rPr>
          <w:fldChar w:fldCharType="begin"/>
        </w:r>
        <w:r w:rsidR="0092044D">
          <w:rPr>
            <w:webHidden/>
          </w:rPr>
          <w:instrText xml:space="preserve"> PAGEREF _Toc433984459 \h </w:instrText>
        </w:r>
        <w:r w:rsidR="0092044D">
          <w:rPr>
            <w:webHidden/>
          </w:rPr>
        </w:r>
        <w:r w:rsidR="0092044D">
          <w:rPr>
            <w:webHidden/>
          </w:rPr>
          <w:fldChar w:fldCharType="separate"/>
        </w:r>
        <w:r w:rsidR="0092044D">
          <w:rPr>
            <w:webHidden/>
          </w:rPr>
          <w:t>1</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60" w:history="1">
        <w:r w:rsidR="0092044D" w:rsidRPr="00E6455B">
          <w:rPr>
            <w:rStyle w:val="Hyperlink"/>
          </w:rPr>
          <w:t>Economic context</w:t>
        </w:r>
        <w:r w:rsidR="0092044D">
          <w:rPr>
            <w:webHidden/>
          </w:rPr>
          <w:tab/>
        </w:r>
        <w:r w:rsidR="0092044D">
          <w:rPr>
            <w:webHidden/>
          </w:rPr>
          <w:fldChar w:fldCharType="begin"/>
        </w:r>
        <w:r w:rsidR="0092044D">
          <w:rPr>
            <w:webHidden/>
          </w:rPr>
          <w:instrText xml:space="preserve"> PAGEREF _Toc433984460 \h </w:instrText>
        </w:r>
        <w:r w:rsidR="0092044D">
          <w:rPr>
            <w:webHidden/>
          </w:rPr>
        </w:r>
        <w:r w:rsidR="0092044D">
          <w:rPr>
            <w:webHidden/>
          </w:rPr>
          <w:fldChar w:fldCharType="separate"/>
        </w:r>
        <w:r w:rsidR="0092044D">
          <w:rPr>
            <w:webHidden/>
          </w:rPr>
          <w:t>1</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61" w:history="1">
        <w:r w:rsidR="0092044D" w:rsidRPr="00E6455B">
          <w:rPr>
            <w:rStyle w:val="Hyperlink"/>
          </w:rPr>
          <w:t>Fiscal outcomes</w:t>
        </w:r>
        <w:r w:rsidR="0092044D">
          <w:rPr>
            <w:webHidden/>
          </w:rPr>
          <w:tab/>
        </w:r>
        <w:r w:rsidR="0092044D">
          <w:rPr>
            <w:webHidden/>
          </w:rPr>
          <w:fldChar w:fldCharType="begin"/>
        </w:r>
        <w:r w:rsidR="0092044D">
          <w:rPr>
            <w:webHidden/>
          </w:rPr>
          <w:instrText xml:space="preserve"> PAGEREF _Toc433984461 \h </w:instrText>
        </w:r>
        <w:r w:rsidR="0092044D">
          <w:rPr>
            <w:webHidden/>
          </w:rPr>
        </w:r>
        <w:r w:rsidR="0092044D">
          <w:rPr>
            <w:webHidden/>
          </w:rPr>
          <w:fldChar w:fldCharType="separate"/>
        </w:r>
        <w:r w:rsidR="0092044D">
          <w:rPr>
            <w:webHidden/>
          </w:rPr>
          <w:t>2</w:t>
        </w:r>
        <w:r w:rsidR="0092044D">
          <w:rPr>
            <w:webHidden/>
          </w:rPr>
          <w:fldChar w:fldCharType="end"/>
        </w:r>
      </w:hyperlink>
    </w:p>
    <w:p w:rsidR="0092044D" w:rsidRDefault="00CB3C3B">
      <w:pPr>
        <w:pStyle w:val="TOC1"/>
        <w:rPr>
          <w:rFonts w:asciiTheme="minorHAnsi" w:eastAsiaTheme="minorEastAsia" w:hAnsiTheme="minorHAnsi" w:cstheme="minorBidi"/>
          <w:b w:val="0"/>
          <w:sz w:val="22"/>
          <w:szCs w:val="22"/>
          <w:lang w:eastAsia="en-AU"/>
        </w:rPr>
      </w:pPr>
      <w:hyperlink w:anchor="_Toc433984462" w:history="1">
        <w:r w:rsidR="0092044D" w:rsidRPr="00E6455B">
          <w:rPr>
            <w:rStyle w:val="Hyperlink"/>
          </w:rPr>
          <w:t>Chapter 2 – General government sector outcome</w:t>
        </w:r>
        <w:r w:rsidR="0092044D">
          <w:rPr>
            <w:webHidden/>
          </w:rPr>
          <w:tab/>
        </w:r>
        <w:r w:rsidR="0092044D">
          <w:rPr>
            <w:webHidden/>
          </w:rPr>
          <w:fldChar w:fldCharType="begin"/>
        </w:r>
        <w:r w:rsidR="0092044D">
          <w:rPr>
            <w:webHidden/>
          </w:rPr>
          <w:instrText xml:space="preserve"> PAGEREF _Toc433984462 \h </w:instrText>
        </w:r>
        <w:r w:rsidR="0092044D">
          <w:rPr>
            <w:webHidden/>
          </w:rPr>
        </w:r>
        <w:r w:rsidR="0092044D">
          <w:rPr>
            <w:webHidden/>
          </w:rPr>
          <w:fldChar w:fldCharType="separate"/>
        </w:r>
        <w:r w:rsidR="0092044D">
          <w:rPr>
            <w:webHidden/>
          </w:rPr>
          <w:t>3</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63" w:history="1">
        <w:r w:rsidR="0092044D" w:rsidRPr="00E6455B">
          <w:rPr>
            <w:rStyle w:val="Hyperlink"/>
          </w:rPr>
          <w:t>Fiscal objectives</w:t>
        </w:r>
        <w:r w:rsidR="0092044D">
          <w:rPr>
            <w:webHidden/>
          </w:rPr>
          <w:tab/>
        </w:r>
        <w:r w:rsidR="0092044D">
          <w:rPr>
            <w:webHidden/>
          </w:rPr>
          <w:fldChar w:fldCharType="begin"/>
        </w:r>
        <w:r w:rsidR="0092044D">
          <w:rPr>
            <w:webHidden/>
          </w:rPr>
          <w:instrText xml:space="preserve"> PAGEREF _Toc433984463 \h </w:instrText>
        </w:r>
        <w:r w:rsidR="0092044D">
          <w:rPr>
            <w:webHidden/>
          </w:rPr>
        </w:r>
        <w:r w:rsidR="0092044D">
          <w:rPr>
            <w:webHidden/>
          </w:rPr>
          <w:fldChar w:fldCharType="separate"/>
        </w:r>
        <w:r w:rsidR="0092044D">
          <w:rPr>
            <w:webHidden/>
          </w:rPr>
          <w:t>3</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64" w:history="1">
        <w:r w:rsidR="0092044D" w:rsidRPr="00E6455B">
          <w:rPr>
            <w:rStyle w:val="Hyperlink"/>
          </w:rPr>
          <w:t>Financial performance</w:t>
        </w:r>
        <w:r w:rsidR="0092044D">
          <w:rPr>
            <w:webHidden/>
          </w:rPr>
          <w:tab/>
        </w:r>
        <w:r w:rsidR="0092044D">
          <w:rPr>
            <w:webHidden/>
          </w:rPr>
          <w:fldChar w:fldCharType="begin"/>
        </w:r>
        <w:r w:rsidR="0092044D">
          <w:rPr>
            <w:webHidden/>
          </w:rPr>
          <w:instrText xml:space="preserve"> PAGEREF _Toc433984464 \h </w:instrText>
        </w:r>
        <w:r w:rsidR="0092044D">
          <w:rPr>
            <w:webHidden/>
          </w:rPr>
        </w:r>
        <w:r w:rsidR="0092044D">
          <w:rPr>
            <w:webHidden/>
          </w:rPr>
          <w:fldChar w:fldCharType="separate"/>
        </w:r>
        <w:r w:rsidR="0092044D">
          <w:rPr>
            <w:webHidden/>
          </w:rPr>
          <w:t>5</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65" w:history="1">
        <w:r w:rsidR="0092044D" w:rsidRPr="00E6455B">
          <w:rPr>
            <w:rStyle w:val="Hyperlink"/>
          </w:rPr>
          <w:t>Financial position</w:t>
        </w:r>
        <w:r w:rsidR="0092044D">
          <w:rPr>
            <w:webHidden/>
          </w:rPr>
          <w:tab/>
        </w:r>
        <w:r w:rsidR="0092044D">
          <w:rPr>
            <w:webHidden/>
          </w:rPr>
          <w:fldChar w:fldCharType="begin"/>
        </w:r>
        <w:r w:rsidR="0092044D">
          <w:rPr>
            <w:webHidden/>
          </w:rPr>
          <w:instrText xml:space="preserve"> PAGEREF _Toc433984465 \h </w:instrText>
        </w:r>
        <w:r w:rsidR="0092044D">
          <w:rPr>
            <w:webHidden/>
          </w:rPr>
        </w:r>
        <w:r w:rsidR="0092044D">
          <w:rPr>
            <w:webHidden/>
          </w:rPr>
          <w:fldChar w:fldCharType="separate"/>
        </w:r>
        <w:r w:rsidR="0092044D">
          <w:rPr>
            <w:webHidden/>
          </w:rPr>
          <w:t>8</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66" w:history="1">
        <w:r w:rsidR="0092044D" w:rsidRPr="00E6455B">
          <w:rPr>
            <w:rStyle w:val="Hyperlink"/>
          </w:rPr>
          <w:t>Cash flows</w:t>
        </w:r>
        <w:r w:rsidR="0092044D">
          <w:rPr>
            <w:webHidden/>
          </w:rPr>
          <w:tab/>
        </w:r>
        <w:r w:rsidR="0092044D">
          <w:rPr>
            <w:webHidden/>
          </w:rPr>
          <w:fldChar w:fldCharType="begin"/>
        </w:r>
        <w:r w:rsidR="0092044D">
          <w:rPr>
            <w:webHidden/>
          </w:rPr>
          <w:instrText xml:space="preserve"> PAGEREF _Toc433984466 \h </w:instrText>
        </w:r>
        <w:r w:rsidR="0092044D">
          <w:rPr>
            <w:webHidden/>
          </w:rPr>
        </w:r>
        <w:r w:rsidR="0092044D">
          <w:rPr>
            <w:webHidden/>
          </w:rPr>
          <w:fldChar w:fldCharType="separate"/>
        </w:r>
        <w:r w:rsidR="0092044D">
          <w:rPr>
            <w:webHidden/>
          </w:rPr>
          <w:t>9</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67" w:history="1">
        <w:r w:rsidR="0092044D" w:rsidRPr="00E6455B">
          <w:rPr>
            <w:rStyle w:val="Hyperlink"/>
          </w:rPr>
          <w:t>Infrastructure investment</w:t>
        </w:r>
        <w:r w:rsidR="0092044D">
          <w:rPr>
            <w:webHidden/>
          </w:rPr>
          <w:tab/>
        </w:r>
        <w:r w:rsidR="0092044D">
          <w:rPr>
            <w:webHidden/>
          </w:rPr>
          <w:fldChar w:fldCharType="begin"/>
        </w:r>
        <w:r w:rsidR="0092044D">
          <w:rPr>
            <w:webHidden/>
          </w:rPr>
          <w:instrText xml:space="preserve"> PAGEREF _Toc433984467 \h </w:instrText>
        </w:r>
        <w:r w:rsidR="0092044D">
          <w:rPr>
            <w:webHidden/>
          </w:rPr>
        </w:r>
        <w:r w:rsidR="0092044D">
          <w:rPr>
            <w:webHidden/>
          </w:rPr>
          <w:fldChar w:fldCharType="separate"/>
        </w:r>
        <w:r w:rsidR="0092044D">
          <w:rPr>
            <w:webHidden/>
          </w:rPr>
          <w:t>10</w:t>
        </w:r>
        <w:r w:rsidR="0092044D">
          <w:rPr>
            <w:webHidden/>
          </w:rPr>
          <w:fldChar w:fldCharType="end"/>
        </w:r>
      </w:hyperlink>
    </w:p>
    <w:p w:rsidR="0092044D" w:rsidRDefault="00CB3C3B">
      <w:pPr>
        <w:pStyle w:val="TOC1"/>
        <w:rPr>
          <w:rFonts w:asciiTheme="minorHAnsi" w:eastAsiaTheme="minorEastAsia" w:hAnsiTheme="minorHAnsi" w:cstheme="minorBidi"/>
          <w:b w:val="0"/>
          <w:sz w:val="22"/>
          <w:szCs w:val="22"/>
          <w:lang w:eastAsia="en-AU"/>
        </w:rPr>
      </w:pPr>
      <w:hyperlink w:anchor="_Toc433984468" w:history="1">
        <w:r w:rsidR="0092044D" w:rsidRPr="00E6455B">
          <w:rPr>
            <w:rStyle w:val="Hyperlink"/>
          </w:rPr>
          <w:t>Chapter 3 – State of Victoria outcome</w:t>
        </w:r>
        <w:r w:rsidR="0092044D">
          <w:rPr>
            <w:webHidden/>
          </w:rPr>
          <w:tab/>
        </w:r>
        <w:r w:rsidR="0092044D">
          <w:rPr>
            <w:webHidden/>
          </w:rPr>
          <w:fldChar w:fldCharType="begin"/>
        </w:r>
        <w:r w:rsidR="0092044D">
          <w:rPr>
            <w:webHidden/>
          </w:rPr>
          <w:instrText xml:space="preserve"> PAGEREF _Toc433984468 \h </w:instrText>
        </w:r>
        <w:r w:rsidR="0092044D">
          <w:rPr>
            <w:webHidden/>
          </w:rPr>
        </w:r>
        <w:r w:rsidR="0092044D">
          <w:rPr>
            <w:webHidden/>
          </w:rPr>
          <w:fldChar w:fldCharType="separate"/>
        </w:r>
        <w:r w:rsidR="0092044D">
          <w:rPr>
            <w:webHidden/>
          </w:rPr>
          <w:t>13</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69" w:history="1">
        <w:r w:rsidR="0092044D" w:rsidRPr="00E6455B">
          <w:rPr>
            <w:rStyle w:val="Hyperlink"/>
          </w:rPr>
          <w:t>Financial peformance</w:t>
        </w:r>
        <w:r w:rsidR="0092044D">
          <w:rPr>
            <w:webHidden/>
          </w:rPr>
          <w:tab/>
        </w:r>
        <w:r w:rsidR="0092044D">
          <w:rPr>
            <w:webHidden/>
          </w:rPr>
          <w:fldChar w:fldCharType="begin"/>
        </w:r>
        <w:r w:rsidR="0092044D">
          <w:rPr>
            <w:webHidden/>
          </w:rPr>
          <w:instrText xml:space="preserve"> PAGEREF _Toc433984469 \h </w:instrText>
        </w:r>
        <w:r w:rsidR="0092044D">
          <w:rPr>
            <w:webHidden/>
          </w:rPr>
        </w:r>
        <w:r w:rsidR="0092044D">
          <w:rPr>
            <w:webHidden/>
          </w:rPr>
          <w:fldChar w:fldCharType="separate"/>
        </w:r>
        <w:r w:rsidR="0092044D">
          <w:rPr>
            <w:webHidden/>
          </w:rPr>
          <w:t>13</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70" w:history="1">
        <w:r w:rsidR="0092044D" w:rsidRPr="00E6455B">
          <w:rPr>
            <w:rStyle w:val="Hyperlink"/>
          </w:rPr>
          <w:t>Operating statement</w:t>
        </w:r>
        <w:r w:rsidR="0092044D">
          <w:rPr>
            <w:webHidden/>
          </w:rPr>
          <w:tab/>
        </w:r>
        <w:r w:rsidR="0092044D">
          <w:rPr>
            <w:webHidden/>
          </w:rPr>
          <w:fldChar w:fldCharType="begin"/>
        </w:r>
        <w:r w:rsidR="0092044D">
          <w:rPr>
            <w:webHidden/>
          </w:rPr>
          <w:instrText xml:space="preserve"> PAGEREF _Toc433984470 \h </w:instrText>
        </w:r>
        <w:r w:rsidR="0092044D">
          <w:rPr>
            <w:webHidden/>
          </w:rPr>
        </w:r>
        <w:r w:rsidR="0092044D">
          <w:rPr>
            <w:webHidden/>
          </w:rPr>
          <w:fldChar w:fldCharType="separate"/>
        </w:r>
        <w:r w:rsidR="0092044D">
          <w:rPr>
            <w:webHidden/>
          </w:rPr>
          <w:t>14</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71" w:history="1">
        <w:r w:rsidR="0092044D" w:rsidRPr="00E6455B">
          <w:rPr>
            <w:rStyle w:val="Hyperlink"/>
          </w:rPr>
          <w:t>Financial position</w:t>
        </w:r>
        <w:r w:rsidR="0092044D">
          <w:rPr>
            <w:webHidden/>
          </w:rPr>
          <w:tab/>
        </w:r>
        <w:r w:rsidR="0092044D">
          <w:rPr>
            <w:webHidden/>
          </w:rPr>
          <w:fldChar w:fldCharType="begin"/>
        </w:r>
        <w:r w:rsidR="0092044D">
          <w:rPr>
            <w:webHidden/>
          </w:rPr>
          <w:instrText xml:space="preserve"> PAGEREF _Toc433984471 \h </w:instrText>
        </w:r>
        <w:r w:rsidR="0092044D">
          <w:rPr>
            <w:webHidden/>
          </w:rPr>
        </w:r>
        <w:r w:rsidR="0092044D">
          <w:rPr>
            <w:webHidden/>
          </w:rPr>
          <w:fldChar w:fldCharType="separate"/>
        </w:r>
        <w:r w:rsidR="0092044D">
          <w:rPr>
            <w:webHidden/>
          </w:rPr>
          <w:t>17</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72" w:history="1">
        <w:r w:rsidR="0092044D" w:rsidRPr="00E6455B">
          <w:rPr>
            <w:rStyle w:val="Hyperlink"/>
          </w:rPr>
          <w:t>Cash flows</w:t>
        </w:r>
        <w:r w:rsidR="0092044D">
          <w:rPr>
            <w:webHidden/>
          </w:rPr>
          <w:tab/>
        </w:r>
        <w:r w:rsidR="0092044D">
          <w:rPr>
            <w:webHidden/>
          </w:rPr>
          <w:fldChar w:fldCharType="begin"/>
        </w:r>
        <w:r w:rsidR="0092044D">
          <w:rPr>
            <w:webHidden/>
          </w:rPr>
          <w:instrText xml:space="preserve"> PAGEREF _Toc433984472 \h </w:instrText>
        </w:r>
        <w:r w:rsidR="0092044D">
          <w:rPr>
            <w:webHidden/>
          </w:rPr>
        </w:r>
        <w:r w:rsidR="0092044D">
          <w:rPr>
            <w:webHidden/>
          </w:rPr>
          <w:fldChar w:fldCharType="separate"/>
        </w:r>
        <w:r w:rsidR="0092044D">
          <w:rPr>
            <w:webHidden/>
          </w:rPr>
          <w:t>19</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73" w:history="1">
        <w:r w:rsidR="0092044D" w:rsidRPr="00E6455B">
          <w:rPr>
            <w:rStyle w:val="Hyperlink"/>
          </w:rPr>
          <w:t>Financial sustainability (non</w:t>
        </w:r>
        <w:r w:rsidR="0092044D" w:rsidRPr="00E6455B">
          <w:rPr>
            <w:rStyle w:val="Hyperlink"/>
          </w:rPr>
          <w:noBreakHyphen/>
          <w:t>financial public sector)</w:t>
        </w:r>
        <w:r w:rsidR="0092044D">
          <w:rPr>
            <w:webHidden/>
          </w:rPr>
          <w:tab/>
        </w:r>
        <w:r w:rsidR="0092044D">
          <w:rPr>
            <w:webHidden/>
          </w:rPr>
          <w:fldChar w:fldCharType="begin"/>
        </w:r>
        <w:r w:rsidR="0092044D">
          <w:rPr>
            <w:webHidden/>
          </w:rPr>
          <w:instrText xml:space="preserve"> PAGEREF _Toc433984473 \h </w:instrText>
        </w:r>
        <w:r w:rsidR="0092044D">
          <w:rPr>
            <w:webHidden/>
          </w:rPr>
        </w:r>
        <w:r w:rsidR="0092044D">
          <w:rPr>
            <w:webHidden/>
          </w:rPr>
          <w:fldChar w:fldCharType="separate"/>
        </w:r>
        <w:r w:rsidR="0092044D">
          <w:rPr>
            <w:webHidden/>
          </w:rPr>
          <w:t>19</w:t>
        </w:r>
        <w:r w:rsidR="0092044D">
          <w:rPr>
            <w:webHidden/>
          </w:rPr>
          <w:fldChar w:fldCharType="end"/>
        </w:r>
      </w:hyperlink>
    </w:p>
    <w:p w:rsidR="0092044D" w:rsidRDefault="00CB3C3B">
      <w:pPr>
        <w:pStyle w:val="TOC1"/>
        <w:rPr>
          <w:rFonts w:asciiTheme="minorHAnsi" w:eastAsiaTheme="minorEastAsia" w:hAnsiTheme="minorHAnsi" w:cstheme="minorBidi"/>
          <w:b w:val="0"/>
          <w:sz w:val="22"/>
          <w:szCs w:val="22"/>
          <w:lang w:eastAsia="en-AU"/>
        </w:rPr>
      </w:pPr>
      <w:hyperlink w:anchor="_Toc433984474" w:history="1">
        <w:r w:rsidR="0092044D" w:rsidRPr="00E6455B">
          <w:rPr>
            <w:rStyle w:val="Hyperlink"/>
          </w:rPr>
          <w:t>Chapter 4 – Annual Financial Report</w:t>
        </w:r>
        <w:r w:rsidR="0092044D">
          <w:rPr>
            <w:webHidden/>
          </w:rPr>
          <w:tab/>
        </w:r>
        <w:r w:rsidR="0092044D">
          <w:rPr>
            <w:webHidden/>
          </w:rPr>
          <w:fldChar w:fldCharType="begin"/>
        </w:r>
        <w:r w:rsidR="0092044D">
          <w:rPr>
            <w:webHidden/>
          </w:rPr>
          <w:instrText xml:space="preserve"> PAGEREF _Toc433984474 \h </w:instrText>
        </w:r>
        <w:r w:rsidR="0092044D">
          <w:rPr>
            <w:webHidden/>
          </w:rPr>
        </w:r>
        <w:r w:rsidR="0092044D">
          <w:rPr>
            <w:webHidden/>
          </w:rPr>
          <w:fldChar w:fldCharType="separate"/>
        </w:r>
        <w:r w:rsidR="0092044D">
          <w:rPr>
            <w:webHidden/>
          </w:rPr>
          <w:t>21</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75" w:history="1">
        <w:r w:rsidR="0092044D" w:rsidRPr="00E6455B">
          <w:rPr>
            <w:rStyle w:val="Hyperlink"/>
          </w:rPr>
          <w:t>Report of the Auditor General</w:t>
        </w:r>
        <w:r w:rsidR="0092044D">
          <w:rPr>
            <w:webHidden/>
          </w:rPr>
          <w:tab/>
        </w:r>
        <w:r w:rsidR="0092044D">
          <w:rPr>
            <w:webHidden/>
          </w:rPr>
          <w:fldChar w:fldCharType="begin"/>
        </w:r>
        <w:r w:rsidR="0092044D">
          <w:rPr>
            <w:webHidden/>
          </w:rPr>
          <w:instrText xml:space="preserve"> PAGEREF _Toc433984475 \h </w:instrText>
        </w:r>
        <w:r w:rsidR="0092044D">
          <w:rPr>
            <w:webHidden/>
          </w:rPr>
        </w:r>
        <w:r w:rsidR="0092044D">
          <w:rPr>
            <w:webHidden/>
          </w:rPr>
          <w:fldChar w:fldCharType="separate"/>
        </w:r>
        <w:r w:rsidR="0092044D">
          <w:rPr>
            <w:webHidden/>
          </w:rPr>
          <w:t>22</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76" w:history="1">
        <w:r w:rsidR="0092044D" w:rsidRPr="00E6455B">
          <w:rPr>
            <w:rStyle w:val="Hyperlink"/>
          </w:rPr>
          <w:t>Notes to the financial statements</w:t>
        </w:r>
        <w:r w:rsidR="0092044D">
          <w:rPr>
            <w:webHidden/>
          </w:rPr>
          <w:tab/>
        </w:r>
        <w:r w:rsidR="0092044D">
          <w:rPr>
            <w:webHidden/>
          </w:rPr>
          <w:fldChar w:fldCharType="begin"/>
        </w:r>
        <w:r w:rsidR="0092044D">
          <w:rPr>
            <w:webHidden/>
          </w:rPr>
          <w:instrText xml:space="preserve"> PAGEREF _Toc433984476 \h </w:instrText>
        </w:r>
        <w:r w:rsidR="0092044D">
          <w:rPr>
            <w:webHidden/>
          </w:rPr>
        </w:r>
        <w:r w:rsidR="0092044D">
          <w:rPr>
            <w:webHidden/>
          </w:rPr>
          <w:fldChar w:fldCharType="separate"/>
        </w:r>
        <w:r w:rsidR="0092044D">
          <w:rPr>
            <w:webHidden/>
          </w:rPr>
          <w:t>30</w:t>
        </w:r>
        <w:r w:rsidR="0092044D">
          <w:rPr>
            <w:webHidden/>
          </w:rPr>
          <w:fldChar w:fldCharType="end"/>
        </w:r>
      </w:hyperlink>
    </w:p>
    <w:p w:rsidR="0092044D" w:rsidRDefault="00CB3C3B">
      <w:pPr>
        <w:pStyle w:val="TOC1"/>
        <w:rPr>
          <w:rFonts w:asciiTheme="minorHAnsi" w:eastAsiaTheme="minorEastAsia" w:hAnsiTheme="minorHAnsi" w:cstheme="minorBidi"/>
          <w:b w:val="0"/>
          <w:sz w:val="22"/>
          <w:szCs w:val="22"/>
          <w:lang w:eastAsia="en-AU"/>
        </w:rPr>
      </w:pPr>
      <w:hyperlink w:anchor="_Toc433984477" w:history="1">
        <w:r w:rsidR="0092044D" w:rsidRPr="00E6455B">
          <w:rPr>
            <w:rStyle w:val="Hyperlink"/>
          </w:rPr>
          <w:t>Chapter 5 – Supplementary Uniform Presentation Framework tables</w:t>
        </w:r>
        <w:r w:rsidR="0092044D">
          <w:rPr>
            <w:webHidden/>
          </w:rPr>
          <w:tab/>
        </w:r>
        <w:r w:rsidR="0092044D">
          <w:rPr>
            <w:webHidden/>
          </w:rPr>
          <w:fldChar w:fldCharType="begin"/>
        </w:r>
        <w:r w:rsidR="0092044D">
          <w:rPr>
            <w:webHidden/>
          </w:rPr>
          <w:instrText xml:space="preserve"> PAGEREF _Toc433984477 \h </w:instrText>
        </w:r>
        <w:r w:rsidR="0092044D">
          <w:rPr>
            <w:webHidden/>
          </w:rPr>
        </w:r>
        <w:r w:rsidR="0092044D">
          <w:rPr>
            <w:webHidden/>
          </w:rPr>
          <w:fldChar w:fldCharType="separate"/>
        </w:r>
        <w:r w:rsidR="0092044D">
          <w:rPr>
            <w:webHidden/>
          </w:rPr>
          <w:t>205</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78" w:history="1">
        <w:r w:rsidR="0092044D" w:rsidRPr="00E6455B">
          <w:rPr>
            <w:rStyle w:val="Hyperlink"/>
          </w:rPr>
          <w:t>The accrual Government Finance Statistics presentation</w:t>
        </w:r>
        <w:r w:rsidR="0092044D">
          <w:rPr>
            <w:webHidden/>
          </w:rPr>
          <w:tab/>
        </w:r>
        <w:r w:rsidR="0092044D">
          <w:rPr>
            <w:webHidden/>
          </w:rPr>
          <w:fldChar w:fldCharType="begin"/>
        </w:r>
        <w:r w:rsidR="0092044D">
          <w:rPr>
            <w:webHidden/>
          </w:rPr>
          <w:instrText xml:space="preserve"> PAGEREF _Toc433984478 \h </w:instrText>
        </w:r>
        <w:r w:rsidR="0092044D">
          <w:rPr>
            <w:webHidden/>
          </w:rPr>
        </w:r>
        <w:r w:rsidR="0092044D">
          <w:rPr>
            <w:webHidden/>
          </w:rPr>
          <w:fldChar w:fldCharType="separate"/>
        </w:r>
        <w:r w:rsidR="0092044D">
          <w:rPr>
            <w:webHidden/>
          </w:rPr>
          <w:t>205</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79" w:history="1">
        <w:r w:rsidR="0092044D" w:rsidRPr="00E6455B">
          <w:rPr>
            <w:rStyle w:val="Hyperlink"/>
          </w:rPr>
          <w:t>Generally accepted accounting principles/Government Finance Statistics harmonisation</w:t>
        </w:r>
        <w:r w:rsidR="0092044D">
          <w:rPr>
            <w:webHidden/>
          </w:rPr>
          <w:tab/>
        </w:r>
        <w:r w:rsidR="0092044D">
          <w:rPr>
            <w:webHidden/>
          </w:rPr>
          <w:fldChar w:fldCharType="begin"/>
        </w:r>
        <w:r w:rsidR="0092044D">
          <w:rPr>
            <w:webHidden/>
          </w:rPr>
          <w:instrText xml:space="preserve"> PAGEREF _Toc433984479 \h </w:instrText>
        </w:r>
        <w:r w:rsidR="0092044D">
          <w:rPr>
            <w:webHidden/>
          </w:rPr>
        </w:r>
        <w:r w:rsidR="0092044D">
          <w:rPr>
            <w:webHidden/>
          </w:rPr>
          <w:fldChar w:fldCharType="separate"/>
        </w:r>
        <w:r w:rsidR="0092044D">
          <w:rPr>
            <w:webHidden/>
          </w:rPr>
          <w:t>205</w:t>
        </w:r>
        <w:r w:rsidR="0092044D">
          <w:rPr>
            <w:webHidden/>
          </w:rPr>
          <w:fldChar w:fldCharType="end"/>
        </w:r>
      </w:hyperlink>
    </w:p>
    <w:p w:rsidR="0092044D" w:rsidRDefault="00CB3C3B">
      <w:pPr>
        <w:pStyle w:val="TOC2"/>
        <w:rPr>
          <w:rFonts w:asciiTheme="minorHAnsi" w:eastAsiaTheme="minorEastAsia" w:hAnsiTheme="minorHAnsi" w:cstheme="minorBidi"/>
          <w:szCs w:val="22"/>
          <w:lang w:eastAsia="en-AU"/>
        </w:rPr>
      </w:pPr>
      <w:hyperlink w:anchor="_Toc433984480" w:history="1">
        <w:r w:rsidR="0092044D" w:rsidRPr="00E6455B">
          <w:rPr>
            <w:rStyle w:val="Hyperlink"/>
          </w:rPr>
          <w:t>Victoria’s 2014</w:t>
        </w:r>
        <w:r w:rsidR="0092044D" w:rsidRPr="00E6455B">
          <w:rPr>
            <w:rStyle w:val="Hyperlink"/>
          </w:rPr>
          <w:noBreakHyphen/>
          <w:t>15 Loan Council Allocation</w:t>
        </w:r>
        <w:r w:rsidR="0092044D">
          <w:rPr>
            <w:webHidden/>
          </w:rPr>
          <w:tab/>
        </w:r>
        <w:r w:rsidR="0092044D">
          <w:rPr>
            <w:webHidden/>
          </w:rPr>
          <w:fldChar w:fldCharType="begin"/>
        </w:r>
        <w:r w:rsidR="0092044D">
          <w:rPr>
            <w:webHidden/>
          </w:rPr>
          <w:instrText xml:space="preserve"> PAGEREF _Toc433984480 \h </w:instrText>
        </w:r>
        <w:r w:rsidR="0092044D">
          <w:rPr>
            <w:webHidden/>
          </w:rPr>
        </w:r>
        <w:r w:rsidR="0092044D">
          <w:rPr>
            <w:webHidden/>
          </w:rPr>
          <w:fldChar w:fldCharType="separate"/>
        </w:r>
        <w:r w:rsidR="0092044D">
          <w:rPr>
            <w:webHidden/>
          </w:rPr>
          <w:t>212</w:t>
        </w:r>
        <w:r w:rsidR="0092044D">
          <w:rPr>
            <w:webHidden/>
          </w:rPr>
          <w:fldChar w:fldCharType="end"/>
        </w:r>
      </w:hyperlink>
    </w:p>
    <w:p w:rsidR="0092044D" w:rsidRDefault="00CB3C3B">
      <w:pPr>
        <w:pStyle w:val="TOC1"/>
        <w:rPr>
          <w:rFonts w:asciiTheme="minorHAnsi" w:eastAsiaTheme="minorEastAsia" w:hAnsiTheme="minorHAnsi" w:cstheme="minorBidi"/>
          <w:b w:val="0"/>
          <w:sz w:val="22"/>
          <w:szCs w:val="22"/>
          <w:lang w:eastAsia="en-AU"/>
        </w:rPr>
      </w:pPr>
      <w:hyperlink w:anchor="_Toc433984481" w:history="1">
        <w:r w:rsidR="0092044D" w:rsidRPr="00E6455B">
          <w:rPr>
            <w:rStyle w:val="Hyperlink"/>
          </w:rPr>
          <w:t>Appendix A – General government sector quarterly financial report</w:t>
        </w:r>
        <w:r w:rsidR="0092044D">
          <w:rPr>
            <w:webHidden/>
          </w:rPr>
          <w:tab/>
        </w:r>
        <w:r w:rsidR="0092044D">
          <w:rPr>
            <w:webHidden/>
          </w:rPr>
          <w:fldChar w:fldCharType="begin"/>
        </w:r>
        <w:r w:rsidR="0092044D">
          <w:rPr>
            <w:webHidden/>
          </w:rPr>
          <w:instrText xml:space="preserve"> PAGEREF _Toc433984481 \h </w:instrText>
        </w:r>
        <w:r w:rsidR="0092044D">
          <w:rPr>
            <w:webHidden/>
          </w:rPr>
        </w:r>
        <w:r w:rsidR="0092044D">
          <w:rPr>
            <w:webHidden/>
          </w:rPr>
          <w:fldChar w:fldCharType="separate"/>
        </w:r>
        <w:r w:rsidR="0092044D">
          <w:rPr>
            <w:webHidden/>
          </w:rPr>
          <w:t>215</w:t>
        </w:r>
        <w:r w:rsidR="0092044D">
          <w:rPr>
            <w:webHidden/>
          </w:rPr>
          <w:fldChar w:fldCharType="end"/>
        </w:r>
      </w:hyperlink>
    </w:p>
    <w:p w:rsidR="0092044D" w:rsidRDefault="00CB3C3B">
      <w:pPr>
        <w:pStyle w:val="TOC1"/>
        <w:rPr>
          <w:rFonts w:asciiTheme="minorHAnsi" w:eastAsiaTheme="minorEastAsia" w:hAnsiTheme="minorHAnsi" w:cstheme="minorBidi"/>
          <w:b w:val="0"/>
          <w:sz w:val="22"/>
          <w:szCs w:val="22"/>
          <w:lang w:eastAsia="en-AU"/>
        </w:rPr>
      </w:pPr>
      <w:hyperlink w:anchor="_Toc433984482" w:history="1">
        <w:r w:rsidR="0092044D" w:rsidRPr="00E6455B">
          <w:rPr>
            <w:rStyle w:val="Hyperlink"/>
          </w:rPr>
          <w:t xml:space="preserve">Appendix B – </w:t>
        </w:r>
        <w:r w:rsidR="0092044D" w:rsidRPr="00E6455B">
          <w:rPr>
            <w:rStyle w:val="Hyperlink"/>
            <w:i/>
          </w:rPr>
          <w:t>Financial Management Act 1994</w:t>
        </w:r>
        <w:r w:rsidR="0092044D" w:rsidRPr="00E6455B">
          <w:rPr>
            <w:rStyle w:val="Hyperlink"/>
          </w:rPr>
          <w:t xml:space="preserve"> – Compliance index</w:t>
        </w:r>
        <w:r w:rsidR="0092044D">
          <w:rPr>
            <w:webHidden/>
          </w:rPr>
          <w:tab/>
        </w:r>
        <w:r w:rsidR="0092044D">
          <w:rPr>
            <w:webHidden/>
          </w:rPr>
          <w:fldChar w:fldCharType="begin"/>
        </w:r>
        <w:r w:rsidR="0092044D">
          <w:rPr>
            <w:webHidden/>
          </w:rPr>
          <w:instrText xml:space="preserve"> PAGEREF _Toc433984482 \h </w:instrText>
        </w:r>
        <w:r w:rsidR="0092044D">
          <w:rPr>
            <w:webHidden/>
          </w:rPr>
        </w:r>
        <w:r w:rsidR="0092044D">
          <w:rPr>
            <w:webHidden/>
          </w:rPr>
          <w:fldChar w:fldCharType="separate"/>
        </w:r>
        <w:r w:rsidR="0092044D">
          <w:rPr>
            <w:webHidden/>
          </w:rPr>
          <w:t>219</w:t>
        </w:r>
        <w:r w:rsidR="0092044D">
          <w:rPr>
            <w:webHidden/>
          </w:rPr>
          <w:fldChar w:fldCharType="end"/>
        </w:r>
      </w:hyperlink>
    </w:p>
    <w:p w:rsidR="0092044D" w:rsidRDefault="00CB3C3B">
      <w:pPr>
        <w:pStyle w:val="TOC1"/>
        <w:rPr>
          <w:rFonts w:asciiTheme="minorHAnsi" w:eastAsiaTheme="minorEastAsia" w:hAnsiTheme="minorHAnsi" w:cstheme="minorBidi"/>
          <w:b w:val="0"/>
          <w:sz w:val="22"/>
          <w:szCs w:val="22"/>
          <w:lang w:eastAsia="en-AU"/>
        </w:rPr>
      </w:pPr>
      <w:hyperlink w:anchor="_Toc433984483" w:history="1">
        <w:r w:rsidR="0092044D" w:rsidRPr="00E6455B">
          <w:rPr>
            <w:rStyle w:val="Hyperlink"/>
          </w:rPr>
          <w:t>Appendix C – Scope and style conventions</w:t>
        </w:r>
        <w:r w:rsidR="0092044D">
          <w:rPr>
            <w:webHidden/>
          </w:rPr>
          <w:tab/>
        </w:r>
        <w:r w:rsidR="0092044D">
          <w:rPr>
            <w:webHidden/>
          </w:rPr>
          <w:fldChar w:fldCharType="begin"/>
        </w:r>
        <w:r w:rsidR="0092044D">
          <w:rPr>
            <w:webHidden/>
          </w:rPr>
          <w:instrText xml:space="preserve"> PAGEREF _Toc433984483 \h </w:instrText>
        </w:r>
        <w:r w:rsidR="0092044D">
          <w:rPr>
            <w:webHidden/>
          </w:rPr>
        </w:r>
        <w:r w:rsidR="0092044D">
          <w:rPr>
            <w:webHidden/>
          </w:rPr>
          <w:fldChar w:fldCharType="separate"/>
        </w:r>
        <w:r w:rsidR="0092044D">
          <w:rPr>
            <w:webHidden/>
          </w:rPr>
          <w:t>223</w:t>
        </w:r>
        <w:r w:rsidR="0092044D">
          <w:rPr>
            <w:webHidden/>
          </w:rPr>
          <w:fldChar w:fldCharType="end"/>
        </w:r>
      </w:hyperlink>
    </w:p>
    <w:p w:rsidR="00336793" w:rsidRPr="003A0092" w:rsidRDefault="00336793" w:rsidP="0028370C">
      <w:r>
        <w:rPr>
          <w:b/>
          <w:bCs/>
          <w:noProof/>
          <w:lang w:val="en-US"/>
        </w:rPr>
        <w:fldChar w:fldCharType="end"/>
      </w:r>
    </w:p>
    <w:p w:rsidR="00336793" w:rsidRDefault="00336793">
      <w:pPr>
        <w:spacing w:after="0"/>
      </w:pPr>
      <w:r>
        <w:br w:type="page"/>
      </w:r>
    </w:p>
    <w:p w:rsidR="00336793" w:rsidRDefault="00336793" w:rsidP="0028370C"/>
    <w:p w:rsidR="00336793" w:rsidRDefault="00336793" w:rsidP="0028370C"/>
    <w:p w:rsidR="00336793" w:rsidRDefault="00336793" w:rsidP="0028370C"/>
    <w:p w:rsidR="00336793" w:rsidRDefault="00336793" w:rsidP="0028370C">
      <w:pPr>
        <w:sectPr w:rsidR="00336793" w:rsidSect="00DF0B96">
          <w:footerReference w:type="even" r:id="rId15"/>
          <w:footerReference w:type="default" r:id="rId16"/>
          <w:type w:val="oddPage"/>
          <w:pgSz w:w="11906" w:h="16838" w:code="9"/>
          <w:pgMar w:top="1152" w:right="1152" w:bottom="1152" w:left="1152" w:header="720" w:footer="720" w:gutter="0"/>
          <w:pgNumType w:fmt="lowerRoman" w:start="1"/>
          <w:cols w:space="708"/>
          <w:docGrid w:linePitch="360"/>
        </w:sectPr>
      </w:pPr>
    </w:p>
    <w:p w:rsidR="00336793" w:rsidRPr="00BD2A80" w:rsidRDefault="00336793" w:rsidP="00DF0B96">
      <w:pPr>
        <w:pStyle w:val="ChapterHeading"/>
      </w:pPr>
      <w:bookmarkStart w:id="1" w:name="_Toc398715628"/>
      <w:bookmarkStart w:id="2" w:name="_Toc433984458"/>
      <w:r w:rsidRPr="00BD2A80">
        <w:lastRenderedPageBreak/>
        <w:t>Chapter 1 – Foreword</w:t>
      </w:r>
      <w:bookmarkEnd w:id="1"/>
      <w:bookmarkEnd w:id="2"/>
    </w:p>
    <w:p w:rsidR="00336793" w:rsidRPr="009811FF" w:rsidRDefault="00336793" w:rsidP="00DF0B96">
      <w:pPr>
        <w:pStyle w:val="Heading1"/>
      </w:pPr>
      <w:bookmarkStart w:id="3" w:name="_Toc433984459"/>
      <w:r w:rsidRPr="00BD2A80">
        <w:t>Purpose</w:t>
      </w:r>
      <w:bookmarkEnd w:id="3"/>
    </w:p>
    <w:p w:rsidR="00336793" w:rsidRPr="006C533B" w:rsidRDefault="00336793" w:rsidP="00DF0B96">
      <w:r w:rsidRPr="006C533B">
        <w:t xml:space="preserve">The </w:t>
      </w:r>
      <w:r w:rsidRPr="006C533B">
        <w:rPr>
          <w:i/>
        </w:rPr>
        <w:t>2014</w:t>
      </w:r>
      <w:r>
        <w:rPr>
          <w:i/>
        </w:rPr>
        <w:noBreakHyphen/>
      </w:r>
      <w:r w:rsidRPr="006C533B">
        <w:rPr>
          <w:i/>
        </w:rPr>
        <w:t xml:space="preserve">15 Financial Report </w:t>
      </w:r>
      <w:r w:rsidRPr="006C533B">
        <w:t>presents the consolidated financial outcomes for the State of Victoria, including the general government sector, the public non</w:t>
      </w:r>
      <w:r>
        <w:noBreakHyphen/>
      </w:r>
      <w:r w:rsidRPr="006C533B">
        <w:t>financial corporations sector and the public financial corporations sector.</w:t>
      </w:r>
    </w:p>
    <w:p w:rsidR="00336793" w:rsidRPr="006C533B" w:rsidRDefault="00336793" w:rsidP="00DF0B96">
      <w:r w:rsidRPr="006C533B">
        <w:t>This chapter outlines the economic and fiscal context for the State</w:t>
      </w:r>
      <w:r>
        <w:t>’</w:t>
      </w:r>
      <w:r w:rsidRPr="006C533B">
        <w:t>s financial performance and position, and summarises the 2014</w:t>
      </w:r>
      <w:r>
        <w:noBreakHyphen/>
      </w:r>
      <w:r w:rsidRPr="006C533B">
        <w:t xml:space="preserve">15 results. </w:t>
      </w:r>
      <w:r>
        <w:t>Chapter 2</w:t>
      </w:r>
      <w:r w:rsidRPr="006C533B">
        <w:t xml:space="preserve"> analyses the results for the general government sector, comparing them with the revised estimates for the year presented in the </w:t>
      </w:r>
      <w:r>
        <w:rPr>
          <w:i/>
        </w:rPr>
        <w:t>2015</w:t>
      </w:r>
      <w:r>
        <w:rPr>
          <w:i/>
        </w:rPr>
        <w:noBreakHyphen/>
        <w:t>16 </w:t>
      </w:r>
      <w:r w:rsidRPr="006C533B">
        <w:rPr>
          <w:i/>
        </w:rPr>
        <w:t>Budget</w:t>
      </w:r>
      <w:r w:rsidRPr="006C533B">
        <w:t>. Chapter 3 presents the 2014</w:t>
      </w:r>
      <w:r>
        <w:noBreakHyphen/>
      </w:r>
      <w:r w:rsidRPr="006C533B">
        <w:t>15 results for the State of Victoria.</w:t>
      </w:r>
    </w:p>
    <w:p w:rsidR="00336793" w:rsidRDefault="00336793" w:rsidP="00DF0B96">
      <w:r>
        <w:t>Chapter 4</w:t>
      </w:r>
      <w:r w:rsidRPr="006C533B">
        <w:t xml:space="preserve"> contains the audited financial statements as required under the </w:t>
      </w:r>
      <w:r w:rsidRPr="006C533B">
        <w:rPr>
          <w:i/>
        </w:rPr>
        <w:t>Financial Management Act 1994</w:t>
      </w:r>
      <w:r w:rsidRPr="006C533B">
        <w:t xml:space="preserve">. These are presented in line with applicable Australian accounting standards and pronouncements, in particular AASB 1049 </w:t>
      </w:r>
      <w:r w:rsidRPr="006C533B">
        <w:rPr>
          <w:i/>
        </w:rPr>
        <w:t>Whole of Government and General Government Sector Financial Reporting</w:t>
      </w:r>
      <w:r w:rsidRPr="006C533B">
        <w:t xml:space="preserve">. Chapter 5 provides supplementary information required under the Uniform Presentation Framework, as agreed under the Australian Loan Council arrangements. </w:t>
      </w:r>
      <w:r>
        <w:t>Appendix A</w:t>
      </w:r>
      <w:r w:rsidRPr="006C533B">
        <w:t xml:space="preserve"> includes the Quarterly Financial Report for the general government sector as required by Section 26 of the </w:t>
      </w:r>
      <w:r>
        <w:rPr>
          <w:i/>
        </w:rPr>
        <w:t>Financial Management Act </w:t>
      </w:r>
      <w:r w:rsidRPr="006C533B">
        <w:rPr>
          <w:i/>
        </w:rPr>
        <w:t>1994</w:t>
      </w:r>
      <w:r w:rsidRPr="006C533B">
        <w:t>.</w:t>
      </w:r>
    </w:p>
    <w:p w:rsidR="00336793" w:rsidRPr="009811FF" w:rsidRDefault="00336793" w:rsidP="00DF0B96">
      <w:pPr>
        <w:pStyle w:val="Heading1"/>
      </w:pPr>
      <w:bookmarkStart w:id="4" w:name="_Toc433984460"/>
      <w:r>
        <w:t>Economic c</w:t>
      </w:r>
      <w:r w:rsidRPr="009811FF">
        <w:t>ontext</w:t>
      </w:r>
      <w:bookmarkEnd w:id="4"/>
    </w:p>
    <w:p w:rsidR="00336793" w:rsidRPr="00F178B1" w:rsidRDefault="00336793" w:rsidP="00DF0B96">
      <w:r w:rsidRPr="00F178B1">
        <w:t>Victoria</w:t>
      </w:r>
      <w:r>
        <w:t>’</w:t>
      </w:r>
      <w:r w:rsidRPr="00F178B1">
        <w:t xml:space="preserve">s economy grew steadily in </w:t>
      </w:r>
      <w:r>
        <w:t>2014</w:t>
      </w:r>
      <w:r>
        <w:noBreakHyphen/>
        <w:t>15</w:t>
      </w:r>
      <w:r w:rsidRPr="00F178B1">
        <w:t xml:space="preserve"> </w:t>
      </w:r>
      <w:r>
        <w:t>as the national economy transitioned from the previous impetus provided by the mining investment boom, and local activity benefited from a lower exchange rate</w:t>
      </w:r>
      <w:r w:rsidRPr="00F178B1">
        <w:t>.</w:t>
      </w:r>
    </w:p>
    <w:p w:rsidR="00336793" w:rsidRPr="00F178B1" w:rsidRDefault="00336793" w:rsidP="00DF0B96">
      <w:r w:rsidRPr="00F178B1">
        <w:t xml:space="preserve">State final demand grew by </w:t>
      </w:r>
      <w:r>
        <w:t>2.7 per cent</w:t>
      </w:r>
      <w:r w:rsidRPr="00F178B1">
        <w:t xml:space="preserve"> </w:t>
      </w:r>
      <w:r>
        <w:t>in 2014</w:t>
      </w:r>
      <w:r>
        <w:noBreakHyphen/>
        <w:t>15</w:t>
      </w:r>
      <w:r w:rsidRPr="00F178B1">
        <w:t xml:space="preserve">. This growth was </w:t>
      </w:r>
      <w:r>
        <w:t xml:space="preserve">underpinned </w:t>
      </w:r>
      <w:r w:rsidRPr="00F178B1">
        <w:t>by improved household consumption</w:t>
      </w:r>
      <w:r>
        <w:t>, dwelling construction and business investment. It reflected the low interest rate environment, as well as</w:t>
      </w:r>
      <w:r w:rsidRPr="00F178B1">
        <w:t xml:space="preserve"> </w:t>
      </w:r>
      <w:r>
        <w:t>r</w:t>
      </w:r>
      <w:r w:rsidRPr="00F178B1">
        <w:t xml:space="preserve">ising property and stock prices </w:t>
      </w:r>
      <w:r>
        <w:t>through much of the year.</w:t>
      </w:r>
    </w:p>
    <w:p w:rsidR="00336793" w:rsidRPr="00F178B1" w:rsidRDefault="00336793" w:rsidP="00DF0B96">
      <w:r w:rsidRPr="00F178B1">
        <w:t xml:space="preserve">Demand for new housing </w:t>
      </w:r>
      <w:r>
        <w:t xml:space="preserve">also </w:t>
      </w:r>
      <w:r w:rsidRPr="00F178B1">
        <w:t xml:space="preserve">increased in </w:t>
      </w:r>
      <w:r>
        <w:t>the year</w:t>
      </w:r>
      <w:r w:rsidRPr="00F178B1">
        <w:t>, consistent with rising property prices. Residential building remain</w:t>
      </w:r>
      <w:r>
        <w:t>ed</w:t>
      </w:r>
      <w:r w:rsidRPr="00F178B1">
        <w:t xml:space="preserve"> at elevated levels throughout the year</w:t>
      </w:r>
      <w:r>
        <w:t xml:space="preserve">, with further strong activity in inner city apartment construction. As a result, </w:t>
      </w:r>
      <w:r w:rsidRPr="00F178B1">
        <w:t xml:space="preserve">dwelling investment </w:t>
      </w:r>
      <w:r>
        <w:t>rose by 6.7 per cent in 2014</w:t>
      </w:r>
      <w:r>
        <w:noBreakHyphen/>
        <w:t>15</w:t>
      </w:r>
      <w:r w:rsidRPr="00F178B1">
        <w:t>.</w:t>
      </w:r>
    </w:p>
    <w:p w:rsidR="00336793" w:rsidRDefault="00336793" w:rsidP="00DF0B96">
      <w:r w:rsidRPr="00A73683">
        <w:t>Business investment activity strengthened in 2014</w:t>
      </w:r>
      <w:r>
        <w:noBreakHyphen/>
      </w:r>
      <w:r w:rsidRPr="00A73683">
        <w:t>15 driven by strong increases in non</w:t>
      </w:r>
      <w:r>
        <w:noBreakHyphen/>
      </w:r>
      <w:r w:rsidRPr="00A73683">
        <w:t>dwelling construction.</w:t>
      </w:r>
    </w:p>
    <w:p w:rsidR="00336793" w:rsidRDefault="00336793" w:rsidP="00DF0B96">
      <w:r>
        <w:t>Victorian employment rose by 2.1 per cent in 2014</w:t>
      </w:r>
      <w:r>
        <w:noBreakHyphen/>
        <w:t>15, above the national average of 1.2 per cent, recording the strongest outcome since 2010</w:t>
      </w:r>
      <w:r>
        <w:noBreakHyphen/>
        <w:t>11. While Victoria’s unemployment rate was higher on average in 2014</w:t>
      </w:r>
      <w:r>
        <w:noBreakHyphen/>
        <w:t>15 relative to the previous year, this was consistent with the national trend. Further, the unemployment rate fell from 6.9 per cent to 6.0 per cent over the year, throughout which Victoria retained the highest labour force participation rate of the non</w:t>
      </w:r>
      <w:r>
        <w:noBreakHyphen/>
        <w:t>mining states.</w:t>
      </w:r>
    </w:p>
    <w:p w:rsidR="00336793" w:rsidRPr="00F178B1" w:rsidRDefault="00336793" w:rsidP="00DF0B96">
      <w:r w:rsidRPr="00F178B1">
        <w:t>Population growth was strong over the year</w:t>
      </w:r>
      <w:r>
        <w:t xml:space="preserve"> to March 2015</w:t>
      </w:r>
      <w:r w:rsidRPr="00F178B1">
        <w:t xml:space="preserve">, with </w:t>
      </w:r>
      <w:r>
        <w:t>positive net inflows from all other states</w:t>
      </w:r>
      <w:r w:rsidRPr="00F178B1">
        <w:t>.</w:t>
      </w:r>
      <w:r w:rsidRPr="00F178B1">
        <w:rPr>
          <w:shd w:val="clear" w:color="auto" w:fill="FFC000"/>
        </w:rPr>
        <w:t xml:space="preserve"> </w:t>
      </w:r>
    </w:p>
    <w:p w:rsidR="00336793" w:rsidRDefault="00336793" w:rsidP="00DF0B96">
      <w:r>
        <w:t xml:space="preserve">The </w:t>
      </w:r>
      <w:r w:rsidRPr="00F178B1">
        <w:t xml:space="preserve">exchange rate </w:t>
      </w:r>
      <w:r>
        <w:t>continued to decline, providing relief to Victorian exporters and import</w:t>
      </w:r>
      <w:r>
        <w:noBreakHyphen/>
        <w:t xml:space="preserve">competing industries. </w:t>
      </w:r>
    </w:p>
    <w:p w:rsidR="00336793" w:rsidRDefault="00336793">
      <w:pPr>
        <w:spacing w:after="0"/>
      </w:pPr>
      <w:r>
        <w:br w:type="page"/>
      </w:r>
    </w:p>
    <w:p w:rsidR="00336793" w:rsidRPr="009811FF" w:rsidRDefault="00336793" w:rsidP="00DF0B96">
      <w:r w:rsidRPr="00F178B1">
        <w:lastRenderedPageBreak/>
        <w:t xml:space="preserve">Victoria </w:t>
      </w:r>
      <w:r>
        <w:t>has maintained its</w:t>
      </w:r>
      <w:r w:rsidRPr="00F178B1">
        <w:t xml:space="preserve"> triple</w:t>
      </w:r>
      <w:r>
        <w:noBreakHyphen/>
      </w:r>
      <w:r w:rsidRPr="00F178B1">
        <w:t xml:space="preserve">A credit rating with a stable outlook from both </w:t>
      </w:r>
      <w:r>
        <w:t xml:space="preserve">of the </w:t>
      </w:r>
      <w:r w:rsidRPr="00F178B1">
        <w:t>major international credit rating agencies</w:t>
      </w:r>
      <w:r>
        <w:t>, the only state to have done so since the global financial crisis in 2008.</w:t>
      </w:r>
      <w:r w:rsidRPr="00F178B1">
        <w:t xml:space="preserve"> </w:t>
      </w:r>
      <w:r>
        <w:t>Victoria continues to forecast strong surpluses every year over the budget and forward estimates.</w:t>
      </w:r>
    </w:p>
    <w:p w:rsidR="00336793" w:rsidRPr="009811FF" w:rsidRDefault="00336793" w:rsidP="00DF0B96">
      <w:pPr>
        <w:pStyle w:val="Heading1"/>
      </w:pPr>
      <w:bookmarkStart w:id="5" w:name="_Toc433984461"/>
      <w:r w:rsidRPr="00BD2A80">
        <w:t>Fiscal</w:t>
      </w:r>
      <w:r w:rsidRPr="009811FF">
        <w:t xml:space="preserve"> outcomes</w:t>
      </w:r>
      <w:bookmarkEnd w:id="5"/>
    </w:p>
    <w:p w:rsidR="00336793" w:rsidRPr="00196C54" w:rsidRDefault="00336793" w:rsidP="00DF0B96">
      <w:pPr>
        <w:rPr>
          <w:highlight w:val="yellow"/>
        </w:rPr>
      </w:pPr>
      <w:r w:rsidRPr="008E77D5">
        <w:t>The net result from transactions for the general government sector was a surplus of $1.</w:t>
      </w:r>
      <w:r>
        <w:t>2 billion</w:t>
      </w:r>
      <w:r w:rsidRPr="008E77D5">
        <w:t xml:space="preserve"> in 2014</w:t>
      </w:r>
      <w:r>
        <w:noBreakHyphen/>
      </w:r>
      <w:r w:rsidRPr="008E77D5">
        <w:t>15, $</w:t>
      </w:r>
      <w:r>
        <w:t>0.3 billion</w:t>
      </w:r>
      <w:r w:rsidRPr="008E77D5">
        <w:t xml:space="preserve"> higher than the revised estimate for the year</w:t>
      </w:r>
      <w:r>
        <w:t>.</w:t>
      </w:r>
    </w:p>
    <w:p w:rsidR="00336793" w:rsidRDefault="00336793" w:rsidP="00DF0B96">
      <w:pPr>
        <w:rPr>
          <w:highlight w:val="yellow"/>
        </w:rPr>
      </w:pPr>
      <w:r>
        <w:t>Total revenue from transactions for the general government sector for the year was $53.8 billion, which was marginally above the revised estimate and $1.4 billion higher than 2013</w:t>
      </w:r>
      <w:r>
        <w:noBreakHyphen/>
        <w:t>14.</w:t>
      </w:r>
      <w:r w:rsidRPr="008E77D5">
        <w:t xml:space="preserve"> </w:t>
      </w:r>
      <w:r w:rsidRPr="005739A6">
        <w:t>State taxation revenue was $18.3</w:t>
      </w:r>
      <w:r>
        <w:t> billion in 2014</w:t>
      </w:r>
      <w:r>
        <w:noBreakHyphen/>
        <w:t>15</w:t>
      </w:r>
      <w:r w:rsidRPr="005739A6">
        <w:t>, consistent with the revised 2014</w:t>
      </w:r>
      <w:r>
        <w:noBreakHyphen/>
      </w:r>
      <w:r w:rsidRPr="005739A6">
        <w:t>15 estimate and $1.4</w:t>
      </w:r>
      <w:r>
        <w:t> billion</w:t>
      </w:r>
      <w:r w:rsidRPr="005739A6">
        <w:t xml:space="preserve"> more than in 2013</w:t>
      </w:r>
      <w:r>
        <w:noBreakHyphen/>
      </w:r>
      <w:r w:rsidRPr="005739A6">
        <w:t xml:space="preserve">14. </w:t>
      </w:r>
      <w:r>
        <w:t>This was mainly due to increases in land transfer duty ($771 million) on the back of continued strength in the property market throughout 2014</w:t>
      </w:r>
      <w:r>
        <w:noBreakHyphen/>
        <w:t xml:space="preserve">15 and increased motor vehicle taxes reflecting the increase in light vehicle registration fees </w:t>
      </w:r>
      <w:r w:rsidRPr="00A73683">
        <w:t>($221</w:t>
      </w:r>
      <w:r>
        <w:t> million</w:t>
      </w:r>
      <w:r w:rsidRPr="00A73683">
        <w:t>).</w:t>
      </w:r>
      <w:r>
        <w:t xml:space="preserve"> In addition, payroll tax collections increased by $186 million, reflecting annual growth in employment and wage rates.</w:t>
      </w:r>
    </w:p>
    <w:p w:rsidR="00336793" w:rsidRPr="00196C54" w:rsidRDefault="00336793" w:rsidP="00DF0B96">
      <w:pPr>
        <w:rPr>
          <w:highlight w:val="yellow"/>
        </w:rPr>
      </w:pPr>
      <w:r>
        <w:t>Grants revenue for the general government sector was consistent with revised budget expectations.</w:t>
      </w:r>
    </w:p>
    <w:p w:rsidR="00336793" w:rsidRDefault="00336793" w:rsidP="00DF0B96">
      <w:r w:rsidRPr="005739A6">
        <w:t xml:space="preserve">Total expenses </w:t>
      </w:r>
      <w:r>
        <w:t xml:space="preserve">for the general government sector </w:t>
      </w:r>
      <w:r w:rsidRPr="005739A6">
        <w:t>for the year were $52.6</w:t>
      </w:r>
      <w:r>
        <w:t> billion</w:t>
      </w:r>
      <w:r w:rsidRPr="005739A6">
        <w:t>, consistent with the revised 2014</w:t>
      </w:r>
      <w:r>
        <w:noBreakHyphen/>
      </w:r>
      <w:r w:rsidRPr="005739A6">
        <w:t>15 estimate and $</w:t>
      </w:r>
      <w:r>
        <w:t>2.2 billion</w:t>
      </w:r>
      <w:r w:rsidRPr="005739A6">
        <w:t xml:space="preserve"> more than in 2013</w:t>
      </w:r>
      <w:r>
        <w:noBreakHyphen/>
      </w:r>
      <w:r w:rsidRPr="005739A6">
        <w:t>14</w:t>
      </w:r>
      <w:r>
        <w:t>. T</w:t>
      </w:r>
      <w:r w:rsidRPr="00942D9E">
        <w:t xml:space="preserve">his is </w:t>
      </w:r>
      <w:r>
        <w:t xml:space="preserve">largely </w:t>
      </w:r>
      <w:r w:rsidRPr="00942D9E">
        <w:t xml:space="preserve">due to </w:t>
      </w:r>
      <w:r>
        <w:t>changes in the timing and profile of Commonwealth grants for on</w:t>
      </w:r>
      <w:r>
        <w:noBreakHyphen/>
        <w:t xml:space="preserve">passing, and </w:t>
      </w:r>
      <w:r w:rsidRPr="00942D9E">
        <w:t>increase</w:t>
      </w:r>
      <w:r>
        <w:t xml:space="preserve">d </w:t>
      </w:r>
      <w:r w:rsidRPr="00942D9E">
        <w:t>government service</w:t>
      </w:r>
      <w:r>
        <w:t xml:space="preserve"> delivery </w:t>
      </w:r>
      <w:r w:rsidRPr="00942D9E">
        <w:t>in health, police and correctional services and salary grow</w:t>
      </w:r>
      <w:r>
        <w:t>th consistent with wages policy.</w:t>
      </w:r>
    </w:p>
    <w:p w:rsidR="00336793" w:rsidRDefault="00336793" w:rsidP="00DF0B96">
      <w:r w:rsidRPr="009759C6">
        <w:t>The general government sector</w:t>
      </w:r>
      <w:r>
        <w:t>’</w:t>
      </w:r>
      <w:r w:rsidRPr="009759C6">
        <w:t>s infrastructure investment program in 2014</w:t>
      </w:r>
      <w:r>
        <w:noBreakHyphen/>
      </w:r>
      <w:r w:rsidRPr="009759C6">
        <w:t>15 was $</w:t>
      </w:r>
      <w:r>
        <w:t>4.9 billion</w:t>
      </w:r>
      <w:r w:rsidRPr="009759C6">
        <w:t>, with</w:t>
      </w:r>
      <w:r w:rsidRPr="00422F2F">
        <w:t xml:space="preserve"> the majority invested in the </w:t>
      </w:r>
      <w:r>
        <w:t xml:space="preserve">transport, </w:t>
      </w:r>
      <w:r w:rsidRPr="00422F2F">
        <w:t>health and education sectors.</w:t>
      </w:r>
    </w:p>
    <w:p w:rsidR="00336793" w:rsidRDefault="00336793" w:rsidP="00DF0B96">
      <w:r w:rsidRPr="00B05AE8">
        <w:t>Net debt for the general government sector of $22.3</w:t>
      </w:r>
      <w:r>
        <w:t> billion</w:t>
      </w:r>
      <w:r w:rsidRPr="00B05AE8">
        <w:t xml:space="preserve"> at </w:t>
      </w:r>
      <w:r>
        <w:t>30 June</w:t>
      </w:r>
      <w:r w:rsidRPr="00B05AE8">
        <w:t xml:space="preserve"> 2015 </w:t>
      </w:r>
      <w:r>
        <w:t>was</w:t>
      </w:r>
      <w:r w:rsidRPr="00B05AE8">
        <w:t xml:space="preserve"> </w:t>
      </w:r>
      <w:r w:rsidRPr="00805B0C">
        <w:t>$1.1</w:t>
      </w:r>
      <w:r>
        <w:t> billion</w:t>
      </w:r>
      <w:r w:rsidRPr="00805B0C">
        <w:t xml:space="preserve"> higher </w:t>
      </w:r>
      <w:r w:rsidRPr="00B05AE8">
        <w:t xml:space="preserve">than the revised </w:t>
      </w:r>
      <w:r>
        <w:t>estimate</w:t>
      </w:r>
      <w:r w:rsidRPr="00B05AE8">
        <w:t xml:space="preserve"> </w:t>
      </w:r>
      <w:r>
        <w:t xml:space="preserve">mainly </w:t>
      </w:r>
      <w:r w:rsidRPr="00B05AE8">
        <w:t>due to increased spending on the Government</w:t>
      </w:r>
      <w:r>
        <w:t>’</w:t>
      </w:r>
      <w:r w:rsidRPr="00B05AE8">
        <w:t>s infrastructure program</w:t>
      </w:r>
      <w:r>
        <w:t xml:space="preserve"> and finalisation of the agreement with the East West Link consortium</w:t>
      </w:r>
      <w:r w:rsidRPr="009759C6">
        <w:t xml:space="preserve">. </w:t>
      </w:r>
    </w:p>
    <w:p w:rsidR="00336793" w:rsidRDefault="00336793" w:rsidP="00DF0B96"/>
    <w:p w:rsidR="00336793" w:rsidRDefault="00336793" w:rsidP="0028370C"/>
    <w:p w:rsidR="00336793" w:rsidRDefault="00336793" w:rsidP="009B024D">
      <w:pPr>
        <w:sectPr w:rsidR="00336793" w:rsidSect="009B024D">
          <w:footerReference w:type="even" r:id="rId17"/>
          <w:footerReference w:type="default" r:id="rId18"/>
          <w:type w:val="oddPage"/>
          <w:pgSz w:w="11906" w:h="16838" w:code="9"/>
          <w:pgMar w:top="1152" w:right="1152" w:bottom="1152" w:left="1152" w:header="720" w:footer="720" w:gutter="0"/>
          <w:pgNumType w:start="1"/>
          <w:cols w:space="708"/>
          <w:docGrid w:linePitch="360"/>
        </w:sectPr>
      </w:pPr>
    </w:p>
    <w:p w:rsidR="00336793" w:rsidRDefault="00336793" w:rsidP="00DF0B96">
      <w:pPr>
        <w:pStyle w:val="ChapterHeading"/>
      </w:pPr>
      <w:bookmarkStart w:id="6" w:name="_Toc398715629"/>
      <w:bookmarkStart w:id="7" w:name="_Toc433984462"/>
      <w:r w:rsidRPr="003D3596">
        <w:lastRenderedPageBreak/>
        <w:t xml:space="preserve">Chapter 2 – General </w:t>
      </w:r>
      <w:r w:rsidRPr="000A1596">
        <w:t>government</w:t>
      </w:r>
      <w:r w:rsidRPr="003D3596">
        <w:t xml:space="preserve"> sector outcome</w:t>
      </w:r>
      <w:bookmarkEnd w:id="6"/>
      <w:bookmarkEnd w:id="7"/>
    </w:p>
    <w:p w:rsidR="00336793" w:rsidRDefault="00336793" w:rsidP="00DF0B96">
      <w:pPr>
        <w:pStyle w:val="HighlightBoxBullet"/>
      </w:pPr>
      <w:r>
        <w:t>The Government delivered an operating surplus for 2014</w:t>
      </w:r>
      <w:r>
        <w:noBreakHyphen/>
        <w:t>15 of $1.2 billion. Victoria continues to forecast strong surpluses every year over the budget and forward estimates.</w:t>
      </w:r>
    </w:p>
    <w:p w:rsidR="00336793" w:rsidRDefault="00336793" w:rsidP="00DF0B96">
      <w:pPr>
        <w:pStyle w:val="HighlightBoxBullet"/>
      </w:pPr>
      <w:r>
        <w:t>Both total revenue and expenditure for the year were in line with the 2014</w:t>
      </w:r>
      <w:r>
        <w:noBreakHyphen/>
        <w:t>15 revised estimates.</w:t>
      </w:r>
    </w:p>
    <w:p w:rsidR="00336793" w:rsidRPr="005F4A90" w:rsidRDefault="00336793" w:rsidP="00DF0B96">
      <w:pPr>
        <w:pStyle w:val="HighlightBoxBullet"/>
      </w:pPr>
      <w:r w:rsidRPr="005F4A90">
        <w:t xml:space="preserve">General government net infrastructure </w:t>
      </w:r>
      <w:r>
        <w:t xml:space="preserve">investment </w:t>
      </w:r>
      <w:r w:rsidRPr="005F4A90">
        <w:t>was $</w:t>
      </w:r>
      <w:r>
        <w:t>4.9 billion</w:t>
      </w:r>
      <w:r w:rsidRPr="005F4A90">
        <w:t xml:space="preserve"> for 2014</w:t>
      </w:r>
      <w:r>
        <w:noBreakHyphen/>
      </w:r>
      <w:r w:rsidRPr="005F4A90">
        <w:t xml:space="preserve">15, exceeding the revised budget </w:t>
      </w:r>
      <w:r>
        <w:t xml:space="preserve">estimate </w:t>
      </w:r>
      <w:r w:rsidRPr="005F4A90">
        <w:t>of $</w:t>
      </w:r>
      <w:r>
        <w:t>4.4 billion.</w:t>
      </w:r>
    </w:p>
    <w:p w:rsidR="00336793" w:rsidRDefault="00336793" w:rsidP="00DF0B96">
      <w:pPr>
        <w:pStyle w:val="HighlightBoxBullet"/>
      </w:pPr>
      <w:r>
        <w:t>Net debt for the general government sector was $22.3 billion at 30 June 2015. This was $1.1 billion higher than the revised budget estimate due to higher spending on the Government’s infrastructure program and finalisation of the agreement with the East West Link consortium.</w:t>
      </w:r>
    </w:p>
    <w:p w:rsidR="00336793" w:rsidRDefault="00336793" w:rsidP="00DF0B96">
      <w:pPr>
        <w:pStyle w:val="HighlightBoxBullet"/>
      </w:pPr>
      <w:r>
        <w:t>On 28 August 2015, Standard &amp; Poor’s re</w:t>
      </w:r>
      <w:r>
        <w:noBreakHyphen/>
        <w:t>affirmed Victoria’s triple</w:t>
      </w:r>
      <w:r>
        <w:noBreakHyphen/>
        <w:t>A credit rating, citing ‘the State’s very strong financial management and economy’. Victoria has a triple</w:t>
      </w:r>
      <w:r>
        <w:noBreakHyphen/>
        <w:t>A credit rating with a stable outlook from both major international credit rating agencies.</w:t>
      </w:r>
    </w:p>
    <w:p w:rsidR="00336793" w:rsidRDefault="00336793" w:rsidP="00DF0B96">
      <w:pPr>
        <w:pStyle w:val="Heading1"/>
      </w:pPr>
      <w:bookmarkStart w:id="8" w:name="_Toc367967884"/>
      <w:bookmarkStart w:id="9" w:name="_Toc398715630"/>
      <w:bookmarkStart w:id="10" w:name="_Toc433984463"/>
      <w:r w:rsidRPr="00AF3E2F">
        <w:t xml:space="preserve">Fiscal </w:t>
      </w:r>
      <w:r w:rsidRPr="000A1596">
        <w:t>objectives</w:t>
      </w:r>
      <w:bookmarkEnd w:id="8"/>
      <w:bookmarkEnd w:id="9"/>
      <w:bookmarkEnd w:id="10"/>
    </w:p>
    <w:p w:rsidR="00336793" w:rsidRDefault="00336793" w:rsidP="00DF0B96">
      <w:r>
        <w:t xml:space="preserve">The Government outlined its fiscal strategy and objectives as part of the </w:t>
      </w:r>
      <w:r w:rsidRPr="007403E0">
        <w:rPr>
          <w:i/>
        </w:rPr>
        <w:t>2015</w:t>
      </w:r>
      <w:r>
        <w:rPr>
          <w:i/>
        </w:rPr>
        <w:noBreakHyphen/>
      </w:r>
      <w:r w:rsidRPr="007403E0">
        <w:rPr>
          <w:i/>
        </w:rPr>
        <w:t>16 Budget</w:t>
      </w:r>
      <w:r>
        <w:t xml:space="preserve">, including achieving net operating surpluses that are consistent with sustainable levels of debt. </w:t>
      </w:r>
    </w:p>
    <w:p w:rsidR="00336793" w:rsidRDefault="00336793" w:rsidP="00DF0B96">
      <w:r>
        <w:t>The 2014</w:t>
      </w:r>
      <w:r>
        <w:noBreakHyphen/>
        <w:t>15 results are consistent with the Government’s fiscal objectives and strategy. The Government is implementing its election commitments while delivering a strong operating surplus.</w:t>
      </w:r>
    </w:p>
    <w:p w:rsidR="00336793" w:rsidRDefault="00336793" w:rsidP="00DF0B96">
      <w:r>
        <w:t>Fiscal aggregates are useful for assessing the impact of the financial transactions of government and its controlled agencies on the economy. These measures, derived from the audited financial statements in Chapter 4, are shown in Table 2.1.</w:t>
      </w:r>
    </w:p>
    <w:p w:rsidR="00336793" w:rsidRPr="00CA0D3F" w:rsidRDefault="00336793" w:rsidP="00DF0B96">
      <w:pPr>
        <w:pStyle w:val="Tableheading"/>
        <w:rPr>
          <w:vertAlign w:val="superscript"/>
        </w:rPr>
      </w:pPr>
      <w:r w:rsidRPr="003D3596">
        <w:t>Table 2.1:</w:t>
      </w:r>
      <w:r w:rsidRPr="003D3596">
        <w:tab/>
        <w:t>Key fiscal aggregates for</w:t>
      </w:r>
      <w:r>
        <w:t xml:space="preserve"> the</w:t>
      </w:r>
      <w:r w:rsidRPr="003D3596">
        <w:t xml:space="preserve"> general government sector</w:t>
      </w:r>
      <w:r>
        <w:rPr>
          <w:vertAlign w:val="superscript"/>
        </w:rPr>
        <w:t xml:space="preserve"> (a)</w:t>
      </w:r>
    </w:p>
    <w:p w:rsidR="00336793" w:rsidRPr="00C55E7F" w:rsidRDefault="00336793" w:rsidP="00DF0B96">
      <w:pPr>
        <w:pStyle w:val="million"/>
        <w:rPr>
          <w:rFonts w:ascii="Times New Roman" w:hAnsi="Times New Roman"/>
          <w:i w:val="0"/>
          <w:szCs w:val="20"/>
          <w:lang w:eastAsia="en-AU"/>
        </w:rPr>
      </w:pPr>
      <w:r w:rsidRPr="003D3596">
        <w:t>($</w:t>
      </w: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6677"/>
        <w:gridCol w:w="986"/>
        <w:gridCol w:w="987"/>
        <w:gridCol w:w="987"/>
      </w:tblGrid>
      <w:tr w:rsidR="00336793" w:rsidRPr="00C55E7F" w:rsidTr="00DF0B96">
        <w:trPr>
          <w:tblHeader/>
        </w:trPr>
        <w:tc>
          <w:tcPr>
            <w:tcW w:w="6677" w:type="dxa"/>
            <w:tcBorders>
              <w:top w:val="single" w:sz="6" w:space="0" w:color="000000"/>
              <w:left w:val="single" w:sz="6" w:space="0" w:color="000000"/>
              <w:bottom w:val="single" w:sz="6" w:space="0" w:color="000000"/>
              <w:right w:val="nil"/>
            </w:tcBorders>
            <w:shd w:val="clear" w:color="000000" w:fill="000000"/>
            <w:vAlign w:val="bottom"/>
          </w:tcPr>
          <w:p w:rsidR="00336793" w:rsidRPr="00C55E7F" w:rsidRDefault="00336793" w:rsidP="00DF0B96">
            <w:pPr>
              <w:pStyle w:val="Tabletextheading"/>
              <w:jc w:val="left"/>
              <w:rPr>
                <w:rFonts w:eastAsiaTheme="minorEastAsia"/>
                <w:color w:val="FFFFFF"/>
                <w:sz w:val="21"/>
                <w:lang w:eastAsia="en-AU"/>
              </w:rPr>
            </w:pPr>
            <w:r w:rsidRPr="00C55E7F">
              <w:rPr>
                <w:rFonts w:eastAsiaTheme="minorEastAsia"/>
                <w:color w:val="FFFFFF"/>
                <w:sz w:val="21"/>
                <w:lang w:eastAsia="en-AU"/>
              </w:rPr>
              <w:t xml:space="preserve"> </w:t>
            </w:r>
          </w:p>
        </w:tc>
        <w:tc>
          <w:tcPr>
            <w:tcW w:w="986" w:type="dxa"/>
            <w:tcBorders>
              <w:top w:val="single" w:sz="6" w:space="0" w:color="000000"/>
              <w:left w:val="nil"/>
              <w:bottom w:val="single" w:sz="6" w:space="0" w:color="000000"/>
              <w:right w:val="nil"/>
            </w:tcBorders>
            <w:shd w:val="clear" w:color="000000" w:fill="000000"/>
            <w:vAlign w:val="bottom"/>
          </w:tcPr>
          <w:p w:rsidR="00336793" w:rsidRPr="00C55E7F" w:rsidRDefault="00336793" w:rsidP="00DF0B96">
            <w:pPr>
              <w:pStyle w:val="Tabletextheading"/>
              <w:rPr>
                <w:rFonts w:eastAsiaTheme="minorEastAsia"/>
                <w:color w:val="FFFFFF"/>
                <w:sz w:val="21"/>
                <w:lang w:eastAsia="en-AU"/>
              </w:rPr>
            </w:pPr>
            <w:r w:rsidRPr="00C55E7F">
              <w:rPr>
                <w:rFonts w:eastAsiaTheme="minorEastAsia"/>
                <w:color w:val="FFFFFF"/>
                <w:sz w:val="21"/>
                <w:lang w:eastAsia="en-AU"/>
              </w:rPr>
              <w:t>2013</w:t>
            </w:r>
            <w:r>
              <w:rPr>
                <w:rFonts w:eastAsiaTheme="minorEastAsia"/>
                <w:color w:val="FFFFFF"/>
                <w:sz w:val="21"/>
                <w:lang w:eastAsia="en-AU"/>
              </w:rPr>
              <w:noBreakHyphen/>
            </w:r>
            <w:r w:rsidRPr="00C55E7F">
              <w:rPr>
                <w:rFonts w:eastAsiaTheme="minorEastAsia"/>
                <w:color w:val="FFFFFF"/>
                <w:sz w:val="21"/>
                <w:lang w:eastAsia="en-AU"/>
              </w:rPr>
              <w:t>14 actual</w:t>
            </w:r>
          </w:p>
        </w:tc>
        <w:tc>
          <w:tcPr>
            <w:tcW w:w="987" w:type="dxa"/>
            <w:tcBorders>
              <w:top w:val="single" w:sz="6" w:space="0" w:color="000000"/>
              <w:left w:val="nil"/>
              <w:bottom w:val="single" w:sz="6" w:space="0" w:color="000000"/>
              <w:right w:val="nil"/>
            </w:tcBorders>
            <w:shd w:val="clear" w:color="000000" w:fill="000000"/>
            <w:vAlign w:val="bottom"/>
          </w:tcPr>
          <w:p w:rsidR="00336793" w:rsidRPr="00C55E7F" w:rsidRDefault="00336793" w:rsidP="00DF0B96">
            <w:pPr>
              <w:pStyle w:val="Tabletextheading"/>
              <w:rPr>
                <w:rFonts w:eastAsiaTheme="minorEastAsia"/>
                <w:color w:val="FFFFFF"/>
                <w:sz w:val="21"/>
                <w:lang w:eastAsia="en-AU"/>
              </w:rPr>
            </w:pPr>
            <w:r w:rsidRPr="00C55E7F">
              <w:rPr>
                <w:rFonts w:eastAsiaTheme="minorEastAsia"/>
                <w:color w:val="FFFFFF"/>
                <w:sz w:val="21"/>
                <w:lang w:eastAsia="en-AU"/>
              </w:rPr>
              <w:t>2014</w:t>
            </w:r>
            <w:r>
              <w:rPr>
                <w:rFonts w:eastAsiaTheme="minorEastAsia"/>
                <w:color w:val="FFFFFF"/>
                <w:sz w:val="21"/>
                <w:lang w:eastAsia="en-AU"/>
              </w:rPr>
              <w:noBreakHyphen/>
            </w:r>
            <w:r w:rsidRPr="00C55E7F">
              <w:rPr>
                <w:rFonts w:eastAsiaTheme="minorEastAsia"/>
                <w:color w:val="FFFFFF"/>
                <w:sz w:val="21"/>
                <w:lang w:eastAsia="en-AU"/>
              </w:rPr>
              <w:t>15 actual</w:t>
            </w:r>
          </w:p>
        </w:tc>
        <w:tc>
          <w:tcPr>
            <w:tcW w:w="987" w:type="dxa"/>
            <w:tcBorders>
              <w:top w:val="single" w:sz="6" w:space="0" w:color="000000"/>
              <w:left w:val="nil"/>
              <w:bottom w:val="single" w:sz="6" w:space="0" w:color="000000"/>
              <w:right w:val="single" w:sz="6" w:space="0" w:color="000000"/>
            </w:tcBorders>
            <w:shd w:val="clear" w:color="000000" w:fill="000000"/>
            <w:vAlign w:val="bottom"/>
          </w:tcPr>
          <w:p w:rsidR="00336793" w:rsidRPr="00C55E7F" w:rsidRDefault="00336793" w:rsidP="00DF0B96">
            <w:pPr>
              <w:pStyle w:val="Tabletextheading"/>
              <w:rPr>
                <w:rFonts w:eastAsiaTheme="minorEastAsia"/>
                <w:color w:val="FFFFFF"/>
                <w:sz w:val="21"/>
                <w:lang w:eastAsia="en-AU"/>
              </w:rPr>
            </w:pPr>
            <w:r w:rsidRPr="00C55E7F">
              <w:rPr>
                <w:rFonts w:eastAsiaTheme="minorEastAsia"/>
                <w:color w:val="FFFFFF"/>
                <w:sz w:val="21"/>
                <w:lang w:eastAsia="en-AU"/>
              </w:rPr>
              <w:t>2014</w:t>
            </w:r>
            <w:r>
              <w:rPr>
                <w:rFonts w:eastAsiaTheme="minorEastAsia"/>
                <w:color w:val="FFFFFF"/>
                <w:sz w:val="21"/>
                <w:lang w:eastAsia="en-AU"/>
              </w:rPr>
              <w:noBreakHyphen/>
            </w:r>
            <w:r w:rsidRPr="00C55E7F">
              <w:rPr>
                <w:rFonts w:eastAsiaTheme="minorEastAsia"/>
                <w:color w:val="FFFFFF"/>
                <w:sz w:val="21"/>
                <w:lang w:eastAsia="en-AU"/>
              </w:rPr>
              <w:t>15 revised</w:t>
            </w:r>
          </w:p>
        </w:tc>
      </w:tr>
      <w:tr w:rsidR="00336793" w:rsidRPr="00C55E7F" w:rsidTr="00DF0B96">
        <w:tc>
          <w:tcPr>
            <w:tcW w:w="6677" w:type="dxa"/>
            <w:tcBorders>
              <w:top w:val="single" w:sz="6" w:space="0" w:color="000000"/>
              <w:left w:val="nil"/>
              <w:bottom w:val="nil"/>
              <w:right w:val="nil"/>
            </w:tcBorders>
            <w:shd w:val="solid" w:color="FFFFFF" w:fill="auto"/>
          </w:tcPr>
          <w:p w:rsidR="00336793" w:rsidRPr="00C55E7F" w:rsidRDefault="00336793" w:rsidP="00DF0B96">
            <w:pPr>
              <w:pStyle w:val="Tabletext"/>
              <w:rPr>
                <w:rFonts w:eastAsiaTheme="minorEastAsia"/>
                <w:b/>
                <w:bCs/>
                <w:sz w:val="21"/>
                <w:lang w:eastAsia="en-AU"/>
              </w:rPr>
            </w:pPr>
            <w:r w:rsidRPr="00C55E7F">
              <w:rPr>
                <w:rFonts w:eastAsiaTheme="minorEastAsia"/>
                <w:b/>
                <w:bCs/>
                <w:sz w:val="21"/>
                <w:lang w:eastAsia="en-AU"/>
              </w:rPr>
              <w:t>Operating statement aggregates</w:t>
            </w:r>
          </w:p>
        </w:tc>
        <w:tc>
          <w:tcPr>
            <w:tcW w:w="986" w:type="dxa"/>
            <w:tcBorders>
              <w:top w:val="single" w:sz="6" w:space="0" w:color="000000"/>
              <w:left w:val="nil"/>
              <w:bottom w:val="nil"/>
              <w:right w:val="nil"/>
            </w:tcBorders>
            <w:shd w:val="solid" w:color="FFFFFF" w:fill="auto"/>
          </w:tcPr>
          <w:p w:rsidR="00336793" w:rsidRPr="00C55E7F" w:rsidRDefault="00336793" w:rsidP="00DF0B96">
            <w:pPr>
              <w:pStyle w:val="TableofFigures"/>
              <w:rPr>
                <w:rFonts w:eastAsiaTheme="minorEastAsia"/>
                <w:b/>
                <w:bCs/>
                <w:sz w:val="21"/>
                <w:lang w:eastAsia="en-AU"/>
              </w:rPr>
            </w:pPr>
            <w:r w:rsidRPr="00C55E7F">
              <w:rPr>
                <w:rFonts w:eastAsiaTheme="minorEastAsia"/>
                <w:b/>
                <w:bCs/>
                <w:sz w:val="21"/>
                <w:lang w:eastAsia="en-AU"/>
              </w:rPr>
              <w:t xml:space="preserve"> </w:t>
            </w:r>
          </w:p>
        </w:tc>
        <w:tc>
          <w:tcPr>
            <w:tcW w:w="987" w:type="dxa"/>
            <w:tcBorders>
              <w:top w:val="single" w:sz="6" w:space="0" w:color="000000"/>
              <w:left w:val="nil"/>
              <w:bottom w:val="nil"/>
              <w:right w:val="nil"/>
            </w:tcBorders>
            <w:shd w:val="solid" w:color="FFFFFF" w:fill="auto"/>
          </w:tcPr>
          <w:p w:rsidR="00336793" w:rsidRPr="00C55E7F" w:rsidRDefault="00336793" w:rsidP="00DF0B96">
            <w:pPr>
              <w:pStyle w:val="TableofFigures"/>
              <w:rPr>
                <w:rFonts w:eastAsiaTheme="minorEastAsia"/>
                <w:b/>
                <w:bCs/>
                <w:sz w:val="21"/>
                <w:lang w:eastAsia="en-AU"/>
              </w:rPr>
            </w:pPr>
            <w:r w:rsidRPr="00C55E7F">
              <w:rPr>
                <w:rFonts w:eastAsiaTheme="minorEastAsia"/>
                <w:b/>
                <w:bCs/>
                <w:sz w:val="21"/>
                <w:lang w:eastAsia="en-AU"/>
              </w:rPr>
              <w:t xml:space="preserve"> </w:t>
            </w:r>
          </w:p>
        </w:tc>
        <w:tc>
          <w:tcPr>
            <w:tcW w:w="987" w:type="dxa"/>
            <w:tcBorders>
              <w:top w:val="single" w:sz="6" w:space="0" w:color="000000"/>
              <w:left w:val="nil"/>
              <w:bottom w:val="nil"/>
              <w:right w:val="nil"/>
            </w:tcBorders>
            <w:shd w:val="solid" w:color="FFFFFF" w:fill="auto"/>
          </w:tcPr>
          <w:p w:rsidR="00336793" w:rsidRPr="00C55E7F" w:rsidRDefault="00336793" w:rsidP="00DF0B96">
            <w:pPr>
              <w:pStyle w:val="TableofFigures"/>
              <w:rPr>
                <w:rFonts w:eastAsiaTheme="minorEastAsia"/>
                <w:b/>
                <w:bCs/>
                <w:sz w:val="21"/>
                <w:lang w:eastAsia="en-AU"/>
              </w:rPr>
            </w:pPr>
            <w:r w:rsidRPr="00C55E7F">
              <w:rPr>
                <w:rFonts w:eastAsiaTheme="minorEastAsia"/>
                <w:b/>
                <w:bCs/>
                <w:sz w:val="21"/>
                <w:lang w:eastAsia="en-AU"/>
              </w:rPr>
              <w:t xml:space="preserve"> </w:t>
            </w:r>
          </w:p>
        </w:tc>
      </w:tr>
      <w:tr w:rsidR="00336793" w:rsidRPr="00C55E7F" w:rsidTr="00DF0B96">
        <w:tc>
          <w:tcPr>
            <w:tcW w:w="6677" w:type="dxa"/>
            <w:tcBorders>
              <w:top w:val="nil"/>
              <w:left w:val="nil"/>
              <w:bottom w:val="nil"/>
              <w:right w:val="nil"/>
            </w:tcBorders>
            <w:shd w:val="solid" w:color="FFFFFF" w:fill="auto"/>
          </w:tcPr>
          <w:p w:rsidR="00336793" w:rsidRPr="00C55E7F" w:rsidRDefault="00336793" w:rsidP="00DF0B96">
            <w:pPr>
              <w:pStyle w:val="Tabletext"/>
              <w:rPr>
                <w:rFonts w:eastAsiaTheme="minorEastAsia"/>
                <w:sz w:val="21"/>
                <w:lang w:eastAsia="en-AU"/>
              </w:rPr>
            </w:pPr>
            <w:r w:rsidRPr="00C55E7F">
              <w:rPr>
                <w:rFonts w:eastAsiaTheme="minorEastAsia"/>
                <w:sz w:val="21"/>
                <w:lang w:eastAsia="en-AU"/>
              </w:rPr>
              <w:t>Net result from transactions</w:t>
            </w:r>
            <w:r>
              <w:rPr>
                <w:rFonts w:eastAsiaTheme="minorEastAsia"/>
                <w:sz w:val="21"/>
                <w:lang w:eastAsia="en-AU"/>
              </w:rPr>
              <w:t xml:space="preserve"> – </w:t>
            </w:r>
            <w:r w:rsidRPr="00C55E7F">
              <w:rPr>
                <w:rFonts w:eastAsiaTheme="minorEastAsia"/>
                <w:sz w:val="21"/>
                <w:lang w:eastAsia="en-AU"/>
              </w:rPr>
              <w:t>net operating balance</w:t>
            </w:r>
          </w:p>
        </w:tc>
        <w:tc>
          <w:tcPr>
            <w:tcW w:w="986"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1 980</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1 214</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 xml:space="preserve"> 883</w:t>
            </w:r>
          </w:p>
        </w:tc>
      </w:tr>
      <w:tr w:rsidR="00336793" w:rsidRPr="00C55E7F" w:rsidTr="00DF0B96">
        <w:tc>
          <w:tcPr>
            <w:tcW w:w="6677" w:type="dxa"/>
            <w:tcBorders>
              <w:top w:val="nil"/>
              <w:left w:val="nil"/>
              <w:bottom w:val="nil"/>
              <w:right w:val="nil"/>
            </w:tcBorders>
            <w:shd w:val="solid" w:color="FFFFFF" w:fill="auto"/>
          </w:tcPr>
          <w:p w:rsidR="00336793" w:rsidRPr="00C55E7F" w:rsidRDefault="00336793" w:rsidP="00DF0B96">
            <w:pPr>
              <w:pStyle w:val="Tabletext"/>
              <w:rPr>
                <w:rFonts w:eastAsiaTheme="minorEastAsia"/>
                <w:sz w:val="21"/>
                <w:lang w:eastAsia="en-AU"/>
              </w:rPr>
            </w:pPr>
            <w:r w:rsidRPr="00C55E7F">
              <w:rPr>
                <w:rFonts w:eastAsiaTheme="minorEastAsia"/>
                <w:sz w:val="21"/>
                <w:lang w:eastAsia="en-AU"/>
              </w:rPr>
              <w:t>Net result</w:t>
            </w:r>
          </w:p>
        </w:tc>
        <w:tc>
          <w:tcPr>
            <w:tcW w:w="986"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 xml:space="preserve"> 766</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 xml:space="preserve"> 749</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 xml:space="preserve"> 532</w:t>
            </w:r>
          </w:p>
        </w:tc>
      </w:tr>
      <w:tr w:rsidR="00336793" w:rsidRPr="00C55E7F" w:rsidTr="00DF0B96">
        <w:tc>
          <w:tcPr>
            <w:tcW w:w="6677" w:type="dxa"/>
            <w:tcBorders>
              <w:top w:val="nil"/>
              <w:left w:val="nil"/>
              <w:bottom w:val="nil"/>
              <w:right w:val="nil"/>
            </w:tcBorders>
            <w:shd w:val="solid" w:color="FFFFFF" w:fill="auto"/>
          </w:tcPr>
          <w:p w:rsidR="00336793" w:rsidRPr="00CA0D3F" w:rsidRDefault="00336793" w:rsidP="00E96950">
            <w:pPr>
              <w:pStyle w:val="Tabletext"/>
              <w:rPr>
                <w:rFonts w:eastAsiaTheme="minorEastAsia" w:cs="Calibri"/>
                <w:sz w:val="21"/>
                <w:szCs w:val="22"/>
                <w:vertAlign w:val="superscript"/>
                <w:lang w:eastAsia="en-AU"/>
              </w:rPr>
            </w:pPr>
            <w:r w:rsidRPr="00C55E7F">
              <w:rPr>
                <w:rFonts w:eastAsiaTheme="minorEastAsia"/>
                <w:sz w:val="21"/>
                <w:lang w:eastAsia="en-AU"/>
              </w:rPr>
              <w:t>Net lending/</w:t>
            </w:r>
            <w:r w:rsidRPr="00C55E7F">
              <w:rPr>
                <w:rFonts w:eastAsiaTheme="minorEastAsia" w:cs="Calibri"/>
                <w:sz w:val="21"/>
                <w:szCs w:val="22"/>
                <w:lang w:eastAsia="en-AU"/>
              </w:rPr>
              <w:t>(b</w:t>
            </w:r>
            <w:r w:rsidRPr="00E96950">
              <w:rPr>
                <w:rFonts w:eastAsiaTheme="minorEastAsia" w:cs="Calibri"/>
                <w:sz w:val="21"/>
                <w:szCs w:val="21"/>
                <w:lang w:eastAsia="en-AU"/>
              </w:rPr>
              <w:t>orrowing)</w:t>
            </w:r>
            <w:r w:rsidRPr="00E96950">
              <w:rPr>
                <w:rFonts w:eastAsiaTheme="minorEastAsia" w:cs="Calibri"/>
                <w:sz w:val="21"/>
                <w:szCs w:val="21"/>
                <w:vertAlign w:val="superscript"/>
                <w:lang w:eastAsia="en-AU"/>
              </w:rPr>
              <w:t xml:space="preserve"> (b)</w:t>
            </w:r>
          </w:p>
        </w:tc>
        <w:tc>
          <w:tcPr>
            <w:tcW w:w="986"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1 354</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 xml:space="preserve"> 922</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1 058</w:t>
            </w:r>
          </w:p>
        </w:tc>
      </w:tr>
      <w:tr w:rsidR="00336793" w:rsidRPr="00C55E7F" w:rsidTr="00DF0B96">
        <w:tc>
          <w:tcPr>
            <w:tcW w:w="6677" w:type="dxa"/>
            <w:tcBorders>
              <w:top w:val="nil"/>
              <w:left w:val="nil"/>
              <w:bottom w:val="nil"/>
              <w:right w:val="nil"/>
            </w:tcBorders>
            <w:shd w:val="solid" w:color="FFFFFF" w:fill="auto"/>
          </w:tcPr>
          <w:p w:rsidR="00336793" w:rsidRPr="00C55E7F" w:rsidRDefault="00336793" w:rsidP="00DF0B96">
            <w:pPr>
              <w:pStyle w:val="Tabletext"/>
              <w:rPr>
                <w:rFonts w:eastAsiaTheme="minorEastAsia"/>
                <w:sz w:val="21"/>
                <w:lang w:eastAsia="en-AU"/>
              </w:rPr>
            </w:pPr>
            <w:r w:rsidRPr="00C55E7F">
              <w:rPr>
                <w:rFonts w:eastAsiaTheme="minorEastAsia"/>
                <w:sz w:val="21"/>
                <w:lang w:eastAsia="en-AU"/>
              </w:rPr>
              <w:t>Comprehensive result</w:t>
            </w:r>
            <w:r>
              <w:rPr>
                <w:rFonts w:eastAsiaTheme="minorEastAsia"/>
                <w:sz w:val="21"/>
                <w:lang w:eastAsia="en-AU"/>
              </w:rPr>
              <w:t xml:space="preserve"> – </w:t>
            </w:r>
            <w:r w:rsidRPr="00C55E7F">
              <w:rPr>
                <w:rFonts w:eastAsiaTheme="minorEastAsia"/>
                <w:sz w:val="21"/>
                <w:lang w:eastAsia="en-AU"/>
              </w:rPr>
              <w:t>total change in net worth</w:t>
            </w:r>
          </w:p>
        </w:tc>
        <w:tc>
          <w:tcPr>
            <w:tcW w:w="986"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6 741</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7 857</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3 558</w:t>
            </w:r>
          </w:p>
        </w:tc>
      </w:tr>
      <w:tr w:rsidR="00336793" w:rsidRPr="00C55E7F" w:rsidTr="00DF0B96">
        <w:tc>
          <w:tcPr>
            <w:tcW w:w="6677" w:type="dxa"/>
            <w:tcBorders>
              <w:top w:val="nil"/>
              <w:left w:val="nil"/>
              <w:bottom w:val="single" w:sz="6" w:space="0" w:color="000000"/>
              <w:right w:val="nil"/>
            </w:tcBorders>
            <w:shd w:val="solid" w:color="FFFFFF" w:fill="auto"/>
          </w:tcPr>
          <w:p w:rsidR="00336793" w:rsidRPr="00C55E7F" w:rsidRDefault="00336793" w:rsidP="00DF0B96">
            <w:pPr>
              <w:pStyle w:val="Tabletext"/>
              <w:rPr>
                <w:rFonts w:eastAsiaTheme="minorEastAsia"/>
                <w:sz w:val="21"/>
                <w:lang w:eastAsia="en-AU"/>
              </w:rPr>
            </w:pPr>
            <w:r w:rsidRPr="00C55E7F">
              <w:rPr>
                <w:rFonts w:eastAsiaTheme="minorEastAsia"/>
                <w:sz w:val="21"/>
                <w:lang w:eastAsia="en-AU"/>
              </w:rPr>
              <w:t>Cash surplus/(deficit)</w:t>
            </w:r>
          </w:p>
        </w:tc>
        <w:tc>
          <w:tcPr>
            <w:tcW w:w="986"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 xml:space="preserve"> 216</w:t>
            </w:r>
          </w:p>
        </w:tc>
        <w:tc>
          <w:tcPr>
            <w:tcW w:w="987"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C55E7F">
              <w:rPr>
                <w:rFonts w:eastAsiaTheme="minorEastAsia" w:cs="Calibri"/>
                <w:color w:val="000000"/>
                <w:szCs w:val="22"/>
                <w:lang w:eastAsia="en-AU"/>
              </w:rPr>
              <w:t>177)</w:t>
            </w:r>
          </w:p>
        </w:tc>
        <w:tc>
          <w:tcPr>
            <w:tcW w:w="987"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 xml:space="preserve"> 694</w:t>
            </w:r>
          </w:p>
        </w:tc>
      </w:tr>
      <w:tr w:rsidR="00336793" w:rsidRPr="00C55E7F" w:rsidTr="00DF0B96">
        <w:tc>
          <w:tcPr>
            <w:tcW w:w="6677" w:type="dxa"/>
            <w:tcBorders>
              <w:top w:val="nil"/>
              <w:left w:val="nil"/>
              <w:bottom w:val="nil"/>
              <w:right w:val="nil"/>
            </w:tcBorders>
            <w:shd w:val="solid" w:color="FFFFFF" w:fill="auto"/>
          </w:tcPr>
          <w:p w:rsidR="00336793" w:rsidRPr="00C55E7F" w:rsidRDefault="00336793" w:rsidP="00DF0B96">
            <w:pPr>
              <w:pStyle w:val="Tabletext"/>
              <w:rPr>
                <w:rFonts w:eastAsiaTheme="minorEastAsia"/>
                <w:b/>
                <w:bCs/>
                <w:sz w:val="21"/>
                <w:lang w:eastAsia="en-AU"/>
              </w:rPr>
            </w:pPr>
            <w:r w:rsidRPr="00C55E7F">
              <w:rPr>
                <w:rFonts w:eastAsiaTheme="minorEastAsia"/>
                <w:b/>
                <w:bCs/>
                <w:sz w:val="21"/>
                <w:lang w:eastAsia="en-AU"/>
              </w:rPr>
              <w:t>Balance sheet aggregates</w:t>
            </w:r>
          </w:p>
        </w:tc>
        <w:tc>
          <w:tcPr>
            <w:tcW w:w="986"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sz w:val="21"/>
                <w:lang w:eastAsia="en-AU"/>
              </w:rPr>
            </w:pPr>
            <w:r w:rsidRPr="00C55E7F">
              <w:rPr>
                <w:rFonts w:eastAsiaTheme="minorEastAsia"/>
                <w:b/>
                <w:bCs/>
                <w:sz w:val="21"/>
                <w:lang w:eastAsia="en-AU"/>
              </w:rPr>
              <w:t xml:space="preserve"> </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sz w:val="21"/>
                <w:lang w:eastAsia="en-AU"/>
              </w:rPr>
            </w:pPr>
            <w:r w:rsidRPr="00C55E7F">
              <w:rPr>
                <w:rFonts w:eastAsiaTheme="minorEastAsia"/>
                <w:b/>
                <w:bCs/>
                <w:sz w:val="21"/>
                <w:lang w:eastAsia="en-AU"/>
              </w:rPr>
              <w:t xml:space="preserve"> </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sz w:val="21"/>
                <w:lang w:eastAsia="en-AU"/>
              </w:rPr>
            </w:pPr>
            <w:r w:rsidRPr="00C55E7F">
              <w:rPr>
                <w:rFonts w:eastAsiaTheme="minorEastAsia"/>
                <w:b/>
                <w:bCs/>
                <w:sz w:val="21"/>
                <w:lang w:eastAsia="en-AU"/>
              </w:rPr>
              <w:t xml:space="preserve"> </w:t>
            </w:r>
          </w:p>
        </w:tc>
      </w:tr>
      <w:tr w:rsidR="00336793" w:rsidRPr="00C55E7F" w:rsidTr="00DF0B96">
        <w:tc>
          <w:tcPr>
            <w:tcW w:w="6677" w:type="dxa"/>
            <w:tcBorders>
              <w:top w:val="nil"/>
              <w:left w:val="nil"/>
              <w:bottom w:val="nil"/>
              <w:right w:val="nil"/>
            </w:tcBorders>
            <w:shd w:val="solid" w:color="FFFFFF" w:fill="auto"/>
          </w:tcPr>
          <w:p w:rsidR="00336793" w:rsidRPr="00C55E7F" w:rsidRDefault="00336793" w:rsidP="00DF0B96">
            <w:pPr>
              <w:pStyle w:val="Tabletext"/>
              <w:rPr>
                <w:rFonts w:eastAsiaTheme="minorEastAsia"/>
                <w:sz w:val="21"/>
                <w:lang w:eastAsia="en-AU"/>
              </w:rPr>
            </w:pPr>
            <w:r w:rsidRPr="00C55E7F">
              <w:rPr>
                <w:rFonts w:eastAsiaTheme="minorEastAsia"/>
                <w:sz w:val="21"/>
                <w:lang w:eastAsia="en-AU"/>
              </w:rPr>
              <w:t>Net worth</w:t>
            </w:r>
          </w:p>
        </w:tc>
        <w:tc>
          <w:tcPr>
            <w:tcW w:w="986"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128 477</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136 335</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131 989</w:t>
            </w:r>
          </w:p>
        </w:tc>
      </w:tr>
      <w:tr w:rsidR="00336793" w:rsidRPr="00C55E7F" w:rsidTr="00DF0B96">
        <w:tc>
          <w:tcPr>
            <w:tcW w:w="6677" w:type="dxa"/>
            <w:tcBorders>
              <w:top w:val="nil"/>
              <w:left w:val="nil"/>
              <w:bottom w:val="nil"/>
              <w:right w:val="nil"/>
            </w:tcBorders>
            <w:shd w:val="solid" w:color="FFFFFF" w:fill="auto"/>
          </w:tcPr>
          <w:p w:rsidR="00336793" w:rsidRPr="00C55E7F" w:rsidRDefault="00336793" w:rsidP="00DF0B96">
            <w:pPr>
              <w:pStyle w:val="Tabletext"/>
              <w:rPr>
                <w:rFonts w:eastAsiaTheme="minorEastAsia"/>
                <w:sz w:val="21"/>
                <w:lang w:eastAsia="en-AU"/>
              </w:rPr>
            </w:pPr>
            <w:r w:rsidRPr="00C55E7F">
              <w:rPr>
                <w:rFonts w:eastAsiaTheme="minorEastAsia"/>
                <w:sz w:val="21"/>
                <w:lang w:eastAsia="en-AU"/>
              </w:rPr>
              <w:t>Net financial worth</w:t>
            </w:r>
          </w:p>
        </w:tc>
        <w:tc>
          <w:tcPr>
            <w:tcW w:w="986"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21 976</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27 390</w:t>
            </w:r>
          </w:p>
        </w:tc>
        <w:tc>
          <w:tcPr>
            <w:tcW w:w="987"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20 863</w:t>
            </w:r>
          </w:p>
        </w:tc>
      </w:tr>
      <w:tr w:rsidR="00336793" w:rsidRPr="00C55E7F" w:rsidTr="00DF0B96">
        <w:tc>
          <w:tcPr>
            <w:tcW w:w="6677" w:type="dxa"/>
            <w:tcBorders>
              <w:top w:val="nil"/>
              <w:left w:val="nil"/>
              <w:right w:val="nil"/>
            </w:tcBorders>
            <w:shd w:val="solid" w:color="FFFFFF" w:fill="auto"/>
          </w:tcPr>
          <w:p w:rsidR="00336793" w:rsidRPr="00C55E7F" w:rsidRDefault="00336793" w:rsidP="00DF0B96">
            <w:pPr>
              <w:pStyle w:val="Tabletext"/>
              <w:rPr>
                <w:rFonts w:eastAsiaTheme="minorEastAsia"/>
                <w:sz w:val="21"/>
                <w:lang w:eastAsia="en-AU"/>
              </w:rPr>
            </w:pPr>
            <w:r w:rsidRPr="00C55E7F">
              <w:rPr>
                <w:rFonts w:eastAsiaTheme="minorEastAsia"/>
                <w:sz w:val="21"/>
                <w:lang w:eastAsia="en-AU"/>
              </w:rPr>
              <w:t>Net financial liabilities</w:t>
            </w:r>
          </w:p>
        </w:tc>
        <w:tc>
          <w:tcPr>
            <w:tcW w:w="986" w:type="dxa"/>
            <w:tcBorders>
              <w:top w:val="nil"/>
              <w:left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53 893</w:t>
            </w:r>
          </w:p>
        </w:tc>
        <w:tc>
          <w:tcPr>
            <w:tcW w:w="987" w:type="dxa"/>
            <w:tcBorders>
              <w:top w:val="nil"/>
              <w:left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54 791</w:t>
            </w:r>
          </w:p>
        </w:tc>
        <w:tc>
          <w:tcPr>
            <w:tcW w:w="987" w:type="dxa"/>
            <w:tcBorders>
              <w:top w:val="nil"/>
              <w:left w:val="nil"/>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59 584</w:t>
            </w:r>
          </w:p>
        </w:tc>
      </w:tr>
      <w:tr w:rsidR="00336793" w:rsidRPr="00C55E7F" w:rsidTr="00DF0B96">
        <w:tc>
          <w:tcPr>
            <w:tcW w:w="6677" w:type="dxa"/>
            <w:tcBorders>
              <w:top w:val="nil"/>
              <w:left w:val="nil"/>
              <w:bottom w:val="single" w:sz="12" w:space="0" w:color="000000"/>
              <w:right w:val="nil"/>
            </w:tcBorders>
            <w:shd w:val="solid" w:color="FFFFFF" w:fill="auto"/>
          </w:tcPr>
          <w:p w:rsidR="00336793" w:rsidRPr="00C55E7F" w:rsidRDefault="00336793" w:rsidP="00DF0B96">
            <w:pPr>
              <w:pStyle w:val="Tabletext"/>
              <w:rPr>
                <w:rFonts w:eastAsiaTheme="minorEastAsia"/>
                <w:sz w:val="21"/>
                <w:lang w:eastAsia="en-AU"/>
              </w:rPr>
            </w:pPr>
            <w:r w:rsidRPr="00C55E7F">
              <w:rPr>
                <w:rFonts w:eastAsiaTheme="minorEastAsia"/>
                <w:sz w:val="21"/>
                <w:lang w:eastAsia="en-AU"/>
              </w:rPr>
              <w:t>Net debt</w:t>
            </w:r>
          </w:p>
        </w:tc>
        <w:tc>
          <w:tcPr>
            <w:tcW w:w="986" w:type="dxa"/>
            <w:tcBorders>
              <w:top w:val="nil"/>
              <w:left w:val="nil"/>
              <w:bottom w:val="single" w:sz="12" w:space="0" w:color="000000"/>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21 175</w:t>
            </w:r>
          </w:p>
        </w:tc>
        <w:tc>
          <w:tcPr>
            <w:tcW w:w="987" w:type="dxa"/>
            <w:tcBorders>
              <w:top w:val="nil"/>
              <w:left w:val="nil"/>
              <w:bottom w:val="single" w:sz="12" w:space="0" w:color="000000"/>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22 327</w:t>
            </w:r>
          </w:p>
        </w:tc>
        <w:tc>
          <w:tcPr>
            <w:tcW w:w="987" w:type="dxa"/>
            <w:tcBorders>
              <w:top w:val="nil"/>
              <w:left w:val="nil"/>
              <w:bottom w:val="single" w:sz="12" w:space="0" w:color="000000"/>
              <w:right w:val="nil"/>
            </w:tcBorders>
            <w:shd w:val="solid" w:color="FFFFFF" w:fill="auto"/>
          </w:tcPr>
          <w:p w:rsidR="00336793" w:rsidRPr="00C55E7F" w:rsidRDefault="00336793" w:rsidP="00DF0B96">
            <w:pPr>
              <w:pStyle w:val="TableofFigures"/>
              <w:rPr>
                <w:rFonts w:eastAsiaTheme="minorEastAsia"/>
                <w:sz w:val="21"/>
                <w:lang w:eastAsia="en-AU"/>
              </w:rPr>
            </w:pPr>
            <w:r w:rsidRPr="00C55E7F">
              <w:rPr>
                <w:rFonts w:eastAsiaTheme="minorEastAsia"/>
                <w:sz w:val="21"/>
                <w:lang w:eastAsia="en-AU"/>
              </w:rPr>
              <w:t>21 240</w:t>
            </w:r>
          </w:p>
        </w:tc>
      </w:tr>
    </w:tbl>
    <w:p w:rsidR="00336793" w:rsidRDefault="00336793" w:rsidP="00DF0B96">
      <w:pPr>
        <w:pStyle w:val="Source"/>
      </w:pPr>
      <w:r w:rsidRPr="000402DC">
        <w:t>Source: Depar</w:t>
      </w:r>
      <w:r>
        <w:t xml:space="preserve">tment of Treasury and </w:t>
      </w:r>
      <w:r w:rsidRPr="00A510DB">
        <w:t>Finance</w:t>
      </w:r>
    </w:p>
    <w:p w:rsidR="00336793" w:rsidRDefault="00336793" w:rsidP="00DF0B96">
      <w:pPr>
        <w:pStyle w:val="Notes"/>
      </w:pPr>
      <w:r>
        <w:t xml:space="preserve">Notes: </w:t>
      </w:r>
    </w:p>
    <w:p w:rsidR="00336793" w:rsidRDefault="00336793" w:rsidP="00DF0B96">
      <w:pPr>
        <w:pStyle w:val="Notes"/>
      </w:pPr>
      <w:r>
        <w:t>(a)</w:t>
      </w:r>
      <w:r>
        <w:tab/>
        <w:t>Certain 2013</w:t>
      </w:r>
      <w:r>
        <w:noBreakHyphen/>
        <w:t xml:space="preserve">14 comparative </w:t>
      </w:r>
      <w:r w:rsidRPr="00C55E7F">
        <w:t>figures</w:t>
      </w:r>
      <w:r>
        <w:t xml:space="preserve"> have been restated. See Chapter 4, Note 37.</w:t>
      </w:r>
    </w:p>
    <w:p w:rsidR="00336793" w:rsidRDefault="00336793" w:rsidP="00DF0B96">
      <w:pPr>
        <w:pStyle w:val="Notes"/>
      </w:pPr>
      <w:r>
        <w:t>(b)</w:t>
      </w:r>
      <w:r>
        <w:tab/>
        <w:t>The 2014</w:t>
      </w:r>
      <w:r>
        <w:noBreakHyphen/>
        <w:t>15 revised estimate measure has been restated to reflect more current information.</w:t>
      </w:r>
    </w:p>
    <w:p w:rsidR="00336793" w:rsidRDefault="00336793">
      <w:pPr>
        <w:spacing w:after="0"/>
      </w:pPr>
      <w:r>
        <w:br w:type="page"/>
      </w:r>
    </w:p>
    <w:p w:rsidR="00336793" w:rsidRDefault="00336793" w:rsidP="00DF0B96">
      <w:r w:rsidRPr="00162FD6">
        <w:lastRenderedPageBreak/>
        <w:t xml:space="preserve">The </w:t>
      </w:r>
      <w:r w:rsidRPr="00162FD6">
        <w:rPr>
          <w:b/>
        </w:rPr>
        <w:t>net result from transactions</w:t>
      </w:r>
      <w:r w:rsidRPr="00162FD6">
        <w:t xml:space="preserve"> surplus of</w:t>
      </w:r>
      <w:r>
        <w:t xml:space="preserve"> $1.2 billion is $331 million higher than the revised 2014</w:t>
      </w:r>
      <w:r>
        <w:noBreakHyphen/>
        <w:t>15 estimate, mainly due to higher than expected revenue. The decrease of $766 million when compared to the previous year is mainly due to higher expenditure on service delivery across government, and the net impact of the cancellation of the East West Link project, offset by higher taxation revenue. These movements are outlined later in this chapter.</w:t>
      </w:r>
    </w:p>
    <w:p w:rsidR="00336793" w:rsidRDefault="00336793" w:rsidP="00DF0B96">
      <w:r>
        <w:t xml:space="preserve">The </w:t>
      </w:r>
      <w:r>
        <w:rPr>
          <w:b/>
        </w:rPr>
        <w:t>net result</w:t>
      </w:r>
      <w:r>
        <w:t xml:space="preserve"> is a further measure of financial performance for the period, including the impact of financial market movements on the valuation of assets and liabilities. The 2014</w:t>
      </w:r>
      <w:r>
        <w:noBreakHyphen/>
        <w:t xml:space="preserve">15 net result was consistent with the revised budget. </w:t>
      </w:r>
    </w:p>
    <w:p w:rsidR="00336793" w:rsidRDefault="00336793" w:rsidP="00DF0B96">
      <w:r>
        <w:t xml:space="preserve">The </w:t>
      </w:r>
      <w:r>
        <w:rPr>
          <w:b/>
        </w:rPr>
        <w:t xml:space="preserve">net lending </w:t>
      </w:r>
      <w:r>
        <w:t>measure broadly reflects the net impact of the general government sector on the economy and financial markets, including the impact of operating and capital investing transactions. The net lending for 2014</w:t>
      </w:r>
      <w:r>
        <w:noBreakHyphen/>
        <w:t>15 of $922 million was in line with the revised estimates.</w:t>
      </w:r>
    </w:p>
    <w:p w:rsidR="00336793" w:rsidRDefault="00336793" w:rsidP="00DF0B96">
      <w:r>
        <w:t xml:space="preserve">The </w:t>
      </w:r>
      <w:r w:rsidRPr="00313ADA">
        <w:t>2014</w:t>
      </w:r>
      <w:r>
        <w:noBreakHyphen/>
      </w:r>
      <w:r w:rsidRPr="00313ADA">
        <w:t xml:space="preserve">15 </w:t>
      </w:r>
      <w:r w:rsidRPr="00313ADA">
        <w:rPr>
          <w:b/>
        </w:rPr>
        <w:t>comprehensive result – total change in net worth</w:t>
      </w:r>
      <w:r w:rsidRPr="00313ADA">
        <w:t xml:space="preserve"> was</w:t>
      </w:r>
      <w:r>
        <w:t xml:space="preserve"> $1.1 billion higher than 2013</w:t>
      </w:r>
      <w:r>
        <w:noBreakHyphen/>
        <w:t>14, primarily driven by the revaluation of road assets in the year and favourable re</w:t>
      </w:r>
      <w:r>
        <w:noBreakHyphen/>
        <w:t>measurements of superannuation defined benefit plans relative to 2013</w:t>
      </w:r>
      <w:r>
        <w:noBreakHyphen/>
        <w:t>14. The impact of the re</w:t>
      </w:r>
      <w:r>
        <w:noBreakHyphen/>
        <w:t>measurements is also the reason for the increase from revised budget.</w:t>
      </w:r>
    </w:p>
    <w:p w:rsidR="00336793" w:rsidRDefault="00336793" w:rsidP="00DF0B96">
      <w:r>
        <w:t xml:space="preserve">The </w:t>
      </w:r>
      <w:r>
        <w:rPr>
          <w:b/>
        </w:rPr>
        <w:t xml:space="preserve">cash deficit </w:t>
      </w:r>
      <w:r>
        <w:t>position in 2014</w:t>
      </w:r>
      <w:r>
        <w:noBreakHyphen/>
        <w:t>15</w:t>
      </w:r>
      <w:r>
        <w:rPr>
          <w:b/>
        </w:rPr>
        <w:t xml:space="preserve"> </w:t>
      </w:r>
      <w:r>
        <w:t>reflects the sum of net cash flows from operating and capital investing activities. This was primarily due to the Commonwealth bringing forward its payment for the East West Link project from 2014</w:t>
      </w:r>
      <w:r>
        <w:noBreakHyphen/>
        <w:t>15 to 2013</w:t>
      </w:r>
      <w:r>
        <w:noBreakHyphen/>
        <w:t>14 and finalisation of the agreement with the East West Link consortium, including $339 million for the bid process, design and pre</w:t>
      </w:r>
      <w:r>
        <w:noBreakHyphen/>
        <w:t>construction and a further $81 million of fees incurred to establish the Project Co credit facility.</w:t>
      </w:r>
    </w:p>
    <w:p w:rsidR="00336793" w:rsidRPr="00497A40" w:rsidRDefault="00336793" w:rsidP="00DF0B96">
      <w:r>
        <w:rPr>
          <w:b/>
        </w:rPr>
        <w:t>Net worth</w:t>
      </w:r>
      <w:r>
        <w:t xml:space="preserve"> is a measure of economic wealth and is equal to net assets outlined in Table 2.4. The movement between years mainly reflects the increase in the investment of the general government in other sectors. The increase from both the previous year and revised budget is primarily due to the revaluation of rail and port assets, in line with the relevant reporting requirements. This is also the reason for the year</w:t>
      </w:r>
      <w:r>
        <w:noBreakHyphen/>
        <w:t>on</w:t>
      </w:r>
      <w:r>
        <w:noBreakHyphen/>
        <w:t xml:space="preserve">year movement in </w:t>
      </w:r>
      <w:r>
        <w:rPr>
          <w:b/>
        </w:rPr>
        <w:t>net financial worth</w:t>
      </w:r>
      <w:r>
        <w:t>, which is equal to total financial assets less total liabilities.</w:t>
      </w:r>
    </w:p>
    <w:p w:rsidR="00336793" w:rsidRDefault="00336793" w:rsidP="00DF0B96">
      <w:r>
        <w:rPr>
          <w:b/>
        </w:rPr>
        <w:t>Net financial liabilities</w:t>
      </w:r>
      <w:r>
        <w:t xml:space="preserve"> are total liabilities less financial assets (excluding investments in other sector entities). Net financial liabilities were $54.8 billion as at 30 June 2015, decreasing by $4.8 billion compared to the revised budget primarily due to an increase in the bond yields that are used in the measurement of the superannuation liability.</w:t>
      </w:r>
    </w:p>
    <w:p w:rsidR="00336793" w:rsidRDefault="00336793" w:rsidP="00DF0B96">
      <w:r>
        <w:rPr>
          <w:b/>
        </w:rPr>
        <w:t>Net debt</w:t>
      </w:r>
      <w:r>
        <w:t xml:space="preserve"> is gross debt less liquid financial assets. The increase in net debt year</w:t>
      </w:r>
      <w:r>
        <w:noBreakHyphen/>
        <w:t>on</w:t>
      </w:r>
      <w:r>
        <w:noBreakHyphen/>
        <w:t>year was mainly driven by additional borrowings required to finance the Government’s significant infrastructure program. The drivers of the change since the revised budget are consistent with the drivers of the movement in the cash surplus/deficit aggregate.</w:t>
      </w:r>
    </w:p>
    <w:p w:rsidR="00336793" w:rsidRDefault="00336793">
      <w:pPr>
        <w:spacing w:after="0"/>
        <w:rPr>
          <w:rFonts w:ascii="Calibri" w:hAnsi="Calibri"/>
          <w:b/>
          <w:caps/>
          <w:sz w:val="28"/>
          <w:szCs w:val="22"/>
        </w:rPr>
      </w:pPr>
      <w:bookmarkStart w:id="11" w:name="_Toc398715631"/>
      <w:r>
        <w:br w:type="page"/>
      </w:r>
    </w:p>
    <w:p w:rsidR="00336793" w:rsidRDefault="00336793" w:rsidP="00DF0B96">
      <w:pPr>
        <w:pStyle w:val="Heading1"/>
      </w:pPr>
      <w:bookmarkStart w:id="12" w:name="_Toc433984464"/>
      <w:r>
        <w:lastRenderedPageBreak/>
        <w:t>F</w:t>
      </w:r>
      <w:r w:rsidRPr="00AF3E2F">
        <w:t>inancial performance</w:t>
      </w:r>
      <w:bookmarkEnd w:id="11"/>
      <w:bookmarkEnd w:id="12"/>
    </w:p>
    <w:p w:rsidR="00336793" w:rsidRPr="00630BD2" w:rsidRDefault="00336793" w:rsidP="00DF0B96">
      <w:r>
        <w:t>Table 2.2 shows an operating surplus of $1.2 billion in 2014</w:t>
      </w:r>
      <w:r>
        <w:noBreakHyphen/>
        <w:t>15 compared with the revised 2014</w:t>
      </w:r>
      <w:r>
        <w:noBreakHyphen/>
        <w:t>15 estimate of $883 million.</w:t>
      </w:r>
    </w:p>
    <w:p w:rsidR="00336793" w:rsidRDefault="00336793" w:rsidP="00DF0B96">
      <w:pPr>
        <w:pStyle w:val="Tableheading"/>
      </w:pPr>
      <w:r w:rsidRPr="003D3596">
        <w:t>Table 2.2:</w:t>
      </w:r>
      <w:r w:rsidRPr="003D3596">
        <w:tab/>
        <w:t>Summary of operating statement</w:t>
      </w:r>
    </w:p>
    <w:p w:rsidR="00336793" w:rsidRPr="00813761" w:rsidRDefault="00336793" w:rsidP="00DF0B96">
      <w:pPr>
        <w:pStyle w:val="million"/>
        <w:rPr>
          <w:rFonts w:ascii="Times New Roman" w:hAnsi="Times New Roman"/>
          <w:i w:val="0"/>
          <w:szCs w:val="20"/>
          <w:lang w:eastAsia="en-AU"/>
        </w:rPr>
      </w:pPr>
      <w:r w:rsidRPr="003D3596">
        <w:t>($</w:t>
      </w: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4967"/>
        <w:gridCol w:w="934"/>
        <w:gridCol w:w="934"/>
        <w:gridCol w:w="934"/>
        <w:gridCol w:w="934"/>
        <w:gridCol w:w="934"/>
      </w:tblGrid>
      <w:tr w:rsidR="00336793" w:rsidRPr="00813761" w:rsidTr="00DF0B96">
        <w:tc>
          <w:tcPr>
            <w:tcW w:w="4967" w:type="dxa"/>
            <w:tcBorders>
              <w:top w:val="single" w:sz="6" w:space="0" w:color="000000"/>
              <w:left w:val="single" w:sz="6" w:space="0" w:color="000000"/>
              <w:bottom w:val="single" w:sz="6" w:space="0" w:color="000000"/>
              <w:right w:val="nil"/>
            </w:tcBorders>
            <w:shd w:val="clear" w:color="000000" w:fill="000000"/>
          </w:tcPr>
          <w:p w:rsidR="00336793" w:rsidRPr="00813761" w:rsidRDefault="00336793" w:rsidP="00DF0B96">
            <w:pPr>
              <w:pStyle w:val="Tabletext"/>
              <w:rPr>
                <w:rFonts w:eastAsiaTheme="minorEastAsia"/>
                <w:i/>
                <w:lang w:eastAsia="en-AU"/>
              </w:rPr>
            </w:pPr>
            <w:r w:rsidRPr="00813761">
              <w:rPr>
                <w:rFonts w:eastAsiaTheme="minorEastAsia"/>
                <w:i/>
                <w:lang w:eastAsia="en-AU"/>
              </w:rPr>
              <w:t xml:space="preserve"> </w:t>
            </w:r>
          </w:p>
        </w:tc>
        <w:tc>
          <w:tcPr>
            <w:tcW w:w="934" w:type="dxa"/>
            <w:tcBorders>
              <w:top w:val="single" w:sz="6" w:space="0" w:color="000000"/>
              <w:left w:val="nil"/>
              <w:bottom w:val="single" w:sz="6" w:space="0" w:color="000000"/>
              <w:right w:val="nil"/>
            </w:tcBorders>
            <w:shd w:val="clear" w:color="000000" w:fill="000000"/>
          </w:tcPr>
          <w:p w:rsidR="00336793" w:rsidRPr="00813761" w:rsidRDefault="00336793" w:rsidP="00DF0B96">
            <w:pPr>
              <w:pStyle w:val="Tabletextheading"/>
              <w:rPr>
                <w:rFonts w:eastAsiaTheme="minorEastAsia"/>
                <w:color w:val="FFFFFF"/>
                <w:lang w:eastAsia="en-AU"/>
              </w:rPr>
            </w:pPr>
            <w:r w:rsidRPr="00813761">
              <w:rPr>
                <w:rFonts w:eastAsiaTheme="minorEastAsia"/>
                <w:color w:val="FFFFFF"/>
                <w:lang w:eastAsia="en-AU"/>
              </w:rPr>
              <w:t>2014</w:t>
            </w:r>
            <w:r>
              <w:rPr>
                <w:rFonts w:eastAsiaTheme="minorEastAsia"/>
                <w:color w:val="FFFFFF"/>
                <w:lang w:eastAsia="en-AU"/>
              </w:rPr>
              <w:noBreakHyphen/>
            </w:r>
            <w:r w:rsidRPr="00813761">
              <w:rPr>
                <w:rFonts w:eastAsiaTheme="minorEastAsia"/>
                <w:color w:val="FFFFFF"/>
                <w:lang w:eastAsia="en-AU"/>
              </w:rPr>
              <w:t>15 actual</w:t>
            </w:r>
          </w:p>
        </w:tc>
        <w:tc>
          <w:tcPr>
            <w:tcW w:w="934" w:type="dxa"/>
            <w:tcBorders>
              <w:top w:val="single" w:sz="6" w:space="0" w:color="000000"/>
              <w:left w:val="nil"/>
              <w:bottom w:val="single" w:sz="6" w:space="0" w:color="000000"/>
              <w:right w:val="nil"/>
            </w:tcBorders>
            <w:shd w:val="clear" w:color="000000" w:fill="000000"/>
          </w:tcPr>
          <w:p w:rsidR="00336793" w:rsidRPr="00813761" w:rsidRDefault="00336793" w:rsidP="00DF0B96">
            <w:pPr>
              <w:pStyle w:val="Tabletextheading"/>
              <w:rPr>
                <w:rFonts w:eastAsiaTheme="minorEastAsia" w:cs="Calibri"/>
                <w:iCs/>
                <w:color w:val="FFFFFF"/>
                <w:szCs w:val="22"/>
                <w:lang w:eastAsia="en-AU"/>
              </w:rPr>
            </w:pPr>
            <w:r w:rsidRPr="00813761">
              <w:rPr>
                <w:rFonts w:eastAsiaTheme="minorEastAsia"/>
                <w:color w:val="FFFFFF"/>
                <w:lang w:eastAsia="en-AU"/>
              </w:rPr>
              <w:t>2014</w:t>
            </w:r>
            <w:r>
              <w:rPr>
                <w:rFonts w:eastAsiaTheme="minorEastAsia"/>
                <w:color w:val="FFFFFF"/>
                <w:lang w:eastAsia="en-AU"/>
              </w:rPr>
              <w:noBreakHyphen/>
            </w:r>
            <w:r w:rsidRPr="00813761">
              <w:rPr>
                <w:rFonts w:eastAsiaTheme="minorEastAsia"/>
                <w:color w:val="FFFFFF"/>
                <w:lang w:eastAsia="en-AU"/>
              </w:rPr>
              <w:t>15 revised</w:t>
            </w:r>
          </w:p>
        </w:tc>
        <w:tc>
          <w:tcPr>
            <w:tcW w:w="934" w:type="dxa"/>
            <w:tcBorders>
              <w:top w:val="single" w:sz="6" w:space="0" w:color="000000"/>
              <w:left w:val="nil"/>
              <w:bottom w:val="single" w:sz="6" w:space="0" w:color="000000"/>
              <w:right w:val="nil"/>
            </w:tcBorders>
            <w:shd w:val="clear" w:color="000000" w:fill="000000"/>
          </w:tcPr>
          <w:p w:rsidR="00336793" w:rsidRPr="00813761" w:rsidRDefault="00336793" w:rsidP="00DF0B96">
            <w:pPr>
              <w:pStyle w:val="Tabletextheading"/>
              <w:rPr>
                <w:rFonts w:eastAsiaTheme="minorEastAsia"/>
                <w:color w:val="FFFFFF"/>
                <w:lang w:eastAsia="en-AU"/>
              </w:rPr>
            </w:pPr>
            <w:r w:rsidRPr="00813761">
              <w:rPr>
                <w:rFonts w:eastAsiaTheme="minorEastAsia"/>
                <w:color w:val="FFFFFF"/>
                <w:lang w:eastAsia="en-AU"/>
              </w:rPr>
              <w:t>Revised variance</w:t>
            </w:r>
          </w:p>
        </w:tc>
        <w:tc>
          <w:tcPr>
            <w:tcW w:w="934" w:type="dxa"/>
            <w:tcBorders>
              <w:top w:val="single" w:sz="6" w:space="0" w:color="000000"/>
              <w:left w:val="nil"/>
              <w:bottom w:val="single" w:sz="6" w:space="0" w:color="000000"/>
              <w:right w:val="nil"/>
            </w:tcBorders>
            <w:shd w:val="clear" w:color="000000" w:fill="000000"/>
          </w:tcPr>
          <w:p w:rsidR="00336793" w:rsidRPr="00813761" w:rsidRDefault="00336793" w:rsidP="00DF0B96">
            <w:pPr>
              <w:pStyle w:val="Tabletextheading"/>
              <w:rPr>
                <w:rFonts w:eastAsiaTheme="minorEastAsia"/>
                <w:color w:val="FFFFFF"/>
                <w:lang w:eastAsia="en-AU"/>
              </w:rPr>
            </w:pPr>
            <w:r w:rsidRPr="00813761">
              <w:rPr>
                <w:rFonts w:eastAsiaTheme="minorEastAsia"/>
                <w:color w:val="FFFFFF"/>
                <w:lang w:eastAsia="en-AU"/>
              </w:rPr>
              <w:t>% revised variance</w:t>
            </w:r>
          </w:p>
        </w:tc>
        <w:tc>
          <w:tcPr>
            <w:tcW w:w="934" w:type="dxa"/>
            <w:tcBorders>
              <w:top w:val="single" w:sz="6" w:space="0" w:color="000000"/>
              <w:left w:val="nil"/>
              <w:bottom w:val="single" w:sz="6" w:space="0" w:color="000000"/>
              <w:right w:val="single" w:sz="6" w:space="0" w:color="000000"/>
            </w:tcBorders>
            <w:shd w:val="clear" w:color="000000" w:fill="000000"/>
          </w:tcPr>
          <w:p w:rsidR="00336793" w:rsidRPr="00813761" w:rsidRDefault="00336793" w:rsidP="00DF0B96">
            <w:pPr>
              <w:pStyle w:val="Tabletextheading"/>
              <w:rPr>
                <w:rFonts w:eastAsiaTheme="minorEastAsia" w:cs="Calibri"/>
                <w:iCs/>
                <w:color w:val="FFFFFF"/>
                <w:szCs w:val="22"/>
                <w:vertAlign w:val="superscript"/>
                <w:lang w:eastAsia="en-AU"/>
              </w:rPr>
            </w:pPr>
            <w:r w:rsidRPr="00813761">
              <w:rPr>
                <w:rFonts w:eastAsiaTheme="minorEastAsia"/>
                <w:color w:val="FFFFFF"/>
                <w:lang w:eastAsia="en-AU"/>
              </w:rPr>
              <w:t>2013</w:t>
            </w:r>
            <w:r>
              <w:rPr>
                <w:rFonts w:eastAsiaTheme="minorEastAsia"/>
                <w:color w:val="FFFFFF"/>
                <w:lang w:eastAsia="en-AU"/>
              </w:rPr>
              <w:noBreakHyphen/>
            </w:r>
            <w:r w:rsidRPr="00813761">
              <w:rPr>
                <w:rFonts w:eastAsiaTheme="minorEastAsia"/>
                <w:color w:val="FFFFFF"/>
                <w:lang w:eastAsia="en-AU"/>
              </w:rPr>
              <w:t>14 actual</w:t>
            </w:r>
            <w:r w:rsidRPr="00813761">
              <w:rPr>
                <w:rFonts w:eastAsiaTheme="minorEastAsia"/>
                <w:color w:val="FFFFFF"/>
                <w:vertAlign w:val="superscript"/>
                <w:lang w:eastAsia="en-AU"/>
              </w:rPr>
              <w:t>(</w:t>
            </w:r>
            <w:r w:rsidRPr="00813761">
              <w:rPr>
                <w:rFonts w:eastAsiaTheme="minorEastAsia" w:cs="Calibri"/>
                <w:iCs/>
                <w:color w:val="FFFFFF"/>
                <w:szCs w:val="22"/>
                <w:vertAlign w:val="superscript"/>
                <w:lang w:eastAsia="en-AU"/>
              </w:rPr>
              <w:t>a)</w:t>
            </w:r>
          </w:p>
        </w:tc>
      </w:tr>
      <w:tr w:rsidR="00336793" w:rsidRPr="00813761" w:rsidTr="00DF0B96">
        <w:tc>
          <w:tcPr>
            <w:tcW w:w="4967" w:type="dxa"/>
            <w:tcBorders>
              <w:top w:val="single" w:sz="6" w:space="0" w:color="000000"/>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Revenue from transactions</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Taxation revenue</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18 339</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18 274</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65</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0.4</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16 901</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Interest revenue</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827</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825</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2</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0.3</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831</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Dividends and income tax equivalent and rate equivalent revenue</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szCs w:val="22"/>
                <w:lang w:eastAsia="en-AU"/>
              </w:rPr>
            </w:pPr>
            <w:r w:rsidRPr="00813761">
              <w:rPr>
                <w:rFonts w:eastAsiaTheme="minorEastAsia"/>
                <w:lang w:eastAsia="en-AU"/>
              </w:rPr>
              <w:t>1 113</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1 025</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87</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8.5</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446</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Sales of goods and services</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6 482</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6 525</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43)</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0.7)</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6 725</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Grant revenue</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24 503</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24 584</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81)</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0.3)</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25 145</w:t>
            </w:r>
          </w:p>
        </w:tc>
      </w:tr>
      <w:tr w:rsidR="00336793" w:rsidRPr="00813761" w:rsidTr="00DF0B96">
        <w:tc>
          <w:tcPr>
            <w:tcW w:w="4967" w:type="dxa"/>
            <w:tcBorders>
              <w:top w:val="nil"/>
              <w:left w:val="nil"/>
              <w:bottom w:val="single" w:sz="6" w:space="0" w:color="000000"/>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Other revenue</w:t>
            </w:r>
          </w:p>
        </w:tc>
        <w:tc>
          <w:tcPr>
            <w:tcW w:w="934"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2 508</w:t>
            </w:r>
          </w:p>
        </w:tc>
        <w:tc>
          <w:tcPr>
            <w:tcW w:w="934"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2 309</w:t>
            </w:r>
          </w:p>
        </w:tc>
        <w:tc>
          <w:tcPr>
            <w:tcW w:w="934"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200</w:t>
            </w:r>
          </w:p>
        </w:tc>
        <w:tc>
          <w:tcPr>
            <w:tcW w:w="934"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8.7</w:t>
            </w:r>
          </w:p>
        </w:tc>
        <w:tc>
          <w:tcPr>
            <w:tcW w:w="934"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2 317</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Total revenue from transactions</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53 772</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53 542</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230</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0.4</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52 365</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Expenses from transactions</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vertAlign w:val="superscript"/>
                <w:lang w:eastAsia="en-AU"/>
              </w:rPr>
            </w:pPr>
            <w:r w:rsidRPr="00813761">
              <w:rPr>
                <w:rFonts w:eastAsiaTheme="minorEastAsia"/>
                <w:lang w:eastAsia="en-AU"/>
              </w:rPr>
              <w:t>Employee expenses</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18 834</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18 478</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356</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1.9</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18 004</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vertAlign w:val="superscript"/>
                <w:lang w:eastAsia="en-AU"/>
              </w:rPr>
            </w:pPr>
            <w:r w:rsidRPr="00813761">
              <w:rPr>
                <w:rFonts w:eastAsiaTheme="minorEastAsia"/>
                <w:lang w:eastAsia="en-AU"/>
              </w:rPr>
              <w:t>Superannuation interest expense</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1 038</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1 038</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1 075</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vertAlign w:val="superscript"/>
                <w:lang w:eastAsia="en-AU"/>
              </w:rPr>
            </w:pPr>
            <w:r w:rsidRPr="00813761">
              <w:rPr>
                <w:rFonts w:eastAsiaTheme="minorEastAsia"/>
                <w:lang w:eastAsia="en-AU"/>
              </w:rPr>
              <w:t>Other superannuation</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1 978</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1 864</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114</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6.1</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1 843</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vertAlign w:val="superscript"/>
                <w:lang w:eastAsia="en-AU"/>
              </w:rPr>
            </w:pPr>
            <w:r w:rsidRPr="00813761">
              <w:rPr>
                <w:rFonts w:eastAsiaTheme="minorEastAsia"/>
                <w:lang w:eastAsia="en-AU"/>
              </w:rPr>
              <w:t>Depreciation</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2 425</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2 497</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72)</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2.9)</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2 404</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Interest expense</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2 102</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2 103</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Pr>
                <w:rFonts w:eastAsiaTheme="minorEastAsia" w:cs="Calibri"/>
                <w:color w:val="000000"/>
                <w:szCs w:val="22"/>
                <w:lang w:eastAsia="en-AU"/>
              </w:rPr>
              <w:t>1</w:t>
            </w:r>
            <w:r w:rsidRPr="00813761">
              <w:rPr>
                <w:rFonts w:eastAsiaTheme="minorEastAsia" w:cs="Calibri"/>
                <w:color w:val="000000"/>
                <w:szCs w:val="22"/>
                <w:lang w:eastAsia="en-AU"/>
              </w:rPr>
              <w:t>)</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2 138</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Other operating expenses</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17 651</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18 459</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808)</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4.4)</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17 360</w:t>
            </w:r>
          </w:p>
        </w:tc>
      </w:tr>
      <w:tr w:rsidR="00336793" w:rsidRPr="00813761" w:rsidTr="00DF0B96">
        <w:tc>
          <w:tcPr>
            <w:tcW w:w="4967" w:type="dxa"/>
            <w:tcBorders>
              <w:top w:val="nil"/>
              <w:left w:val="nil"/>
              <w:bottom w:val="nil"/>
              <w:right w:val="nil"/>
            </w:tcBorders>
            <w:shd w:val="solid" w:color="FFFFFF" w:fill="auto"/>
          </w:tcPr>
          <w:p w:rsidR="00336793" w:rsidRPr="00813761" w:rsidRDefault="00336793" w:rsidP="00DF0B96">
            <w:pPr>
              <w:pStyle w:val="Tabletext"/>
              <w:rPr>
                <w:rFonts w:eastAsiaTheme="minorEastAsia" w:cs="Calibri"/>
                <w:color w:val="000000"/>
                <w:szCs w:val="22"/>
                <w:lang w:eastAsia="en-AU"/>
              </w:rPr>
            </w:pPr>
            <w:r w:rsidRPr="00813761">
              <w:rPr>
                <w:rFonts w:eastAsiaTheme="minorEastAsia"/>
                <w:lang w:eastAsia="en-AU"/>
              </w:rPr>
              <w:t>Grant expense</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8 529</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8 220</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309</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3.8</w:t>
            </w:r>
          </w:p>
        </w:tc>
        <w:tc>
          <w:tcPr>
            <w:tcW w:w="934"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7 561</w:t>
            </w:r>
          </w:p>
        </w:tc>
      </w:tr>
      <w:tr w:rsidR="00336793" w:rsidRPr="00813761" w:rsidTr="00DF0B96">
        <w:tc>
          <w:tcPr>
            <w:tcW w:w="4967" w:type="dxa"/>
            <w:tcBorders>
              <w:top w:val="single" w:sz="6" w:space="0" w:color="000000"/>
              <w:left w:val="nil"/>
              <w:bottom w:val="nil"/>
              <w:right w:val="nil"/>
            </w:tcBorders>
            <w:shd w:val="solid" w:color="FFFFFF" w:fill="auto"/>
          </w:tcPr>
          <w:p w:rsidR="00336793" w:rsidRPr="00813761" w:rsidRDefault="00336793" w:rsidP="00DF0B96">
            <w:pPr>
              <w:pStyle w:val="Tabletext"/>
              <w:rPr>
                <w:rFonts w:eastAsiaTheme="minorEastAsia"/>
                <w:b/>
                <w:bCs/>
                <w:vertAlign w:val="superscript"/>
                <w:lang w:eastAsia="en-AU"/>
              </w:rPr>
            </w:pPr>
            <w:r w:rsidRPr="00813761">
              <w:rPr>
                <w:rFonts w:eastAsiaTheme="minorEastAsia"/>
                <w:b/>
                <w:bCs/>
                <w:lang w:eastAsia="en-AU"/>
              </w:rPr>
              <w:t>Total expenses from transactions</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52 558</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52 659</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101)</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0.2)</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50 385</w:t>
            </w:r>
          </w:p>
        </w:tc>
      </w:tr>
      <w:tr w:rsidR="00336793" w:rsidRPr="00813761" w:rsidTr="00DF0B96">
        <w:tc>
          <w:tcPr>
            <w:tcW w:w="4967" w:type="dxa"/>
            <w:tcBorders>
              <w:top w:val="single" w:sz="6" w:space="0" w:color="000000"/>
              <w:left w:val="nil"/>
              <w:bottom w:val="nil"/>
              <w:right w:val="nil"/>
            </w:tcBorders>
            <w:shd w:val="solid" w:color="FFFFFF" w:fill="auto"/>
          </w:tcPr>
          <w:p w:rsidR="00336793" w:rsidRPr="00813761" w:rsidRDefault="00336793" w:rsidP="00DF0B96">
            <w:pPr>
              <w:pStyle w:val="Tabletext"/>
              <w:rPr>
                <w:rFonts w:eastAsiaTheme="minorEastAsia"/>
                <w:b/>
                <w:bCs/>
                <w:vertAlign w:val="superscript"/>
                <w:lang w:eastAsia="en-AU"/>
              </w:rPr>
            </w:pPr>
            <w:r w:rsidRPr="00813761">
              <w:rPr>
                <w:rFonts w:eastAsiaTheme="minorEastAsia"/>
                <w:b/>
                <w:bCs/>
                <w:lang w:eastAsia="en-AU"/>
              </w:rPr>
              <w:t>Net result from transactions – net operating balance</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cs="Calibri"/>
                <w:b/>
                <w:bCs/>
                <w:szCs w:val="22"/>
                <w:lang w:eastAsia="en-AU"/>
              </w:rPr>
            </w:pPr>
            <w:r w:rsidRPr="00813761">
              <w:rPr>
                <w:rFonts w:eastAsiaTheme="minorEastAsia"/>
                <w:b/>
                <w:bCs/>
                <w:lang w:eastAsia="en-AU"/>
              </w:rPr>
              <w:t>1 214</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883</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331</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37.5</w:t>
            </w:r>
          </w:p>
        </w:tc>
        <w:tc>
          <w:tcPr>
            <w:tcW w:w="934"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1 980</w:t>
            </w:r>
          </w:p>
        </w:tc>
      </w:tr>
      <w:tr w:rsidR="00336793" w:rsidRPr="00813761" w:rsidTr="00DF0B96">
        <w:tc>
          <w:tcPr>
            <w:tcW w:w="4967"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text"/>
              <w:rPr>
                <w:rFonts w:eastAsiaTheme="minorEastAsia"/>
                <w:b/>
                <w:bCs/>
                <w:vertAlign w:val="superscript"/>
                <w:lang w:eastAsia="en-AU"/>
              </w:rPr>
            </w:pPr>
            <w:r w:rsidRPr="00813761">
              <w:rPr>
                <w:rFonts w:eastAsiaTheme="minorEastAsia"/>
                <w:b/>
                <w:bCs/>
                <w:lang w:eastAsia="en-AU"/>
              </w:rPr>
              <w:t>Total other economic flows included in net result</w:t>
            </w:r>
          </w:p>
        </w:tc>
        <w:tc>
          <w:tcPr>
            <w:tcW w:w="934"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465)</w:t>
            </w:r>
          </w:p>
        </w:tc>
        <w:tc>
          <w:tcPr>
            <w:tcW w:w="934"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351)</w:t>
            </w:r>
          </w:p>
        </w:tc>
        <w:tc>
          <w:tcPr>
            <w:tcW w:w="934"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114)</w:t>
            </w:r>
          </w:p>
        </w:tc>
        <w:tc>
          <w:tcPr>
            <w:tcW w:w="934"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32.5</w:t>
            </w:r>
          </w:p>
        </w:tc>
        <w:tc>
          <w:tcPr>
            <w:tcW w:w="934"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(1 214)</w:t>
            </w:r>
          </w:p>
        </w:tc>
      </w:tr>
      <w:tr w:rsidR="00336793" w:rsidRPr="00813761" w:rsidTr="00DF0B96">
        <w:tc>
          <w:tcPr>
            <w:tcW w:w="4967" w:type="dxa"/>
            <w:tcBorders>
              <w:top w:val="single" w:sz="6" w:space="0" w:color="000000"/>
              <w:left w:val="nil"/>
              <w:bottom w:val="single" w:sz="12" w:space="0" w:color="000000"/>
              <w:right w:val="nil"/>
            </w:tcBorders>
            <w:shd w:val="solid" w:color="FFFFFF" w:fill="auto"/>
          </w:tcPr>
          <w:p w:rsidR="00336793" w:rsidRPr="00813761" w:rsidRDefault="00336793" w:rsidP="00DF0B96">
            <w:pPr>
              <w:pStyle w:val="Tabletext"/>
              <w:rPr>
                <w:rFonts w:eastAsiaTheme="minorEastAsia"/>
                <w:b/>
                <w:bCs/>
                <w:vertAlign w:val="superscript"/>
                <w:lang w:eastAsia="en-AU"/>
              </w:rPr>
            </w:pPr>
            <w:r w:rsidRPr="00813761">
              <w:rPr>
                <w:rFonts w:eastAsiaTheme="minorEastAsia"/>
                <w:b/>
                <w:bCs/>
                <w:lang w:eastAsia="en-AU"/>
              </w:rPr>
              <w:t>Net result</w:t>
            </w:r>
          </w:p>
        </w:tc>
        <w:tc>
          <w:tcPr>
            <w:tcW w:w="934" w:type="dxa"/>
            <w:tcBorders>
              <w:top w:val="single" w:sz="6" w:space="0" w:color="000000"/>
              <w:left w:val="nil"/>
              <w:bottom w:val="single" w:sz="12"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749</w:t>
            </w:r>
          </w:p>
        </w:tc>
        <w:tc>
          <w:tcPr>
            <w:tcW w:w="934" w:type="dxa"/>
            <w:tcBorders>
              <w:top w:val="single" w:sz="6" w:space="0" w:color="000000"/>
              <w:left w:val="nil"/>
              <w:bottom w:val="single" w:sz="12"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532</w:t>
            </w:r>
          </w:p>
        </w:tc>
        <w:tc>
          <w:tcPr>
            <w:tcW w:w="934" w:type="dxa"/>
            <w:tcBorders>
              <w:top w:val="single" w:sz="6" w:space="0" w:color="000000"/>
              <w:left w:val="nil"/>
              <w:bottom w:val="single" w:sz="12"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217</w:t>
            </w:r>
          </w:p>
        </w:tc>
        <w:tc>
          <w:tcPr>
            <w:tcW w:w="934" w:type="dxa"/>
            <w:tcBorders>
              <w:top w:val="single" w:sz="6" w:space="0" w:color="000000"/>
              <w:left w:val="nil"/>
              <w:bottom w:val="single" w:sz="12"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40.8</w:t>
            </w:r>
          </w:p>
        </w:tc>
        <w:tc>
          <w:tcPr>
            <w:tcW w:w="934" w:type="dxa"/>
            <w:tcBorders>
              <w:top w:val="single" w:sz="6" w:space="0" w:color="000000"/>
              <w:left w:val="nil"/>
              <w:bottom w:val="single" w:sz="12"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766</w:t>
            </w:r>
          </w:p>
        </w:tc>
      </w:tr>
    </w:tbl>
    <w:p w:rsidR="00336793" w:rsidRDefault="00336793" w:rsidP="00DF0B96">
      <w:pPr>
        <w:pStyle w:val="Notes"/>
      </w:pPr>
      <w:r w:rsidRPr="007B7CD4">
        <w:t>Note</w:t>
      </w:r>
      <w:r>
        <w:t xml:space="preserve">: </w:t>
      </w:r>
    </w:p>
    <w:p w:rsidR="00336793" w:rsidRDefault="00336793" w:rsidP="00DF0B96">
      <w:pPr>
        <w:pStyle w:val="Notes"/>
      </w:pPr>
      <w:r>
        <w:t>(a)</w:t>
      </w:r>
      <w:r>
        <w:tab/>
        <w:t>Certain 2013</w:t>
      </w:r>
      <w:r>
        <w:noBreakHyphen/>
        <w:t xml:space="preserve">14 comparative </w:t>
      </w:r>
      <w:r w:rsidRPr="00C55E7F">
        <w:t>figures</w:t>
      </w:r>
      <w:r>
        <w:t xml:space="preserve"> have been restated. See Chapter 4, Note 37.</w:t>
      </w:r>
    </w:p>
    <w:p w:rsidR="00336793" w:rsidRDefault="00336793" w:rsidP="00DF0B96">
      <w:pPr>
        <w:pStyle w:val="Notes"/>
      </w:pPr>
    </w:p>
    <w:p w:rsidR="00336793" w:rsidRDefault="00336793" w:rsidP="00DF0B96">
      <w:pPr>
        <w:pStyle w:val="Heading2"/>
      </w:pPr>
      <w:r w:rsidRPr="003D3596">
        <w:t>Revenue</w:t>
      </w:r>
    </w:p>
    <w:p w:rsidR="00336793" w:rsidRDefault="00336793" w:rsidP="00DF0B96">
      <w:r>
        <w:t>Total revenue from transactions for the year was $53.8 billion, which was within 0.4 per cent of the revised estimate and $1.4 billion (2.7 per cent) higher than the previous year.</w:t>
      </w:r>
    </w:p>
    <w:p w:rsidR="00336793" w:rsidRDefault="00336793" w:rsidP="00DF0B96">
      <w:r>
        <w:t>Table 2.3 shows that State taxation revenue in 2014</w:t>
      </w:r>
      <w:r>
        <w:noBreakHyphen/>
        <w:t>15 was consistent with the revised estimate. The small increase was due to stronger than expected collections of employers’ payroll and labour force taxes ($43 million) due to an increase in aggregate hours worked, along with higher collections received from the increased landfill levy rates and volumes as classified under other taxes ($23 million).</w:t>
      </w:r>
    </w:p>
    <w:p w:rsidR="00336793" w:rsidRPr="00DD548D" w:rsidRDefault="00336793" w:rsidP="00DF0B96">
      <w:r>
        <w:t>Taxation revenue increased by $1.4 billion compared to 2013</w:t>
      </w:r>
      <w:r>
        <w:noBreakHyphen/>
        <w:t>14. This was mainly due to increases in land transfer duty ($771 million) on the back of continued strength in the property market throughout 2014</w:t>
      </w:r>
      <w:r>
        <w:noBreakHyphen/>
        <w:t>15 and motor vehicle taxes reflecting the increase in light vehicle registration fees ($221 million). In addition, payroll tax collections have increased by $186 million, reflecting annual wage growth rates.</w:t>
      </w:r>
    </w:p>
    <w:p w:rsidR="00336793" w:rsidRDefault="00336793">
      <w:pPr>
        <w:spacing w:after="0"/>
        <w:rPr>
          <w:rFonts w:ascii="Calibri" w:hAnsi="Calibri"/>
          <w:b/>
          <w:sz w:val="25"/>
        </w:rPr>
      </w:pPr>
      <w:r>
        <w:br w:type="page"/>
      </w:r>
    </w:p>
    <w:p w:rsidR="00336793" w:rsidRPr="00B161D3" w:rsidRDefault="00336793" w:rsidP="00DF0B96">
      <w:pPr>
        <w:pStyle w:val="Tableheading"/>
      </w:pPr>
      <w:r w:rsidRPr="003D3596">
        <w:lastRenderedPageBreak/>
        <w:t>Table 2.3:</w:t>
      </w:r>
      <w:r w:rsidRPr="003D3596">
        <w:tab/>
        <w:t>Taxation</w:t>
      </w:r>
    </w:p>
    <w:p w:rsidR="00336793" w:rsidRPr="00813761" w:rsidRDefault="00336793" w:rsidP="00DF0B96">
      <w:pPr>
        <w:pStyle w:val="million"/>
        <w:rPr>
          <w:rFonts w:ascii="Times New Roman" w:hAnsi="Times New Roman"/>
          <w:i w:val="0"/>
          <w:szCs w:val="20"/>
          <w:lang w:eastAsia="en-AU"/>
        </w:rPr>
      </w:pPr>
      <w:r w:rsidRPr="003D3596">
        <w:t>($</w:t>
      </w:r>
      <w:r>
        <w:t> million)</w:t>
      </w:r>
    </w:p>
    <w:tbl>
      <w:tblPr>
        <w:tblW w:w="9640" w:type="dxa"/>
        <w:tblInd w:w="28" w:type="dxa"/>
        <w:tblLayout w:type="fixed"/>
        <w:tblCellMar>
          <w:left w:w="45" w:type="dxa"/>
          <w:right w:w="45" w:type="dxa"/>
        </w:tblCellMar>
        <w:tblLook w:val="0000" w:firstRow="0" w:lastRow="0" w:firstColumn="0" w:lastColumn="0" w:noHBand="0" w:noVBand="0"/>
      </w:tblPr>
      <w:tblGrid>
        <w:gridCol w:w="5777"/>
        <w:gridCol w:w="930"/>
        <w:gridCol w:w="1020"/>
        <w:gridCol w:w="1020"/>
        <w:gridCol w:w="893"/>
      </w:tblGrid>
      <w:tr w:rsidR="00336793" w:rsidRPr="00813761" w:rsidTr="00DF0B96">
        <w:tc>
          <w:tcPr>
            <w:tcW w:w="5777" w:type="dxa"/>
            <w:tcBorders>
              <w:top w:val="single" w:sz="6" w:space="0" w:color="000000"/>
              <w:left w:val="single" w:sz="6" w:space="0" w:color="000000"/>
              <w:bottom w:val="single" w:sz="6" w:space="0" w:color="000000"/>
              <w:right w:val="nil"/>
            </w:tcBorders>
            <w:shd w:val="clear" w:color="000000" w:fill="000000"/>
          </w:tcPr>
          <w:p w:rsidR="00336793" w:rsidRPr="00813761" w:rsidRDefault="00336793" w:rsidP="00DF0B96">
            <w:pPr>
              <w:pStyle w:val="Tabletext"/>
              <w:rPr>
                <w:rFonts w:eastAsiaTheme="minorEastAsia"/>
                <w:i/>
                <w:lang w:eastAsia="en-AU"/>
              </w:rPr>
            </w:pPr>
            <w:r w:rsidRPr="00813761">
              <w:rPr>
                <w:rFonts w:eastAsiaTheme="minorEastAsia"/>
                <w:i/>
                <w:lang w:eastAsia="en-AU"/>
              </w:rPr>
              <w:t xml:space="preserve"> </w:t>
            </w:r>
          </w:p>
        </w:tc>
        <w:tc>
          <w:tcPr>
            <w:tcW w:w="930" w:type="dxa"/>
            <w:tcBorders>
              <w:top w:val="single" w:sz="6" w:space="0" w:color="000000"/>
              <w:left w:val="nil"/>
              <w:bottom w:val="single" w:sz="6" w:space="0" w:color="000000"/>
              <w:right w:val="nil"/>
            </w:tcBorders>
            <w:shd w:val="clear" w:color="000000" w:fill="000000"/>
          </w:tcPr>
          <w:p w:rsidR="00336793" w:rsidRPr="00813761" w:rsidRDefault="00336793" w:rsidP="00DF0B96">
            <w:pPr>
              <w:pStyle w:val="Tabletextheading"/>
              <w:rPr>
                <w:rFonts w:eastAsiaTheme="minorEastAsia"/>
                <w:color w:val="FFFFFF"/>
                <w:lang w:eastAsia="en-AU"/>
              </w:rPr>
            </w:pPr>
            <w:r w:rsidRPr="00813761">
              <w:rPr>
                <w:rFonts w:eastAsiaTheme="minorEastAsia"/>
                <w:color w:val="FFFFFF"/>
                <w:lang w:eastAsia="en-AU"/>
              </w:rPr>
              <w:t>2014</w:t>
            </w:r>
            <w:r>
              <w:rPr>
                <w:rFonts w:eastAsiaTheme="minorEastAsia"/>
                <w:color w:val="FFFFFF"/>
                <w:lang w:eastAsia="en-AU"/>
              </w:rPr>
              <w:noBreakHyphen/>
            </w:r>
            <w:r w:rsidRPr="00813761">
              <w:rPr>
                <w:rFonts w:eastAsiaTheme="minorEastAsia"/>
                <w:color w:val="FFFFFF"/>
                <w:lang w:eastAsia="en-AU"/>
              </w:rPr>
              <w:t>15 actual</w:t>
            </w:r>
          </w:p>
        </w:tc>
        <w:tc>
          <w:tcPr>
            <w:tcW w:w="1020" w:type="dxa"/>
            <w:tcBorders>
              <w:top w:val="single" w:sz="6" w:space="0" w:color="000000"/>
              <w:left w:val="nil"/>
              <w:bottom w:val="single" w:sz="6" w:space="0" w:color="000000"/>
              <w:right w:val="nil"/>
            </w:tcBorders>
            <w:shd w:val="clear" w:color="000000" w:fill="000000"/>
          </w:tcPr>
          <w:p w:rsidR="00336793" w:rsidRPr="00813761" w:rsidRDefault="00336793" w:rsidP="00DF0B96">
            <w:pPr>
              <w:pStyle w:val="Tabletextheading"/>
              <w:rPr>
                <w:rFonts w:eastAsiaTheme="minorEastAsia"/>
                <w:color w:val="FFFFFF"/>
                <w:lang w:eastAsia="en-AU"/>
              </w:rPr>
            </w:pPr>
            <w:r w:rsidRPr="00813761">
              <w:rPr>
                <w:rFonts w:eastAsiaTheme="minorEastAsia"/>
                <w:color w:val="FFFFFF"/>
                <w:lang w:eastAsia="en-AU"/>
              </w:rPr>
              <w:t>2014</w:t>
            </w:r>
            <w:r>
              <w:rPr>
                <w:rFonts w:eastAsiaTheme="minorEastAsia"/>
                <w:color w:val="FFFFFF"/>
                <w:lang w:eastAsia="en-AU"/>
              </w:rPr>
              <w:noBreakHyphen/>
            </w:r>
            <w:r w:rsidRPr="00813761">
              <w:rPr>
                <w:rFonts w:eastAsiaTheme="minorEastAsia"/>
                <w:color w:val="FFFFFF"/>
                <w:lang w:eastAsia="en-AU"/>
              </w:rPr>
              <w:t>15 revised</w:t>
            </w:r>
          </w:p>
        </w:tc>
        <w:tc>
          <w:tcPr>
            <w:tcW w:w="1020" w:type="dxa"/>
            <w:tcBorders>
              <w:top w:val="single" w:sz="6" w:space="0" w:color="000000"/>
              <w:left w:val="nil"/>
              <w:bottom w:val="single" w:sz="6" w:space="0" w:color="000000"/>
              <w:right w:val="nil"/>
            </w:tcBorders>
            <w:shd w:val="clear" w:color="000000" w:fill="000000"/>
          </w:tcPr>
          <w:p w:rsidR="00336793" w:rsidRPr="00813761" w:rsidRDefault="00336793" w:rsidP="00DF0B96">
            <w:pPr>
              <w:pStyle w:val="Tabletextheading"/>
              <w:rPr>
                <w:rFonts w:eastAsiaTheme="minorEastAsia"/>
                <w:color w:val="FFFFFF"/>
                <w:lang w:eastAsia="en-AU"/>
              </w:rPr>
            </w:pPr>
            <w:r w:rsidRPr="00813761">
              <w:rPr>
                <w:rFonts w:eastAsiaTheme="minorEastAsia"/>
                <w:color w:val="FFFFFF"/>
                <w:lang w:eastAsia="en-AU"/>
              </w:rPr>
              <w:t>Revised variance</w:t>
            </w:r>
          </w:p>
        </w:tc>
        <w:tc>
          <w:tcPr>
            <w:tcW w:w="893" w:type="dxa"/>
            <w:tcBorders>
              <w:top w:val="single" w:sz="6" w:space="0" w:color="000000"/>
              <w:left w:val="nil"/>
              <w:bottom w:val="single" w:sz="6" w:space="0" w:color="000000"/>
              <w:right w:val="single" w:sz="6" w:space="0" w:color="000000"/>
            </w:tcBorders>
            <w:shd w:val="clear" w:color="000000" w:fill="000000"/>
          </w:tcPr>
          <w:p w:rsidR="00336793" w:rsidRPr="00813761" w:rsidRDefault="00336793" w:rsidP="00DF0B96">
            <w:pPr>
              <w:pStyle w:val="Tabletextheading"/>
              <w:rPr>
                <w:rFonts w:eastAsiaTheme="minorEastAsia"/>
                <w:color w:val="FFFFFF"/>
                <w:lang w:eastAsia="en-AU"/>
              </w:rPr>
            </w:pPr>
            <w:r w:rsidRPr="00813761">
              <w:rPr>
                <w:rFonts w:eastAsiaTheme="minorEastAsia"/>
                <w:color w:val="FFFFFF"/>
                <w:lang w:eastAsia="en-AU"/>
              </w:rPr>
              <w:t>% change</w:t>
            </w:r>
          </w:p>
        </w:tc>
      </w:tr>
      <w:tr w:rsidR="00336793" w:rsidRPr="00813761" w:rsidTr="00DF0B96">
        <w:tc>
          <w:tcPr>
            <w:tcW w:w="5777" w:type="dxa"/>
            <w:tcBorders>
              <w:top w:val="single" w:sz="6" w:space="0" w:color="000000"/>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Taxes on employers</w:t>
            </w:r>
            <w:r>
              <w:rPr>
                <w:rFonts w:eastAsiaTheme="minorEastAsia"/>
                <w:b/>
                <w:bCs/>
                <w:lang w:eastAsia="en-AU"/>
              </w:rPr>
              <w:t>’</w:t>
            </w:r>
            <w:r w:rsidRPr="00813761">
              <w:rPr>
                <w:rFonts w:eastAsiaTheme="minorEastAsia"/>
                <w:b/>
                <w:bCs/>
                <w:lang w:eastAsia="en-AU"/>
              </w:rPr>
              <w:t xml:space="preserve"> payroll and labour force</w:t>
            </w:r>
          </w:p>
        </w:tc>
        <w:tc>
          <w:tcPr>
            <w:tcW w:w="930"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5 135</w:t>
            </w:r>
          </w:p>
        </w:tc>
        <w:tc>
          <w:tcPr>
            <w:tcW w:w="1020"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5 092</w:t>
            </w:r>
          </w:p>
        </w:tc>
        <w:tc>
          <w:tcPr>
            <w:tcW w:w="1020"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43</w:t>
            </w:r>
          </w:p>
        </w:tc>
        <w:tc>
          <w:tcPr>
            <w:tcW w:w="893"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0.9</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Taxes on immovable property</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Land tax</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1 753</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1 796</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43)</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2.4)</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Fire services property levy</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588</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586</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3</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0.5</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Congestion levy</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111</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122</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11)</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9.0)</w:t>
            </w:r>
          </w:p>
        </w:tc>
      </w:tr>
      <w:tr w:rsidR="00336793" w:rsidRPr="00813761" w:rsidTr="00DF0B96">
        <w:tc>
          <w:tcPr>
            <w:tcW w:w="5777" w:type="dxa"/>
            <w:tcBorders>
              <w:top w:val="nil"/>
              <w:left w:val="nil"/>
              <w:bottom w:val="single" w:sz="6" w:space="0" w:color="000000"/>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Metropolitan improvement levy</w:t>
            </w:r>
          </w:p>
        </w:tc>
        <w:tc>
          <w:tcPr>
            <w:tcW w:w="930"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153</w:t>
            </w:r>
          </w:p>
        </w:tc>
        <w:tc>
          <w:tcPr>
            <w:tcW w:w="1020"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146</w:t>
            </w:r>
          </w:p>
        </w:tc>
        <w:tc>
          <w:tcPr>
            <w:tcW w:w="1020"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7</w:t>
            </w:r>
          </w:p>
        </w:tc>
        <w:tc>
          <w:tcPr>
            <w:tcW w:w="893"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4.7</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Total taxes on immovable property</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2 604</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2 649</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44)</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1.7)</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Financial and capital transactions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Land transfer duty</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4 938</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4 886</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52</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1.1</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Other property duties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2</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2</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Pr>
                <w:rFonts w:eastAsiaTheme="minorEastAsia"/>
                <w:lang w:eastAsia="en-AU"/>
              </w:rPr>
              <w:t>..</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Pr>
                <w:rFonts w:eastAsiaTheme="minorEastAsia"/>
                <w:lang w:eastAsia="en-AU"/>
              </w:rPr>
              <w:t>..</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Financial accommodation levy</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105</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129</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25)</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19.2)</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Growth areas infrastructure contribution</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129</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103</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26</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25.5</w:t>
            </w:r>
          </w:p>
        </w:tc>
      </w:tr>
      <w:tr w:rsidR="00336793" w:rsidRPr="00813761" w:rsidTr="00DF0B96">
        <w:tc>
          <w:tcPr>
            <w:tcW w:w="5777" w:type="dxa"/>
            <w:tcBorders>
              <w:top w:val="single" w:sz="6" w:space="0" w:color="000000"/>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Total financial and capital transactions</w:t>
            </w:r>
          </w:p>
        </w:tc>
        <w:tc>
          <w:tcPr>
            <w:tcW w:w="930"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5 174</w:t>
            </w:r>
          </w:p>
        </w:tc>
        <w:tc>
          <w:tcPr>
            <w:tcW w:w="1020"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5 120</w:t>
            </w:r>
          </w:p>
        </w:tc>
        <w:tc>
          <w:tcPr>
            <w:tcW w:w="1020"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54</w:t>
            </w:r>
          </w:p>
        </w:tc>
        <w:tc>
          <w:tcPr>
            <w:tcW w:w="893" w:type="dxa"/>
            <w:tcBorders>
              <w:top w:val="single" w:sz="6" w:space="0" w:color="000000"/>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1.1</w:t>
            </w:r>
          </w:p>
        </w:tc>
      </w:tr>
      <w:tr w:rsidR="00336793" w:rsidRPr="00813761" w:rsidTr="00DF0B96">
        <w:tc>
          <w:tcPr>
            <w:tcW w:w="5777"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Total taxes on property</w:t>
            </w:r>
          </w:p>
        </w:tc>
        <w:tc>
          <w:tcPr>
            <w:tcW w:w="930"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7 778</w:t>
            </w:r>
          </w:p>
        </w:tc>
        <w:tc>
          <w:tcPr>
            <w:tcW w:w="1020"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7 769</w:t>
            </w:r>
          </w:p>
        </w:tc>
        <w:tc>
          <w:tcPr>
            <w:tcW w:w="1020"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9</w:t>
            </w:r>
          </w:p>
        </w:tc>
        <w:tc>
          <w:tcPr>
            <w:tcW w:w="893"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0.1</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Taxes on the provision of goods and services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Gambling taxes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Public lotteries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401</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408</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7)</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1.7)</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Electronic gaming machines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1 059</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1 067</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8)</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0.8)</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Casino</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217</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211</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6</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2.9</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Racing</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82</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82</w:t>
            </w:r>
          </w:p>
        </w:tc>
        <w:tc>
          <w:tcPr>
            <w:tcW w:w="1020" w:type="dxa"/>
            <w:tcBorders>
              <w:top w:val="nil"/>
              <w:left w:val="nil"/>
              <w:bottom w:val="nil"/>
              <w:right w:val="nil"/>
            </w:tcBorders>
            <w:shd w:val="solid" w:color="FFFFFF" w:fill="auto"/>
          </w:tcPr>
          <w:p w:rsidR="00336793" w:rsidRPr="00813761" w:rsidRDefault="00336793" w:rsidP="00DB1F98">
            <w:pPr>
              <w:pStyle w:val="TableofFigures"/>
              <w:rPr>
                <w:rFonts w:eastAsiaTheme="minorEastAsia" w:cs="Calibri"/>
                <w:color w:val="000000"/>
                <w:szCs w:val="22"/>
                <w:lang w:eastAsia="en-AU"/>
              </w:rPr>
            </w:pPr>
            <w:r>
              <w:rPr>
                <w:rFonts w:eastAsiaTheme="minorEastAsia"/>
                <w:lang w:eastAsia="en-AU"/>
              </w:rPr>
              <w:t>..</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p>
        </w:tc>
      </w:tr>
      <w:tr w:rsidR="00336793" w:rsidRPr="00813761" w:rsidTr="00DF0B96">
        <w:tc>
          <w:tcPr>
            <w:tcW w:w="5777" w:type="dxa"/>
            <w:tcBorders>
              <w:top w:val="nil"/>
              <w:left w:val="nil"/>
              <w:bottom w:val="single" w:sz="6" w:space="0" w:color="000000"/>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Other</w:t>
            </w:r>
          </w:p>
        </w:tc>
        <w:tc>
          <w:tcPr>
            <w:tcW w:w="930"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22</w:t>
            </w:r>
          </w:p>
        </w:tc>
        <w:tc>
          <w:tcPr>
            <w:tcW w:w="1020"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23</w:t>
            </w:r>
          </w:p>
        </w:tc>
        <w:tc>
          <w:tcPr>
            <w:tcW w:w="1020"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1)</w:t>
            </w:r>
          </w:p>
        </w:tc>
        <w:tc>
          <w:tcPr>
            <w:tcW w:w="893"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cs="Calibri"/>
                <w:color w:val="000000"/>
                <w:szCs w:val="22"/>
                <w:lang w:eastAsia="en-AU"/>
              </w:rPr>
            </w:pPr>
            <w:r>
              <w:rPr>
                <w:rFonts w:eastAsiaTheme="minorEastAsia"/>
                <w:lang w:eastAsia="en-AU"/>
              </w:rPr>
              <w:t>(</w:t>
            </w:r>
            <w:r w:rsidRPr="00813761">
              <w:rPr>
                <w:rFonts w:eastAsiaTheme="minorEastAsia" w:cs="Calibri"/>
                <w:color w:val="000000"/>
                <w:szCs w:val="22"/>
                <w:lang w:eastAsia="en-AU"/>
              </w:rPr>
              <w:t>2.8)</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Total gambling taxes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1 781</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1 791</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10)</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0.6)</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Levies on statutory corporations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112</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112</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Taxes on insurance</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1 088</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1 097</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9)</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0.9)</w:t>
            </w:r>
          </w:p>
        </w:tc>
      </w:tr>
      <w:tr w:rsidR="00336793" w:rsidRPr="00813761" w:rsidTr="00DF0B96">
        <w:tc>
          <w:tcPr>
            <w:tcW w:w="5777"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Total taxes on the provision of goods and services</w:t>
            </w:r>
          </w:p>
        </w:tc>
        <w:tc>
          <w:tcPr>
            <w:tcW w:w="930"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2 980</w:t>
            </w:r>
          </w:p>
        </w:tc>
        <w:tc>
          <w:tcPr>
            <w:tcW w:w="1020"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3 000</w:t>
            </w:r>
          </w:p>
        </w:tc>
        <w:tc>
          <w:tcPr>
            <w:tcW w:w="1020"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20)</w:t>
            </w:r>
          </w:p>
        </w:tc>
        <w:tc>
          <w:tcPr>
            <w:tcW w:w="893"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0.7)</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Taxes on the use of goods and performance of activities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Motor vehicle taxes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Vehicle registration fees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1 396</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1 393</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3</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0.2</w:t>
            </w:r>
          </w:p>
        </w:tc>
      </w:tr>
      <w:tr w:rsidR="00336793" w:rsidRPr="00813761" w:rsidTr="00DF0B96">
        <w:tc>
          <w:tcPr>
            <w:tcW w:w="5777" w:type="dxa"/>
            <w:tcBorders>
              <w:top w:val="nil"/>
              <w:left w:val="nil"/>
              <w:bottom w:val="single" w:sz="6" w:space="0" w:color="000000"/>
              <w:right w:val="nil"/>
            </w:tcBorders>
            <w:shd w:val="solid" w:color="FFFFFF" w:fill="auto"/>
          </w:tcPr>
          <w:p w:rsidR="00336793" w:rsidRPr="00813761" w:rsidRDefault="00336793" w:rsidP="00DF0B96">
            <w:pPr>
              <w:pStyle w:val="Tabletext"/>
              <w:rPr>
                <w:rFonts w:eastAsiaTheme="minorEastAsia"/>
                <w:lang w:eastAsia="en-AU"/>
              </w:rPr>
            </w:pPr>
            <w:r w:rsidRPr="00813761">
              <w:rPr>
                <w:rFonts w:eastAsiaTheme="minorEastAsia"/>
                <w:lang w:eastAsia="en-AU"/>
              </w:rPr>
              <w:t>Duty on vehicle registrations and transfers</w:t>
            </w:r>
          </w:p>
        </w:tc>
        <w:tc>
          <w:tcPr>
            <w:tcW w:w="930"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720</w:t>
            </w:r>
          </w:p>
        </w:tc>
        <w:tc>
          <w:tcPr>
            <w:tcW w:w="1020"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715</w:t>
            </w:r>
          </w:p>
        </w:tc>
        <w:tc>
          <w:tcPr>
            <w:tcW w:w="1020"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5</w:t>
            </w:r>
          </w:p>
        </w:tc>
        <w:tc>
          <w:tcPr>
            <w:tcW w:w="893" w:type="dxa"/>
            <w:tcBorders>
              <w:top w:val="nil"/>
              <w:left w:val="nil"/>
              <w:bottom w:val="single" w:sz="6" w:space="0" w:color="000000"/>
              <w:right w:val="nil"/>
            </w:tcBorders>
            <w:shd w:val="solid" w:color="FFFFFF" w:fill="auto"/>
          </w:tcPr>
          <w:p w:rsidR="00336793" w:rsidRPr="00813761" w:rsidRDefault="00336793" w:rsidP="00DF0B96">
            <w:pPr>
              <w:pStyle w:val="TableofFigures"/>
              <w:rPr>
                <w:rFonts w:eastAsiaTheme="minorEastAsia"/>
                <w:lang w:eastAsia="en-AU"/>
              </w:rPr>
            </w:pPr>
            <w:r w:rsidRPr="00813761">
              <w:rPr>
                <w:rFonts w:eastAsiaTheme="minorEastAsia"/>
                <w:lang w:eastAsia="en-AU"/>
              </w:rPr>
              <w:t xml:space="preserve"> 0.7</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Total motor vehicle taxes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2 117</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2 108</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8</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0.4</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Liquor licence fees</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23</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23</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813761">
              <w:rPr>
                <w:rFonts w:eastAsiaTheme="minorEastAsia" w:cs="Calibri"/>
                <w:b/>
                <w:bCs/>
                <w:color w:val="000000"/>
                <w:szCs w:val="22"/>
                <w:lang w:eastAsia="en-AU"/>
              </w:rPr>
              <w:t>0.2)</w:t>
            </w:r>
          </w:p>
        </w:tc>
      </w:tr>
      <w:tr w:rsidR="00336793" w:rsidRPr="00813761" w:rsidTr="00DF0B96">
        <w:tc>
          <w:tcPr>
            <w:tcW w:w="5777" w:type="dxa"/>
            <w:tcBorders>
              <w:top w:val="nil"/>
              <w:left w:val="nil"/>
              <w:bottom w:val="nil"/>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Other</w:t>
            </w:r>
          </w:p>
        </w:tc>
        <w:tc>
          <w:tcPr>
            <w:tcW w:w="93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306</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283</w:t>
            </w:r>
          </w:p>
        </w:tc>
        <w:tc>
          <w:tcPr>
            <w:tcW w:w="1020"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23</w:t>
            </w:r>
          </w:p>
        </w:tc>
        <w:tc>
          <w:tcPr>
            <w:tcW w:w="893" w:type="dxa"/>
            <w:tcBorders>
              <w:top w:val="nil"/>
              <w:left w:val="nil"/>
              <w:bottom w:val="nil"/>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8.2</w:t>
            </w:r>
          </w:p>
        </w:tc>
      </w:tr>
      <w:tr w:rsidR="00336793" w:rsidRPr="00813761" w:rsidTr="00DF0B96">
        <w:tc>
          <w:tcPr>
            <w:tcW w:w="5777"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Total taxes on the use of goods and performance of activities</w:t>
            </w:r>
          </w:p>
        </w:tc>
        <w:tc>
          <w:tcPr>
            <w:tcW w:w="930"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2 445</w:t>
            </w:r>
          </w:p>
        </w:tc>
        <w:tc>
          <w:tcPr>
            <w:tcW w:w="1020"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2 413</w:t>
            </w:r>
          </w:p>
        </w:tc>
        <w:tc>
          <w:tcPr>
            <w:tcW w:w="1020"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32</w:t>
            </w:r>
          </w:p>
        </w:tc>
        <w:tc>
          <w:tcPr>
            <w:tcW w:w="893" w:type="dxa"/>
            <w:tcBorders>
              <w:top w:val="single" w:sz="6" w:space="0" w:color="000000"/>
              <w:left w:val="nil"/>
              <w:bottom w:val="single" w:sz="6"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1.3</w:t>
            </w:r>
          </w:p>
        </w:tc>
      </w:tr>
      <w:tr w:rsidR="00336793" w:rsidRPr="00813761" w:rsidTr="00DF0B96">
        <w:tc>
          <w:tcPr>
            <w:tcW w:w="5777" w:type="dxa"/>
            <w:tcBorders>
              <w:top w:val="single" w:sz="6" w:space="0" w:color="000000"/>
              <w:left w:val="nil"/>
              <w:bottom w:val="single" w:sz="12" w:space="0" w:color="000000"/>
              <w:right w:val="nil"/>
            </w:tcBorders>
            <w:shd w:val="solid" w:color="FFFFFF" w:fill="auto"/>
          </w:tcPr>
          <w:p w:rsidR="00336793" w:rsidRPr="00813761" w:rsidRDefault="00336793" w:rsidP="00DF0B96">
            <w:pPr>
              <w:pStyle w:val="Tabletext"/>
              <w:rPr>
                <w:rFonts w:eastAsiaTheme="minorEastAsia"/>
                <w:b/>
                <w:bCs/>
                <w:lang w:eastAsia="en-AU"/>
              </w:rPr>
            </w:pPr>
            <w:r w:rsidRPr="00813761">
              <w:rPr>
                <w:rFonts w:eastAsiaTheme="minorEastAsia"/>
                <w:b/>
                <w:bCs/>
                <w:lang w:eastAsia="en-AU"/>
              </w:rPr>
              <w:t>Total taxation revenue</w:t>
            </w:r>
          </w:p>
        </w:tc>
        <w:tc>
          <w:tcPr>
            <w:tcW w:w="930" w:type="dxa"/>
            <w:tcBorders>
              <w:top w:val="single" w:sz="6" w:space="0" w:color="000000"/>
              <w:left w:val="nil"/>
              <w:bottom w:val="single" w:sz="12"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18 339</w:t>
            </w:r>
          </w:p>
        </w:tc>
        <w:tc>
          <w:tcPr>
            <w:tcW w:w="1020" w:type="dxa"/>
            <w:tcBorders>
              <w:top w:val="single" w:sz="6" w:space="0" w:color="000000"/>
              <w:left w:val="nil"/>
              <w:bottom w:val="single" w:sz="12"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18 274</w:t>
            </w:r>
          </w:p>
        </w:tc>
        <w:tc>
          <w:tcPr>
            <w:tcW w:w="1020" w:type="dxa"/>
            <w:tcBorders>
              <w:top w:val="single" w:sz="6" w:space="0" w:color="000000"/>
              <w:left w:val="nil"/>
              <w:bottom w:val="single" w:sz="12"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65</w:t>
            </w:r>
          </w:p>
        </w:tc>
        <w:tc>
          <w:tcPr>
            <w:tcW w:w="893" w:type="dxa"/>
            <w:tcBorders>
              <w:top w:val="single" w:sz="6" w:space="0" w:color="000000"/>
              <w:left w:val="nil"/>
              <w:bottom w:val="single" w:sz="12" w:space="0" w:color="000000"/>
              <w:right w:val="nil"/>
            </w:tcBorders>
            <w:shd w:val="solid" w:color="FFFFFF" w:fill="auto"/>
          </w:tcPr>
          <w:p w:rsidR="00336793" w:rsidRPr="00813761" w:rsidRDefault="00336793" w:rsidP="00DF0B96">
            <w:pPr>
              <w:pStyle w:val="TableofFigures"/>
              <w:rPr>
                <w:rFonts w:eastAsiaTheme="minorEastAsia"/>
                <w:b/>
                <w:bCs/>
                <w:lang w:eastAsia="en-AU"/>
              </w:rPr>
            </w:pPr>
            <w:r w:rsidRPr="00813761">
              <w:rPr>
                <w:rFonts w:eastAsiaTheme="minorEastAsia"/>
                <w:b/>
                <w:bCs/>
                <w:lang w:eastAsia="en-AU"/>
              </w:rPr>
              <w:t xml:space="preserve"> 0.4</w:t>
            </w:r>
          </w:p>
        </w:tc>
      </w:tr>
    </w:tbl>
    <w:p w:rsidR="00336793" w:rsidRDefault="00336793" w:rsidP="00DF0B96">
      <w:pPr>
        <w:pStyle w:val="Notes"/>
      </w:pPr>
    </w:p>
    <w:p w:rsidR="00336793" w:rsidRDefault="00336793" w:rsidP="00DF0B96"/>
    <w:p w:rsidR="00336793" w:rsidRDefault="00336793" w:rsidP="00DF0B96">
      <w:r>
        <w:t>Dividends, income tax and rate equivalent revenue was $87 million (8.5 per cent) higher than the revised estimate. This reflects a higher than expected income tax equivalent payable from WorkSafe Victoria due to a stronger than expected financial performance in the year.</w:t>
      </w:r>
    </w:p>
    <w:p w:rsidR="00336793" w:rsidRDefault="00336793" w:rsidP="00DF0B96">
      <w:r>
        <w:t>Compared to the same time last year, dividends, income tax and rate equivalent revenue increased by $667 million, to $1.1 billion. This is mainly due to the interim dividends from WorkSafe Victoria and the Transport Accident Commission paid in 2014</w:t>
      </w:r>
      <w:r>
        <w:noBreakHyphen/>
        <w:t>15 rather than in 2013</w:t>
      </w:r>
      <w:r>
        <w:noBreakHyphen/>
        <w:t>14 ($404 million) and dividends received from the State Electricity Commission of Victoria and Melbourne Water in 2014</w:t>
      </w:r>
      <w:r>
        <w:noBreakHyphen/>
        <w:t xml:space="preserve">15 totalling $121 million. </w:t>
      </w:r>
    </w:p>
    <w:p w:rsidR="00336793" w:rsidRDefault="00336793">
      <w:pPr>
        <w:spacing w:after="0"/>
      </w:pPr>
      <w:r>
        <w:br w:type="page"/>
      </w:r>
    </w:p>
    <w:p w:rsidR="00336793" w:rsidRPr="008361AB" w:rsidRDefault="00336793" w:rsidP="00DF0B96">
      <w:r>
        <w:lastRenderedPageBreak/>
        <w:t>Revenue from the sales of goods and services of $6.5 billion was consistent with the revised budget estimate and $243 million (3.6 per cent) lower than in 2013</w:t>
      </w:r>
      <w:r>
        <w:noBreakHyphen/>
        <w:t>14. The year</w:t>
      </w:r>
      <w:r>
        <w:noBreakHyphen/>
        <w:t>on</w:t>
      </w:r>
      <w:r>
        <w:noBreakHyphen/>
        <w:t>year decrease primarily relates to the change in public transport fare revenue sharing arrangements with Metro Trains and Yarra Trams following the full roll</w:t>
      </w:r>
      <w:r>
        <w:noBreakHyphen/>
        <w:t xml:space="preserve">out of the </w:t>
      </w:r>
      <w:r>
        <w:rPr>
          <w:i/>
        </w:rPr>
        <w:t xml:space="preserve">myki </w:t>
      </w:r>
      <w:r>
        <w:t>ticketing system.</w:t>
      </w:r>
    </w:p>
    <w:p w:rsidR="00336793" w:rsidRDefault="00336793" w:rsidP="00DF0B96">
      <w:r>
        <w:t>Other revenue in 2014</w:t>
      </w:r>
      <w:r>
        <w:noBreakHyphen/>
        <w:t>15 was around $200 million higher than both the previous year and the revised budget estimate, with both variances driven by higher revenue than anticipated in hospitals and health services, due to higher commercial activity from a variety of sources.</w:t>
      </w:r>
    </w:p>
    <w:p w:rsidR="00336793" w:rsidRDefault="00336793" w:rsidP="00DF0B96">
      <w:pPr>
        <w:pStyle w:val="Heading2"/>
      </w:pPr>
      <w:r>
        <w:t>Expenses</w:t>
      </w:r>
    </w:p>
    <w:p w:rsidR="00336793" w:rsidRPr="00795D6D" w:rsidRDefault="00336793" w:rsidP="00DF0B96">
      <w:r>
        <w:t>Total general government sector expenses for 2014</w:t>
      </w:r>
      <w:r>
        <w:noBreakHyphen/>
        <w:t xml:space="preserve">15 were in line with expectations, being within 0.2 per cent of the revised estimate in the </w:t>
      </w:r>
      <w:r>
        <w:rPr>
          <w:i/>
        </w:rPr>
        <w:t>2015</w:t>
      </w:r>
      <w:r>
        <w:rPr>
          <w:i/>
        </w:rPr>
        <w:noBreakHyphen/>
        <w:t>16 Budget</w:t>
      </w:r>
      <w:r>
        <w:t xml:space="preserve">. When compared with the previous year, total expenses increased by $2.2 billion (4.3 per cent). </w:t>
      </w:r>
    </w:p>
    <w:p w:rsidR="00336793" w:rsidRPr="00747298" w:rsidRDefault="00336793" w:rsidP="00DF0B96">
      <w:r>
        <w:t>Employee expenses for 2014</w:t>
      </w:r>
      <w:r>
        <w:noBreakHyphen/>
        <w:t>15 were higher than anticipated in the revised budget ($356 million or 1.9 per cent) and 4.6 per cent higher than in 2013</w:t>
      </w:r>
      <w:r>
        <w:noBreakHyphen/>
        <w:t xml:space="preserve">14. Compared to the revised budget, this is largely due to higher than expected activity in health agencies and hospitals. Compared to the previous </w:t>
      </w:r>
      <w:r w:rsidRPr="00410A01">
        <w:t xml:space="preserve">year, this is due to </w:t>
      </w:r>
      <w:r>
        <w:t xml:space="preserve">increased government service delivery in health, police and correctional services as well as salary growth consistent with wages policy. </w:t>
      </w:r>
    </w:p>
    <w:p w:rsidR="00336793" w:rsidRDefault="00336793" w:rsidP="00DF0B96">
      <w:r w:rsidRPr="00747298">
        <w:t>Other superannuation expense for 2014</w:t>
      </w:r>
      <w:r>
        <w:noBreakHyphen/>
        <w:t>15 was</w:t>
      </w:r>
      <w:r w:rsidRPr="00747298">
        <w:t xml:space="preserve"> $114</w:t>
      </w:r>
      <w:r>
        <w:t> million</w:t>
      </w:r>
      <w:r w:rsidRPr="00747298">
        <w:t xml:space="preserve"> higher than expected in the revised budget </w:t>
      </w:r>
      <w:r>
        <w:t>due to increased employer contributions to defined contribution plans. This expense</w:t>
      </w:r>
      <w:r w:rsidRPr="00747298">
        <w:t xml:space="preserve"> was $135</w:t>
      </w:r>
      <w:r>
        <w:t> million</w:t>
      </w:r>
      <w:r w:rsidRPr="00747298">
        <w:t xml:space="preserve"> </w:t>
      </w:r>
      <w:r>
        <w:t>higher</w:t>
      </w:r>
      <w:r w:rsidRPr="00747298">
        <w:t xml:space="preserve"> than in 2013</w:t>
      </w:r>
      <w:r>
        <w:noBreakHyphen/>
      </w:r>
      <w:r w:rsidRPr="00747298">
        <w:t>14 due to a</w:t>
      </w:r>
      <w:r>
        <w:t xml:space="preserve"> combination of higher employer contributions to defined benefit plans along with higher service costs on defined benefit plans as a result of the fall in bond yields.</w:t>
      </w:r>
    </w:p>
    <w:p w:rsidR="00336793" w:rsidRDefault="00336793" w:rsidP="00DF0B96">
      <w:r w:rsidRPr="00572631">
        <w:t>Other operating expenses for 2014</w:t>
      </w:r>
      <w:r>
        <w:noBreakHyphen/>
      </w:r>
      <w:r w:rsidRPr="00572631">
        <w:t>15 were $17.7</w:t>
      </w:r>
      <w:r>
        <w:t> billion</w:t>
      </w:r>
      <w:r w:rsidRPr="00572631">
        <w:t>, $</w:t>
      </w:r>
      <w:r>
        <w:t>808 million</w:t>
      </w:r>
      <w:r w:rsidRPr="00572631">
        <w:t xml:space="preserve"> (4.</w:t>
      </w:r>
      <w:r>
        <w:t>4 per cent</w:t>
      </w:r>
      <w:r w:rsidRPr="00572631">
        <w:t>) lower than the revised budget and $</w:t>
      </w:r>
      <w:r>
        <w:t>291 million</w:t>
      </w:r>
      <w:r w:rsidRPr="00572631">
        <w:t xml:space="preserve"> (</w:t>
      </w:r>
      <w:r>
        <w:t>1.7 per cent</w:t>
      </w:r>
      <w:r w:rsidRPr="00572631">
        <w:t>) higher than in 2013</w:t>
      </w:r>
      <w:r>
        <w:noBreakHyphen/>
      </w:r>
      <w:r w:rsidRPr="00572631">
        <w:t xml:space="preserve">14. The reason for the decrease </w:t>
      </w:r>
      <w:r>
        <w:t>from</w:t>
      </w:r>
      <w:r w:rsidRPr="00572631">
        <w:t xml:space="preserve"> the revised budget was largely attributable to </w:t>
      </w:r>
      <w:r>
        <w:t>the deferral of the Victorian Training Guarantee subsidy</w:t>
      </w:r>
      <w:r w:rsidRPr="00572631">
        <w:t xml:space="preserve"> </w:t>
      </w:r>
      <w:r>
        <w:t>funding to 2015</w:t>
      </w:r>
      <w:r>
        <w:noBreakHyphen/>
        <w:t>16 and deferral of various health and human services’ initiatives into 2015</w:t>
      </w:r>
      <w:r>
        <w:noBreakHyphen/>
        <w:t>16</w:t>
      </w:r>
      <w:r w:rsidRPr="00013521">
        <w:t xml:space="preserve">. </w:t>
      </w:r>
      <w:r w:rsidRPr="00121F0B">
        <w:t>The increase since 2013</w:t>
      </w:r>
      <w:r>
        <w:noBreakHyphen/>
      </w:r>
      <w:r w:rsidRPr="00121F0B">
        <w:t xml:space="preserve">14 </w:t>
      </w:r>
      <w:r>
        <w:t>reflects additional spending on</w:t>
      </w:r>
      <w:r w:rsidRPr="00121F0B">
        <w:t xml:space="preserve"> </w:t>
      </w:r>
      <w:r>
        <w:t>service delivery,</w:t>
      </w:r>
      <w:r w:rsidRPr="00121F0B">
        <w:t xml:space="preserve"> </w:t>
      </w:r>
      <w:r>
        <w:t>such as meeting</w:t>
      </w:r>
      <w:r w:rsidRPr="00121F0B">
        <w:t xml:space="preserve"> demand growt</w:t>
      </w:r>
      <w:r>
        <w:t>h in health and human services as well as the impact of the cancellation of the East West Link project.</w:t>
      </w:r>
    </w:p>
    <w:p w:rsidR="00336793" w:rsidRDefault="00336793" w:rsidP="00DF0B96">
      <w:r w:rsidRPr="00B3544C">
        <w:t>Compared with 2013</w:t>
      </w:r>
      <w:r>
        <w:noBreakHyphen/>
      </w:r>
      <w:r w:rsidRPr="00B3544C">
        <w:t>14, grants and other transfer expense was $9</w:t>
      </w:r>
      <w:r>
        <w:t>68 million</w:t>
      </w:r>
      <w:r w:rsidRPr="00B3544C">
        <w:t xml:space="preserve"> (12.</w:t>
      </w:r>
      <w:r>
        <w:t>8 per cent</w:t>
      </w:r>
      <w:r w:rsidRPr="00B3544C">
        <w:t>) higher in 2014</w:t>
      </w:r>
      <w:r>
        <w:noBreakHyphen/>
      </w:r>
      <w:r w:rsidRPr="00B3544C">
        <w:t xml:space="preserve">15 due to some </w:t>
      </w:r>
      <w:r>
        <w:t>Commonwealth g</w:t>
      </w:r>
      <w:r w:rsidRPr="00B3544C">
        <w:t xml:space="preserve">overnment financial assistance and road grant payments </w:t>
      </w:r>
      <w:r>
        <w:t xml:space="preserve">being </w:t>
      </w:r>
      <w:r w:rsidRPr="00B3544C">
        <w:t>passed onto local governments ($</w:t>
      </w:r>
      <w:r>
        <w:t>444 million</w:t>
      </w:r>
      <w:r w:rsidRPr="00B3544C">
        <w:t>) and non</w:t>
      </w:r>
      <w:r>
        <w:noBreakHyphen/>
      </w:r>
      <w:r w:rsidRPr="00B3544C">
        <w:t xml:space="preserve">government schools </w:t>
      </w:r>
      <w:r>
        <w:t xml:space="preserve">grants </w:t>
      </w:r>
      <w:r w:rsidRPr="00B3544C">
        <w:t>($238</w:t>
      </w:r>
      <w:r>
        <w:t> million</w:t>
      </w:r>
      <w:r w:rsidRPr="00B3544C">
        <w:t>) being brought forward from the 2015</w:t>
      </w:r>
      <w:r>
        <w:noBreakHyphen/>
      </w:r>
      <w:r w:rsidRPr="00B3544C">
        <w:t>16 year.</w:t>
      </w:r>
      <w:r>
        <w:t xml:space="preserve"> </w:t>
      </w:r>
    </w:p>
    <w:p w:rsidR="00336793" w:rsidRDefault="00336793" w:rsidP="00DF0B96">
      <w:pPr>
        <w:pStyle w:val="Heading2"/>
      </w:pPr>
      <w:r w:rsidRPr="003D3596">
        <w:t>Other economic flows included in the net result</w:t>
      </w:r>
    </w:p>
    <w:p w:rsidR="00336793" w:rsidRDefault="00336793" w:rsidP="00DF0B96">
      <w:r>
        <w:t>The net result differs from the net result from transactions due to other economic flows, which includes various revaluation gains and losses recognised for the period.</w:t>
      </w:r>
    </w:p>
    <w:p w:rsidR="00336793" w:rsidRDefault="00336793" w:rsidP="00DF0B96">
      <w:r>
        <w:t xml:space="preserve">The net result from transactions is the Government’s net surplus measure for the purposes of its fiscal strategy. </w:t>
      </w:r>
    </w:p>
    <w:p w:rsidR="00336793" w:rsidRPr="00E9571B" w:rsidRDefault="00336793" w:rsidP="00DF0B96">
      <w:r>
        <w:t>Other economic flows included in the net result for 2014</w:t>
      </w:r>
      <w:r>
        <w:noBreakHyphen/>
        <w:t>15 totalled a net loss of $465 million, $114 million more than the revised budget, mainly driven by the revaluation of employee provisions reflecting increased bond rate movements.</w:t>
      </w:r>
    </w:p>
    <w:p w:rsidR="00336793" w:rsidRDefault="00336793">
      <w:pPr>
        <w:spacing w:after="0"/>
        <w:rPr>
          <w:rFonts w:ascii="Calibri" w:hAnsi="Calibri"/>
          <w:b/>
          <w:caps/>
          <w:sz w:val="28"/>
          <w:szCs w:val="22"/>
        </w:rPr>
      </w:pPr>
      <w:bookmarkStart w:id="13" w:name="_Toc367967886"/>
      <w:bookmarkStart w:id="14" w:name="_Toc398715632"/>
      <w:r>
        <w:br w:type="page"/>
      </w:r>
    </w:p>
    <w:p w:rsidR="00336793" w:rsidRDefault="00336793" w:rsidP="00DF0B96">
      <w:pPr>
        <w:pStyle w:val="Heading1"/>
      </w:pPr>
      <w:bookmarkStart w:id="15" w:name="_Toc433984465"/>
      <w:r w:rsidRPr="00AF3E2F">
        <w:lastRenderedPageBreak/>
        <w:t>Financial position</w:t>
      </w:r>
      <w:bookmarkEnd w:id="13"/>
      <w:bookmarkEnd w:id="14"/>
      <w:bookmarkEnd w:id="15"/>
    </w:p>
    <w:p w:rsidR="00336793" w:rsidRDefault="00336793" w:rsidP="00DF0B96">
      <w:r>
        <w:t>Table 2.4 shows the general government sector net assets increased by $7.9 billion (6.1 per cent) to $136.3 billion in the 2014</w:t>
      </w:r>
      <w:r>
        <w:noBreakHyphen/>
        <w:t>15 financial year. This was $4.3 billion (3.3 per cent) higher than expected in the 2014</w:t>
      </w:r>
      <w:r>
        <w:noBreakHyphen/>
        <w:t>15 revised budget. The main drivers are provided below.</w:t>
      </w:r>
    </w:p>
    <w:p w:rsidR="00336793" w:rsidRDefault="00336793" w:rsidP="00DF0B96">
      <w:pPr>
        <w:pStyle w:val="Tableheading"/>
      </w:pPr>
      <w:r w:rsidRPr="003D3596">
        <w:t>Table 2.4:</w:t>
      </w:r>
      <w:r w:rsidRPr="003D3596">
        <w:tab/>
        <w:t>Summary balance sheet</w:t>
      </w:r>
    </w:p>
    <w:p w:rsidR="00336793" w:rsidRPr="00C55E7F" w:rsidRDefault="00336793" w:rsidP="00DF0B96">
      <w:pPr>
        <w:pStyle w:val="million"/>
        <w:rPr>
          <w:rFonts w:ascii="Times New Roman" w:hAnsi="Times New Roman"/>
          <w:i w:val="0"/>
          <w:szCs w:val="20"/>
          <w:lang w:eastAsia="en-AU"/>
        </w:rPr>
      </w:pPr>
      <w:r w:rsidRPr="003D3596">
        <w:t>($</w:t>
      </w:r>
      <w:r>
        <w:t> million)</w:t>
      </w:r>
    </w:p>
    <w:tbl>
      <w:tblPr>
        <w:tblW w:w="9640" w:type="dxa"/>
        <w:tblInd w:w="28" w:type="dxa"/>
        <w:tblLayout w:type="fixed"/>
        <w:tblCellMar>
          <w:left w:w="45" w:type="dxa"/>
          <w:right w:w="45" w:type="dxa"/>
        </w:tblCellMar>
        <w:tblLook w:val="0000" w:firstRow="0" w:lastRow="0" w:firstColumn="0" w:lastColumn="0" w:noHBand="0" w:noVBand="0"/>
      </w:tblPr>
      <w:tblGrid>
        <w:gridCol w:w="4040"/>
        <w:gridCol w:w="1120"/>
        <w:gridCol w:w="1120"/>
        <w:gridCol w:w="1120"/>
        <w:gridCol w:w="1120"/>
        <w:gridCol w:w="1120"/>
      </w:tblGrid>
      <w:tr w:rsidR="00336793" w:rsidRPr="00C55E7F" w:rsidTr="00DF0B96">
        <w:trPr>
          <w:tblHeader/>
        </w:trPr>
        <w:tc>
          <w:tcPr>
            <w:tcW w:w="4040" w:type="dxa"/>
            <w:tcBorders>
              <w:top w:val="single" w:sz="6" w:space="0" w:color="000000"/>
              <w:left w:val="single" w:sz="6" w:space="0" w:color="000000"/>
              <w:bottom w:val="single" w:sz="6" w:space="0" w:color="000000"/>
              <w:right w:val="nil"/>
            </w:tcBorders>
            <w:shd w:val="clear" w:color="000000" w:fill="000000"/>
            <w:vAlign w:val="bottom"/>
          </w:tcPr>
          <w:p w:rsidR="00336793" w:rsidRPr="00C55E7F" w:rsidRDefault="00336793" w:rsidP="00DF0B96">
            <w:pPr>
              <w:pStyle w:val="Tabletext"/>
              <w:rPr>
                <w:rFonts w:eastAsiaTheme="minorEastAsia"/>
                <w:i/>
                <w:lang w:eastAsia="en-AU"/>
              </w:rPr>
            </w:pPr>
            <w:r w:rsidRPr="00C55E7F">
              <w:rPr>
                <w:rFonts w:eastAsiaTheme="minorEastAsia"/>
                <w:i/>
                <w:lang w:eastAsia="en-AU"/>
              </w:rPr>
              <w:t xml:space="preserve"> </w:t>
            </w:r>
          </w:p>
        </w:tc>
        <w:tc>
          <w:tcPr>
            <w:tcW w:w="1120" w:type="dxa"/>
            <w:tcBorders>
              <w:top w:val="single" w:sz="6" w:space="0" w:color="000000"/>
              <w:left w:val="nil"/>
              <w:bottom w:val="single" w:sz="6" w:space="0" w:color="000000"/>
              <w:right w:val="nil"/>
            </w:tcBorders>
            <w:shd w:val="clear" w:color="000000" w:fill="000000"/>
            <w:vAlign w:val="bottom"/>
          </w:tcPr>
          <w:p w:rsidR="00336793" w:rsidRPr="00C55E7F" w:rsidRDefault="00336793" w:rsidP="00DF0B96">
            <w:pPr>
              <w:pStyle w:val="Tabletextheading"/>
              <w:rPr>
                <w:rFonts w:eastAsiaTheme="minorEastAsia"/>
                <w:color w:val="FFFFFF"/>
                <w:lang w:eastAsia="en-AU"/>
              </w:rPr>
            </w:pPr>
            <w:r w:rsidRPr="00C55E7F">
              <w:rPr>
                <w:rFonts w:eastAsiaTheme="minorEastAsia"/>
                <w:color w:val="FFFFFF"/>
                <w:lang w:eastAsia="en-AU"/>
              </w:rPr>
              <w:t>2014</w:t>
            </w:r>
            <w:r>
              <w:rPr>
                <w:rFonts w:eastAsiaTheme="minorEastAsia"/>
                <w:color w:val="FFFFFF"/>
                <w:lang w:eastAsia="en-AU"/>
              </w:rPr>
              <w:noBreakHyphen/>
            </w:r>
            <w:r w:rsidRPr="00C55E7F">
              <w:rPr>
                <w:rFonts w:eastAsiaTheme="minorEastAsia"/>
                <w:color w:val="FFFFFF"/>
                <w:lang w:eastAsia="en-AU"/>
              </w:rPr>
              <w:t>15 actual</w:t>
            </w:r>
          </w:p>
        </w:tc>
        <w:tc>
          <w:tcPr>
            <w:tcW w:w="1120" w:type="dxa"/>
            <w:tcBorders>
              <w:top w:val="single" w:sz="6" w:space="0" w:color="000000"/>
              <w:left w:val="nil"/>
              <w:bottom w:val="single" w:sz="6" w:space="0" w:color="000000"/>
              <w:right w:val="nil"/>
            </w:tcBorders>
            <w:shd w:val="clear" w:color="000000" w:fill="000000"/>
            <w:vAlign w:val="bottom"/>
          </w:tcPr>
          <w:p w:rsidR="00336793" w:rsidRPr="00C55E7F" w:rsidRDefault="00336793" w:rsidP="00DF0B96">
            <w:pPr>
              <w:pStyle w:val="Tabletextheading"/>
              <w:rPr>
                <w:rFonts w:eastAsiaTheme="minorEastAsia"/>
                <w:color w:val="FFFFFF"/>
                <w:lang w:eastAsia="en-AU"/>
              </w:rPr>
            </w:pPr>
            <w:r w:rsidRPr="00C55E7F">
              <w:rPr>
                <w:rFonts w:eastAsiaTheme="minorEastAsia"/>
                <w:color w:val="FFFFFF"/>
                <w:lang w:eastAsia="en-AU"/>
              </w:rPr>
              <w:t>Revised variance</w:t>
            </w:r>
          </w:p>
        </w:tc>
        <w:tc>
          <w:tcPr>
            <w:tcW w:w="1120" w:type="dxa"/>
            <w:tcBorders>
              <w:top w:val="single" w:sz="6" w:space="0" w:color="000000"/>
              <w:left w:val="nil"/>
              <w:bottom w:val="single" w:sz="6" w:space="0" w:color="000000"/>
              <w:right w:val="nil"/>
            </w:tcBorders>
            <w:shd w:val="clear" w:color="000000" w:fill="000000"/>
            <w:vAlign w:val="bottom"/>
          </w:tcPr>
          <w:p w:rsidR="00336793" w:rsidRPr="00C55E7F" w:rsidRDefault="00336793" w:rsidP="00DF0B96">
            <w:pPr>
              <w:pStyle w:val="Tabletextheading"/>
              <w:rPr>
                <w:rFonts w:eastAsiaTheme="minorEastAsia"/>
                <w:color w:val="FFFFFF"/>
                <w:lang w:eastAsia="en-AU"/>
              </w:rPr>
            </w:pPr>
            <w:r w:rsidRPr="00C55E7F">
              <w:rPr>
                <w:rFonts w:eastAsiaTheme="minorEastAsia"/>
                <w:color w:val="FFFFFF"/>
                <w:lang w:eastAsia="en-AU"/>
              </w:rPr>
              <w:t>2014</w:t>
            </w:r>
            <w:r>
              <w:rPr>
                <w:rFonts w:eastAsiaTheme="minorEastAsia"/>
                <w:color w:val="FFFFFF"/>
                <w:lang w:eastAsia="en-AU"/>
              </w:rPr>
              <w:noBreakHyphen/>
            </w:r>
            <w:r w:rsidRPr="00C55E7F">
              <w:rPr>
                <w:rFonts w:eastAsiaTheme="minorEastAsia"/>
                <w:color w:val="FFFFFF"/>
                <w:lang w:eastAsia="en-AU"/>
              </w:rPr>
              <w:t>15 revised</w:t>
            </w:r>
          </w:p>
        </w:tc>
        <w:tc>
          <w:tcPr>
            <w:tcW w:w="1120" w:type="dxa"/>
            <w:tcBorders>
              <w:top w:val="single" w:sz="6" w:space="0" w:color="000000"/>
              <w:left w:val="nil"/>
              <w:bottom w:val="single" w:sz="6" w:space="0" w:color="000000"/>
              <w:right w:val="nil"/>
            </w:tcBorders>
            <w:shd w:val="clear" w:color="000000" w:fill="000000"/>
            <w:vAlign w:val="bottom"/>
          </w:tcPr>
          <w:p w:rsidR="00336793" w:rsidRPr="00C55E7F" w:rsidRDefault="00336793" w:rsidP="00DF0B96">
            <w:pPr>
              <w:pStyle w:val="Tabletextheading"/>
              <w:rPr>
                <w:rFonts w:eastAsiaTheme="minorEastAsia"/>
                <w:color w:val="FFFFFF"/>
                <w:lang w:eastAsia="en-AU"/>
              </w:rPr>
            </w:pPr>
            <w:r w:rsidRPr="00C55E7F">
              <w:rPr>
                <w:rFonts w:eastAsiaTheme="minorEastAsia"/>
                <w:color w:val="FFFFFF"/>
                <w:lang w:eastAsia="en-AU"/>
              </w:rPr>
              <w:t>Actual movement</w:t>
            </w:r>
          </w:p>
        </w:tc>
        <w:tc>
          <w:tcPr>
            <w:tcW w:w="1120" w:type="dxa"/>
            <w:tcBorders>
              <w:top w:val="single" w:sz="6" w:space="0" w:color="000000"/>
              <w:left w:val="nil"/>
              <w:bottom w:val="single" w:sz="6" w:space="0" w:color="000000"/>
              <w:right w:val="single" w:sz="6" w:space="0" w:color="000000"/>
            </w:tcBorders>
            <w:shd w:val="clear" w:color="000000" w:fill="000000"/>
            <w:vAlign w:val="bottom"/>
          </w:tcPr>
          <w:p w:rsidR="00336793" w:rsidRPr="00C55E7F" w:rsidRDefault="00336793" w:rsidP="00DF0B96">
            <w:pPr>
              <w:pStyle w:val="Tabletextheading"/>
              <w:rPr>
                <w:rFonts w:eastAsiaTheme="minorEastAsia" w:cs="Calibri"/>
                <w:iCs/>
                <w:color w:val="FFFFFF"/>
                <w:szCs w:val="22"/>
                <w:vertAlign w:val="superscript"/>
                <w:lang w:eastAsia="en-AU"/>
              </w:rPr>
            </w:pPr>
            <w:r w:rsidRPr="00C55E7F">
              <w:rPr>
                <w:rFonts w:eastAsiaTheme="minorEastAsia"/>
                <w:color w:val="FFFFFF"/>
                <w:lang w:eastAsia="en-AU"/>
              </w:rPr>
              <w:t>2013</w:t>
            </w:r>
            <w:r>
              <w:rPr>
                <w:rFonts w:eastAsiaTheme="minorEastAsia"/>
                <w:color w:val="FFFFFF"/>
                <w:lang w:eastAsia="en-AU"/>
              </w:rPr>
              <w:noBreakHyphen/>
            </w:r>
            <w:r w:rsidRPr="00C55E7F">
              <w:rPr>
                <w:rFonts w:eastAsiaTheme="minorEastAsia"/>
                <w:color w:val="FFFFFF"/>
                <w:lang w:eastAsia="en-AU"/>
              </w:rPr>
              <w:t>14 actual</w:t>
            </w:r>
            <w:r w:rsidRPr="00C55E7F">
              <w:rPr>
                <w:rFonts w:eastAsiaTheme="minorEastAsia"/>
                <w:color w:val="FFFFFF"/>
                <w:vertAlign w:val="superscript"/>
                <w:lang w:eastAsia="en-AU"/>
              </w:rPr>
              <w:t>(a</w:t>
            </w:r>
            <w:r w:rsidRPr="00C55E7F">
              <w:rPr>
                <w:rFonts w:eastAsiaTheme="minorEastAsia" w:cs="Calibri"/>
                <w:iCs/>
                <w:color w:val="FFFFFF"/>
                <w:szCs w:val="22"/>
                <w:vertAlign w:val="superscript"/>
                <w:lang w:eastAsia="en-AU"/>
              </w:rPr>
              <w:t>)</w:t>
            </w:r>
          </w:p>
        </w:tc>
      </w:tr>
      <w:tr w:rsidR="00336793" w:rsidRPr="00C55E7F" w:rsidTr="00DF0B96">
        <w:tc>
          <w:tcPr>
            <w:tcW w:w="4040" w:type="dxa"/>
            <w:tcBorders>
              <w:top w:val="single" w:sz="6" w:space="0" w:color="000000"/>
              <w:left w:val="nil"/>
              <w:bottom w:val="nil"/>
              <w:right w:val="nil"/>
            </w:tcBorders>
            <w:shd w:val="solid" w:color="FFFFFF" w:fill="auto"/>
          </w:tcPr>
          <w:p w:rsidR="00336793" w:rsidRPr="00C55E7F" w:rsidRDefault="00336793" w:rsidP="00DF0B96">
            <w:pPr>
              <w:pStyle w:val="Tabletext"/>
              <w:rPr>
                <w:rFonts w:eastAsiaTheme="minorEastAsia"/>
                <w:b/>
                <w:bCs/>
                <w:lang w:eastAsia="en-AU"/>
              </w:rPr>
            </w:pPr>
            <w:r w:rsidRPr="00C55E7F">
              <w:rPr>
                <w:rFonts w:eastAsiaTheme="minorEastAsia"/>
                <w:b/>
                <w:bCs/>
                <w:lang w:eastAsia="en-AU"/>
              </w:rPr>
              <w:t>Assets</w:t>
            </w:r>
          </w:p>
        </w:tc>
        <w:tc>
          <w:tcPr>
            <w:tcW w:w="1120" w:type="dxa"/>
            <w:tcBorders>
              <w:top w:val="single" w:sz="6" w:space="0" w:color="000000"/>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single" w:sz="6" w:space="0" w:color="000000"/>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single" w:sz="6" w:space="0" w:color="000000"/>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single" w:sz="6" w:space="0" w:color="000000"/>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single" w:sz="6" w:space="0" w:color="000000"/>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r>
      <w:tr w:rsidR="00336793" w:rsidRPr="00C55E7F" w:rsidTr="00DF0B96">
        <w:tc>
          <w:tcPr>
            <w:tcW w:w="4040" w:type="dxa"/>
            <w:tcBorders>
              <w:top w:val="nil"/>
              <w:left w:val="nil"/>
              <w:bottom w:val="nil"/>
              <w:right w:val="nil"/>
            </w:tcBorders>
            <w:shd w:val="solid" w:color="FFFFFF" w:fill="auto"/>
          </w:tcPr>
          <w:p w:rsidR="00336793" w:rsidRPr="00C55E7F" w:rsidRDefault="00336793" w:rsidP="00DF0B96">
            <w:pPr>
              <w:pStyle w:val="Tabletext"/>
              <w:rPr>
                <w:rFonts w:eastAsiaTheme="minorEastAsia"/>
                <w:lang w:eastAsia="en-AU"/>
              </w:rPr>
            </w:pPr>
            <w:r w:rsidRPr="00C55E7F">
              <w:rPr>
                <w:rFonts w:eastAsiaTheme="minorEastAsia"/>
                <w:lang w:eastAsia="en-AU"/>
              </w:rPr>
              <w:t>Financial assets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17 859</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285</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17 574</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669</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17 190</w:t>
            </w:r>
          </w:p>
        </w:tc>
      </w:tr>
      <w:tr w:rsidR="00336793" w:rsidRPr="00C55E7F" w:rsidTr="00DF0B96">
        <w:tc>
          <w:tcPr>
            <w:tcW w:w="4040" w:type="dxa"/>
            <w:tcBorders>
              <w:top w:val="nil"/>
              <w:left w:val="nil"/>
              <w:bottom w:val="nil"/>
              <w:right w:val="nil"/>
            </w:tcBorders>
            <w:shd w:val="solid" w:color="FFFFFF" w:fill="auto"/>
          </w:tcPr>
          <w:p w:rsidR="00336793" w:rsidRPr="00C55E7F" w:rsidRDefault="00336793" w:rsidP="00DF0B96">
            <w:pPr>
              <w:pStyle w:val="Tabletext"/>
              <w:rPr>
                <w:rFonts w:eastAsiaTheme="minorEastAsia"/>
                <w:vertAlign w:val="superscript"/>
                <w:lang w:eastAsia="en-AU"/>
              </w:rPr>
            </w:pPr>
            <w:r w:rsidRPr="00C55E7F">
              <w:rPr>
                <w:rFonts w:eastAsiaTheme="minorEastAsia"/>
                <w:lang w:eastAsia="en-AU"/>
              </w:rPr>
              <w:t>Non</w:t>
            </w:r>
            <w:r>
              <w:rPr>
                <w:rFonts w:eastAsiaTheme="minorEastAsia"/>
                <w:lang w:eastAsia="en-AU"/>
              </w:rPr>
              <w:noBreakHyphen/>
            </w:r>
            <w:r w:rsidRPr="00C55E7F">
              <w:rPr>
                <w:rFonts w:eastAsiaTheme="minorEastAsia"/>
                <w:lang w:eastAsia="en-AU"/>
              </w:rPr>
              <w:t>financial assets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108 944</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(2 181)</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111 126</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2 443</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106 501</w:t>
            </w:r>
          </w:p>
        </w:tc>
      </w:tr>
      <w:tr w:rsidR="00336793" w:rsidRPr="00C55E7F" w:rsidTr="00DF0B96">
        <w:tc>
          <w:tcPr>
            <w:tcW w:w="4040" w:type="dxa"/>
            <w:tcBorders>
              <w:top w:val="nil"/>
              <w:left w:val="nil"/>
              <w:bottom w:val="nil"/>
              <w:right w:val="nil"/>
            </w:tcBorders>
            <w:shd w:val="solid" w:color="FFFFFF" w:fill="auto"/>
          </w:tcPr>
          <w:p w:rsidR="00336793" w:rsidRPr="00C55E7F" w:rsidRDefault="00336793" w:rsidP="00DF0B96">
            <w:pPr>
              <w:pStyle w:val="Tabletext"/>
              <w:rPr>
                <w:rFonts w:eastAsiaTheme="minorEastAsia"/>
                <w:b/>
                <w:bCs/>
                <w:lang w:eastAsia="en-AU"/>
              </w:rPr>
            </w:pPr>
            <w:r w:rsidRPr="00C55E7F">
              <w:rPr>
                <w:rFonts w:eastAsiaTheme="minorEastAsia"/>
                <w:b/>
                <w:bCs/>
                <w:lang w:eastAsia="en-AU"/>
              </w:rPr>
              <w:t>Investment in other sector entities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r>
      <w:tr w:rsidR="00336793" w:rsidRPr="00C55E7F" w:rsidTr="00DF0B96">
        <w:tc>
          <w:tcPr>
            <w:tcW w:w="4040" w:type="dxa"/>
            <w:tcBorders>
              <w:top w:val="nil"/>
              <w:left w:val="nil"/>
              <w:bottom w:val="nil"/>
              <w:right w:val="nil"/>
            </w:tcBorders>
            <w:shd w:val="solid" w:color="FFFFFF" w:fill="auto"/>
          </w:tcPr>
          <w:p w:rsidR="00336793" w:rsidRPr="00C55E7F" w:rsidRDefault="00336793" w:rsidP="00DF0B96">
            <w:pPr>
              <w:pStyle w:val="Tabletext"/>
              <w:rPr>
                <w:rFonts w:eastAsiaTheme="minorEastAsia"/>
                <w:lang w:eastAsia="en-AU"/>
              </w:rPr>
            </w:pPr>
            <w:r w:rsidRPr="00C55E7F">
              <w:rPr>
                <w:rFonts w:eastAsiaTheme="minorEastAsia"/>
                <w:lang w:eastAsia="en-AU"/>
              </w:rPr>
              <w:t>Public non</w:t>
            </w:r>
            <w:r>
              <w:rPr>
                <w:rFonts w:eastAsiaTheme="minorEastAsia"/>
                <w:lang w:eastAsia="en-AU"/>
              </w:rPr>
              <w:noBreakHyphen/>
            </w:r>
            <w:r w:rsidRPr="00C55E7F">
              <w:rPr>
                <w:rFonts w:eastAsiaTheme="minorEastAsia"/>
                <w:lang w:eastAsia="en-AU"/>
              </w:rPr>
              <w:t>financial corporations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78 972</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1 235</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77 737</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5 998</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72 973</w:t>
            </w:r>
          </w:p>
        </w:tc>
      </w:tr>
      <w:tr w:rsidR="00336793" w:rsidRPr="00C55E7F" w:rsidTr="00DF0B96">
        <w:tc>
          <w:tcPr>
            <w:tcW w:w="4040" w:type="dxa"/>
            <w:tcBorders>
              <w:top w:val="nil"/>
              <w:left w:val="nil"/>
              <w:bottom w:val="single" w:sz="6" w:space="0" w:color="000000"/>
              <w:right w:val="nil"/>
            </w:tcBorders>
            <w:shd w:val="solid" w:color="FFFFFF" w:fill="auto"/>
          </w:tcPr>
          <w:p w:rsidR="00336793" w:rsidRPr="00C55E7F" w:rsidRDefault="00336793" w:rsidP="00DF0B96">
            <w:pPr>
              <w:pStyle w:val="Tabletext"/>
              <w:rPr>
                <w:rFonts w:eastAsiaTheme="minorEastAsia"/>
                <w:lang w:eastAsia="en-AU"/>
              </w:rPr>
            </w:pPr>
            <w:r w:rsidRPr="00C55E7F">
              <w:rPr>
                <w:rFonts w:eastAsiaTheme="minorEastAsia"/>
                <w:lang w:eastAsia="en-AU"/>
              </w:rPr>
              <w:t>Public financial corporations</w:t>
            </w:r>
          </w:p>
        </w:tc>
        <w:tc>
          <w:tcPr>
            <w:tcW w:w="1120"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3 210</w:t>
            </w:r>
          </w:p>
        </w:tc>
        <w:tc>
          <w:tcPr>
            <w:tcW w:w="1120"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500</w:t>
            </w:r>
          </w:p>
        </w:tc>
        <w:tc>
          <w:tcPr>
            <w:tcW w:w="1120"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2 710</w:t>
            </w:r>
          </w:p>
        </w:tc>
        <w:tc>
          <w:tcPr>
            <w:tcW w:w="1120"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313</w:t>
            </w:r>
          </w:p>
        </w:tc>
        <w:tc>
          <w:tcPr>
            <w:tcW w:w="1120"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2 896</w:t>
            </w:r>
          </w:p>
        </w:tc>
      </w:tr>
      <w:tr w:rsidR="00336793" w:rsidRPr="00C55E7F" w:rsidTr="00DF0B96">
        <w:tc>
          <w:tcPr>
            <w:tcW w:w="4040" w:type="dxa"/>
            <w:tcBorders>
              <w:top w:val="nil"/>
              <w:left w:val="nil"/>
              <w:bottom w:val="nil"/>
              <w:right w:val="nil"/>
            </w:tcBorders>
            <w:shd w:val="solid" w:color="FFFFFF" w:fill="auto"/>
          </w:tcPr>
          <w:p w:rsidR="00336793" w:rsidRPr="00C55E7F" w:rsidRDefault="00336793" w:rsidP="00DF0B96">
            <w:pPr>
              <w:pStyle w:val="Tabletext"/>
              <w:rPr>
                <w:rFonts w:eastAsiaTheme="minorEastAsia"/>
                <w:b/>
                <w:bCs/>
                <w:vertAlign w:val="superscript"/>
                <w:lang w:eastAsia="en-AU"/>
              </w:rPr>
            </w:pPr>
            <w:r w:rsidRPr="00C55E7F">
              <w:rPr>
                <w:rFonts w:eastAsiaTheme="minorEastAsia"/>
                <w:b/>
                <w:bCs/>
                <w:lang w:eastAsia="en-AU"/>
              </w:rPr>
              <w:t>Total assets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208 985</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C55E7F">
              <w:rPr>
                <w:rFonts w:eastAsiaTheme="minorEastAsia" w:cs="Calibri"/>
                <w:b/>
                <w:bCs/>
                <w:color w:val="000000"/>
                <w:szCs w:val="22"/>
                <w:lang w:eastAsia="en-AU"/>
              </w:rPr>
              <w:t>162)</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209 146</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9 424</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199 561</w:t>
            </w:r>
          </w:p>
        </w:tc>
      </w:tr>
      <w:tr w:rsidR="00336793" w:rsidRPr="00C55E7F" w:rsidTr="00DF0B96">
        <w:tc>
          <w:tcPr>
            <w:tcW w:w="4040" w:type="dxa"/>
            <w:tcBorders>
              <w:top w:val="nil"/>
              <w:left w:val="nil"/>
              <w:bottom w:val="nil"/>
              <w:right w:val="nil"/>
            </w:tcBorders>
            <w:shd w:val="solid" w:color="FFFFFF" w:fill="auto"/>
          </w:tcPr>
          <w:p w:rsidR="00336793" w:rsidRPr="00C55E7F" w:rsidRDefault="00336793" w:rsidP="00DF0B96">
            <w:pPr>
              <w:pStyle w:val="Tabletext"/>
              <w:rPr>
                <w:rFonts w:eastAsiaTheme="minorEastAsia"/>
                <w:b/>
                <w:bCs/>
                <w:vertAlign w:val="superscript"/>
                <w:lang w:eastAsia="en-AU"/>
              </w:rPr>
            </w:pPr>
            <w:r w:rsidRPr="00C55E7F">
              <w:rPr>
                <w:rFonts w:eastAsiaTheme="minorEastAsia"/>
                <w:b/>
                <w:bCs/>
                <w:lang w:eastAsia="en-AU"/>
              </w:rPr>
              <w:t>Liabilities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r>
      <w:tr w:rsidR="00336793" w:rsidRPr="00C55E7F" w:rsidTr="00DF0B96">
        <w:tc>
          <w:tcPr>
            <w:tcW w:w="4040" w:type="dxa"/>
            <w:tcBorders>
              <w:top w:val="nil"/>
              <w:left w:val="nil"/>
              <w:bottom w:val="nil"/>
              <w:right w:val="nil"/>
            </w:tcBorders>
            <w:shd w:val="solid" w:color="FFFFFF" w:fill="auto"/>
          </w:tcPr>
          <w:p w:rsidR="00336793" w:rsidRPr="00C55E7F" w:rsidRDefault="00336793" w:rsidP="00DF0B96">
            <w:pPr>
              <w:pStyle w:val="Tabletext"/>
              <w:rPr>
                <w:rFonts w:eastAsiaTheme="minorEastAsia"/>
                <w:vertAlign w:val="superscript"/>
                <w:lang w:eastAsia="en-AU"/>
              </w:rPr>
            </w:pPr>
            <w:r w:rsidRPr="00C55E7F">
              <w:rPr>
                <w:rFonts w:eastAsiaTheme="minorEastAsia"/>
                <w:lang w:eastAsia="en-AU"/>
              </w:rPr>
              <w:t>Superannuation</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25 947</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(4 806)</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30 752</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cs="Calibri"/>
                <w:color w:val="000000"/>
                <w:szCs w:val="22"/>
                <w:lang w:eastAsia="en-AU"/>
              </w:rPr>
            </w:pPr>
            <w:r>
              <w:rPr>
                <w:rFonts w:eastAsiaTheme="minorEastAsia"/>
                <w:lang w:eastAsia="en-AU"/>
              </w:rPr>
              <w:t>(</w:t>
            </w:r>
            <w:r w:rsidRPr="00C55E7F">
              <w:rPr>
                <w:rFonts w:eastAsiaTheme="minorEastAsia" w:cs="Calibri"/>
                <w:color w:val="000000"/>
                <w:szCs w:val="22"/>
                <w:lang w:eastAsia="en-AU"/>
              </w:rPr>
              <w:t>306)</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26 253</w:t>
            </w:r>
          </w:p>
        </w:tc>
      </w:tr>
      <w:tr w:rsidR="00336793" w:rsidRPr="00C55E7F" w:rsidTr="00DF0B96">
        <w:tc>
          <w:tcPr>
            <w:tcW w:w="4040" w:type="dxa"/>
            <w:tcBorders>
              <w:top w:val="nil"/>
              <w:left w:val="nil"/>
              <w:bottom w:val="nil"/>
              <w:right w:val="nil"/>
            </w:tcBorders>
            <w:shd w:val="solid" w:color="FFFFFF" w:fill="auto"/>
          </w:tcPr>
          <w:p w:rsidR="00336793" w:rsidRPr="00C55E7F" w:rsidRDefault="00336793" w:rsidP="00DF0B96">
            <w:pPr>
              <w:pStyle w:val="Tabletext"/>
              <w:rPr>
                <w:rFonts w:eastAsiaTheme="minorEastAsia"/>
                <w:lang w:eastAsia="en-AU"/>
              </w:rPr>
            </w:pPr>
            <w:r w:rsidRPr="00C55E7F">
              <w:rPr>
                <w:rFonts w:eastAsiaTheme="minorEastAsia"/>
                <w:lang w:eastAsia="en-AU"/>
              </w:rPr>
              <w:t>Borrowings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34 069</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736</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33 333</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1 115</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32 954</w:t>
            </w:r>
          </w:p>
        </w:tc>
      </w:tr>
      <w:tr w:rsidR="00336793" w:rsidRPr="00C55E7F" w:rsidTr="00DF0B96">
        <w:tc>
          <w:tcPr>
            <w:tcW w:w="4040" w:type="dxa"/>
            <w:tcBorders>
              <w:top w:val="nil"/>
              <w:left w:val="nil"/>
              <w:bottom w:val="nil"/>
              <w:right w:val="nil"/>
            </w:tcBorders>
            <w:shd w:val="solid" w:color="FFFFFF" w:fill="auto"/>
          </w:tcPr>
          <w:p w:rsidR="00336793" w:rsidRPr="00C55E7F" w:rsidRDefault="00336793" w:rsidP="00DF0B96">
            <w:pPr>
              <w:pStyle w:val="Tabletext"/>
              <w:rPr>
                <w:rFonts w:eastAsiaTheme="minorEastAsia"/>
                <w:lang w:eastAsia="en-AU"/>
              </w:rPr>
            </w:pPr>
            <w:r w:rsidRPr="00C55E7F">
              <w:rPr>
                <w:rFonts w:eastAsiaTheme="minorEastAsia"/>
                <w:lang w:eastAsia="en-AU"/>
              </w:rPr>
              <w:t>Other liabilities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12 635</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cs="Calibri"/>
                <w:color w:val="000000"/>
                <w:szCs w:val="22"/>
                <w:lang w:eastAsia="en-AU"/>
              </w:rPr>
            </w:pPr>
            <w:r>
              <w:rPr>
                <w:rFonts w:eastAsiaTheme="minorEastAsia"/>
                <w:lang w:eastAsia="en-AU"/>
              </w:rPr>
              <w:t>(</w:t>
            </w:r>
            <w:r w:rsidRPr="00C55E7F">
              <w:rPr>
                <w:rFonts w:eastAsiaTheme="minorEastAsia" w:cs="Calibri"/>
                <w:color w:val="000000"/>
                <w:szCs w:val="22"/>
                <w:lang w:eastAsia="en-AU"/>
              </w:rPr>
              <w:t>437)</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13 072</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758</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11 877</w:t>
            </w:r>
          </w:p>
        </w:tc>
      </w:tr>
      <w:tr w:rsidR="00336793" w:rsidRPr="00C55E7F" w:rsidTr="00DF0B96">
        <w:tc>
          <w:tcPr>
            <w:tcW w:w="4040" w:type="dxa"/>
            <w:tcBorders>
              <w:top w:val="single" w:sz="6" w:space="0" w:color="000000"/>
              <w:left w:val="nil"/>
              <w:bottom w:val="single" w:sz="6" w:space="0" w:color="000000"/>
              <w:right w:val="nil"/>
            </w:tcBorders>
            <w:shd w:val="solid" w:color="FFFFFF" w:fill="auto"/>
          </w:tcPr>
          <w:p w:rsidR="00336793" w:rsidRPr="00C55E7F" w:rsidRDefault="00336793" w:rsidP="00DF0B96">
            <w:pPr>
              <w:pStyle w:val="Tabletext"/>
              <w:rPr>
                <w:rFonts w:eastAsiaTheme="minorEastAsia"/>
                <w:b/>
                <w:bCs/>
                <w:vertAlign w:val="superscript"/>
                <w:lang w:eastAsia="en-AU"/>
              </w:rPr>
            </w:pPr>
            <w:r w:rsidRPr="00C55E7F">
              <w:rPr>
                <w:rFonts w:eastAsiaTheme="minorEastAsia"/>
                <w:b/>
                <w:bCs/>
                <w:lang w:eastAsia="en-AU"/>
              </w:rPr>
              <w:t>Total liabilities</w:t>
            </w:r>
          </w:p>
        </w:tc>
        <w:tc>
          <w:tcPr>
            <w:tcW w:w="1120" w:type="dxa"/>
            <w:tcBorders>
              <w:top w:val="single" w:sz="6" w:space="0" w:color="000000"/>
              <w:left w:val="nil"/>
              <w:bottom w:val="single" w:sz="6" w:space="0" w:color="000000"/>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72 650</w:t>
            </w:r>
          </w:p>
        </w:tc>
        <w:tc>
          <w:tcPr>
            <w:tcW w:w="1120" w:type="dxa"/>
            <w:tcBorders>
              <w:top w:val="single" w:sz="6" w:space="0" w:color="000000"/>
              <w:left w:val="nil"/>
              <w:bottom w:val="single" w:sz="6" w:space="0" w:color="000000"/>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(4 507)</w:t>
            </w:r>
          </w:p>
        </w:tc>
        <w:tc>
          <w:tcPr>
            <w:tcW w:w="1120" w:type="dxa"/>
            <w:tcBorders>
              <w:top w:val="single" w:sz="6" w:space="0" w:color="000000"/>
              <w:left w:val="nil"/>
              <w:bottom w:val="single" w:sz="6" w:space="0" w:color="000000"/>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77 158</w:t>
            </w:r>
          </w:p>
        </w:tc>
        <w:tc>
          <w:tcPr>
            <w:tcW w:w="1120" w:type="dxa"/>
            <w:tcBorders>
              <w:top w:val="single" w:sz="6" w:space="0" w:color="000000"/>
              <w:left w:val="nil"/>
              <w:bottom w:val="single" w:sz="6" w:space="0" w:color="000000"/>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1 567</w:t>
            </w:r>
          </w:p>
        </w:tc>
        <w:tc>
          <w:tcPr>
            <w:tcW w:w="1120" w:type="dxa"/>
            <w:tcBorders>
              <w:top w:val="single" w:sz="6" w:space="0" w:color="000000"/>
              <w:left w:val="nil"/>
              <w:bottom w:val="single" w:sz="6" w:space="0" w:color="000000"/>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71 083</w:t>
            </w:r>
          </w:p>
        </w:tc>
      </w:tr>
      <w:tr w:rsidR="00336793" w:rsidRPr="00C55E7F" w:rsidTr="00DF0B96">
        <w:tc>
          <w:tcPr>
            <w:tcW w:w="4040" w:type="dxa"/>
            <w:tcBorders>
              <w:top w:val="single" w:sz="6" w:space="0" w:color="000000"/>
              <w:left w:val="nil"/>
              <w:bottom w:val="single" w:sz="12" w:space="0" w:color="000000"/>
              <w:right w:val="nil"/>
            </w:tcBorders>
            <w:shd w:val="solid" w:color="FFFFFF" w:fill="auto"/>
          </w:tcPr>
          <w:p w:rsidR="00336793" w:rsidRPr="00C55E7F" w:rsidRDefault="00336793" w:rsidP="00DF0B96">
            <w:pPr>
              <w:pStyle w:val="Tabletext"/>
              <w:rPr>
                <w:rFonts w:eastAsiaTheme="minorEastAsia"/>
                <w:b/>
                <w:bCs/>
                <w:vertAlign w:val="superscript"/>
                <w:lang w:eastAsia="en-AU"/>
              </w:rPr>
            </w:pPr>
            <w:r w:rsidRPr="00C55E7F">
              <w:rPr>
                <w:rFonts w:eastAsiaTheme="minorEastAsia"/>
                <w:b/>
                <w:bCs/>
                <w:lang w:eastAsia="en-AU"/>
              </w:rPr>
              <w:t>Net assets</w:t>
            </w:r>
          </w:p>
        </w:tc>
        <w:tc>
          <w:tcPr>
            <w:tcW w:w="1120" w:type="dxa"/>
            <w:tcBorders>
              <w:top w:val="single" w:sz="6" w:space="0" w:color="000000"/>
              <w:left w:val="nil"/>
              <w:bottom w:val="single" w:sz="12" w:space="0" w:color="000000"/>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136 335</w:t>
            </w:r>
          </w:p>
        </w:tc>
        <w:tc>
          <w:tcPr>
            <w:tcW w:w="1120" w:type="dxa"/>
            <w:tcBorders>
              <w:top w:val="single" w:sz="6" w:space="0" w:color="000000"/>
              <w:left w:val="nil"/>
              <w:bottom w:val="single" w:sz="12" w:space="0" w:color="000000"/>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4 346</w:t>
            </w:r>
          </w:p>
        </w:tc>
        <w:tc>
          <w:tcPr>
            <w:tcW w:w="1120" w:type="dxa"/>
            <w:tcBorders>
              <w:top w:val="single" w:sz="6" w:space="0" w:color="000000"/>
              <w:left w:val="nil"/>
              <w:bottom w:val="single" w:sz="12" w:space="0" w:color="000000"/>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131 989</w:t>
            </w:r>
          </w:p>
        </w:tc>
        <w:tc>
          <w:tcPr>
            <w:tcW w:w="1120" w:type="dxa"/>
            <w:tcBorders>
              <w:top w:val="single" w:sz="6" w:space="0" w:color="000000"/>
              <w:left w:val="nil"/>
              <w:bottom w:val="single" w:sz="12" w:space="0" w:color="000000"/>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7 857</w:t>
            </w:r>
          </w:p>
        </w:tc>
        <w:tc>
          <w:tcPr>
            <w:tcW w:w="1120" w:type="dxa"/>
            <w:tcBorders>
              <w:top w:val="single" w:sz="6" w:space="0" w:color="000000"/>
              <w:left w:val="nil"/>
              <w:bottom w:val="single" w:sz="12" w:space="0" w:color="000000"/>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128 477</w:t>
            </w:r>
          </w:p>
        </w:tc>
      </w:tr>
    </w:tbl>
    <w:p w:rsidR="00336793" w:rsidRDefault="00336793" w:rsidP="00DF0B96">
      <w:pPr>
        <w:pStyle w:val="Notes"/>
      </w:pPr>
      <w:r>
        <w:t xml:space="preserve">Note: </w:t>
      </w:r>
    </w:p>
    <w:p w:rsidR="00336793" w:rsidRDefault="00336793" w:rsidP="00DF0B96">
      <w:pPr>
        <w:pStyle w:val="Notes"/>
      </w:pPr>
      <w:r>
        <w:t>(a)</w:t>
      </w:r>
      <w:r>
        <w:tab/>
        <w:t>Certain 2013</w:t>
      </w:r>
      <w:r>
        <w:noBreakHyphen/>
        <w:t>14 June comparative figures have been restated. See Chapter 4, Note 37.</w:t>
      </w:r>
    </w:p>
    <w:p w:rsidR="00336793" w:rsidRDefault="00336793" w:rsidP="00DF0B96"/>
    <w:p w:rsidR="00336793" w:rsidRPr="00E9571B" w:rsidRDefault="00336793" w:rsidP="00DF0B96">
      <w:pPr>
        <w:pStyle w:val="Heading2"/>
      </w:pPr>
      <w:r w:rsidRPr="00E9571B">
        <w:t>Assets</w:t>
      </w:r>
    </w:p>
    <w:p w:rsidR="00336793" w:rsidRDefault="00336793" w:rsidP="00DF0B96">
      <w:r>
        <w:t>Financial assets in Table 2.4 include cash, investments, loans and placements. The value of financial assets held by the general government sector was relatively constant with a slight increase of $0.7 billion to $17.9 billion during the financial year. The actual outcome was also in line with revised estimates.</w:t>
      </w:r>
    </w:p>
    <w:p w:rsidR="00336793" w:rsidRDefault="00336793" w:rsidP="00DF0B96">
      <w:r w:rsidRPr="00A3770A">
        <w:t>Non</w:t>
      </w:r>
      <w:r>
        <w:noBreakHyphen/>
      </w:r>
      <w:r w:rsidRPr="00A3770A">
        <w:t>financial assets increased by $2.</w:t>
      </w:r>
      <w:r>
        <w:t>4 billion</w:t>
      </w:r>
      <w:r w:rsidRPr="00A3770A">
        <w:t xml:space="preserve"> during the year, which is mainly due to the </w:t>
      </w:r>
      <w:r>
        <w:t>revaluation of road assets and investments in the infrastructure program.</w:t>
      </w:r>
    </w:p>
    <w:p w:rsidR="00336793" w:rsidRDefault="00336793" w:rsidP="00DF0B96">
      <w:r>
        <w:t>General government investments in other sector entities increased by $6.3 billion in the year. This mainly reflected the revaluation of rail and port assets, in line with the relevant reporting requirements.</w:t>
      </w:r>
    </w:p>
    <w:p w:rsidR="00336793" w:rsidRDefault="00336793" w:rsidP="00DF0B96">
      <w:pPr>
        <w:pStyle w:val="Heading2"/>
      </w:pPr>
      <w:r w:rsidRPr="003D3596">
        <w:t>Liabilities</w:t>
      </w:r>
    </w:p>
    <w:p w:rsidR="00336793" w:rsidRDefault="00336793" w:rsidP="00DF0B96">
      <w:r>
        <w:t>Total liabilities as at 30 June 2015 were $4.5 billion lower than the 2014</w:t>
      </w:r>
      <w:r>
        <w:noBreakHyphen/>
        <w:t>15 revised budget. This decrease was largely attributable to a reduction in the value of the superannuation liability as a result of an increase in the bond yields that underlie the key valuation assumptions. The superannuation liability also decreased during 2014</w:t>
      </w:r>
      <w:r>
        <w:noBreakHyphen/>
        <w:t xml:space="preserve">15 due to favourable changes in demographic assumptions. </w:t>
      </w:r>
    </w:p>
    <w:p w:rsidR="00336793" w:rsidRPr="00E9571B" w:rsidRDefault="00336793" w:rsidP="00DF0B96">
      <w:r>
        <w:t>Total liabilities increased by $1.6 billion to $72.7 billion in 2014</w:t>
      </w:r>
      <w:r>
        <w:noBreakHyphen/>
        <w:t xml:space="preserve">15, mainly as a result of </w:t>
      </w:r>
      <w:r w:rsidRPr="005D32CD">
        <w:t>increased borrowings</w:t>
      </w:r>
      <w:r>
        <w:t xml:space="preserve"> contributing towards financing the Government’s infrastructure program.</w:t>
      </w:r>
    </w:p>
    <w:p w:rsidR="00336793" w:rsidRDefault="00336793">
      <w:pPr>
        <w:spacing w:after="0"/>
        <w:rPr>
          <w:rFonts w:ascii="Calibri" w:hAnsi="Calibri"/>
          <w:b/>
          <w:caps/>
          <w:sz w:val="28"/>
          <w:szCs w:val="22"/>
        </w:rPr>
      </w:pPr>
      <w:r>
        <w:br w:type="page"/>
      </w:r>
    </w:p>
    <w:p w:rsidR="00336793" w:rsidRDefault="00336793" w:rsidP="00DF0B96">
      <w:pPr>
        <w:pStyle w:val="Heading1"/>
      </w:pPr>
      <w:bookmarkStart w:id="16" w:name="_Toc433984466"/>
      <w:r w:rsidRPr="00AF3E2F">
        <w:lastRenderedPageBreak/>
        <w:t>Cash flows</w:t>
      </w:r>
      <w:bookmarkEnd w:id="16"/>
    </w:p>
    <w:p w:rsidR="00336793" w:rsidRDefault="00336793" w:rsidP="00DF0B96">
      <w:r>
        <w:t>Table 2.5 outlines the use of cash resources. It summarises cash generated through the operations of Victorian government departments and other general government sector agencies, and how the cash is invested in fixed assets.</w:t>
      </w:r>
    </w:p>
    <w:p w:rsidR="00336793" w:rsidRPr="00E9571B" w:rsidRDefault="00336793" w:rsidP="00DF0B96">
      <w:r>
        <w:t xml:space="preserve">A detailed cash flow statement is provided in Chapter 4. </w:t>
      </w:r>
    </w:p>
    <w:p w:rsidR="00336793" w:rsidRDefault="00336793" w:rsidP="00DF0B96">
      <w:pPr>
        <w:pStyle w:val="Tableheading"/>
      </w:pPr>
      <w:r w:rsidRPr="003D3596">
        <w:t>Table 2.5:</w:t>
      </w:r>
      <w:r w:rsidRPr="003D3596">
        <w:tab/>
        <w:t>Application of cash resources</w:t>
      </w:r>
    </w:p>
    <w:p w:rsidR="00336793" w:rsidRPr="00C55E7F" w:rsidRDefault="00336793" w:rsidP="00DF0B96">
      <w:pPr>
        <w:pStyle w:val="million"/>
        <w:rPr>
          <w:rFonts w:ascii="Times New Roman" w:hAnsi="Times New Roman"/>
          <w:i w:val="0"/>
          <w:szCs w:val="20"/>
          <w:lang w:eastAsia="en-AU"/>
        </w:rPr>
      </w:pPr>
      <w:r>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336793" w:rsidRPr="00C55E7F" w:rsidTr="00DF0B96">
        <w:trPr>
          <w:tblHeader/>
        </w:trPr>
        <w:tc>
          <w:tcPr>
            <w:tcW w:w="7400" w:type="dxa"/>
            <w:tcBorders>
              <w:top w:val="single" w:sz="6" w:space="0" w:color="auto"/>
              <w:left w:val="single" w:sz="6" w:space="0" w:color="auto"/>
              <w:bottom w:val="single" w:sz="6" w:space="0" w:color="auto"/>
              <w:right w:val="nil"/>
            </w:tcBorders>
            <w:shd w:val="clear" w:color="000000" w:fill="000000"/>
            <w:vAlign w:val="bottom"/>
          </w:tcPr>
          <w:p w:rsidR="00336793" w:rsidRPr="00C55E7F" w:rsidRDefault="00336793" w:rsidP="00DF0B96">
            <w:pPr>
              <w:pStyle w:val="Tabletext"/>
              <w:rPr>
                <w:rFonts w:eastAsiaTheme="minorEastAsia"/>
                <w:i/>
                <w:lang w:eastAsia="en-AU"/>
              </w:rPr>
            </w:pPr>
            <w:r w:rsidRPr="00C55E7F">
              <w:rPr>
                <w:rFonts w:eastAsiaTheme="minorEastAsia"/>
                <w:i/>
                <w:lang w:eastAsia="en-AU"/>
              </w:rPr>
              <w:t xml:space="preserve"> </w:t>
            </w:r>
          </w:p>
        </w:tc>
        <w:tc>
          <w:tcPr>
            <w:tcW w:w="1120" w:type="dxa"/>
            <w:tcBorders>
              <w:top w:val="single" w:sz="6" w:space="0" w:color="auto"/>
              <w:left w:val="nil"/>
              <w:bottom w:val="single" w:sz="6" w:space="0" w:color="auto"/>
              <w:right w:val="nil"/>
            </w:tcBorders>
            <w:shd w:val="clear" w:color="000000" w:fill="000000"/>
            <w:vAlign w:val="bottom"/>
          </w:tcPr>
          <w:p w:rsidR="00336793" w:rsidRPr="00C55E7F" w:rsidRDefault="00336793" w:rsidP="00DF0B96">
            <w:pPr>
              <w:pStyle w:val="Tabletextheading"/>
              <w:rPr>
                <w:rFonts w:eastAsiaTheme="minorEastAsia"/>
                <w:color w:val="FFFFFF"/>
                <w:lang w:eastAsia="en-AU"/>
              </w:rPr>
            </w:pPr>
            <w:r w:rsidRPr="00C55E7F">
              <w:rPr>
                <w:rFonts w:eastAsiaTheme="minorEastAsia"/>
                <w:color w:val="FFFFFF"/>
                <w:lang w:eastAsia="en-AU"/>
              </w:rPr>
              <w:t>2014</w:t>
            </w:r>
            <w:r>
              <w:rPr>
                <w:rFonts w:eastAsiaTheme="minorEastAsia"/>
                <w:color w:val="FFFFFF"/>
                <w:lang w:eastAsia="en-AU"/>
              </w:rPr>
              <w:noBreakHyphen/>
            </w:r>
            <w:r w:rsidRPr="00C55E7F">
              <w:rPr>
                <w:rFonts w:eastAsiaTheme="minorEastAsia"/>
                <w:color w:val="FFFFFF"/>
                <w:lang w:eastAsia="en-AU"/>
              </w:rPr>
              <w:t>15 actual</w:t>
            </w:r>
          </w:p>
        </w:tc>
        <w:tc>
          <w:tcPr>
            <w:tcW w:w="1120" w:type="dxa"/>
            <w:tcBorders>
              <w:top w:val="single" w:sz="6" w:space="0" w:color="auto"/>
              <w:left w:val="nil"/>
              <w:bottom w:val="single" w:sz="6" w:space="0" w:color="auto"/>
              <w:right w:val="single" w:sz="6" w:space="0" w:color="auto"/>
            </w:tcBorders>
            <w:shd w:val="clear" w:color="000000" w:fill="000000"/>
            <w:vAlign w:val="bottom"/>
          </w:tcPr>
          <w:p w:rsidR="00336793" w:rsidRPr="00C55E7F" w:rsidRDefault="00336793" w:rsidP="00DF0B96">
            <w:pPr>
              <w:pStyle w:val="Tabletextheading"/>
              <w:rPr>
                <w:rFonts w:eastAsiaTheme="minorEastAsia"/>
                <w:color w:val="FFFFFF"/>
                <w:lang w:eastAsia="en-AU"/>
              </w:rPr>
            </w:pPr>
            <w:r w:rsidRPr="00C55E7F">
              <w:rPr>
                <w:rFonts w:eastAsiaTheme="minorEastAsia"/>
                <w:color w:val="FFFFFF"/>
                <w:lang w:eastAsia="en-AU"/>
              </w:rPr>
              <w:t>2014</w:t>
            </w:r>
            <w:r>
              <w:rPr>
                <w:rFonts w:eastAsiaTheme="minorEastAsia"/>
                <w:color w:val="FFFFFF"/>
                <w:lang w:eastAsia="en-AU"/>
              </w:rPr>
              <w:noBreakHyphen/>
            </w:r>
            <w:r w:rsidRPr="00C55E7F">
              <w:rPr>
                <w:rFonts w:eastAsiaTheme="minorEastAsia"/>
                <w:color w:val="FFFFFF"/>
                <w:lang w:eastAsia="en-AU"/>
              </w:rPr>
              <w:t>15 revised</w:t>
            </w:r>
          </w:p>
        </w:tc>
      </w:tr>
      <w:tr w:rsidR="00336793" w:rsidRPr="00C55E7F" w:rsidTr="00DF0B96">
        <w:tc>
          <w:tcPr>
            <w:tcW w:w="7400" w:type="dxa"/>
            <w:tcBorders>
              <w:top w:val="single" w:sz="6" w:space="0" w:color="auto"/>
              <w:left w:val="nil"/>
              <w:bottom w:val="nil"/>
              <w:right w:val="nil"/>
            </w:tcBorders>
            <w:shd w:val="solid" w:color="FFFFFF" w:fill="auto"/>
          </w:tcPr>
          <w:p w:rsidR="00336793" w:rsidRPr="00C55E7F" w:rsidRDefault="00336793" w:rsidP="00DF0B96">
            <w:pPr>
              <w:pStyle w:val="Tabletext"/>
              <w:rPr>
                <w:rFonts w:eastAsiaTheme="minorEastAsia"/>
                <w:lang w:eastAsia="en-AU"/>
              </w:rPr>
            </w:pPr>
            <w:r w:rsidRPr="00C55E7F">
              <w:rPr>
                <w:rFonts w:eastAsiaTheme="minorEastAsia"/>
                <w:lang w:eastAsia="en-AU"/>
              </w:rPr>
              <w:t>Net result from transactions</w:t>
            </w:r>
            <w:r>
              <w:rPr>
                <w:rFonts w:eastAsiaTheme="minorEastAsia"/>
                <w:lang w:eastAsia="en-AU"/>
              </w:rPr>
              <w:t xml:space="preserve"> – </w:t>
            </w:r>
            <w:r w:rsidRPr="00C55E7F">
              <w:rPr>
                <w:rFonts w:eastAsiaTheme="minorEastAsia"/>
                <w:lang w:eastAsia="en-AU"/>
              </w:rPr>
              <w:t>net operating balance</w:t>
            </w:r>
          </w:p>
        </w:tc>
        <w:tc>
          <w:tcPr>
            <w:tcW w:w="1120" w:type="dxa"/>
            <w:tcBorders>
              <w:top w:val="single" w:sz="6" w:space="0" w:color="auto"/>
              <w:left w:val="nil"/>
              <w:bottom w:val="nil"/>
              <w:right w:val="nil"/>
            </w:tcBorders>
            <w:shd w:val="solid" w:color="FFFFFF" w:fill="auto"/>
          </w:tcPr>
          <w:p w:rsidR="00336793" w:rsidRPr="00C55E7F" w:rsidRDefault="00336793" w:rsidP="00DF0B96">
            <w:pPr>
              <w:pStyle w:val="TableofFigures"/>
              <w:rPr>
                <w:rFonts w:eastAsiaTheme="minorEastAsia" w:cs="Calibri"/>
                <w:color w:val="000000"/>
                <w:szCs w:val="22"/>
                <w:lang w:eastAsia="en-AU"/>
              </w:rPr>
            </w:pPr>
            <w:r w:rsidRPr="00C55E7F">
              <w:rPr>
                <w:rFonts w:eastAsiaTheme="minorEastAsia"/>
                <w:lang w:eastAsia="en-AU"/>
              </w:rPr>
              <w:t>1 214</w:t>
            </w:r>
          </w:p>
        </w:tc>
        <w:tc>
          <w:tcPr>
            <w:tcW w:w="1120" w:type="dxa"/>
            <w:tcBorders>
              <w:top w:val="single" w:sz="6" w:space="0" w:color="auto"/>
              <w:left w:val="nil"/>
              <w:bottom w:val="nil"/>
              <w:right w:val="nil"/>
            </w:tcBorders>
            <w:shd w:val="solid" w:color="FFFFFF" w:fill="auto"/>
          </w:tcPr>
          <w:p w:rsidR="00336793" w:rsidRPr="00C55E7F" w:rsidRDefault="00336793" w:rsidP="00DF0B96">
            <w:pPr>
              <w:pStyle w:val="TableofFigures"/>
              <w:rPr>
                <w:rFonts w:eastAsiaTheme="minorEastAsia" w:cs="Calibri"/>
                <w:color w:val="000000"/>
                <w:szCs w:val="22"/>
                <w:lang w:eastAsia="en-AU"/>
              </w:rPr>
            </w:pPr>
            <w:r w:rsidRPr="00C55E7F">
              <w:rPr>
                <w:rFonts w:eastAsiaTheme="minorEastAsia"/>
                <w:lang w:eastAsia="en-AU"/>
              </w:rPr>
              <w:t xml:space="preserve"> 883</w:t>
            </w:r>
          </w:p>
        </w:tc>
      </w:tr>
      <w:tr w:rsidR="00336793" w:rsidRPr="00C55E7F" w:rsidTr="00DF0B96">
        <w:tc>
          <w:tcPr>
            <w:tcW w:w="7400" w:type="dxa"/>
            <w:tcBorders>
              <w:top w:val="nil"/>
              <w:left w:val="nil"/>
              <w:bottom w:val="single" w:sz="6" w:space="0" w:color="000000"/>
              <w:right w:val="nil"/>
            </w:tcBorders>
            <w:shd w:val="solid" w:color="FFFFFF" w:fill="auto"/>
          </w:tcPr>
          <w:p w:rsidR="00336793" w:rsidRPr="00C55E7F" w:rsidRDefault="00336793" w:rsidP="00DF0B96">
            <w:pPr>
              <w:pStyle w:val="Tabletext"/>
              <w:rPr>
                <w:rFonts w:eastAsiaTheme="minorEastAsia"/>
                <w:vertAlign w:val="superscript"/>
                <w:lang w:eastAsia="en-AU"/>
              </w:rPr>
            </w:pPr>
            <w:r w:rsidRPr="00C55E7F">
              <w:rPr>
                <w:rFonts w:eastAsiaTheme="minorEastAsia"/>
                <w:lang w:eastAsia="en-AU"/>
              </w:rPr>
              <w:t>Add back: Non</w:t>
            </w:r>
            <w:r>
              <w:rPr>
                <w:rFonts w:eastAsiaTheme="minorEastAsia"/>
                <w:lang w:eastAsia="en-AU"/>
              </w:rPr>
              <w:noBreakHyphen/>
            </w:r>
            <w:r w:rsidRPr="00C55E7F">
              <w:rPr>
                <w:rFonts w:eastAsiaTheme="minorEastAsia"/>
                <w:lang w:eastAsia="en-AU"/>
              </w:rPr>
              <w:t>cash revenues and expenses (net)</w:t>
            </w:r>
            <w:r w:rsidRPr="00E96950">
              <w:rPr>
                <w:rFonts w:eastAsiaTheme="minorEastAsia"/>
                <w:vertAlign w:val="superscript"/>
                <w:lang w:eastAsia="en-AU"/>
              </w:rPr>
              <w:t xml:space="preserve"> (</w:t>
            </w:r>
            <w:r w:rsidRPr="00C55E7F">
              <w:rPr>
                <w:rFonts w:eastAsiaTheme="minorEastAsia"/>
                <w:vertAlign w:val="superscript"/>
                <w:lang w:eastAsia="en-AU"/>
              </w:rPr>
              <w:t>a)</w:t>
            </w:r>
          </w:p>
        </w:tc>
        <w:tc>
          <w:tcPr>
            <w:tcW w:w="1120"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2 605</w:t>
            </w:r>
          </w:p>
        </w:tc>
        <w:tc>
          <w:tcPr>
            <w:tcW w:w="1120"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3 469</w:t>
            </w:r>
          </w:p>
        </w:tc>
      </w:tr>
      <w:tr w:rsidR="00336793" w:rsidRPr="00C55E7F" w:rsidTr="00DF0B96">
        <w:tc>
          <w:tcPr>
            <w:tcW w:w="7400" w:type="dxa"/>
            <w:tcBorders>
              <w:top w:val="nil"/>
              <w:left w:val="nil"/>
              <w:bottom w:val="nil"/>
              <w:right w:val="nil"/>
            </w:tcBorders>
            <w:shd w:val="solid" w:color="FFFFFF" w:fill="auto"/>
          </w:tcPr>
          <w:p w:rsidR="00336793" w:rsidRPr="00C55E7F" w:rsidRDefault="00336793" w:rsidP="00DF0B96">
            <w:pPr>
              <w:pStyle w:val="Tabletext"/>
              <w:rPr>
                <w:rFonts w:eastAsiaTheme="minorEastAsia"/>
                <w:b/>
                <w:bCs/>
                <w:lang w:eastAsia="en-AU"/>
              </w:rPr>
            </w:pPr>
            <w:r w:rsidRPr="00C55E7F">
              <w:rPr>
                <w:rFonts w:eastAsiaTheme="minorEastAsia"/>
                <w:b/>
                <w:bCs/>
                <w:lang w:eastAsia="en-AU"/>
              </w:rPr>
              <w:t>Net cash flows from operating activities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3 819</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4 352</w:t>
            </w:r>
          </w:p>
        </w:tc>
      </w:tr>
      <w:tr w:rsidR="00336793" w:rsidRPr="00C55E7F" w:rsidTr="00DF0B96">
        <w:tc>
          <w:tcPr>
            <w:tcW w:w="7400" w:type="dxa"/>
            <w:tcBorders>
              <w:top w:val="nil"/>
              <w:left w:val="nil"/>
              <w:bottom w:val="nil"/>
              <w:right w:val="nil"/>
            </w:tcBorders>
            <w:shd w:val="solid" w:color="FFFFFF" w:fill="auto"/>
          </w:tcPr>
          <w:p w:rsidR="00336793" w:rsidRPr="00C55E7F" w:rsidRDefault="00336793" w:rsidP="00DF0B96">
            <w:pPr>
              <w:pStyle w:val="Tabletext"/>
              <w:rPr>
                <w:rFonts w:eastAsiaTheme="minorEastAsia"/>
                <w:lang w:eastAsia="en-AU"/>
              </w:rPr>
            </w:pPr>
            <w:r w:rsidRPr="00C55E7F">
              <w:rPr>
                <w:rFonts w:eastAsiaTheme="minorEastAsia"/>
                <w:lang w:eastAsia="en-AU"/>
              </w:rPr>
              <w:t>Less: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w:t>
            </w:r>
          </w:p>
        </w:tc>
      </w:tr>
      <w:tr w:rsidR="00336793" w:rsidRPr="00C55E7F" w:rsidTr="00DF0B96">
        <w:tc>
          <w:tcPr>
            <w:tcW w:w="7400" w:type="dxa"/>
            <w:tcBorders>
              <w:top w:val="nil"/>
              <w:left w:val="nil"/>
              <w:bottom w:val="nil"/>
              <w:right w:val="nil"/>
            </w:tcBorders>
            <w:shd w:val="solid" w:color="FFFFFF" w:fill="auto"/>
          </w:tcPr>
          <w:p w:rsidR="00336793" w:rsidRPr="00C55E7F" w:rsidRDefault="00336793" w:rsidP="00DF0B96">
            <w:pPr>
              <w:pStyle w:val="Tabletext"/>
              <w:rPr>
                <w:rFonts w:eastAsiaTheme="minorEastAsia"/>
                <w:b/>
                <w:bCs/>
                <w:lang w:eastAsia="en-AU"/>
              </w:rPr>
            </w:pPr>
            <w:r w:rsidRPr="00C55E7F">
              <w:rPr>
                <w:rFonts w:eastAsiaTheme="minorEastAsia"/>
                <w:b/>
                <w:bCs/>
                <w:lang w:eastAsia="en-AU"/>
              </w:rPr>
              <w:t>Net investment in fixed assets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 xml:space="preserve"> </w:t>
            </w:r>
          </w:p>
        </w:tc>
      </w:tr>
      <w:tr w:rsidR="00336793" w:rsidRPr="00C55E7F" w:rsidTr="00DF0B96">
        <w:tc>
          <w:tcPr>
            <w:tcW w:w="7400" w:type="dxa"/>
            <w:tcBorders>
              <w:top w:val="nil"/>
              <w:left w:val="nil"/>
              <w:bottom w:val="nil"/>
              <w:right w:val="nil"/>
            </w:tcBorders>
            <w:shd w:val="solid" w:color="FFFFFF" w:fill="auto"/>
          </w:tcPr>
          <w:p w:rsidR="00336793" w:rsidRPr="00C55E7F" w:rsidRDefault="00336793" w:rsidP="00DF0B96">
            <w:pPr>
              <w:pStyle w:val="Tabletext"/>
              <w:rPr>
                <w:rFonts w:eastAsiaTheme="minorEastAsia"/>
                <w:lang w:eastAsia="en-AU"/>
              </w:rPr>
            </w:pPr>
            <w:r w:rsidRPr="00C55E7F">
              <w:rPr>
                <w:rFonts w:eastAsiaTheme="minorEastAsia"/>
                <w:lang w:eastAsia="en-AU"/>
              </w:rPr>
              <w:t>Expenditure on approved projects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5 252</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cs="Calibri"/>
                <w:color w:val="000000"/>
                <w:szCs w:val="22"/>
                <w:lang w:eastAsia="en-AU"/>
              </w:rPr>
            </w:pPr>
            <w:r w:rsidRPr="00C55E7F">
              <w:rPr>
                <w:rFonts w:eastAsiaTheme="minorEastAsia"/>
                <w:lang w:eastAsia="en-AU"/>
              </w:rPr>
              <w:t>4 738</w:t>
            </w:r>
          </w:p>
        </w:tc>
      </w:tr>
      <w:tr w:rsidR="00336793" w:rsidRPr="00C55E7F" w:rsidTr="00DF0B96">
        <w:tc>
          <w:tcPr>
            <w:tcW w:w="7400" w:type="dxa"/>
            <w:tcBorders>
              <w:top w:val="nil"/>
              <w:left w:val="nil"/>
              <w:bottom w:val="single" w:sz="6" w:space="0" w:color="000000"/>
              <w:right w:val="nil"/>
            </w:tcBorders>
            <w:shd w:val="solid" w:color="FFFFFF" w:fill="auto"/>
          </w:tcPr>
          <w:p w:rsidR="00336793" w:rsidRPr="00C55E7F" w:rsidRDefault="00336793" w:rsidP="00DF0B96">
            <w:pPr>
              <w:pStyle w:val="Tabletext"/>
              <w:rPr>
                <w:rFonts w:eastAsiaTheme="minorEastAsia"/>
                <w:lang w:eastAsia="en-AU"/>
              </w:rPr>
            </w:pPr>
            <w:r w:rsidRPr="00C55E7F">
              <w:rPr>
                <w:rFonts w:eastAsiaTheme="minorEastAsia"/>
                <w:lang w:eastAsia="en-AU"/>
              </w:rPr>
              <w:t>Sale of non</w:t>
            </w:r>
            <w:r>
              <w:rPr>
                <w:rFonts w:eastAsiaTheme="minorEastAsia"/>
                <w:lang w:eastAsia="en-AU"/>
              </w:rPr>
              <w:noBreakHyphen/>
            </w:r>
            <w:r w:rsidRPr="00C55E7F">
              <w:rPr>
                <w:rFonts w:eastAsiaTheme="minorEastAsia"/>
                <w:lang w:eastAsia="en-AU"/>
              </w:rPr>
              <w:t>financial assets</w:t>
            </w:r>
          </w:p>
        </w:tc>
        <w:tc>
          <w:tcPr>
            <w:tcW w:w="1120"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398</w:t>
            </w:r>
          </w:p>
        </w:tc>
        <w:tc>
          <w:tcPr>
            <w:tcW w:w="1120"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360</w:t>
            </w:r>
          </w:p>
        </w:tc>
      </w:tr>
      <w:tr w:rsidR="00336793" w:rsidRPr="00C55E7F" w:rsidTr="00DF0B96">
        <w:tc>
          <w:tcPr>
            <w:tcW w:w="7400" w:type="dxa"/>
            <w:tcBorders>
              <w:top w:val="nil"/>
              <w:left w:val="nil"/>
              <w:bottom w:val="nil"/>
              <w:right w:val="nil"/>
            </w:tcBorders>
            <w:shd w:val="solid" w:color="FFFFFF" w:fill="auto"/>
          </w:tcPr>
          <w:p w:rsidR="00336793" w:rsidRPr="00C55E7F" w:rsidRDefault="00336793" w:rsidP="00DF0B96">
            <w:pPr>
              <w:pStyle w:val="Tabletext"/>
              <w:rPr>
                <w:rFonts w:eastAsiaTheme="minorEastAsia"/>
                <w:b/>
                <w:bCs/>
                <w:lang w:eastAsia="en-AU"/>
              </w:rPr>
            </w:pPr>
            <w:r w:rsidRPr="00C55E7F">
              <w:rPr>
                <w:rFonts w:eastAsiaTheme="minorEastAsia"/>
                <w:b/>
                <w:bCs/>
                <w:lang w:eastAsia="en-AU"/>
              </w:rPr>
              <w:t>Net investment in fixed assets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b/>
                <w:bCs/>
                <w:lang w:eastAsia="en-AU"/>
              </w:rPr>
            </w:pPr>
            <w:r w:rsidRPr="00C55E7F">
              <w:rPr>
                <w:rFonts w:eastAsiaTheme="minorEastAsia"/>
                <w:b/>
                <w:bCs/>
                <w:lang w:eastAsia="en-AU"/>
              </w:rPr>
              <w:t>4 854</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cs="Calibri"/>
                <w:b/>
                <w:bCs/>
                <w:color w:val="000000"/>
                <w:szCs w:val="22"/>
                <w:lang w:eastAsia="en-AU"/>
              </w:rPr>
            </w:pPr>
            <w:r w:rsidRPr="00C55E7F">
              <w:rPr>
                <w:rFonts w:eastAsiaTheme="minorEastAsia"/>
                <w:b/>
                <w:bCs/>
                <w:lang w:eastAsia="en-AU"/>
              </w:rPr>
              <w:t>4 378</w:t>
            </w:r>
          </w:p>
        </w:tc>
      </w:tr>
      <w:tr w:rsidR="00336793" w:rsidRPr="00C55E7F" w:rsidTr="00DF0B96">
        <w:tc>
          <w:tcPr>
            <w:tcW w:w="7400" w:type="dxa"/>
            <w:tcBorders>
              <w:top w:val="nil"/>
              <w:left w:val="nil"/>
              <w:bottom w:val="nil"/>
              <w:right w:val="nil"/>
            </w:tcBorders>
            <w:shd w:val="solid" w:color="FFFFFF" w:fill="auto"/>
          </w:tcPr>
          <w:p w:rsidR="00336793" w:rsidRPr="00C55E7F" w:rsidRDefault="00336793" w:rsidP="00DF0B96">
            <w:pPr>
              <w:pStyle w:val="Tabletext"/>
              <w:rPr>
                <w:rFonts w:eastAsiaTheme="minorEastAsia"/>
                <w:vertAlign w:val="superscript"/>
                <w:lang w:eastAsia="en-AU"/>
              </w:rPr>
            </w:pPr>
            <w:r w:rsidRPr="00C55E7F">
              <w:rPr>
                <w:rFonts w:eastAsiaTheme="minorEastAsia"/>
                <w:lang w:eastAsia="en-AU"/>
              </w:rPr>
              <w:t>Finance leases</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99</w:t>
            </w:r>
          </w:p>
        </w:tc>
        <w:tc>
          <w:tcPr>
            <w:tcW w:w="1120" w:type="dxa"/>
            <w:tcBorders>
              <w:top w:val="nil"/>
              <w:left w:val="nil"/>
              <w:bottom w:val="nil"/>
              <w:right w:val="nil"/>
            </w:tcBorders>
            <w:shd w:val="solid" w:color="FFFFFF" w:fill="auto"/>
          </w:tcPr>
          <w:p w:rsidR="00336793" w:rsidRPr="00C55E7F" w:rsidRDefault="00336793" w:rsidP="00DF0B96">
            <w:pPr>
              <w:pStyle w:val="TableofFigures"/>
              <w:rPr>
                <w:rFonts w:eastAsiaTheme="minorEastAsia" w:cs="Calibri"/>
                <w:color w:val="000000"/>
                <w:szCs w:val="22"/>
                <w:lang w:eastAsia="en-AU"/>
              </w:rPr>
            </w:pPr>
            <w:r w:rsidRPr="00C55E7F">
              <w:rPr>
                <w:rFonts w:eastAsiaTheme="minorEastAsia"/>
                <w:lang w:eastAsia="en-AU"/>
              </w:rPr>
              <w:t xml:space="preserve"> 36</w:t>
            </w:r>
          </w:p>
        </w:tc>
      </w:tr>
      <w:tr w:rsidR="00336793" w:rsidRPr="00C55E7F" w:rsidTr="00DF0B96">
        <w:tc>
          <w:tcPr>
            <w:tcW w:w="7400" w:type="dxa"/>
            <w:tcBorders>
              <w:top w:val="nil"/>
              <w:left w:val="nil"/>
              <w:bottom w:val="single" w:sz="6" w:space="0" w:color="000000"/>
              <w:right w:val="nil"/>
            </w:tcBorders>
            <w:shd w:val="solid" w:color="FFFFFF" w:fill="auto"/>
          </w:tcPr>
          <w:p w:rsidR="00336793" w:rsidRPr="00C55E7F" w:rsidRDefault="00336793" w:rsidP="00DF0B96">
            <w:pPr>
              <w:pStyle w:val="Tabletext"/>
              <w:rPr>
                <w:rFonts w:eastAsiaTheme="minorEastAsia"/>
                <w:lang w:eastAsia="en-AU"/>
              </w:rPr>
            </w:pPr>
            <w:r w:rsidRPr="00C55E7F">
              <w:rPr>
                <w:rFonts w:eastAsiaTheme="minorEastAsia"/>
                <w:lang w:eastAsia="en-AU"/>
              </w:rPr>
              <w:t>Other investment activities (net)</w:t>
            </w:r>
          </w:p>
        </w:tc>
        <w:tc>
          <w:tcPr>
            <w:tcW w:w="1120"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19</w:t>
            </w:r>
          </w:p>
        </w:tc>
        <w:tc>
          <w:tcPr>
            <w:tcW w:w="1120" w:type="dxa"/>
            <w:tcBorders>
              <w:top w:val="nil"/>
              <w:left w:val="nil"/>
              <w:bottom w:val="single" w:sz="6" w:space="0" w:color="000000"/>
              <w:right w:val="nil"/>
            </w:tcBorders>
            <w:shd w:val="solid" w:color="FFFFFF" w:fill="auto"/>
          </w:tcPr>
          <w:p w:rsidR="00336793" w:rsidRPr="00C55E7F" w:rsidRDefault="00336793" w:rsidP="00DF0B96">
            <w:pPr>
              <w:pStyle w:val="TableofFigures"/>
              <w:rPr>
                <w:rFonts w:eastAsiaTheme="minorEastAsia"/>
                <w:lang w:eastAsia="en-AU"/>
              </w:rPr>
            </w:pPr>
            <w:r w:rsidRPr="00C55E7F">
              <w:rPr>
                <w:rFonts w:eastAsiaTheme="minorEastAsia"/>
                <w:lang w:eastAsia="en-AU"/>
              </w:rPr>
              <w:t xml:space="preserve"> 3</w:t>
            </w:r>
          </w:p>
        </w:tc>
      </w:tr>
      <w:tr w:rsidR="00336793" w:rsidRPr="00C55E7F" w:rsidTr="00DF0B96">
        <w:tc>
          <w:tcPr>
            <w:tcW w:w="7400" w:type="dxa"/>
            <w:tcBorders>
              <w:top w:val="single" w:sz="6" w:space="0" w:color="000000"/>
              <w:left w:val="nil"/>
              <w:bottom w:val="single" w:sz="12" w:space="0" w:color="000000"/>
              <w:right w:val="nil"/>
            </w:tcBorders>
            <w:shd w:val="solid" w:color="FFFFFF" w:fill="auto"/>
          </w:tcPr>
          <w:p w:rsidR="00336793" w:rsidRPr="00C55E7F" w:rsidRDefault="00336793" w:rsidP="00DF0B96">
            <w:pPr>
              <w:pStyle w:val="Tabletext"/>
              <w:rPr>
                <w:rFonts w:eastAsiaTheme="minorEastAsia"/>
                <w:b/>
                <w:bCs/>
                <w:lang w:eastAsia="en-AU"/>
              </w:rPr>
            </w:pPr>
            <w:r w:rsidRPr="00C55E7F">
              <w:rPr>
                <w:rFonts w:eastAsiaTheme="minorEastAsia"/>
                <w:b/>
                <w:bCs/>
                <w:lang w:eastAsia="en-AU"/>
              </w:rPr>
              <w:t>Decrease/(increase) in net debt</w:t>
            </w:r>
          </w:p>
        </w:tc>
        <w:tc>
          <w:tcPr>
            <w:tcW w:w="1120" w:type="dxa"/>
            <w:tcBorders>
              <w:top w:val="single" w:sz="6" w:space="0" w:color="000000"/>
              <w:left w:val="nil"/>
              <w:bottom w:val="single" w:sz="12" w:space="0" w:color="000000"/>
              <w:right w:val="nil"/>
            </w:tcBorders>
            <w:shd w:val="solid" w:color="FFFFFF" w:fill="auto"/>
          </w:tcPr>
          <w:p w:rsidR="00336793" w:rsidRPr="00C55E7F" w:rsidRDefault="00336793" w:rsidP="00DF0B96">
            <w:pPr>
              <w:pStyle w:val="TableofFigures"/>
              <w:rPr>
                <w:rFonts w:eastAsiaTheme="minorEastAsia" w:cs="Calibri"/>
                <w:b/>
                <w:bCs/>
                <w:color w:val="000000"/>
                <w:szCs w:val="22"/>
                <w:lang w:eastAsia="en-AU"/>
              </w:rPr>
            </w:pPr>
            <w:r w:rsidRPr="00C55E7F">
              <w:rPr>
                <w:rFonts w:eastAsiaTheme="minorEastAsia"/>
                <w:b/>
                <w:bCs/>
                <w:lang w:eastAsia="en-AU"/>
              </w:rPr>
              <w:t xml:space="preserve"> (1 153)</w:t>
            </w:r>
          </w:p>
        </w:tc>
        <w:tc>
          <w:tcPr>
            <w:tcW w:w="1120" w:type="dxa"/>
            <w:tcBorders>
              <w:top w:val="single" w:sz="6" w:space="0" w:color="000000"/>
              <w:left w:val="nil"/>
              <w:bottom w:val="single" w:sz="12" w:space="0" w:color="000000"/>
              <w:right w:val="nil"/>
            </w:tcBorders>
            <w:shd w:val="solid" w:color="FFFFFF" w:fill="auto"/>
          </w:tcPr>
          <w:p w:rsidR="00336793" w:rsidRPr="00C55E7F"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C55E7F">
              <w:rPr>
                <w:rFonts w:eastAsiaTheme="minorEastAsia" w:cs="Calibri"/>
                <w:b/>
                <w:bCs/>
                <w:color w:val="000000"/>
                <w:szCs w:val="22"/>
                <w:lang w:eastAsia="en-AU"/>
              </w:rPr>
              <w:t>65)</w:t>
            </w:r>
          </w:p>
        </w:tc>
      </w:tr>
    </w:tbl>
    <w:p w:rsidR="00336793" w:rsidRDefault="00336793" w:rsidP="00DF0B96">
      <w:pPr>
        <w:pStyle w:val="Source"/>
      </w:pPr>
      <w:r>
        <w:t xml:space="preserve">Source: </w:t>
      </w:r>
      <w:r w:rsidRPr="000A1596">
        <w:t>Department</w:t>
      </w:r>
      <w:r>
        <w:t xml:space="preserve"> of Treasury and Finance</w:t>
      </w:r>
    </w:p>
    <w:p w:rsidR="00336793" w:rsidRPr="000A1596" w:rsidRDefault="00336793" w:rsidP="00DF0B96">
      <w:pPr>
        <w:pStyle w:val="Notes"/>
      </w:pPr>
      <w:r>
        <w:t>Note:</w:t>
      </w:r>
    </w:p>
    <w:p w:rsidR="00336793" w:rsidRDefault="00336793" w:rsidP="00DF0B96">
      <w:pPr>
        <w:pStyle w:val="Notes"/>
      </w:pPr>
      <w:r>
        <w:t>(a)</w:t>
      </w:r>
      <w:r>
        <w:tab/>
        <w:t>Includes depreciation and movements in liabilities such as superannuation and employee benefits.</w:t>
      </w:r>
    </w:p>
    <w:p w:rsidR="00336793" w:rsidRDefault="00336793" w:rsidP="00DF0B96"/>
    <w:p w:rsidR="00336793" w:rsidRDefault="00336793">
      <w:pPr>
        <w:spacing w:after="0"/>
        <w:rPr>
          <w:rFonts w:ascii="Calibri" w:hAnsi="Calibri"/>
          <w:b/>
          <w:caps/>
          <w:sz w:val="28"/>
          <w:szCs w:val="22"/>
        </w:rPr>
      </w:pPr>
      <w:r>
        <w:br w:type="page"/>
      </w:r>
    </w:p>
    <w:p w:rsidR="00336793" w:rsidRDefault="00336793" w:rsidP="00DF0B96">
      <w:pPr>
        <w:pStyle w:val="Heading1"/>
      </w:pPr>
      <w:bookmarkStart w:id="17" w:name="_Toc433984467"/>
      <w:r w:rsidRPr="00AF3E2F">
        <w:lastRenderedPageBreak/>
        <w:t>Infrastructure investment</w:t>
      </w:r>
      <w:bookmarkEnd w:id="17"/>
    </w:p>
    <w:p w:rsidR="00336793" w:rsidRDefault="00336793" w:rsidP="00DF0B96">
      <w:r>
        <w:t>Infrastructure enables high</w:t>
      </w:r>
      <w:r>
        <w:noBreakHyphen/>
        <w:t>quality services to be delivered to the community. It has a significant impact on state and national productivity and has the ability to generate significant direct and indirect employment, and wider economic benefits.</w:t>
      </w:r>
      <w:r w:rsidRPr="0057797C">
        <w:t xml:space="preserve"> </w:t>
      </w:r>
    </w:p>
    <w:p w:rsidR="00336793" w:rsidRDefault="00336793" w:rsidP="00DF0B96">
      <w:r>
        <w:t>The general government sector’s infrastructure investment program in 2014</w:t>
      </w:r>
      <w:r>
        <w:noBreakHyphen/>
        <w:t xml:space="preserve">15, which included capital purchases by the general government sector and contributions by the general government sector to other sectors </w:t>
      </w:r>
      <w:r w:rsidRPr="00422F2F">
        <w:t>of government for capital purposes (net of asset sales), was $</w:t>
      </w:r>
      <w:r>
        <w:t>4.9 billion. This represents a $476 million increase compared to the revised budget, with the majority invested in the transport, health and education sectors.</w:t>
      </w:r>
    </w:p>
    <w:p w:rsidR="00336793" w:rsidRDefault="00336793" w:rsidP="00DF0B96">
      <w:r>
        <w:t>Chart 2.1 shows the trend in net infrastructure investment by the general government sector since 1995</w:t>
      </w:r>
      <w:r>
        <w:noBreakHyphen/>
        <w:t xml:space="preserve">96. </w:t>
      </w:r>
    </w:p>
    <w:p w:rsidR="00336793" w:rsidRDefault="00336793" w:rsidP="00DF0B96">
      <w:pPr>
        <w:pStyle w:val="Chartheading"/>
        <w:rPr>
          <w:vertAlign w:val="superscript"/>
        </w:rPr>
      </w:pPr>
      <w:r w:rsidRPr="003D3596">
        <w:t>Chart 2.1:</w:t>
      </w:r>
      <w:r w:rsidRPr="003D3596">
        <w:tab/>
        <w:t>Net infrastructure investment</w:t>
      </w:r>
      <w:r w:rsidRPr="001D5C39">
        <w:rPr>
          <w:vertAlign w:val="superscript"/>
        </w:rPr>
        <w:t xml:space="preserve"> (a)</w:t>
      </w:r>
      <w:r>
        <w:rPr>
          <w:vertAlign w:val="superscript"/>
        </w:rPr>
        <w:t xml:space="preserve"> (b)</w:t>
      </w:r>
    </w:p>
    <w:p w:rsidR="00336793" w:rsidRDefault="00336793" w:rsidP="00DF0B96">
      <w:pPr>
        <w:pStyle w:val="Chartpara"/>
      </w:pPr>
      <w:r>
        <w:rPr>
          <w:noProof/>
          <w:lang w:eastAsia="en-AU"/>
        </w:rPr>
        <w:drawing>
          <wp:inline distT="0" distB="0" distL="0" distR="0" wp14:anchorId="1130A539" wp14:editId="123F3BD9">
            <wp:extent cx="5943600" cy="3540125"/>
            <wp:effectExtent l="0" t="0" r="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6793" w:rsidRDefault="00336793" w:rsidP="00DF0B96">
      <w:pPr>
        <w:pStyle w:val="Notes"/>
      </w:pPr>
      <w:r>
        <w:t>Notes:</w:t>
      </w:r>
    </w:p>
    <w:p w:rsidR="00336793" w:rsidRDefault="00336793" w:rsidP="00DF0B96">
      <w:pPr>
        <w:pStyle w:val="Notes"/>
      </w:pPr>
      <w:r>
        <w:t>(a)</w:t>
      </w:r>
      <w:r>
        <w:tab/>
        <w:t>Fiscal stimulus infrastructure investment ceased in 2013</w:t>
      </w:r>
      <w:r>
        <w:noBreakHyphen/>
        <w:t>14. The fiscal stimulus package included infrastructure investment under Social Housing and Building the Education Revolution programs for which the State of Victoria received funding from the Commonwealth.</w:t>
      </w:r>
    </w:p>
    <w:p w:rsidR="00336793" w:rsidRDefault="00336793" w:rsidP="00DF0B96">
      <w:pPr>
        <w:pStyle w:val="Notes"/>
      </w:pPr>
      <w:r>
        <w:t>(b)</w:t>
      </w:r>
      <w:r>
        <w:tab/>
        <w:t xml:space="preserve">Note that the net infrastructure </w:t>
      </w:r>
      <w:r w:rsidRPr="00C55E7F">
        <w:t>investment</w:t>
      </w:r>
      <w:r>
        <w:t xml:space="preserve"> is distinct from the Government’s infrastructure investment aggregate, which includes estimated cash flows for Partnership Victoria projects.</w:t>
      </w:r>
    </w:p>
    <w:p w:rsidR="00336793" w:rsidRDefault="00336793" w:rsidP="00DF0B96">
      <w:pPr>
        <w:pStyle w:val="Notes"/>
      </w:pPr>
    </w:p>
    <w:p w:rsidR="00336793" w:rsidRDefault="00336793" w:rsidP="00DF0B96"/>
    <w:p w:rsidR="00336793" w:rsidRDefault="00336793">
      <w:pPr>
        <w:spacing w:after="0"/>
        <w:rPr>
          <w:b/>
        </w:rPr>
      </w:pPr>
    </w:p>
    <w:p w:rsidR="00336793" w:rsidRDefault="00336793">
      <w:pPr>
        <w:spacing w:after="0"/>
      </w:pPr>
      <w:r>
        <w:br w:type="page"/>
      </w:r>
    </w:p>
    <w:p w:rsidR="00336793" w:rsidRDefault="00336793">
      <w:pPr>
        <w:spacing w:after="0"/>
      </w:pPr>
      <w:r>
        <w:lastRenderedPageBreak/>
        <w:t>For the 2014</w:t>
      </w:r>
      <w:r>
        <w:noBreakHyphen/>
        <w:t>15 year, the Government undertook the following infrastructure projects as shown in the scorecard below.</w:t>
      </w:r>
    </w:p>
    <w:p w:rsidR="00336793" w:rsidRDefault="00336793">
      <w:pPr>
        <w:spacing w:after="0"/>
        <w:rPr>
          <w:b/>
        </w:rPr>
      </w:pPr>
    </w:p>
    <w:p w:rsidR="00336793" w:rsidRDefault="00336793" w:rsidP="00DF0B96">
      <w:pPr>
        <w:pStyle w:val="HighlightBoxHeading"/>
        <w:rPr>
          <w:b/>
        </w:rPr>
      </w:pPr>
      <w:r w:rsidRPr="00E9571B">
        <w:rPr>
          <w:b/>
        </w:rPr>
        <w:t>The Government</w:t>
      </w:r>
      <w:r>
        <w:rPr>
          <w:b/>
        </w:rPr>
        <w:t>’s infrastructure scorecard 2014</w:t>
      </w:r>
      <w:r>
        <w:rPr>
          <w:b/>
        </w:rPr>
        <w:noBreakHyphen/>
        <w:t>15</w:t>
      </w:r>
    </w:p>
    <w:p w:rsidR="00336793" w:rsidRDefault="00336793" w:rsidP="00DF0B96">
      <w:pPr>
        <w:pStyle w:val="HighlightBoxText"/>
      </w:pPr>
      <w:r w:rsidRPr="003D3596">
        <w:t>Major projects completed during the year include:</w:t>
      </w:r>
    </w:p>
    <w:p w:rsidR="00336793" w:rsidRDefault="00336793" w:rsidP="00DF0B96">
      <w:pPr>
        <w:pStyle w:val="HighlightBoxBullet"/>
        <w:tabs>
          <w:tab w:val="clear" w:pos="90"/>
          <w:tab w:val="num" w:pos="0"/>
        </w:tabs>
      </w:pPr>
      <w:r>
        <w:t>Koo Wee Rup bypass;</w:t>
      </w:r>
    </w:p>
    <w:p w:rsidR="00336793" w:rsidRDefault="00336793" w:rsidP="00DF0B96">
      <w:pPr>
        <w:pStyle w:val="HighlightBoxBullet"/>
        <w:tabs>
          <w:tab w:val="clear" w:pos="90"/>
          <w:tab w:val="num" w:pos="0"/>
        </w:tabs>
      </w:pPr>
      <w:r>
        <w:t>M80 upgrade (Edgars Road to Plenty Road);</w:t>
      </w:r>
    </w:p>
    <w:p w:rsidR="00336793" w:rsidRDefault="00336793" w:rsidP="00DF0B96">
      <w:pPr>
        <w:pStyle w:val="HighlightBoxBullet"/>
        <w:tabs>
          <w:tab w:val="clear" w:pos="90"/>
          <w:tab w:val="num" w:pos="0"/>
        </w:tabs>
      </w:pPr>
      <w:r>
        <w:t>Regional Rail Link; and</w:t>
      </w:r>
    </w:p>
    <w:p w:rsidR="00336793" w:rsidRDefault="00336793" w:rsidP="00DF0B96">
      <w:pPr>
        <w:pStyle w:val="HighlightBoxBullet"/>
        <w:tabs>
          <w:tab w:val="clear" w:pos="90"/>
          <w:tab w:val="num" w:pos="0"/>
        </w:tabs>
      </w:pPr>
      <w:r w:rsidRPr="005A65DD">
        <w:t xml:space="preserve">Shrine </w:t>
      </w:r>
      <w:r>
        <w:t xml:space="preserve">Galleries </w:t>
      </w:r>
      <w:r w:rsidRPr="005A65DD">
        <w:t>of Remembrance</w:t>
      </w:r>
      <w:r>
        <w:t>.</w:t>
      </w:r>
    </w:p>
    <w:p w:rsidR="00336793" w:rsidRPr="005A65DD" w:rsidRDefault="00336793" w:rsidP="00DF0B96">
      <w:pPr>
        <w:pStyle w:val="HighlightBoxText"/>
      </w:pPr>
    </w:p>
    <w:p w:rsidR="00336793" w:rsidRPr="005A65DD" w:rsidRDefault="00336793" w:rsidP="00DF0B96">
      <w:pPr>
        <w:pStyle w:val="HighlightBoxText"/>
      </w:pPr>
      <w:r w:rsidRPr="005A65DD">
        <w:t>Major projects in progress include:</w:t>
      </w:r>
    </w:p>
    <w:p w:rsidR="00336793" w:rsidRDefault="00336793" w:rsidP="00DF0B96">
      <w:pPr>
        <w:pStyle w:val="HighlightBoxBullet"/>
        <w:tabs>
          <w:tab w:val="clear" w:pos="90"/>
          <w:tab w:val="num" w:pos="0"/>
        </w:tabs>
      </w:pPr>
      <w:r>
        <w:t xml:space="preserve">new </w:t>
      </w:r>
      <w:r w:rsidRPr="005A65DD">
        <w:t>Bendigo Hospital;</w:t>
      </w:r>
    </w:p>
    <w:p w:rsidR="00336793" w:rsidRPr="005A65DD" w:rsidRDefault="00336793" w:rsidP="00DF0B96">
      <w:pPr>
        <w:pStyle w:val="HighlightBoxBullet"/>
        <w:tabs>
          <w:tab w:val="clear" w:pos="90"/>
          <w:tab w:val="num" w:pos="0"/>
        </w:tabs>
      </w:pPr>
      <w:r w:rsidRPr="005A65DD">
        <w:t>Box Hill Hospital</w:t>
      </w:r>
      <w:r>
        <w:t xml:space="preserve"> redevelopment</w:t>
      </w:r>
      <w:r w:rsidRPr="005A65DD">
        <w:t>;</w:t>
      </w:r>
    </w:p>
    <w:p w:rsidR="00336793" w:rsidRDefault="00336793" w:rsidP="00DF0B96">
      <w:pPr>
        <w:pStyle w:val="HighlightBoxBullet"/>
        <w:tabs>
          <w:tab w:val="clear" w:pos="90"/>
          <w:tab w:val="num" w:pos="0"/>
        </w:tabs>
      </w:pPr>
      <w:r>
        <w:t>CityLink</w:t>
      </w:r>
      <w:r>
        <w:noBreakHyphen/>
        <w:t>Tulla widening project – Tullamarine freeway widening;</w:t>
      </w:r>
    </w:p>
    <w:p w:rsidR="00336793" w:rsidRPr="005A65DD" w:rsidRDefault="00336793" w:rsidP="00DF0B96">
      <w:pPr>
        <w:pStyle w:val="HighlightBoxBullet"/>
        <w:tabs>
          <w:tab w:val="clear" w:pos="90"/>
          <w:tab w:val="num" w:pos="0"/>
        </w:tabs>
      </w:pPr>
      <w:r>
        <w:t>Melbourne Metro Rail Project</w:t>
      </w:r>
    </w:p>
    <w:p w:rsidR="00336793" w:rsidRPr="005A65DD" w:rsidRDefault="00336793" w:rsidP="00DF0B96">
      <w:pPr>
        <w:pStyle w:val="HighlightBoxBullet"/>
        <w:tabs>
          <w:tab w:val="clear" w:pos="90"/>
          <w:tab w:val="num" w:pos="0"/>
        </w:tabs>
      </w:pPr>
      <w:r>
        <w:t>Melbourne Wholesale Markets redevelopment;</w:t>
      </w:r>
    </w:p>
    <w:p w:rsidR="00336793" w:rsidRDefault="00336793" w:rsidP="00DF0B96">
      <w:pPr>
        <w:pStyle w:val="HighlightBoxBullet"/>
        <w:tabs>
          <w:tab w:val="clear" w:pos="90"/>
          <w:tab w:val="num" w:pos="0"/>
        </w:tabs>
      </w:pPr>
      <w:r w:rsidRPr="005A65DD">
        <w:t>Monash Children</w:t>
      </w:r>
      <w:r>
        <w:t>’</w:t>
      </w:r>
      <w:r w:rsidRPr="005A65DD">
        <w:t xml:space="preserve">s Hospital; </w:t>
      </w:r>
    </w:p>
    <w:p w:rsidR="00336793" w:rsidRDefault="00336793" w:rsidP="00DF0B96">
      <w:pPr>
        <w:pStyle w:val="HighlightBoxBullet"/>
        <w:tabs>
          <w:tab w:val="clear" w:pos="90"/>
          <w:tab w:val="num" w:pos="0"/>
        </w:tabs>
      </w:pPr>
      <w:r>
        <w:t>M80 upgrade (EJ Whitten Bridge to Sunshine Avenue);</w:t>
      </w:r>
    </w:p>
    <w:p w:rsidR="00336793" w:rsidRPr="005A65DD" w:rsidRDefault="00336793" w:rsidP="00DF0B96">
      <w:pPr>
        <w:pStyle w:val="HighlightBoxBullet"/>
        <w:tabs>
          <w:tab w:val="clear" w:pos="90"/>
          <w:tab w:val="num" w:pos="0"/>
        </w:tabs>
      </w:pPr>
      <w:r>
        <w:t>n</w:t>
      </w:r>
      <w:r w:rsidRPr="005A65DD">
        <w:t>ew trains, trams and associated infrastructure for Melbourne commuters;</w:t>
      </w:r>
    </w:p>
    <w:p w:rsidR="00336793" w:rsidRDefault="00336793" w:rsidP="00DF0B96">
      <w:pPr>
        <w:pStyle w:val="HighlightBoxBullet"/>
        <w:tabs>
          <w:tab w:val="clear" w:pos="90"/>
          <w:tab w:val="num" w:pos="0"/>
        </w:tabs>
      </w:pPr>
      <w:r>
        <w:t>Princes Highway duplication project – Winchelsea to Colac;</w:t>
      </w:r>
    </w:p>
    <w:p w:rsidR="00336793" w:rsidRPr="005A65DD" w:rsidRDefault="00336793" w:rsidP="00DF0B96">
      <w:pPr>
        <w:pStyle w:val="HighlightBoxBullet"/>
        <w:tabs>
          <w:tab w:val="clear" w:pos="90"/>
          <w:tab w:val="num" w:pos="0"/>
        </w:tabs>
      </w:pPr>
      <w:r>
        <w:t xml:space="preserve">Princes Highway East – Traralgon to Sale duplication; </w:t>
      </w:r>
    </w:p>
    <w:p w:rsidR="00336793" w:rsidRPr="005A65DD" w:rsidRDefault="00336793" w:rsidP="00DF0B96">
      <w:pPr>
        <w:pStyle w:val="HighlightBoxBullet"/>
        <w:tabs>
          <w:tab w:val="clear" w:pos="90"/>
          <w:tab w:val="num" w:pos="0"/>
        </w:tabs>
      </w:pPr>
      <w:r>
        <w:t xml:space="preserve">Ravenhall Prison; </w:t>
      </w:r>
    </w:p>
    <w:p w:rsidR="00336793" w:rsidRPr="005A65DD" w:rsidRDefault="00336793" w:rsidP="00DF0B96">
      <w:pPr>
        <w:pStyle w:val="HighlightBoxBullet"/>
        <w:tabs>
          <w:tab w:val="clear" w:pos="90"/>
          <w:tab w:val="num" w:pos="0"/>
        </w:tabs>
      </w:pPr>
      <w:r>
        <w:t>Melbourne Park redevelopment</w:t>
      </w:r>
      <w:r w:rsidRPr="005A65DD">
        <w:t>;</w:t>
      </w:r>
    </w:p>
    <w:p w:rsidR="00336793" w:rsidRPr="005A65DD" w:rsidRDefault="00336793" w:rsidP="00DF0B96">
      <w:pPr>
        <w:pStyle w:val="HighlightBoxBullet"/>
        <w:tabs>
          <w:tab w:val="clear" w:pos="90"/>
          <w:tab w:val="num" w:pos="0"/>
        </w:tabs>
      </w:pPr>
      <w:r>
        <w:t>r</w:t>
      </w:r>
      <w:r w:rsidRPr="005A65DD">
        <w:t>egional rolling stock;</w:t>
      </w:r>
    </w:p>
    <w:p w:rsidR="00336793" w:rsidRDefault="00336793" w:rsidP="00DF0B96">
      <w:pPr>
        <w:pStyle w:val="HighlightBoxBullet"/>
        <w:tabs>
          <w:tab w:val="clear" w:pos="90"/>
          <w:tab w:val="num" w:pos="0"/>
        </w:tabs>
      </w:pPr>
      <w:r w:rsidRPr="005A65DD">
        <w:t>Royal Victorian Eye and Ear Hospital;</w:t>
      </w:r>
    </w:p>
    <w:p w:rsidR="00336793" w:rsidRDefault="00336793" w:rsidP="00DF0B96">
      <w:pPr>
        <w:pStyle w:val="HighlightBoxBullet"/>
        <w:tabs>
          <w:tab w:val="clear" w:pos="90"/>
          <w:tab w:val="num" w:pos="0"/>
        </w:tabs>
      </w:pPr>
      <w:r>
        <w:t>State Coronial Services Centre;</w:t>
      </w:r>
    </w:p>
    <w:p w:rsidR="00336793" w:rsidRDefault="00336793" w:rsidP="00DF0B96">
      <w:pPr>
        <w:pStyle w:val="HighlightBoxBullet"/>
        <w:tabs>
          <w:tab w:val="clear" w:pos="90"/>
          <w:tab w:val="num" w:pos="0"/>
        </w:tabs>
      </w:pPr>
      <w:r>
        <w:t xml:space="preserve">Level Crossings Removal Program; </w:t>
      </w:r>
    </w:p>
    <w:p w:rsidR="00336793" w:rsidRDefault="00336793" w:rsidP="00DF0B96">
      <w:pPr>
        <w:pStyle w:val="HighlightBoxBullet"/>
        <w:tabs>
          <w:tab w:val="clear" w:pos="90"/>
          <w:tab w:val="num" w:pos="0"/>
        </w:tabs>
      </w:pPr>
      <w:r w:rsidRPr="005A65DD">
        <w:t>Victorian Comprehensive Cancer Centre;</w:t>
      </w:r>
      <w:r>
        <w:t xml:space="preserve"> and</w:t>
      </w:r>
    </w:p>
    <w:p w:rsidR="00336793" w:rsidRPr="005A65DD" w:rsidRDefault="00336793" w:rsidP="00DF0B96">
      <w:pPr>
        <w:pStyle w:val="HighlightBoxBullet"/>
        <w:tabs>
          <w:tab w:val="clear" w:pos="90"/>
          <w:tab w:val="num" w:pos="0"/>
        </w:tabs>
      </w:pPr>
      <w:r>
        <w:t>Western Highway duplication – Ballarat to Stawell.</w:t>
      </w:r>
    </w:p>
    <w:p w:rsidR="00336793" w:rsidRPr="005A65DD" w:rsidRDefault="00336793" w:rsidP="00DF0B96">
      <w:pPr>
        <w:pStyle w:val="HighlightBoxText"/>
      </w:pPr>
    </w:p>
    <w:p w:rsidR="00336793" w:rsidRDefault="00336793" w:rsidP="00DF0B96">
      <w:pPr>
        <w:pStyle w:val="HighlightBoxText"/>
      </w:pPr>
      <w:r w:rsidRPr="005A65DD">
        <w:t xml:space="preserve">Major projects </w:t>
      </w:r>
      <w:r>
        <w:t xml:space="preserve">that </w:t>
      </w:r>
      <w:r w:rsidRPr="005A65DD">
        <w:t>commenced procurement in 201</w:t>
      </w:r>
      <w:r>
        <w:t>4</w:t>
      </w:r>
      <w:r>
        <w:noBreakHyphen/>
      </w:r>
      <w:r w:rsidRPr="005A65DD">
        <w:t>1</w:t>
      </w:r>
      <w:r>
        <w:t>5 include:</w:t>
      </w:r>
    </w:p>
    <w:p w:rsidR="00336793" w:rsidRPr="00E9571B" w:rsidRDefault="00336793" w:rsidP="00DF0B96">
      <w:pPr>
        <w:pStyle w:val="HighlightBoxBullet"/>
        <w:tabs>
          <w:tab w:val="clear" w:pos="90"/>
          <w:tab w:val="num" w:pos="0"/>
        </w:tabs>
      </w:pPr>
      <w:r>
        <w:t>New schools public private partnerships (PPP).</w:t>
      </w:r>
    </w:p>
    <w:p w:rsidR="00336793" w:rsidRDefault="00336793" w:rsidP="00DF0B96"/>
    <w:p w:rsidR="00336793" w:rsidRDefault="00336793">
      <w:pPr>
        <w:spacing w:after="0"/>
      </w:pPr>
      <w:r>
        <w:br w:type="page"/>
      </w:r>
    </w:p>
    <w:p w:rsidR="00336793" w:rsidRDefault="00336793" w:rsidP="00DF0B96"/>
    <w:p w:rsidR="00336793" w:rsidRDefault="00336793" w:rsidP="0028370C"/>
    <w:p w:rsidR="00336793" w:rsidRDefault="00336793" w:rsidP="009B024D">
      <w:pPr>
        <w:sectPr w:rsidR="00336793" w:rsidSect="003C06CE">
          <w:footerReference w:type="even" r:id="rId20"/>
          <w:footerReference w:type="default" r:id="rId21"/>
          <w:type w:val="oddPage"/>
          <w:pgSz w:w="11906" w:h="16838" w:code="9"/>
          <w:pgMar w:top="1152" w:right="1152" w:bottom="1152" w:left="1152" w:header="720" w:footer="720" w:gutter="0"/>
          <w:cols w:space="708"/>
          <w:docGrid w:linePitch="360"/>
        </w:sectPr>
      </w:pPr>
    </w:p>
    <w:p w:rsidR="00336793" w:rsidRPr="00A76775" w:rsidRDefault="00336793" w:rsidP="00DF0B96">
      <w:pPr>
        <w:pStyle w:val="ChapterHeading"/>
      </w:pPr>
      <w:bookmarkStart w:id="18" w:name="_Toc367967889"/>
      <w:bookmarkStart w:id="19" w:name="_Toc398715635"/>
      <w:bookmarkStart w:id="20" w:name="_Toc433984468"/>
      <w:r w:rsidRPr="00A76775">
        <w:lastRenderedPageBreak/>
        <w:t>Chapter 3 – State of Victoria outcome</w:t>
      </w:r>
      <w:bookmarkEnd w:id="18"/>
      <w:bookmarkEnd w:id="19"/>
      <w:bookmarkEnd w:id="20"/>
    </w:p>
    <w:p w:rsidR="00336793" w:rsidRDefault="00336793" w:rsidP="00DF0B96">
      <w:pPr>
        <w:pStyle w:val="HighlightBoxBullet"/>
      </w:pPr>
      <w:r w:rsidRPr="008714B2">
        <w:t>The State</w:t>
      </w:r>
      <w:r>
        <w:t>’</w:t>
      </w:r>
      <w:r w:rsidRPr="008714B2">
        <w:t>s financial</w:t>
      </w:r>
      <w:r>
        <w:t xml:space="preserve"> position</w:t>
      </w:r>
      <w:r w:rsidRPr="008714B2">
        <w:t xml:space="preserve"> remain</w:t>
      </w:r>
      <w:r>
        <w:t>s</w:t>
      </w:r>
      <w:r w:rsidRPr="008714B2">
        <w:t xml:space="preserve"> in a strong </w:t>
      </w:r>
      <w:r>
        <w:t xml:space="preserve">and </w:t>
      </w:r>
      <w:r w:rsidRPr="008714B2">
        <w:t>sustainable position</w:t>
      </w:r>
      <w:r>
        <w:t>, with net assets of $140 billion at 30 June 2015.</w:t>
      </w:r>
      <w:r w:rsidRPr="008714B2">
        <w:t xml:space="preserve"> The balance sheet of the State was strengthened</w:t>
      </w:r>
      <w:r>
        <w:t xml:space="preserve"> during 2014</w:t>
      </w:r>
      <w:r>
        <w:noBreakHyphen/>
        <w:t>15 by a $5.7 billion</w:t>
      </w:r>
      <w:r w:rsidRPr="008714B2">
        <w:t xml:space="preserve"> operating cash flow surplus</w:t>
      </w:r>
      <w:r>
        <w:t>.</w:t>
      </w:r>
    </w:p>
    <w:p w:rsidR="00336793" w:rsidRPr="008714B2" w:rsidRDefault="00336793" w:rsidP="00DF0B96">
      <w:pPr>
        <w:pStyle w:val="HighlightBoxBullet"/>
      </w:pPr>
      <w:r>
        <w:t xml:space="preserve">The </w:t>
      </w:r>
      <w:r w:rsidRPr="00814504">
        <w:rPr>
          <w:b/>
        </w:rPr>
        <w:t>net result from transactions</w:t>
      </w:r>
      <w:r w:rsidRPr="008714B2">
        <w:t xml:space="preserve"> for </w:t>
      </w:r>
      <w:r>
        <w:t>t</w:t>
      </w:r>
      <w:r w:rsidRPr="008714B2">
        <w:t xml:space="preserve">he State </w:t>
      </w:r>
      <w:r>
        <w:t>o</w:t>
      </w:r>
      <w:r w:rsidRPr="008714B2">
        <w:t xml:space="preserve">f Victoria </w:t>
      </w:r>
      <w:r>
        <w:t xml:space="preserve">in </w:t>
      </w:r>
      <w:r w:rsidRPr="008714B2">
        <w:t>2014</w:t>
      </w:r>
      <w:r>
        <w:noBreakHyphen/>
      </w:r>
      <w:r w:rsidRPr="008714B2">
        <w:t>15 was a deficit of $6</w:t>
      </w:r>
      <w:r>
        <w:t>11 million, a reduction on the previous year’s surplus of $788 million. The difference was mainly due to the early unexpected receipt of Commonwealth grants revenue in 2013</w:t>
      </w:r>
      <w:r>
        <w:noBreakHyphen/>
        <w:t>14.</w:t>
      </w:r>
    </w:p>
    <w:p w:rsidR="00336793" w:rsidRPr="008714B2" w:rsidRDefault="00336793" w:rsidP="00DF0B96">
      <w:pPr>
        <w:pStyle w:val="HighlightBoxBullet"/>
      </w:pPr>
      <w:r w:rsidRPr="008714B2">
        <w:t xml:space="preserve">The </w:t>
      </w:r>
      <w:r w:rsidRPr="00814504">
        <w:rPr>
          <w:b/>
        </w:rPr>
        <w:t>net result</w:t>
      </w:r>
      <w:r w:rsidRPr="008714B2">
        <w:t xml:space="preserve"> for the State for 2014</w:t>
      </w:r>
      <w:r>
        <w:noBreakHyphen/>
      </w:r>
      <w:r w:rsidRPr="008714B2">
        <w:t xml:space="preserve">15 was </w:t>
      </w:r>
      <w:r>
        <w:t>a surplus of $50.7 million</w:t>
      </w:r>
      <w:r w:rsidRPr="008714B2">
        <w:t xml:space="preserve">. This included significant gains </w:t>
      </w:r>
      <w:r>
        <w:t>i</w:t>
      </w:r>
      <w:r w:rsidRPr="008714B2">
        <w:t>n</w:t>
      </w:r>
      <w:r>
        <w:t xml:space="preserve"> the value of the</w:t>
      </w:r>
      <w:r w:rsidRPr="008714B2">
        <w:t xml:space="preserve"> State</w:t>
      </w:r>
      <w:r>
        <w:t>’</w:t>
      </w:r>
      <w:r w:rsidRPr="008714B2">
        <w:t>s financial assets</w:t>
      </w:r>
      <w:r>
        <w:t>,</w:t>
      </w:r>
      <w:r w:rsidRPr="008714B2">
        <w:t xml:space="preserve"> which were mainly driven by favourable conditions in global equity markets.</w:t>
      </w:r>
    </w:p>
    <w:p w:rsidR="00336793" w:rsidRPr="00A76775" w:rsidRDefault="00336793" w:rsidP="00DF0B96"/>
    <w:p w:rsidR="00336793" w:rsidRPr="008714B2" w:rsidRDefault="00336793" w:rsidP="00DF0B96">
      <w:r w:rsidRPr="008714B2">
        <w:t>This chapter sets out the financial results for the State of Victoria for 2014</w:t>
      </w:r>
      <w:r>
        <w:noBreakHyphen/>
      </w:r>
      <w:r w:rsidRPr="008714B2">
        <w:t>15.</w:t>
      </w:r>
    </w:p>
    <w:p w:rsidR="00336793" w:rsidRPr="008714B2" w:rsidRDefault="00336793" w:rsidP="00DF0B96">
      <w:r w:rsidRPr="008714B2">
        <w:t xml:space="preserve">The State comprises the general government sector, which has been discussed in </w:t>
      </w:r>
      <w:r>
        <w:t>Chapter 2</w:t>
      </w:r>
      <w:r w:rsidRPr="008714B2">
        <w:t>, the public non</w:t>
      </w:r>
      <w:r>
        <w:noBreakHyphen/>
      </w:r>
      <w:r w:rsidRPr="008714B2">
        <w:t>financial corporations (PNFC) sector and the public financial corporations (PFC) sector.</w:t>
      </w:r>
    </w:p>
    <w:p w:rsidR="00336793" w:rsidRPr="008714B2" w:rsidRDefault="00336793" w:rsidP="00DF0B96">
      <w:r w:rsidRPr="008714B2">
        <w:t>The PFC and PNFC sectors, which are discussed in this chapter, comprise a wide range of entities that generally provide goods and services on a commercial basis, primarily funded from user charges and fees.</w:t>
      </w:r>
    </w:p>
    <w:p w:rsidR="00336793" w:rsidRPr="008714B2" w:rsidRDefault="00336793" w:rsidP="00DF0B96">
      <w:r w:rsidRPr="008714B2">
        <w:t>When considering the State of Victoria results, it should be noted that transactions between the sectors are eliminated in arriving at the consolidated position. These eliminations mean that the State of Victoria result is not necessarily the sum of results and variations from each individual sector.</w:t>
      </w:r>
    </w:p>
    <w:p w:rsidR="00336793" w:rsidRPr="008714B2" w:rsidRDefault="00336793" w:rsidP="00DF0B96">
      <w:r w:rsidRPr="008714B2">
        <w:t xml:space="preserve">The full financial statements for the State of Victoria </w:t>
      </w:r>
      <w:r>
        <w:t>are</w:t>
      </w:r>
      <w:r w:rsidRPr="008714B2">
        <w:t xml:space="preserve"> provided in </w:t>
      </w:r>
      <w:r>
        <w:t>Chapter 4</w:t>
      </w:r>
      <w:r w:rsidRPr="008714B2">
        <w:t>. Sector contributions to the State</w:t>
      </w:r>
      <w:r>
        <w:t>’</w:t>
      </w:r>
      <w:r w:rsidRPr="008714B2">
        <w:t>s outcome are also shown.</w:t>
      </w:r>
    </w:p>
    <w:p w:rsidR="00336793" w:rsidRPr="008714B2" w:rsidRDefault="00336793" w:rsidP="00DF0B96">
      <w:pPr>
        <w:pStyle w:val="Heading1"/>
      </w:pPr>
      <w:bookmarkStart w:id="21" w:name="_Toc433984469"/>
      <w:r w:rsidRPr="00B45561">
        <w:t>Financial</w:t>
      </w:r>
      <w:r w:rsidRPr="008714B2">
        <w:t xml:space="preserve"> peformance</w:t>
      </w:r>
      <w:bookmarkEnd w:id="21"/>
    </w:p>
    <w:p w:rsidR="00336793" w:rsidRDefault="00336793" w:rsidP="00DF0B96">
      <w:r>
        <w:t>Table 3.1</w:t>
      </w:r>
      <w:r w:rsidRPr="008714B2">
        <w:t xml:space="preserve"> summarises the operating performance for the State of Victoria. This table shows that the State recorded a </w:t>
      </w:r>
      <w:r w:rsidRPr="00814504">
        <w:rPr>
          <w:b/>
        </w:rPr>
        <w:t>net deficit from transactions</w:t>
      </w:r>
      <w:r w:rsidRPr="008714B2">
        <w:t xml:space="preserve"> of $</w:t>
      </w:r>
      <w:r>
        <w:t>611 million in 2014</w:t>
      </w:r>
      <w:r>
        <w:noBreakHyphen/>
        <w:t>15 compared to a surplus of $788 million in 2013</w:t>
      </w:r>
      <w:r>
        <w:noBreakHyphen/>
        <w:t>14</w:t>
      </w:r>
      <w:r w:rsidRPr="008714B2">
        <w:t>.</w:t>
      </w:r>
      <w:r>
        <w:t xml:space="preserve"> This result reflects:</w:t>
      </w:r>
    </w:p>
    <w:p w:rsidR="00336793" w:rsidRDefault="00336793" w:rsidP="00DF0B96">
      <w:pPr>
        <w:pStyle w:val="BulletText"/>
      </w:pPr>
      <w:r>
        <w:t xml:space="preserve">a $1.2 billion </w:t>
      </w:r>
      <w:r w:rsidRPr="00DA0F1E">
        <w:t>surplus</w:t>
      </w:r>
      <w:r>
        <w:t xml:space="preserve"> within the general government sector (discussed in the preceding chapter);</w:t>
      </w:r>
    </w:p>
    <w:p w:rsidR="00336793" w:rsidRDefault="00336793" w:rsidP="00DF0B96">
      <w:pPr>
        <w:pStyle w:val="BulletText"/>
      </w:pPr>
      <w:r>
        <w:t>a $162 million deficit within the PNFC sector; and</w:t>
      </w:r>
    </w:p>
    <w:p w:rsidR="00336793" w:rsidRDefault="00336793" w:rsidP="00DF0B96">
      <w:pPr>
        <w:pStyle w:val="BulletText"/>
      </w:pPr>
      <w:r>
        <w:t>a $892 million deficit within the PFC sector.</w:t>
      </w:r>
    </w:p>
    <w:p w:rsidR="00336793" w:rsidRPr="008714B2" w:rsidRDefault="00336793" w:rsidP="00DF0B96">
      <w:r>
        <w:t xml:space="preserve">The </w:t>
      </w:r>
      <w:r w:rsidRPr="00814504">
        <w:rPr>
          <w:b/>
        </w:rPr>
        <w:t>net result</w:t>
      </w:r>
      <w:r>
        <w:t xml:space="preserve"> for the State is a surplus of $50.7 million after including other economic flows. This outcome is explained below.</w:t>
      </w:r>
    </w:p>
    <w:p w:rsidR="00336793" w:rsidRPr="00992F75" w:rsidRDefault="00336793" w:rsidP="00DF0B96"/>
    <w:p w:rsidR="00336793" w:rsidRDefault="00336793">
      <w:pPr>
        <w:spacing w:after="0"/>
        <w:rPr>
          <w:rFonts w:ascii="Calibri" w:hAnsi="Calibri"/>
          <w:b/>
          <w:caps/>
          <w:sz w:val="28"/>
          <w:szCs w:val="22"/>
        </w:rPr>
      </w:pPr>
      <w:r>
        <w:br w:type="page"/>
      </w:r>
    </w:p>
    <w:p w:rsidR="00336793" w:rsidRPr="00D04EF7" w:rsidRDefault="00336793" w:rsidP="00DF0B96">
      <w:pPr>
        <w:pStyle w:val="Heading1"/>
      </w:pPr>
      <w:bookmarkStart w:id="22" w:name="_Toc433984470"/>
      <w:r w:rsidRPr="00D04EF7">
        <w:lastRenderedPageBreak/>
        <w:t>Operating statement</w:t>
      </w:r>
      <w:bookmarkEnd w:id="22"/>
    </w:p>
    <w:p w:rsidR="00336793" w:rsidRDefault="00336793" w:rsidP="00DF0B96">
      <w:pPr>
        <w:pStyle w:val="Tableheading"/>
      </w:pPr>
      <w:r>
        <w:t>Table 3.1:</w:t>
      </w:r>
      <w:r>
        <w:tab/>
      </w:r>
      <w:r w:rsidRPr="00D04EF7">
        <w:t>2014</w:t>
      </w:r>
      <w:r>
        <w:noBreakHyphen/>
      </w:r>
      <w:r w:rsidRPr="00D04EF7">
        <w:t>15 summary operating statement – State of Victoria</w:t>
      </w:r>
    </w:p>
    <w:p w:rsidR="00336793" w:rsidRPr="00A558B8"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4787"/>
        <w:gridCol w:w="966"/>
        <w:gridCol w:w="966"/>
        <w:gridCol w:w="966"/>
        <w:gridCol w:w="1044"/>
        <w:gridCol w:w="908"/>
      </w:tblGrid>
      <w:tr w:rsidR="00336793" w:rsidRPr="00A558B8" w:rsidTr="00DF0B96">
        <w:tc>
          <w:tcPr>
            <w:tcW w:w="4787" w:type="dxa"/>
            <w:tcBorders>
              <w:top w:val="single" w:sz="6" w:space="0" w:color="auto"/>
              <w:left w:val="single" w:sz="6" w:space="0" w:color="auto"/>
            </w:tcBorders>
            <w:shd w:val="clear" w:color="000000" w:fill="000000"/>
          </w:tcPr>
          <w:p w:rsidR="00336793" w:rsidRPr="00A558B8" w:rsidRDefault="00336793" w:rsidP="00DF0B96">
            <w:pPr>
              <w:pStyle w:val="Tabletextheading"/>
              <w:jc w:val="left"/>
              <w:rPr>
                <w:rFonts w:eastAsiaTheme="minorEastAsia"/>
                <w:color w:val="FFFFFF"/>
                <w:lang w:eastAsia="en-AU"/>
              </w:rPr>
            </w:pPr>
            <w:r w:rsidRPr="00A558B8">
              <w:rPr>
                <w:rFonts w:eastAsiaTheme="minorEastAsia"/>
                <w:color w:val="FFFFFF"/>
                <w:lang w:eastAsia="en-AU"/>
              </w:rPr>
              <w:t xml:space="preserve"> </w:t>
            </w:r>
          </w:p>
        </w:tc>
        <w:tc>
          <w:tcPr>
            <w:tcW w:w="966" w:type="dxa"/>
            <w:tcBorders>
              <w:top w:val="single" w:sz="6" w:space="0" w:color="auto"/>
            </w:tcBorders>
            <w:shd w:val="clear" w:color="000000" w:fill="000000"/>
          </w:tcPr>
          <w:p w:rsidR="00336793" w:rsidRPr="00A558B8" w:rsidRDefault="00336793" w:rsidP="00DF0B96">
            <w:pPr>
              <w:pStyle w:val="Tabletextheading"/>
              <w:rPr>
                <w:color w:val="FFFFFF"/>
              </w:rPr>
            </w:pPr>
            <w:r w:rsidRPr="00A558B8">
              <w:rPr>
                <w:color w:val="FFFFFF"/>
              </w:rPr>
              <w:t>2015</w:t>
            </w:r>
          </w:p>
        </w:tc>
        <w:tc>
          <w:tcPr>
            <w:tcW w:w="966" w:type="dxa"/>
            <w:tcBorders>
              <w:top w:val="single" w:sz="6" w:space="0" w:color="auto"/>
            </w:tcBorders>
            <w:shd w:val="clear" w:color="000000" w:fill="000000"/>
          </w:tcPr>
          <w:p w:rsidR="00336793" w:rsidRPr="00A558B8" w:rsidRDefault="00336793" w:rsidP="00DF0B96">
            <w:pPr>
              <w:pStyle w:val="Tabletextheading"/>
              <w:rPr>
                <w:color w:val="FFFFFF"/>
              </w:rPr>
            </w:pPr>
            <w:r w:rsidRPr="00A558B8">
              <w:rPr>
                <w:color w:val="FFFFFF"/>
              </w:rPr>
              <w:t>2015</w:t>
            </w:r>
          </w:p>
        </w:tc>
        <w:tc>
          <w:tcPr>
            <w:tcW w:w="966" w:type="dxa"/>
            <w:tcBorders>
              <w:top w:val="single" w:sz="6" w:space="0" w:color="auto"/>
            </w:tcBorders>
            <w:shd w:val="clear" w:color="000000" w:fill="000000"/>
          </w:tcPr>
          <w:p w:rsidR="00336793" w:rsidRPr="00D61493" w:rsidRDefault="00336793" w:rsidP="00DF0B96">
            <w:pPr>
              <w:pStyle w:val="Tabletextheading"/>
              <w:rPr>
                <w:color w:val="FFFFFF"/>
                <w:szCs w:val="22"/>
              </w:rPr>
            </w:pPr>
            <w:r w:rsidRPr="00D61493">
              <w:rPr>
                <w:color w:val="FFFFFF"/>
                <w:szCs w:val="22"/>
              </w:rPr>
              <w:t>Revised</w:t>
            </w:r>
          </w:p>
        </w:tc>
        <w:tc>
          <w:tcPr>
            <w:tcW w:w="1044" w:type="dxa"/>
            <w:tcBorders>
              <w:top w:val="single" w:sz="6" w:space="0" w:color="auto"/>
            </w:tcBorders>
            <w:shd w:val="clear" w:color="000000" w:fill="000000"/>
          </w:tcPr>
          <w:p w:rsidR="00336793" w:rsidRPr="00D61493" w:rsidRDefault="00336793" w:rsidP="00DF0B96">
            <w:pPr>
              <w:pStyle w:val="Tabletextheading"/>
              <w:rPr>
                <w:color w:val="FFFFFF"/>
                <w:szCs w:val="22"/>
              </w:rPr>
            </w:pPr>
            <w:r w:rsidRPr="00D61493">
              <w:rPr>
                <w:color w:val="FFFFFF"/>
                <w:szCs w:val="22"/>
              </w:rPr>
              <w:t>% Revised</w:t>
            </w:r>
          </w:p>
        </w:tc>
        <w:tc>
          <w:tcPr>
            <w:tcW w:w="908" w:type="dxa"/>
            <w:tcBorders>
              <w:top w:val="single" w:sz="6" w:space="0" w:color="auto"/>
              <w:right w:val="single" w:sz="6" w:space="0" w:color="auto"/>
            </w:tcBorders>
            <w:shd w:val="clear" w:color="000000" w:fill="000000"/>
          </w:tcPr>
          <w:p w:rsidR="00336793" w:rsidRPr="00D61493" w:rsidRDefault="00336793" w:rsidP="00DF0B96">
            <w:pPr>
              <w:pStyle w:val="Tabletextheading"/>
              <w:rPr>
                <w:color w:val="FFFFFF"/>
                <w:szCs w:val="22"/>
              </w:rPr>
            </w:pPr>
            <w:r w:rsidRPr="00D61493">
              <w:rPr>
                <w:color w:val="FFFFFF"/>
                <w:szCs w:val="22"/>
              </w:rPr>
              <w:t>2014</w:t>
            </w:r>
          </w:p>
        </w:tc>
      </w:tr>
      <w:tr w:rsidR="00336793" w:rsidRPr="00A558B8" w:rsidTr="00DF0B96">
        <w:tc>
          <w:tcPr>
            <w:tcW w:w="4787" w:type="dxa"/>
            <w:tcBorders>
              <w:left w:val="single" w:sz="6" w:space="0" w:color="auto"/>
              <w:bottom w:val="single" w:sz="6" w:space="0" w:color="auto"/>
            </w:tcBorders>
            <w:shd w:val="clear" w:color="000000" w:fill="000000"/>
          </w:tcPr>
          <w:p w:rsidR="00336793" w:rsidRPr="00A558B8" w:rsidRDefault="00336793" w:rsidP="00DF0B96">
            <w:pPr>
              <w:pStyle w:val="Tabletextheading"/>
              <w:jc w:val="left"/>
              <w:rPr>
                <w:rFonts w:eastAsiaTheme="minorEastAsia" w:cs="Calibri"/>
                <w:iCs/>
                <w:color w:val="FFFFFF"/>
                <w:sz w:val="20"/>
                <w:lang w:eastAsia="en-AU"/>
              </w:rPr>
            </w:pPr>
            <w:r w:rsidRPr="00A558B8">
              <w:rPr>
                <w:rFonts w:eastAsiaTheme="minorEastAsia"/>
                <w:color w:val="FFFFFF"/>
                <w:lang w:eastAsia="en-AU"/>
              </w:rPr>
              <w:t xml:space="preserve"> </w:t>
            </w:r>
          </w:p>
        </w:tc>
        <w:tc>
          <w:tcPr>
            <w:tcW w:w="966" w:type="dxa"/>
            <w:tcBorders>
              <w:bottom w:val="single" w:sz="6" w:space="0" w:color="auto"/>
            </w:tcBorders>
            <w:shd w:val="clear" w:color="000000" w:fill="000000"/>
          </w:tcPr>
          <w:p w:rsidR="00336793" w:rsidRPr="00A558B8" w:rsidRDefault="00336793" w:rsidP="00DF0B96">
            <w:pPr>
              <w:pStyle w:val="Tabletextheading"/>
              <w:rPr>
                <w:color w:val="FFFFFF"/>
              </w:rPr>
            </w:pPr>
            <w:r w:rsidRPr="00A558B8">
              <w:rPr>
                <w:color w:val="FFFFFF"/>
              </w:rPr>
              <w:t>actual</w:t>
            </w:r>
          </w:p>
        </w:tc>
        <w:tc>
          <w:tcPr>
            <w:tcW w:w="966" w:type="dxa"/>
            <w:tcBorders>
              <w:bottom w:val="single" w:sz="6" w:space="0" w:color="auto"/>
            </w:tcBorders>
            <w:shd w:val="clear" w:color="000000" w:fill="000000"/>
          </w:tcPr>
          <w:p w:rsidR="00336793" w:rsidRPr="00A558B8" w:rsidRDefault="00336793" w:rsidP="00DF0B96">
            <w:pPr>
              <w:pStyle w:val="Tabletextheading"/>
              <w:rPr>
                <w:color w:val="FFFFFF"/>
              </w:rPr>
            </w:pPr>
            <w:r w:rsidRPr="00A558B8">
              <w:rPr>
                <w:color w:val="FFFFFF"/>
              </w:rPr>
              <w:t>revised</w:t>
            </w:r>
          </w:p>
        </w:tc>
        <w:tc>
          <w:tcPr>
            <w:tcW w:w="966" w:type="dxa"/>
            <w:tcBorders>
              <w:bottom w:val="single" w:sz="6" w:space="0" w:color="auto"/>
            </w:tcBorders>
            <w:shd w:val="clear" w:color="000000" w:fill="000000"/>
          </w:tcPr>
          <w:p w:rsidR="00336793" w:rsidRPr="00D61493" w:rsidRDefault="00336793" w:rsidP="00DF0B96">
            <w:pPr>
              <w:pStyle w:val="Tabletextheading"/>
              <w:rPr>
                <w:color w:val="FFFFFF"/>
                <w:szCs w:val="22"/>
              </w:rPr>
            </w:pPr>
            <w:r w:rsidRPr="00D61493">
              <w:rPr>
                <w:color w:val="FFFFFF"/>
                <w:szCs w:val="22"/>
              </w:rPr>
              <w:t>variance</w:t>
            </w:r>
          </w:p>
        </w:tc>
        <w:tc>
          <w:tcPr>
            <w:tcW w:w="1044" w:type="dxa"/>
            <w:tcBorders>
              <w:bottom w:val="single" w:sz="6" w:space="0" w:color="auto"/>
            </w:tcBorders>
            <w:shd w:val="clear" w:color="000000" w:fill="000000"/>
          </w:tcPr>
          <w:p w:rsidR="00336793" w:rsidRPr="00D61493" w:rsidRDefault="00336793" w:rsidP="00DF0B96">
            <w:pPr>
              <w:pStyle w:val="Tabletextheading"/>
              <w:rPr>
                <w:color w:val="FFFFFF"/>
                <w:szCs w:val="22"/>
              </w:rPr>
            </w:pPr>
            <w:r w:rsidRPr="00D61493">
              <w:rPr>
                <w:color w:val="FFFFFF"/>
                <w:szCs w:val="22"/>
              </w:rPr>
              <w:t>variance</w:t>
            </w:r>
          </w:p>
        </w:tc>
        <w:tc>
          <w:tcPr>
            <w:tcW w:w="908" w:type="dxa"/>
            <w:tcBorders>
              <w:bottom w:val="single" w:sz="6" w:space="0" w:color="auto"/>
              <w:right w:val="single" w:sz="6" w:space="0" w:color="auto"/>
            </w:tcBorders>
            <w:shd w:val="clear" w:color="000000" w:fill="000000"/>
          </w:tcPr>
          <w:p w:rsidR="00336793" w:rsidRPr="00D61493" w:rsidRDefault="00336793" w:rsidP="00DF0B96">
            <w:pPr>
              <w:pStyle w:val="Tabletextheading"/>
              <w:rPr>
                <w:color w:val="FFFFFF"/>
                <w:szCs w:val="22"/>
              </w:rPr>
            </w:pPr>
            <w:r w:rsidRPr="00D61493">
              <w:rPr>
                <w:color w:val="FFFFFF"/>
                <w:szCs w:val="22"/>
              </w:rPr>
              <w:t>actual</w:t>
            </w:r>
          </w:p>
        </w:tc>
      </w:tr>
      <w:tr w:rsidR="00336793" w:rsidRPr="00A558B8" w:rsidTr="00DF0B96">
        <w:tc>
          <w:tcPr>
            <w:tcW w:w="4787" w:type="dxa"/>
            <w:tcBorders>
              <w:top w:val="single" w:sz="6" w:space="0" w:color="auto"/>
              <w:left w:val="nil"/>
              <w:bottom w:val="nil"/>
              <w:right w:val="nil"/>
            </w:tcBorders>
            <w:shd w:val="solid" w:color="FFFFFF" w:fill="auto"/>
          </w:tcPr>
          <w:p w:rsidR="00336793" w:rsidRPr="00A558B8" w:rsidRDefault="00336793" w:rsidP="00DF0B96">
            <w:pPr>
              <w:pStyle w:val="Tabletext"/>
              <w:rPr>
                <w:rFonts w:eastAsiaTheme="minorEastAsia"/>
                <w:b/>
                <w:bCs/>
                <w:lang w:eastAsia="en-AU"/>
              </w:rPr>
            </w:pPr>
            <w:r w:rsidRPr="00A558B8">
              <w:rPr>
                <w:rFonts w:eastAsiaTheme="minorEastAsia"/>
                <w:b/>
                <w:bCs/>
                <w:lang w:eastAsia="en-AU"/>
              </w:rPr>
              <w:t>Revenue from transactions</w:t>
            </w:r>
          </w:p>
        </w:tc>
        <w:tc>
          <w:tcPr>
            <w:tcW w:w="966" w:type="dxa"/>
            <w:tcBorders>
              <w:top w:val="single" w:sz="6" w:space="0" w:color="auto"/>
              <w:left w:val="nil"/>
              <w:bottom w:val="nil"/>
              <w:right w:val="nil"/>
            </w:tcBorders>
          </w:tcPr>
          <w:p w:rsidR="00336793" w:rsidRPr="00A558B8" w:rsidRDefault="00336793" w:rsidP="00DF0B96">
            <w:pPr>
              <w:pStyle w:val="TableofFigures"/>
              <w:rPr>
                <w:rFonts w:eastAsiaTheme="minorEastAsia"/>
                <w:b/>
                <w:szCs w:val="22"/>
                <w:lang w:eastAsia="en-AU"/>
              </w:rPr>
            </w:pPr>
            <w:r w:rsidRPr="00A558B8">
              <w:rPr>
                <w:rFonts w:eastAsiaTheme="minorEastAsia"/>
                <w:b/>
                <w:szCs w:val="22"/>
                <w:lang w:eastAsia="en-AU"/>
              </w:rPr>
              <w:t xml:space="preserve"> </w:t>
            </w:r>
          </w:p>
        </w:tc>
        <w:tc>
          <w:tcPr>
            <w:tcW w:w="966" w:type="dxa"/>
            <w:tcBorders>
              <w:top w:val="single" w:sz="6" w:space="0" w:color="auto"/>
              <w:left w:val="nil"/>
              <w:bottom w:val="nil"/>
              <w:right w:val="nil"/>
            </w:tcBorders>
          </w:tcPr>
          <w:p w:rsidR="00336793" w:rsidRPr="00A558B8" w:rsidRDefault="00336793" w:rsidP="00DF0B96">
            <w:pPr>
              <w:pStyle w:val="TableofFigures"/>
              <w:rPr>
                <w:rFonts w:eastAsiaTheme="minorEastAsia"/>
                <w:b/>
                <w:szCs w:val="22"/>
                <w:lang w:eastAsia="en-AU"/>
              </w:rPr>
            </w:pPr>
          </w:p>
        </w:tc>
        <w:tc>
          <w:tcPr>
            <w:tcW w:w="966" w:type="dxa"/>
            <w:tcBorders>
              <w:top w:val="single" w:sz="6" w:space="0" w:color="auto"/>
              <w:left w:val="nil"/>
              <w:bottom w:val="nil"/>
              <w:right w:val="nil"/>
            </w:tcBorders>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p>
        </w:tc>
        <w:tc>
          <w:tcPr>
            <w:tcW w:w="1044" w:type="dxa"/>
            <w:tcBorders>
              <w:top w:val="single" w:sz="6" w:space="0" w:color="auto"/>
              <w:left w:val="nil"/>
              <w:bottom w:val="nil"/>
              <w:right w:val="nil"/>
            </w:tcBorders>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p>
        </w:tc>
        <w:tc>
          <w:tcPr>
            <w:tcW w:w="908" w:type="dxa"/>
            <w:tcBorders>
              <w:top w:val="single" w:sz="6" w:space="0" w:color="auto"/>
              <w:left w:val="nil"/>
              <w:bottom w:val="nil"/>
              <w:right w:val="nil"/>
            </w:tcBorders>
          </w:tcPr>
          <w:p w:rsidR="00336793" w:rsidRPr="00D61493" w:rsidRDefault="00336793" w:rsidP="00DF0B96">
            <w:pPr>
              <w:autoSpaceDE w:val="0"/>
              <w:autoSpaceDN w:val="0"/>
              <w:adjustRightInd w:val="0"/>
              <w:spacing w:after="0"/>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lang w:eastAsia="en-AU"/>
              </w:rPr>
            </w:pPr>
            <w:r w:rsidRPr="00A558B8">
              <w:rPr>
                <w:rFonts w:eastAsiaTheme="minorEastAsia"/>
                <w:lang w:eastAsia="en-AU"/>
              </w:rPr>
              <w:t>Taxation revenue</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17 936.0</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17 847.2</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88.8</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0.5</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16 490.4</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lang w:eastAsia="en-AU"/>
              </w:rPr>
            </w:pPr>
            <w:r w:rsidRPr="00A558B8">
              <w:rPr>
                <w:rFonts w:eastAsiaTheme="minorEastAsia"/>
                <w:lang w:eastAsia="en-AU"/>
              </w:rPr>
              <w:t>Interest revenue</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 xml:space="preserve"> 979.9</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 xml:space="preserve"> 739.9</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240.0</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32.4</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938.6</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cs="Calibri"/>
                <w:sz w:val="20"/>
                <w:vertAlign w:val="superscript"/>
                <w:lang w:eastAsia="en-AU"/>
              </w:rPr>
            </w:pPr>
            <w:r w:rsidRPr="00A558B8">
              <w:rPr>
                <w:rFonts w:eastAsiaTheme="minorEastAsia"/>
                <w:lang w:eastAsia="en-AU"/>
              </w:rPr>
              <w:t>Dividends and income tax equivalent and rate equivalent revenue</w:t>
            </w:r>
            <w:r w:rsidRPr="00E96950">
              <w:rPr>
                <w:rFonts w:eastAsiaTheme="minorEastAsia" w:cs="Calibri"/>
                <w:sz w:val="20"/>
                <w:vertAlign w:val="superscript"/>
                <w:lang w:eastAsia="en-AU"/>
              </w:rPr>
              <w:t xml:space="preserve"> (</w:t>
            </w:r>
            <w:r w:rsidRPr="00A558B8">
              <w:rPr>
                <w:rFonts w:eastAsiaTheme="minorEastAsia" w:cs="Calibri"/>
                <w:sz w:val="20"/>
                <w:vertAlign w:val="superscript"/>
                <w:lang w:eastAsia="en-AU"/>
              </w:rPr>
              <w:t>a)</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 xml:space="preserve"> 767.5</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 xml:space="preserve"> 779.3</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D61493">
              <w:rPr>
                <w:rFonts w:ascii="Calibri" w:eastAsiaTheme="minorEastAsia" w:hAnsi="Calibri" w:cs="Calibri"/>
                <w:sz w:val="22"/>
                <w:szCs w:val="22"/>
                <w:lang w:eastAsia="en-AU"/>
              </w:rPr>
              <w:t>(</w:t>
            </w:r>
            <w:r w:rsidRPr="00D61493">
              <w:rPr>
                <w:rFonts w:ascii="Calibri" w:eastAsiaTheme="minorEastAsia" w:hAnsi="Calibri" w:cs="Calibri"/>
                <w:color w:val="000000"/>
                <w:sz w:val="22"/>
                <w:szCs w:val="22"/>
                <w:lang w:eastAsia="en-AU"/>
              </w:rPr>
              <w:t>11.8)</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D61493">
              <w:rPr>
                <w:rFonts w:ascii="Calibri" w:eastAsiaTheme="minorEastAsia" w:hAnsi="Calibri" w:cs="Calibri"/>
                <w:sz w:val="22"/>
                <w:szCs w:val="22"/>
                <w:lang w:eastAsia="en-AU"/>
              </w:rPr>
              <w:t>(</w:t>
            </w:r>
            <w:r w:rsidRPr="00D61493">
              <w:rPr>
                <w:rFonts w:ascii="Calibri" w:eastAsiaTheme="minorEastAsia" w:hAnsi="Calibri" w:cs="Calibri"/>
                <w:color w:val="000000"/>
                <w:sz w:val="22"/>
                <w:szCs w:val="22"/>
                <w:lang w:eastAsia="en-AU"/>
              </w:rPr>
              <w:t>1.5)</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842.2</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lang w:eastAsia="en-AU"/>
              </w:rPr>
            </w:pPr>
            <w:r w:rsidRPr="00A558B8">
              <w:rPr>
                <w:rFonts w:eastAsiaTheme="minorEastAsia"/>
                <w:lang w:eastAsia="en-AU"/>
              </w:rPr>
              <w:t>Sales of goods and services</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13 906.3</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13 855.6</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50.7</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0.4</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14 233.3</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lang w:eastAsia="en-AU"/>
              </w:rPr>
            </w:pPr>
            <w:r w:rsidRPr="00A558B8">
              <w:rPr>
                <w:rFonts w:eastAsiaTheme="minorEastAsia"/>
                <w:lang w:eastAsia="en-AU"/>
              </w:rPr>
              <w:t>Grant revenue</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24 376.7</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24 470.1</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D61493">
              <w:rPr>
                <w:rFonts w:ascii="Calibri" w:eastAsiaTheme="minorEastAsia" w:hAnsi="Calibri" w:cs="Calibri"/>
                <w:sz w:val="22"/>
                <w:szCs w:val="22"/>
                <w:lang w:eastAsia="en-AU"/>
              </w:rPr>
              <w:t>(</w:t>
            </w:r>
            <w:r w:rsidRPr="00D61493">
              <w:rPr>
                <w:rFonts w:ascii="Calibri" w:eastAsiaTheme="minorEastAsia" w:hAnsi="Calibri" w:cs="Calibri"/>
                <w:color w:val="000000"/>
                <w:sz w:val="22"/>
                <w:szCs w:val="22"/>
                <w:lang w:eastAsia="en-AU"/>
              </w:rPr>
              <w:t>93.4)</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D61493">
              <w:rPr>
                <w:rFonts w:ascii="Calibri" w:eastAsiaTheme="minorEastAsia" w:hAnsi="Calibri" w:cs="Calibri"/>
                <w:sz w:val="22"/>
                <w:szCs w:val="22"/>
                <w:lang w:eastAsia="en-AU"/>
              </w:rPr>
              <w:t>(</w:t>
            </w:r>
            <w:r w:rsidRPr="00D61493">
              <w:rPr>
                <w:rFonts w:ascii="Calibri" w:eastAsiaTheme="minorEastAsia" w:hAnsi="Calibri" w:cs="Calibri"/>
                <w:color w:val="000000"/>
                <w:sz w:val="22"/>
                <w:szCs w:val="22"/>
                <w:lang w:eastAsia="en-AU"/>
              </w:rPr>
              <w:t>0.4)</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25 019.1</w:t>
            </w:r>
          </w:p>
        </w:tc>
      </w:tr>
      <w:tr w:rsidR="00336793" w:rsidRPr="00A558B8" w:rsidTr="00DF0B96">
        <w:tc>
          <w:tcPr>
            <w:tcW w:w="4787" w:type="dxa"/>
            <w:tcBorders>
              <w:top w:val="nil"/>
              <w:left w:val="nil"/>
              <w:bottom w:val="single" w:sz="6" w:space="0" w:color="auto"/>
              <w:right w:val="nil"/>
            </w:tcBorders>
            <w:shd w:val="solid" w:color="FFFFFF" w:fill="auto"/>
          </w:tcPr>
          <w:p w:rsidR="00336793" w:rsidRPr="00A558B8" w:rsidRDefault="00336793" w:rsidP="00DF0B96">
            <w:pPr>
              <w:pStyle w:val="Tabletext"/>
              <w:rPr>
                <w:rFonts w:eastAsiaTheme="minorEastAsia"/>
                <w:lang w:eastAsia="en-AU"/>
              </w:rPr>
            </w:pPr>
            <w:r w:rsidRPr="00A558B8">
              <w:rPr>
                <w:rFonts w:eastAsiaTheme="minorEastAsia"/>
                <w:lang w:eastAsia="en-AU"/>
              </w:rPr>
              <w:t>Other revenue</w:t>
            </w:r>
          </w:p>
        </w:tc>
        <w:tc>
          <w:tcPr>
            <w:tcW w:w="966" w:type="dxa"/>
            <w:tcBorders>
              <w:top w:val="nil"/>
              <w:left w:val="nil"/>
              <w:bottom w:val="single" w:sz="6" w:space="0" w:color="auto"/>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3 087.6</w:t>
            </w:r>
          </w:p>
        </w:tc>
        <w:tc>
          <w:tcPr>
            <w:tcW w:w="966" w:type="dxa"/>
            <w:tcBorders>
              <w:top w:val="nil"/>
              <w:left w:val="nil"/>
              <w:bottom w:val="single" w:sz="6" w:space="0" w:color="auto"/>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2 810.9</w:t>
            </w:r>
          </w:p>
        </w:tc>
        <w:tc>
          <w:tcPr>
            <w:tcW w:w="966"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276.7</w:t>
            </w:r>
          </w:p>
        </w:tc>
        <w:tc>
          <w:tcPr>
            <w:tcW w:w="1044"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9.8</w:t>
            </w:r>
          </w:p>
        </w:tc>
        <w:tc>
          <w:tcPr>
            <w:tcW w:w="908"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2 750.2</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cs="Calibri"/>
                <w:b/>
                <w:bCs/>
                <w:sz w:val="20"/>
                <w:lang w:eastAsia="en-AU"/>
              </w:rPr>
            </w:pPr>
            <w:r w:rsidRPr="00A558B8">
              <w:rPr>
                <w:rFonts w:eastAsiaTheme="minorEastAsia"/>
                <w:b/>
                <w:bCs/>
                <w:lang w:eastAsia="en-AU"/>
              </w:rPr>
              <w:t>Total revenue from transactions</w:t>
            </w:r>
            <w:r>
              <w:rPr>
                <w:rFonts w:eastAsiaTheme="minorEastAsia"/>
                <w:b/>
                <w:bCs/>
                <w:lang w:eastAsia="en-AU"/>
              </w:rPr>
              <w:t xml:space="preserve"> </w:t>
            </w:r>
            <w:r w:rsidRPr="00A558B8">
              <w:rPr>
                <w:rFonts w:eastAsiaTheme="minorEastAsia"/>
                <w:b/>
                <w:bCs/>
                <w:color w:val="FFFFFF" w:themeColor="background1"/>
                <w:lang w:eastAsia="en-AU"/>
              </w:rPr>
              <w:t>(</w:t>
            </w:r>
            <w:r w:rsidRPr="00A558B8">
              <w:rPr>
                <w:rFonts w:eastAsiaTheme="minorEastAsia" w:cs="Calibri"/>
                <w:b/>
                <w:bCs/>
                <w:color w:val="FFFFFF" w:themeColor="background1"/>
                <w:sz w:val="20"/>
                <w:lang w:eastAsia="en-AU"/>
              </w:rPr>
              <w:t>a)</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b/>
                <w:lang w:eastAsia="en-AU"/>
              </w:rPr>
            </w:pPr>
            <w:r w:rsidRPr="00A558B8">
              <w:rPr>
                <w:rFonts w:eastAsiaTheme="minorEastAsia"/>
                <w:b/>
                <w:lang w:eastAsia="en-AU"/>
              </w:rPr>
              <w:t>61 054.0</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b/>
                <w:lang w:eastAsia="en-AU"/>
              </w:rPr>
            </w:pPr>
            <w:r w:rsidRPr="00A558B8">
              <w:rPr>
                <w:rFonts w:eastAsiaTheme="minorEastAsia"/>
                <w:b/>
                <w:lang w:eastAsia="en-AU"/>
              </w:rPr>
              <w:t>60 503.0</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61493">
              <w:rPr>
                <w:rFonts w:ascii="Calibri" w:eastAsiaTheme="minorEastAsia" w:hAnsi="Calibri" w:cs="Calibri"/>
                <w:b/>
                <w:bCs/>
                <w:sz w:val="22"/>
                <w:szCs w:val="22"/>
                <w:lang w:eastAsia="en-AU"/>
              </w:rPr>
              <w:t xml:space="preserve"> 551.0</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61493">
              <w:rPr>
                <w:rFonts w:ascii="Calibri" w:eastAsiaTheme="minorEastAsia" w:hAnsi="Calibri" w:cs="Calibri"/>
                <w:b/>
                <w:bCs/>
                <w:sz w:val="22"/>
                <w:szCs w:val="22"/>
                <w:lang w:eastAsia="en-AU"/>
              </w:rPr>
              <w:t>0.9</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61493">
              <w:rPr>
                <w:rFonts w:ascii="Calibri" w:eastAsiaTheme="minorEastAsia" w:hAnsi="Calibri" w:cs="Calibri"/>
                <w:b/>
                <w:bCs/>
                <w:sz w:val="22"/>
                <w:szCs w:val="22"/>
                <w:lang w:eastAsia="en-AU"/>
              </w:rPr>
              <w:t>60 273.8</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b/>
                <w:bCs/>
                <w:lang w:eastAsia="en-AU"/>
              </w:rPr>
            </w:pPr>
            <w:r w:rsidRPr="00A558B8">
              <w:rPr>
                <w:rFonts w:eastAsiaTheme="minorEastAsia"/>
                <w:b/>
                <w:bCs/>
                <w:lang w:eastAsia="en-AU"/>
              </w:rPr>
              <w:t>Expenses from transactions</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b/>
                <w:lang w:eastAsia="en-AU"/>
              </w:rPr>
            </w:pP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b/>
                <w:lang w:eastAsia="en-AU"/>
              </w:rPr>
            </w:pP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lang w:eastAsia="en-AU"/>
              </w:rPr>
            </w:pPr>
            <w:r w:rsidRPr="00A558B8">
              <w:rPr>
                <w:rFonts w:eastAsiaTheme="minorEastAsia"/>
                <w:lang w:eastAsia="en-AU"/>
              </w:rPr>
              <w:t>Employee expenses</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19 833.8</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19 476.4</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357.4</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1.8</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19 029.7</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cs="Calibri"/>
                <w:sz w:val="20"/>
                <w:vertAlign w:val="superscript"/>
                <w:lang w:eastAsia="en-AU"/>
              </w:rPr>
            </w:pPr>
            <w:r w:rsidRPr="00A558B8">
              <w:rPr>
                <w:rFonts w:eastAsiaTheme="minorEastAsia"/>
                <w:lang w:eastAsia="en-AU"/>
              </w:rPr>
              <w:t>Net superannuation interest expense</w:t>
            </w:r>
            <w:r w:rsidRPr="00E96950">
              <w:rPr>
                <w:rFonts w:eastAsiaTheme="minorEastAsia" w:cs="Calibri"/>
                <w:sz w:val="20"/>
                <w:vertAlign w:val="superscript"/>
                <w:lang w:eastAsia="en-AU"/>
              </w:rPr>
              <w:t xml:space="preserve"> (</w:t>
            </w:r>
            <w:r w:rsidRPr="00A558B8">
              <w:rPr>
                <w:rFonts w:eastAsiaTheme="minorEastAsia" w:cs="Calibri"/>
                <w:sz w:val="20"/>
                <w:vertAlign w:val="superscript"/>
                <w:lang w:eastAsia="en-AU"/>
              </w:rPr>
              <w:t>a)</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1 040.8</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1 038.0</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2.8</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0.3</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1 077.3</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cs="Calibri"/>
                <w:sz w:val="20"/>
                <w:vertAlign w:val="superscript"/>
                <w:lang w:eastAsia="en-AU"/>
              </w:rPr>
            </w:pPr>
            <w:r w:rsidRPr="00A558B8">
              <w:rPr>
                <w:rFonts w:eastAsiaTheme="minorEastAsia"/>
                <w:lang w:eastAsia="en-AU"/>
              </w:rPr>
              <w:t>Other superannuation</w:t>
            </w:r>
            <w:r w:rsidRPr="00E96950">
              <w:rPr>
                <w:rFonts w:eastAsiaTheme="minorEastAsia" w:cs="Calibri"/>
                <w:sz w:val="20"/>
                <w:vertAlign w:val="superscript"/>
                <w:lang w:eastAsia="en-AU"/>
              </w:rPr>
              <w:t xml:space="preserve"> (</w:t>
            </w:r>
            <w:r w:rsidRPr="00A558B8">
              <w:rPr>
                <w:rFonts w:eastAsiaTheme="minorEastAsia" w:cs="Calibri"/>
                <w:sz w:val="20"/>
                <w:vertAlign w:val="superscript"/>
                <w:lang w:eastAsia="en-AU"/>
              </w:rPr>
              <w:t>a)</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2 102.8</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1 974.6</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128.2</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6.5</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1 965.6</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cs="Calibri"/>
                <w:sz w:val="20"/>
                <w:vertAlign w:val="superscript"/>
                <w:lang w:eastAsia="en-AU"/>
              </w:rPr>
            </w:pPr>
            <w:r w:rsidRPr="00A558B8">
              <w:rPr>
                <w:rFonts w:eastAsiaTheme="minorEastAsia"/>
                <w:lang w:eastAsia="en-AU"/>
              </w:rPr>
              <w:t>Depreciation</w:t>
            </w:r>
            <w:r w:rsidRPr="00E96950">
              <w:rPr>
                <w:rFonts w:eastAsiaTheme="minorEastAsia"/>
                <w:vertAlign w:val="superscript"/>
                <w:lang w:eastAsia="en-AU"/>
              </w:rPr>
              <w:t xml:space="preserve"> (</w:t>
            </w:r>
            <w:r w:rsidRPr="00A558B8">
              <w:rPr>
                <w:rFonts w:eastAsiaTheme="minorEastAsia" w:cs="Calibri"/>
                <w:sz w:val="20"/>
                <w:vertAlign w:val="superscript"/>
                <w:lang w:eastAsia="en-AU"/>
              </w:rPr>
              <w:t>a)</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4 453.7</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4 527.4</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D61493">
              <w:rPr>
                <w:rFonts w:ascii="Calibri" w:eastAsiaTheme="minorEastAsia" w:hAnsi="Calibri" w:cs="Calibri"/>
                <w:sz w:val="22"/>
                <w:szCs w:val="22"/>
                <w:lang w:eastAsia="en-AU"/>
              </w:rPr>
              <w:t>(</w:t>
            </w:r>
            <w:r w:rsidRPr="00D61493">
              <w:rPr>
                <w:rFonts w:ascii="Calibri" w:eastAsiaTheme="minorEastAsia" w:hAnsi="Calibri" w:cs="Calibri"/>
                <w:color w:val="000000"/>
                <w:sz w:val="22"/>
                <w:szCs w:val="22"/>
                <w:lang w:eastAsia="en-AU"/>
              </w:rPr>
              <w:t>73.7)</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D61493">
              <w:rPr>
                <w:rFonts w:ascii="Calibri" w:eastAsiaTheme="minorEastAsia" w:hAnsi="Calibri" w:cs="Calibri"/>
                <w:sz w:val="22"/>
                <w:szCs w:val="22"/>
                <w:lang w:eastAsia="en-AU"/>
              </w:rPr>
              <w:t>(</w:t>
            </w:r>
            <w:r w:rsidRPr="00D61493">
              <w:rPr>
                <w:rFonts w:ascii="Calibri" w:eastAsiaTheme="minorEastAsia" w:hAnsi="Calibri" w:cs="Calibri"/>
                <w:color w:val="000000"/>
                <w:sz w:val="22"/>
                <w:szCs w:val="22"/>
                <w:lang w:eastAsia="en-AU"/>
              </w:rPr>
              <w:t>1.6)</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4 334.1</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lang w:eastAsia="en-AU"/>
              </w:rPr>
            </w:pPr>
            <w:r w:rsidRPr="00A558B8">
              <w:rPr>
                <w:rFonts w:eastAsiaTheme="minorEastAsia"/>
                <w:lang w:eastAsia="en-AU"/>
              </w:rPr>
              <w:t>Interest expense</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2 867.3</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2 865.7</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1.6</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0.1</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2 954.4</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lang w:eastAsia="en-AU"/>
              </w:rPr>
            </w:pPr>
            <w:r w:rsidRPr="00A558B8">
              <w:rPr>
                <w:rFonts w:eastAsiaTheme="minorEastAsia"/>
                <w:lang w:eastAsia="en-AU"/>
              </w:rPr>
              <w:t>Grant expense</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5 821.8</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5 574.4</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247.4</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 xml:space="preserve"> 4.4</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5 040.1</w:t>
            </w:r>
          </w:p>
        </w:tc>
      </w:tr>
      <w:tr w:rsidR="00336793" w:rsidRPr="00A558B8" w:rsidTr="00DF0B96">
        <w:tc>
          <w:tcPr>
            <w:tcW w:w="4787" w:type="dxa"/>
            <w:tcBorders>
              <w:top w:val="nil"/>
              <w:left w:val="nil"/>
              <w:bottom w:val="nil"/>
              <w:right w:val="nil"/>
            </w:tcBorders>
            <w:shd w:val="solid" w:color="FFFFFF" w:fill="auto"/>
          </w:tcPr>
          <w:p w:rsidR="00336793" w:rsidRPr="00A558B8" w:rsidRDefault="00336793" w:rsidP="00DF0B96">
            <w:pPr>
              <w:pStyle w:val="Tabletext"/>
              <w:rPr>
                <w:rFonts w:eastAsiaTheme="minorEastAsia"/>
                <w:lang w:eastAsia="en-AU"/>
              </w:rPr>
            </w:pPr>
            <w:r w:rsidRPr="00A558B8">
              <w:rPr>
                <w:rFonts w:eastAsiaTheme="minorEastAsia"/>
                <w:lang w:eastAsia="en-AU"/>
              </w:rPr>
              <w:t>Other operating expenses</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25 544.4</w:t>
            </w:r>
          </w:p>
        </w:tc>
        <w:tc>
          <w:tcPr>
            <w:tcW w:w="966" w:type="dxa"/>
            <w:tcBorders>
              <w:top w:val="nil"/>
              <w:left w:val="nil"/>
              <w:bottom w:val="nil"/>
              <w:right w:val="nil"/>
            </w:tcBorders>
            <w:shd w:val="solid" w:color="FFFFFF" w:fill="auto"/>
          </w:tcPr>
          <w:p w:rsidR="00336793" w:rsidRPr="00A558B8" w:rsidRDefault="00336793" w:rsidP="00DF0B96">
            <w:pPr>
              <w:pStyle w:val="TableofFigures"/>
              <w:rPr>
                <w:rFonts w:eastAsiaTheme="minorEastAsia"/>
                <w:lang w:eastAsia="en-AU"/>
              </w:rPr>
            </w:pPr>
            <w:r w:rsidRPr="00A558B8">
              <w:rPr>
                <w:rFonts w:eastAsiaTheme="minorEastAsia"/>
                <w:lang w:eastAsia="en-AU"/>
              </w:rPr>
              <w:t>26 404.9</w:t>
            </w:r>
          </w:p>
        </w:tc>
        <w:tc>
          <w:tcPr>
            <w:tcW w:w="966"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D61493">
              <w:rPr>
                <w:rFonts w:ascii="Calibri" w:eastAsiaTheme="minorEastAsia" w:hAnsi="Calibri" w:cs="Calibri"/>
                <w:sz w:val="22"/>
                <w:szCs w:val="22"/>
                <w:lang w:eastAsia="en-AU"/>
              </w:rPr>
              <w:t>(</w:t>
            </w:r>
            <w:r w:rsidRPr="00D61493">
              <w:rPr>
                <w:rFonts w:ascii="Calibri" w:eastAsiaTheme="minorEastAsia" w:hAnsi="Calibri" w:cs="Calibri"/>
                <w:color w:val="000000"/>
                <w:sz w:val="22"/>
                <w:szCs w:val="22"/>
                <w:lang w:eastAsia="en-AU"/>
              </w:rPr>
              <w:t>860.5)</w:t>
            </w:r>
          </w:p>
        </w:tc>
        <w:tc>
          <w:tcPr>
            <w:tcW w:w="1044"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D61493">
              <w:rPr>
                <w:rFonts w:ascii="Calibri" w:eastAsiaTheme="minorEastAsia" w:hAnsi="Calibri" w:cs="Calibri"/>
                <w:sz w:val="22"/>
                <w:szCs w:val="22"/>
                <w:lang w:eastAsia="en-AU"/>
              </w:rPr>
              <w:t>(</w:t>
            </w:r>
            <w:r w:rsidRPr="00D61493">
              <w:rPr>
                <w:rFonts w:ascii="Calibri" w:eastAsiaTheme="minorEastAsia" w:hAnsi="Calibri" w:cs="Calibri"/>
                <w:color w:val="000000"/>
                <w:sz w:val="22"/>
                <w:szCs w:val="22"/>
                <w:lang w:eastAsia="en-AU"/>
              </w:rPr>
              <w:t>3.3)</w:t>
            </w:r>
          </w:p>
        </w:tc>
        <w:tc>
          <w:tcPr>
            <w:tcW w:w="908" w:type="dxa"/>
            <w:tcBorders>
              <w:top w:val="nil"/>
              <w:left w:val="nil"/>
              <w:bottom w:val="nil"/>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61493">
              <w:rPr>
                <w:rFonts w:ascii="Calibri" w:eastAsiaTheme="minorEastAsia" w:hAnsi="Calibri" w:cs="Calibri"/>
                <w:sz w:val="22"/>
                <w:szCs w:val="22"/>
                <w:lang w:eastAsia="en-AU"/>
              </w:rPr>
              <w:t>25 084.9</w:t>
            </w:r>
          </w:p>
        </w:tc>
      </w:tr>
      <w:tr w:rsidR="00336793" w:rsidRPr="00A558B8" w:rsidTr="00DF0B96">
        <w:tc>
          <w:tcPr>
            <w:tcW w:w="4787" w:type="dxa"/>
            <w:tcBorders>
              <w:top w:val="nil"/>
              <w:left w:val="nil"/>
              <w:bottom w:val="single" w:sz="6" w:space="0" w:color="auto"/>
              <w:right w:val="nil"/>
            </w:tcBorders>
            <w:shd w:val="solid" w:color="FFFFFF" w:fill="auto"/>
          </w:tcPr>
          <w:p w:rsidR="00336793" w:rsidRPr="00A558B8" w:rsidRDefault="00336793" w:rsidP="00DF0B96">
            <w:pPr>
              <w:pStyle w:val="Tabletext"/>
              <w:rPr>
                <w:rFonts w:eastAsiaTheme="minorEastAsia" w:cs="Calibri"/>
                <w:b/>
                <w:bCs/>
                <w:sz w:val="20"/>
                <w:vertAlign w:val="superscript"/>
                <w:lang w:eastAsia="en-AU"/>
              </w:rPr>
            </w:pPr>
            <w:r w:rsidRPr="00A558B8">
              <w:rPr>
                <w:rFonts w:eastAsiaTheme="minorEastAsia"/>
                <w:b/>
                <w:szCs w:val="22"/>
                <w:lang w:eastAsia="en-AU"/>
              </w:rPr>
              <w:t xml:space="preserve">Total expenses from </w:t>
            </w:r>
            <w:r w:rsidRPr="00A558B8">
              <w:rPr>
                <w:rFonts w:eastAsiaTheme="minorEastAsia" w:cs="Calibri"/>
                <w:b/>
                <w:bCs/>
                <w:szCs w:val="22"/>
                <w:lang w:eastAsia="en-AU"/>
              </w:rPr>
              <w:t>transactions</w:t>
            </w:r>
            <w:r w:rsidRPr="00E96950">
              <w:rPr>
                <w:rFonts w:eastAsiaTheme="minorEastAsia" w:cs="Calibri"/>
                <w:b/>
                <w:bCs/>
                <w:sz w:val="20"/>
                <w:vertAlign w:val="superscript"/>
                <w:lang w:eastAsia="en-AU"/>
              </w:rPr>
              <w:t xml:space="preserve"> (</w:t>
            </w:r>
            <w:r w:rsidRPr="00A558B8">
              <w:rPr>
                <w:rFonts w:eastAsiaTheme="minorEastAsia" w:cs="Calibri"/>
                <w:b/>
                <w:bCs/>
                <w:sz w:val="20"/>
                <w:vertAlign w:val="superscript"/>
                <w:lang w:eastAsia="en-AU"/>
              </w:rPr>
              <w:t>a)</w:t>
            </w:r>
          </w:p>
        </w:tc>
        <w:tc>
          <w:tcPr>
            <w:tcW w:w="966" w:type="dxa"/>
            <w:tcBorders>
              <w:top w:val="nil"/>
              <w:left w:val="nil"/>
              <w:bottom w:val="single" w:sz="6" w:space="0" w:color="auto"/>
              <w:right w:val="nil"/>
            </w:tcBorders>
            <w:shd w:val="solid" w:color="FFFFFF" w:fill="auto"/>
          </w:tcPr>
          <w:p w:rsidR="00336793" w:rsidRPr="00A558B8" w:rsidRDefault="00336793" w:rsidP="00DF0B96">
            <w:pPr>
              <w:pStyle w:val="TableofFigures"/>
              <w:rPr>
                <w:rFonts w:eastAsiaTheme="minorEastAsia" w:cs="Calibri"/>
                <w:b/>
                <w:sz w:val="20"/>
                <w:lang w:eastAsia="en-AU"/>
              </w:rPr>
            </w:pPr>
            <w:r w:rsidRPr="00A558B8">
              <w:rPr>
                <w:rFonts w:eastAsiaTheme="minorEastAsia"/>
                <w:b/>
                <w:lang w:eastAsia="en-AU"/>
              </w:rPr>
              <w:t>61 664.7</w:t>
            </w:r>
          </w:p>
        </w:tc>
        <w:tc>
          <w:tcPr>
            <w:tcW w:w="966" w:type="dxa"/>
            <w:tcBorders>
              <w:top w:val="nil"/>
              <w:left w:val="nil"/>
              <w:bottom w:val="single" w:sz="6" w:space="0" w:color="auto"/>
              <w:right w:val="nil"/>
            </w:tcBorders>
            <w:shd w:val="solid" w:color="FFFFFF" w:fill="auto"/>
          </w:tcPr>
          <w:p w:rsidR="00336793" w:rsidRPr="00A558B8" w:rsidRDefault="00336793" w:rsidP="00DF0B96">
            <w:pPr>
              <w:pStyle w:val="TableofFigures"/>
              <w:rPr>
                <w:rFonts w:eastAsiaTheme="minorEastAsia"/>
                <w:b/>
                <w:lang w:eastAsia="en-AU"/>
              </w:rPr>
            </w:pPr>
            <w:r w:rsidRPr="00A558B8">
              <w:rPr>
                <w:rFonts w:eastAsiaTheme="minorEastAsia"/>
                <w:b/>
                <w:lang w:eastAsia="en-AU"/>
              </w:rPr>
              <w:t>61 861.4</w:t>
            </w:r>
          </w:p>
        </w:tc>
        <w:tc>
          <w:tcPr>
            <w:tcW w:w="966"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sidRPr="00D61493">
              <w:rPr>
                <w:rFonts w:ascii="Calibri" w:eastAsiaTheme="minorEastAsia" w:hAnsi="Calibri" w:cs="Calibri"/>
                <w:b/>
                <w:bCs/>
                <w:sz w:val="22"/>
                <w:szCs w:val="22"/>
                <w:lang w:eastAsia="en-AU"/>
              </w:rPr>
              <w:t>(</w:t>
            </w:r>
            <w:r w:rsidRPr="00D61493">
              <w:rPr>
                <w:rFonts w:ascii="Calibri" w:eastAsiaTheme="minorEastAsia" w:hAnsi="Calibri" w:cs="Calibri"/>
                <w:b/>
                <w:bCs/>
                <w:color w:val="000000"/>
                <w:sz w:val="22"/>
                <w:szCs w:val="22"/>
                <w:lang w:eastAsia="en-AU"/>
              </w:rPr>
              <w:t>196.7)</w:t>
            </w:r>
          </w:p>
        </w:tc>
        <w:tc>
          <w:tcPr>
            <w:tcW w:w="1044"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sidRPr="00D61493">
              <w:rPr>
                <w:rFonts w:ascii="Calibri" w:eastAsiaTheme="minorEastAsia" w:hAnsi="Calibri" w:cs="Calibri"/>
                <w:b/>
                <w:bCs/>
                <w:sz w:val="22"/>
                <w:szCs w:val="22"/>
                <w:lang w:eastAsia="en-AU"/>
              </w:rPr>
              <w:t>(</w:t>
            </w:r>
            <w:r w:rsidRPr="00D61493">
              <w:rPr>
                <w:rFonts w:ascii="Calibri" w:eastAsiaTheme="minorEastAsia" w:hAnsi="Calibri" w:cs="Calibri"/>
                <w:b/>
                <w:bCs/>
                <w:color w:val="000000"/>
                <w:sz w:val="22"/>
                <w:szCs w:val="22"/>
                <w:lang w:eastAsia="en-AU"/>
              </w:rPr>
              <w:t>0.3)</w:t>
            </w:r>
          </w:p>
        </w:tc>
        <w:tc>
          <w:tcPr>
            <w:tcW w:w="908"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61493">
              <w:rPr>
                <w:rFonts w:ascii="Calibri" w:eastAsiaTheme="minorEastAsia" w:hAnsi="Calibri" w:cs="Calibri"/>
                <w:b/>
                <w:bCs/>
                <w:sz w:val="22"/>
                <w:szCs w:val="22"/>
                <w:lang w:eastAsia="en-AU"/>
              </w:rPr>
              <w:t>59 486.2</w:t>
            </w:r>
          </w:p>
        </w:tc>
      </w:tr>
      <w:tr w:rsidR="00336793" w:rsidRPr="00A558B8" w:rsidTr="00DF0B96">
        <w:tc>
          <w:tcPr>
            <w:tcW w:w="4787" w:type="dxa"/>
            <w:tcBorders>
              <w:top w:val="nil"/>
              <w:left w:val="nil"/>
              <w:bottom w:val="single" w:sz="6" w:space="0" w:color="auto"/>
              <w:right w:val="nil"/>
            </w:tcBorders>
            <w:shd w:val="solid" w:color="FFFFFF" w:fill="auto"/>
          </w:tcPr>
          <w:p w:rsidR="00336793" w:rsidRPr="00A558B8" w:rsidRDefault="00336793" w:rsidP="00DF0B96">
            <w:pPr>
              <w:pStyle w:val="Tabletext"/>
              <w:rPr>
                <w:rFonts w:eastAsiaTheme="minorEastAsia" w:cs="Calibri"/>
                <w:b/>
                <w:bCs/>
                <w:sz w:val="20"/>
                <w:vertAlign w:val="superscript"/>
                <w:lang w:eastAsia="en-AU"/>
              </w:rPr>
            </w:pPr>
            <w:r w:rsidRPr="00A558B8">
              <w:rPr>
                <w:rFonts w:eastAsiaTheme="minorEastAsia"/>
                <w:b/>
                <w:bCs/>
                <w:lang w:eastAsia="en-AU"/>
              </w:rPr>
              <w:t>Net result from transactions</w:t>
            </w:r>
            <w:r w:rsidRPr="00A558B8">
              <w:rPr>
                <w:rFonts w:eastAsiaTheme="minorEastAsia" w:cs="Calibri"/>
                <w:b/>
                <w:bCs/>
                <w:sz w:val="20"/>
                <w:vertAlign w:val="superscript"/>
                <w:lang w:eastAsia="en-AU"/>
              </w:rPr>
              <w:t xml:space="preserve"> </w:t>
            </w:r>
            <w:r w:rsidRPr="00A558B8">
              <w:rPr>
                <w:rFonts w:eastAsiaTheme="minorEastAsia" w:cs="Calibri"/>
                <w:b/>
                <w:bCs/>
                <w:sz w:val="20"/>
                <w:lang w:eastAsia="en-AU"/>
              </w:rPr>
              <w:t>–</w:t>
            </w:r>
            <w:r w:rsidRPr="00A558B8">
              <w:rPr>
                <w:rFonts w:eastAsiaTheme="minorEastAsia" w:cs="Calibri"/>
                <w:b/>
                <w:bCs/>
                <w:szCs w:val="22"/>
                <w:lang w:eastAsia="en-AU"/>
              </w:rPr>
              <w:t xml:space="preserve"> net operating balance</w:t>
            </w:r>
            <w:r w:rsidRPr="00E96950">
              <w:rPr>
                <w:rFonts w:eastAsiaTheme="minorEastAsia" w:cs="Calibri"/>
                <w:b/>
                <w:bCs/>
                <w:sz w:val="20"/>
                <w:vertAlign w:val="superscript"/>
                <w:lang w:eastAsia="en-AU"/>
              </w:rPr>
              <w:t xml:space="preserve"> (</w:t>
            </w:r>
            <w:r w:rsidRPr="00A558B8">
              <w:rPr>
                <w:rFonts w:eastAsiaTheme="minorEastAsia" w:cs="Calibri"/>
                <w:b/>
                <w:bCs/>
                <w:sz w:val="20"/>
                <w:vertAlign w:val="superscript"/>
                <w:lang w:eastAsia="en-AU"/>
              </w:rPr>
              <w:t>a)</w:t>
            </w:r>
          </w:p>
        </w:tc>
        <w:tc>
          <w:tcPr>
            <w:tcW w:w="966" w:type="dxa"/>
            <w:tcBorders>
              <w:top w:val="nil"/>
              <w:left w:val="nil"/>
              <w:bottom w:val="single" w:sz="6" w:space="0" w:color="auto"/>
              <w:right w:val="nil"/>
            </w:tcBorders>
            <w:shd w:val="solid" w:color="FFFFFF" w:fill="auto"/>
          </w:tcPr>
          <w:p w:rsidR="00336793" w:rsidRPr="004B4492" w:rsidRDefault="00336793" w:rsidP="00DF0B96">
            <w:pPr>
              <w:pStyle w:val="TableofFigures"/>
              <w:rPr>
                <w:rFonts w:eastAsiaTheme="minorEastAsia" w:cs="Calibri"/>
                <w:b/>
                <w:bCs/>
                <w:color w:val="000000"/>
                <w:szCs w:val="22"/>
                <w:lang w:eastAsia="en-AU"/>
              </w:rPr>
            </w:pPr>
            <w:r w:rsidRPr="004B4492">
              <w:rPr>
                <w:rFonts w:eastAsiaTheme="minorEastAsia"/>
                <w:b/>
                <w:szCs w:val="22"/>
                <w:lang w:eastAsia="en-AU"/>
              </w:rPr>
              <w:t>(</w:t>
            </w:r>
            <w:r w:rsidRPr="004B4492">
              <w:rPr>
                <w:rFonts w:eastAsiaTheme="minorEastAsia" w:cs="Calibri"/>
                <w:b/>
                <w:bCs/>
                <w:color w:val="000000"/>
                <w:szCs w:val="22"/>
                <w:lang w:eastAsia="en-AU"/>
              </w:rPr>
              <w:t>610.7)</w:t>
            </w:r>
          </w:p>
        </w:tc>
        <w:tc>
          <w:tcPr>
            <w:tcW w:w="966" w:type="dxa"/>
            <w:tcBorders>
              <w:top w:val="nil"/>
              <w:left w:val="nil"/>
              <w:bottom w:val="single" w:sz="6" w:space="0" w:color="auto"/>
              <w:right w:val="nil"/>
            </w:tcBorders>
            <w:shd w:val="solid" w:color="FFFFFF" w:fill="auto"/>
          </w:tcPr>
          <w:p w:rsidR="00336793" w:rsidRPr="004B4492" w:rsidRDefault="00336793" w:rsidP="00DF0B96">
            <w:pPr>
              <w:pStyle w:val="TableofFigures"/>
              <w:rPr>
                <w:rFonts w:eastAsiaTheme="minorEastAsia" w:cs="Calibri"/>
                <w:b/>
                <w:bCs/>
                <w:szCs w:val="22"/>
                <w:lang w:eastAsia="en-AU"/>
              </w:rPr>
            </w:pPr>
            <w:r w:rsidRPr="004B4492">
              <w:rPr>
                <w:rFonts w:eastAsiaTheme="minorEastAsia"/>
                <w:b/>
                <w:szCs w:val="22"/>
                <w:lang w:eastAsia="en-AU"/>
              </w:rPr>
              <w:t xml:space="preserve"> (1</w:t>
            </w:r>
            <w:r w:rsidRPr="004B4492">
              <w:rPr>
                <w:rFonts w:eastAsiaTheme="minorEastAsia" w:cs="Calibri"/>
                <w:b/>
                <w:bCs/>
                <w:szCs w:val="22"/>
                <w:lang w:eastAsia="en-AU"/>
              </w:rPr>
              <w:t xml:space="preserve"> 358.4)</w:t>
            </w:r>
          </w:p>
        </w:tc>
        <w:tc>
          <w:tcPr>
            <w:tcW w:w="966"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61493">
              <w:rPr>
                <w:rFonts w:ascii="Calibri" w:eastAsiaTheme="minorEastAsia" w:hAnsi="Calibri" w:cs="Calibri"/>
                <w:b/>
                <w:bCs/>
                <w:sz w:val="22"/>
                <w:szCs w:val="22"/>
                <w:lang w:eastAsia="en-AU"/>
              </w:rPr>
              <w:t xml:space="preserve"> 747.7</w:t>
            </w:r>
          </w:p>
        </w:tc>
        <w:tc>
          <w:tcPr>
            <w:tcW w:w="1044"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sidRPr="00D61493">
              <w:rPr>
                <w:rFonts w:ascii="Calibri" w:eastAsiaTheme="minorEastAsia" w:hAnsi="Calibri" w:cs="Calibri"/>
                <w:b/>
                <w:bCs/>
                <w:sz w:val="22"/>
                <w:szCs w:val="22"/>
                <w:lang w:eastAsia="en-AU"/>
              </w:rPr>
              <w:t>(</w:t>
            </w:r>
            <w:r w:rsidRPr="00D61493">
              <w:rPr>
                <w:rFonts w:ascii="Calibri" w:eastAsiaTheme="minorEastAsia" w:hAnsi="Calibri" w:cs="Calibri"/>
                <w:b/>
                <w:bCs/>
                <w:color w:val="000000"/>
                <w:sz w:val="22"/>
                <w:szCs w:val="22"/>
                <w:lang w:eastAsia="en-AU"/>
              </w:rPr>
              <w:t>55.0)</w:t>
            </w:r>
          </w:p>
        </w:tc>
        <w:tc>
          <w:tcPr>
            <w:tcW w:w="908"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61493">
              <w:rPr>
                <w:rFonts w:ascii="Calibri" w:eastAsiaTheme="minorEastAsia" w:hAnsi="Calibri" w:cs="Calibri"/>
                <w:b/>
                <w:bCs/>
                <w:sz w:val="22"/>
                <w:szCs w:val="22"/>
                <w:lang w:eastAsia="en-AU"/>
              </w:rPr>
              <w:t xml:space="preserve"> 787.6</w:t>
            </w:r>
          </w:p>
        </w:tc>
      </w:tr>
      <w:tr w:rsidR="00336793" w:rsidRPr="00A558B8" w:rsidTr="00DF0B96">
        <w:tc>
          <w:tcPr>
            <w:tcW w:w="4787" w:type="dxa"/>
            <w:tcBorders>
              <w:top w:val="single" w:sz="6" w:space="0" w:color="auto"/>
              <w:left w:val="nil"/>
              <w:bottom w:val="single" w:sz="6" w:space="0" w:color="auto"/>
              <w:right w:val="nil"/>
            </w:tcBorders>
            <w:shd w:val="solid" w:color="FFFFFF" w:fill="auto"/>
          </w:tcPr>
          <w:p w:rsidR="00336793" w:rsidRPr="00A558B8" w:rsidRDefault="00336793" w:rsidP="00DF0B96">
            <w:pPr>
              <w:pStyle w:val="Tabletext"/>
              <w:rPr>
                <w:rFonts w:eastAsiaTheme="minorEastAsia" w:cs="Calibri"/>
                <w:b/>
                <w:bCs/>
                <w:sz w:val="20"/>
                <w:vertAlign w:val="superscript"/>
                <w:lang w:eastAsia="en-AU"/>
              </w:rPr>
            </w:pPr>
            <w:r w:rsidRPr="00A558B8">
              <w:rPr>
                <w:rFonts w:eastAsiaTheme="minorEastAsia"/>
                <w:b/>
                <w:bCs/>
                <w:lang w:eastAsia="en-AU"/>
              </w:rPr>
              <w:t>Total other economic flows included in net result</w:t>
            </w:r>
            <w:r w:rsidRPr="00E96950">
              <w:rPr>
                <w:rFonts w:eastAsiaTheme="minorEastAsia" w:cs="Calibri"/>
                <w:b/>
                <w:bCs/>
                <w:sz w:val="20"/>
                <w:vertAlign w:val="superscript"/>
                <w:lang w:eastAsia="en-AU"/>
              </w:rPr>
              <w:t xml:space="preserve"> (</w:t>
            </w:r>
            <w:r w:rsidRPr="00A558B8">
              <w:rPr>
                <w:rFonts w:eastAsiaTheme="minorEastAsia" w:cs="Calibri"/>
                <w:b/>
                <w:bCs/>
                <w:sz w:val="20"/>
                <w:vertAlign w:val="superscript"/>
                <w:lang w:eastAsia="en-AU"/>
              </w:rPr>
              <w:t>a)</w:t>
            </w:r>
          </w:p>
        </w:tc>
        <w:tc>
          <w:tcPr>
            <w:tcW w:w="966" w:type="dxa"/>
            <w:tcBorders>
              <w:top w:val="single" w:sz="6" w:space="0" w:color="auto"/>
              <w:left w:val="nil"/>
              <w:bottom w:val="single" w:sz="6" w:space="0" w:color="auto"/>
              <w:right w:val="nil"/>
            </w:tcBorders>
            <w:shd w:val="solid" w:color="FFFFFF" w:fill="auto"/>
          </w:tcPr>
          <w:p w:rsidR="00336793" w:rsidRPr="004B4492" w:rsidRDefault="00336793" w:rsidP="00DF0B96">
            <w:pPr>
              <w:pStyle w:val="TableofFigures"/>
              <w:rPr>
                <w:rFonts w:eastAsiaTheme="minorEastAsia"/>
                <w:b/>
                <w:szCs w:val="22"/>
                <w:lang w:eastAsia="en-AU"/>
              </w:rPr>
            </w:pPr>
            <w:r w:rsidRPr="004B4492">
              <w:rPr>
                <w:rFonts w:eastAsiaTheme="minorEastAsia"/>
                <w:b/>
                <w:szCs w:val="22"/>
                <w:lang w:eastAsia="en-AU"/>
              </w:rPr>
              <w:t xml:space="preserve"> 661.4</w:t>
            </w:r>
          </w:p>
        </w:tc>
        <w:tc>
          <w:tcPr>
            <w:tcW w:w="966" w:type="dxa"/>
            <w:tcBorders>
              <w:top w:val="single" w:sz="6" w:space="0" w:color="auto"/>
              <w:left w:val="nil"/>
              <w:bottom w:val="single" w:sz="6" w:space="0" w:color="auto"/>
              <w:right w:val="nil"/>
            </w:tcBorders>
            <w:shd w:val="solid" w:color="FFFFFF" w:fill="auto"/>
          </w:tcPr>
          <w:p w:rsidR="00336793" w:rsidRPr="004B4492" w:rsidRDefault="00336793" w:rsidP="00DF0B96">
            <w:pPr>
              <w:pStyle w:val="TableofFigures"/>
              <w:rPr>
                <w:rFonts w:eastAsiaTheme="minorEastAsia" w:cs="Calibri"/>
                <w:b/>
                <w:bCs/>
                <w:color w:val="000000"/>
                <w:szCs w:val="22"/>
                <w:lang w:eastAsia="en-AU"/>
              </w:rPr>
            </w:pPr>
            <w:r w:rsidRPr="004B4492">
              <w:rPr>
                <w:rFonts w:eastAsiaTheme="minorEastAsia"/>
                <w:b/>
                <w:szCs w:val="22"/>
                <w:lang w:eastAsia="en-AU"/>
              </w:rPr>
              <w:t>(</w:t>
            </w:r>
            <w:r w:rsidRPr="004B4492">
              <w:rPr>
                <w:rFonts w:eastAsiaTheme="minorEastAsia" w:cs="Calibri"/>
                <w:b/>
                <w:bCs/>
                <w:color w:val="000000"/>
                <w:szCs w:val="22"/>
                <w:lang w:eastAsia="en-AU"/>
              </w:rPr>
              <w:t>254.1)</w:t>
            </w:r>
          </w:p>
        </w:tc>
        <w:tc>
          <w:tcPr>
            <w:tcW w:w="966"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61493">
              <w:rPr>
                <w:rFonts w:ascii="Calibri" w:eastAsiaTheme="minorEastAsia" w:hAnsi="Calibri" w:cs="Calibri"/>
                <w:b/>
                <w:bCs/>
                <w:sz w:val="22"/>
                <w:szCs w:val="22"/>
                <w:lang w:eastAsia="en-AU"/>
              </w:rPr>
              <w:t xml:space="preserve"> 915.5</w:t>
            </w:r>
          </w:p>
        </w:tc>
        <w:tc>
          <w:tcPr>
            <w:tcW w:w="1044"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sidRPr="00D61493">
              <w:rPr>
                <w:rFonts w:ascii="Calibri" w:eastAsiaTheme="minorEastAsia" w:hAnsi="Calibri" w:cs="Calibri"/>
                <w:b/>
                <w:bCs/>
                <w:sz w:val="22"/>
                <w:szCs w:val="22"/>
                <w:lang w:eastAsia="en-AU"/>
              </w:rPr>
              <w:t>(</w:t>
            </w:r>
            <w:r w:rsidRPr="00D61493">
              <w:rPr>
                <w:rFonts w:ascii="Calibri" w:eastAsiaTheme="minorEastAsia" w:hAnsi="Calibri" w:cs="Calibri"/>
                <w:b/>
                <w:bCs/>
                <w:color w:val="000000"/>
                <w:sz w:val="22"/>
                <w:szCs w:val="22"/>
                <w:lang w:eastAsia="en-AU"/>
              </w:rPr>
              <w:t>360.3)</w:t>
            </w:r>
          </w:p>
        </w:tc>
        <w:tc>
          <w:tcPr>
            <w:tcW w:w="908" w:type="dxa"/>
            <w:tcBorders>
              <w:top w:val="nil"/>
              <w:left w:val="nil"/>
              <w:bottom w:val="single" w:sz="6" w:space="0" w:color="auto"/>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61493">
              <w:rPr>
                <w:rFonts w:ascii="Calibri" w:eastAsiaTheme="minorEastAsia" w:hAnsi="Calibri" w:cs="Calibri"/>
                <w:b/>
                <w:bCs/>
                <w:sz w:val="22"/>
                <w:szCs w:val="22"/>
                <w:lang w:eastAsia="en-AU"/>
              </w:rPr>
              <w:t xml:space="preserve"> 864.3</w:t>
            </w:r>
          </w:p>
        </w:tc>
      </w:tr>
      <w:tr w:rsidR="00336793" w:rsidRPr="00A558B8" w:rsidTr="00DF0B96">
        <w:tc>
          <w:tcPr>
            <w:tcW w:w="4787" w:type="dxa"/>
            <w:tcBorders>
              <w:top w:val="single" w:sz="6" w:space="0" w:color="auto"/>
              <w:left w:val="nil"/>
              <w:bottom w:val="single" w:sz="12" w:space="0" w:color="000000"/>
              <w:right w:val="nil"/>
            </w:tcBorders>
            <w:shd w:val="solid" w:color="FFFFFF" w:fill="auto"/>
          </w:tcPr>
          <w:p w:rsidR="00336793" w:rsidRPr="00A558B8" w:rsidRDefault="00336793" w:rsidP="00DF0B96">
            <w:pPr>
              <w:pStyle w:val="Tabletext"/>
              <w:rPr>
                <w:rFonts w:eastAsiaTheme="minorEastAsia"/>
                <w:b/>
                <w:bCs/>
                <w:lang w:eastAsia="en-AU"/>
              </w:rPr>
            </w:pPr>
            <w:r w:rsidRPr="00A558B8">
              <w:rPr>
                <w:rFonts w:eastAsiaTheme="minorEastAsia"/>
                <w:b/>
                <w:bCs/>
                <w:lang w:eastAsia="en-AU"/>
              </w:rPr>
              <w:t>Net result</w:t>
            </w:r>
            <w:r w:rsidRPr="00E96950">
              <w:rPr>
                <w:rFonts w:eastAsiaTheme="minorEastAsia"/>
                <w:b/>
                <w:bCs/>
                <w:vertAlign w:val="superscript"/>
                <w:lang w:eastAsia="en-AU"/>
              </w:rPr>
              <w:t xml:space="preserve"> (</w:t>
            </w:r>
            <w:r w:rsidRPr="00A558B8">
              <w:rPr>
                <w:rFonts w:eastAsiaTheme="minorEastAsia"/>
                <w:b/>
                <w:bCs/>
                <w:vertAlign w:val="superscript"/>
                <w:lang w:eastAsia="en-AU"/>
              </w:rPr>
              <w:t>a)</w:t>
            </w:r>
          </w:p>
        </w:tc>
        <w:tc>
          <w:tcPr>
            <w:tcW w:w="966" w:type="dxa"/>
            <w:tcBorders>
              <w:top w:val="single" w:sz="6" w:space="0" w:color="auto"/>
              <w:left w:val="nil"/>
              <w:bottom w:val="single" w:sz="12" w:space="0" w:color="000000"/>
              <w:right w:val="nil"/>
            </w:tcBorders>
            <w:shd w:val="solid" w:color="FFFFFF" w:fill="auto"/>
          </w:tcPr>
          <w:p w:rsidR="00336793" w:rsidRPr="004B4492" w:rsidRDefault="00336793" w:rsidP="00DF0B96">
            <w:pPr>
              <w:pStyle w:val="TableofFigures"/>
              <w:rPr>
                <w:rFonts w:eastAsiaTheme="minorEastAsia" w:cs="Calibri"/>
                <w:b/>
                <w:bCs/>
                <w:szCs w:val="22"/>
                <w:lang w:eastAsia="en-AU"/>
              </w:rPr>
            </w:pPr>
            <w:r w:rsidRPr="004B4492">
              <w:rPr>
                <w:rFonts w:eastAsiaTheme="minorEastAsia"/>
                <w:b/>
                <w:szCs w:val="22"/>
                <w:lang w:eastAsia="en-AU"/>
              </w:rPr>
              <w:t xml:space="preserve"> </w:t>
            </w:r>
            <w:r w:rsidRPr="004B4492">
              <w:rPr>
                <w:rFonts w:eastAsiaTheme="minorEastAsia" w:cs="Calibri"/>
                <w:b/>
                <w:szCs w:val="22"/>
                <w:lang w:eastAsia="en-AU"/>
              </w:rPr>
              <w:t>50.7</w:t>
            </w:r>
          </w:p>
        </w:tc>
        <w:tc>
          <w:tcPr>
            <w:tcW w:w="966" w:type="dxa"/>
            <w:tcBorders>
              <w:top w:val="single" w:sz="6" w:space="0" w:color="auto"/>
              <w:left w:val="nil"/>
              <w:bottom w:val="single" w:sz="12" w:space="0" w:color="000000"/>
              <w:right w:val="nil"/>
            </w:tcBorders>
            <w:shd w:val="solid" w:color="FFFFFF" w:fill="auto"/>
          </w:tcPr>
          <w:p w:rsidR="00336793" w:rsidRPr="004B4492" w:rsidRDefault="00336793" w:rsidP="00DF0B96">
            <w:pPr>
              <w:pStyle w:val="TableofFigures"/>
              <w:rPr>
                <w:rFonts w:eastAsiaTheme="minorEastAsia" w:cs="Calibri"/>
                <w:b/>
                <w:bCs/>
                <w:szCs w:val="22"/>
                <w:lang w:eastAsia="en-AU"/>
              </w:rPr>
            </w:pPr>
            <w:r w:rsidRPr="004B4492">
              <w:rPr>
                <w:rFonts w:eastAsiaTheme="minorEastAsia"/>
                <w:b/>
                <w:szCs w:val="22"/>
                <w:lang w:eastAsia="en-AU"/>
              </w:rPr>
              <w:t xml:space="preserve"> (1</w:t>
            </w:r>
            <w:r w:rsidRPr="004B4492">
              <w:rPr>
                <w:rFonts w:eastAsiaTheme="minorEastAsia" w:cs="Calibri"/>
                <w:b/>
                <w:szCs w:val="22"/>
                <w:lang w:eastAsia="en-AU"/>
              </w:rPr>
              <w:t xml:space="preserve"> </w:t>
            </w:r>
            <w:r w:rsidRPr="004B4492">
              <w:rPr>
                <w:rFonts w:eastAsiaTheme="minorEastAsia" w:cs="Calibri"/>
                <w:b/>
                <w:bCs/>
                <w:szCs w:val="22"/>
                <w:lang w:eastAsia="en-AU"/>
              </w:rPr>
              <w:t>612.5)</w:t>
            </w:r>
          </w:p>
        </w:tc>
        <w:tc>
          <w:tcPr>
            <w:tcW w:w="966" w:type="dxa"/>
            <w:tcBorders>
              <w:top w:val="single" w:sz="6" w:space="0" w:color="auto"/>
              <w:left w:val="nil"/>
              <w:bottom w:val="single" w:sz="12" w:space="0" w:color="000000"/>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61493">
              <w:rPr>
                <w:rFonts w:ascii="Calibri" w:eastAsiaTheme="minorEastAsia" w:hAnsi="Calibri" w:cs="Calibri"/>
                <w:b/>
                <w:bCs/>
                <w:sz w:val="22"/>
                <w:szCs w:val="22"/>
                <w:lang w:eastAsia="en-AU"/>
              </w:rPr>
              <w:t>1 663.2</w:t>
            </w:r>
          </w:p>
        </w:tc>
        <w:tc>
          <w:tcPr>
            <w:tcW w:w="1044" w:type="dxa"/>
            <w:tcBorders>
              <w:top w:val="single" w:sz="6" w:space="0" w:color="auto"/>
              <w:left w:val="nil"/>
              <w:bottom w:val="single" w:sz="12" w:space="0" w:color="000000"/>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sidRPr="00D61493">
              <w:rPr>
                <w:rFonts w:ascii="Calibri" w:eastAsiaTheme="minorEastAsia" w:hAnsi="Calibri" w:cs="Calibri"/>
                <w:b/>
                <w:bCs/>
                <w:sz w:val="22"/>
                <w:szCs w:val="22"/>
                <w:lang w:eastAsia="en-AU"/>
              </w:rPr>
              <w:t>(</w:t>
            </w:r>
            <w:r w:rsidRPr="00D61493">
              <w:rPr>
                <w:rFonts w:ascii="Calibri" w:eastAsiaTheme="minorEastAsia" w:hAnsi="Calibri" w:cs="Calibri"/>
                <w:b/>
                <w:bCs/>
                <w:color w:val="000000"/>
                <w:sz w:val="22"/>
                <w:szCs w:val="22"/>
                <w:lang w:eastAsia="en-AU"/>
              </w:rPr>
              <w:t>103.1)</w:t>
            </w:r>
          </w:p>
        </w:tc>
        <w:tc>
          <w:tcPr>
            <w:tcW w:w="908" w:type="dxa"/>
            <w:tcBorders>
              <w:top w:val="single" w:sz="6" w:space="0" w:color="auto"/>
              <w:left w:val="nil"/>
              <w:bottom w:val="single" w:sz="12" w:space="0" w:color="000000"/>
              <w:right w:val="nil"/>
            </w:tcBorders>
            <w:shd w:val="solid" w:color="FFFFFF" w:fill="auto"/>
          </w:tcPr>
          <w:p w:rsidR="00336793" w:rsidRPr="00D6149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61493">
              <w:rPr>
                <w:rFonts w:ascii="Calibri" w:eastAsiaTheme="minorEastAsia" w:hAnsi="Calibri" w:cs="Calibri"/>
                <w:b/>
                <w:bCs/>
                <w:sz w:val="22"/>
                <w:szCs w:val="22"/>
                <w:lang w:eastAsia="en-AU"/>
              </w:rPr>
              <w:t>1 651.9</w:t>
            </w:r>
          </w:p>
        </w:tc>
      </w:tr>
    </w:tbl>
    <w:p w:rsidR="00336793" w:rsidRDefault="00336793" w:rsidP="00DF0B96">
      <w:pPr>
        <w:pStyle w:val="Source"/>
      </w:pPr>
      <w:r w:rsidRPr="007D51F0">
        <w:t>Source</w:t>
      </w:r>
      <w:r>
        <w:t>: Department of Treasury and Finance</w:t>
      </w:r>
    </w:p>
    <w:p w:rsidR="00336793" w:rsidRPr="007D51F0" w:rsidRDefault="00336793" w:rsidP="00DF0B96">
      <w:pPr>
        <w:pStyle w:val="Notes"/>
      </w:pPr>
      <w:r>
        <w:t xml:space="preserve">Note: </w:t>
      </w:r>
    </w:p>
    <w:p w:rsidR="00336793" w:rsidRDefault="00336793" w:rsidP="00DF0B96">
      <w:pPr>
        <w:pStyle w:val="Notes"/>
      </w:pPr>
      <w:r>
        <w:t>(a)</w:t>
      </w:r>
      <w:r>
        <w:tab/>
        <w:t>Certain June 2014 comparative figures have been restated.</w:t>
      </w:r>
    </w:p>
    <w:p w:rsidR="00336793" w:rsidRDefault="00336793" w:rsidP="00DF0B96">
      <w:pPr>
        <w:pStyle w:val="Notes"/>
      </w:pPr>
    </w:p>
    <w:p w:rsidR="00336793" w:rsidRDefault="00336793" w:rsidP="00DF0B96"/>
    <w:p w:rsidR="00336793" w:rsidRPr="00083E04" w:rsidRDefault="00336793" w:rsidP="00DF0B96">
      <w:pPr>
        <w:pStyle w:val="Heading2"/>
      </w:pPr>
      <w:r w:rsidRPr="00083E04">
        <w:t>Revenue</w:t>
      </w:r>
    </w:p>
    <w:p w:rsidR="00336793" w:rsidRDefault="00336793" w:rsidP="00DF0B96">
      <w:r>
        <w:t>Total State revenue increased by 1.3 per cent during 2014</w:t>
      </w:r>
      <w:r>
        <w:noBreakHyphen/>
        <w:t xml:space="preserve">15 to $61 billion. This was $551 million higher than the revised estimate reflected in the </w:t>
      </w:r>
      <w:r w:rsidRPr="00A325D1">
        <w:rPr>
          <w:i/>
        </w:rPr>
        <w:t>2015</w:t>
      </w:r>
      <w:r>
        <w:rPr>
          <w:i/>
        </w:rPr>
        <w:noBreakHyphen/>
      </w:r>
      <w:r w:rsidRPr="00A325D1">
        <w:rPr>
          <w:i/>
        </w:rPr>
        <w:t xml:space="preserve">16 </w:t>
      </w:r>
      <w:r>
        <w:rPr>
          <w:i/>
        </w:rPr>
        <w:t>B</w:t>
      </w:r>
      <w:r w:rsidRPr="00A325D1">
        <w:rPr>
          <w:i/>
        </w:rPr>
        <w:t>udg</w:t>
      </w:r>
      <w:r>
        <w:rPr>
          <w:i/>
        </w:rPr>
        <w:t>et</w:t>
      </w:r>
      <w:r>
        <w:t>. The general government sector, accounts for 88 per cent of the total State revenue. The increase in taxation receipts in the general government sector was the main contributor towards increased State revenue. The performance of the general government sector is discussed in Chapter 2.</w:t>
      </w:r>
    </w:p>
    <w:p w:rsidR="00336793" w:rsidRDefault="00336793">
      <w:pPr>
        <w:spacing w:after="0"/>
        <w:rPr>
          <w:rFonts w:ascii="Calibri" w:hAnsi="Calibri"/>
          <w:b/>
          <w:sz w:val="25"/>
        </w:rPr>
      </w:pPr>
      <w:r>
        <w:br w:type="page"/>
      </w:r>
    </w:p>
    <w:p w:rsidR="00336793" w:rsidRDefault="00336793" w:rsidP="00DF0B96">
      <w:pPr>
        <w:pStyle w:val="Chartheading"/>
      </w:pPr>
      <w:r w:rsidRPr="00D04EF7">
        <w:lastRenderedPageBreak/>
        <w:t>Chart 3.1:</w:t>
      </w:r>
      <w:r>
        <w:tab/>
      </w:r>
      <w:r w:rsidRPr="00D04EF7">
        <w:t>Revenue contributions by sector</w:t>
      </w:r>
    </w:p>
    <w:p w:rsidR="00336793" w:rsidRDefault="00CB3C3B" w:rsidP="00DF0B96">
      <w:pPr>
        <w:pStyle w:val="Chartpar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325.5pt">
            <v:imagedata r:id="rId22" o:title=""/>
          </v:shape>
        </w:pict>
      </w:r>
    </w:p>
    <w:p w:rsidR="00336793" w:rsidRDefault="00336793" w:rsidP="00DF0B96">
      <w:pPr>
        <w:pStyle w:val="Source"/>
      </w:pPr>
      <w:r w:rsidRPr="004A06B8">
        <w:t>Source: Department of Treasury and Finance</w:t>
      </w:r>
    </w:p>
    <w:p w:rsidR="00336793" w:rsidRPr="00514585" w:rsidRDefault="00336793" w:rsidP="00DF0B96">
      <w:pPr>
        <w:pStyle w:val="Source"/>
      </w:pPr>
      <w:r>
        <w:t>Note: The State of Victoria will not equal the sum of the general government, PNFC and PFC sectors due to inter</w:t>
      </w:r>
      <w:r>
        <w:noBreakHyphen/>
        <w:t>sector eliminations</w:t>
      </w:r>
    </w:p>
    <w:p w:rsidR="00336793" w:rsidRPr="004A06B8" w:rsidRDefault="00336793" w:rsidP="00DF0B96"/>
    <w:p w:rsidR="00336793" w:rsidRDefault="00336793" w:rsidP="00DF0B96">
      <w:r>
        <w:t>Within the PNFC sector, total revenue increased by 2 per cent to $9.5 billion during 2014</w:t>
      </w:r>
      <w:r>
        <w:noBreakHyphen/>
        <w:t xml:space="preserve">15, $176 million more than estimated in the </w:t>
      </w:r>
      <w:r w:rsidRPr="00A325D1">
        <w:rPr>
          <w:i/>
        </w:rPr>
        <w:t>2015</w:t>
      </w:r>
      <w:r>
        <w:rPr>
          <w:i/>
        </w:rPr>
        <w:noBreakHyphen/>
      </w:r>
      <w:r w:rsidRPr="00A325D1">
        <w:rPr>
          <w:i/>
        </w:rPr>
        <w:t xml:space="preserve">16 </w:t>
      </w:r>
      <w:r>
        <w:rPr>
          <w:i/>
        </w:rPr>
        <w:t>B</w:t>
      </w:r>
      <w:r w:rsidRPr="00A325D1">
        <w:rPr>
          <w:i/>
        </w:rPr>
        <w:t>udg</w:t>
      </w:r>
      <w:r>
        <w:rPr>
          <w:i/>
        </w:rPr>
        <w:t xml:space="preserve">et </w:t>
      </w:r>
      <w:r>
        <w:t>and a $186 million increase from 2013</w:t>
      </w:r>
      <w:r>
        <w:noBreakHyphen/>
        <w:t>14. The increase since 2013</w:t>
      </w:r>
      <w:r>
        <w:noBreakHyphen/>
        <w:t>14 largely reflects:</w:t>
      </w:r>
    </w:p>
    <w:p w:rsidR="00336793" w:rsidRDefault="00336793" w:rsidP="00DF0B96">
      <w:pPr>
        <w:pStyle w:val="BulletText"/>
      </w:pPr>
      <w:r>
        <w:t xml:space="preserve">increases in farebox revenue, increased patronage for V/Line services and increased grant funding for new services; </w:t>
      </w:r>
    </w:p>
    <w:p w:rsidR="00336793" w:rsidRDefault="00336793" w:rsidP="00DF0B96">
      <w:pPr>
        <w:pStyle w:val="BulletText"/>
      </w:pPr>
      <w:r>
        <w:t>higher state grant revenue for Victrack; and</w:t>
      </w:r>
    </w:p>
    <w:p w:rsidR="00336793" w:rsidRDefault="00336793" w:rsidP="00DF0B96">
      <w:pPr>
        <w:pStyle w:val="BulletText"/>
      </w:pPr>
      <w:r>
        <w:t>increased revenue from developer activity for the metropolitan water entities.</w:t>
      </w:r>
    </w:p>
    <w:p w:rsidR="00336793" w:rsidRDefault="00336793" w:rsidP="00DF0B96">
      <w:r>
        <w:t>In the PFC sector, revenue increased by 1.3 per cent to $7.3 billion during 2014</w:t>
      </w:r>
      <w:r>
        <w:noBreakHyphen/>
        <w:t xml:space="preserve">15, $260 million higher than estimated in the </w:t>
      </w:r>
      <w:r w:rsidRPr="00A325D1">
        <w:rPr>
          <w:i/>
        </w:rPr>
        <w:t>2015</w:t>
      </w:r>
      <w:r>
        <w:rPr>
          <w:i/>
        </w:rPr>
        <w:noBreakHyphen/>
      </w:r>
      <w:r w:rsidRPr="00A325D1">
        <w:rPr>
          <w:i/>
        </w:rPr>
        <w:t xml:space="preserve">16 </w:t>
      </w:r>
      <w:r>
        <w:rPr>
          <w:i/>
        </w:rPr>
        <w:t>B</w:t>
      </w:r>
      <w:r w:rsidRPr="00A325D1">
        <w:rPr>
          <w:i/>
        </w:rPr>
        <w:t>udg</w:t>
      </w:r>
      <w:r>
        <w:rPr>
          <w:i/>
        </w:rPr>
        <w:t>et</w:t>
      </w:r>
      <w:r>
        <w:t xml:space="preserve"> and a $94 million increase from 2013</w:t>
      </w:r>
      <w:r>
        <w:noBreakHyphen/>
        <w:t>14</w:t>
      </w:r>
      <w:r>
        <w:rPr>
          <w:i/>
        </w:rPr>
        <w:t xml:space="preserve">. </w:t>
      </w:r>
      <w:r>
        <w:t>The increase since 2013</w:t>
      </w:r>
      <w:r>
        <w:noBreakHyphen/>
        <w:t>14 includes steady growth in premium revenue for both the Transport Accident Commission (TAC) and Victorian WorkCover Authority (WorkSafe) reflecting a combination of factors, including scheduled increases in premium rates, growth in the number of vehicles (affecting TAC) and statewide remuneration (affecting WorkSafe).</w:t>
      </w:r>
    </w:p>
    <w:p w:rsidR="00336793" w:rsidRDefault="00336793" w:rsidP="00DF0B96">
      <w:r>
        <w:t>The PFC sector also benefited from stronger investment returns due to favourable conditions in global equity markets, with TAC and WorkSafe recording a return of about 11.7 per cent on their investment portfolios.</w:t>
      </w:r>
    </w:p>
    <w:p w:rsidR="00336793" w:rsidRDefault="00336793">
      <w:pPr>
        <w:spacing w:after="0"/>
        <w:rPr>
          <w:rFonts w:ascii="Calibri" w:hAnsi="Calibri"/>
          <w:b/>
          <w:kern w:val="28"/>
          <w:sz w:val="28"/>
          <w:szCs w:val="22"/>
        </w:rPr>
      </w:pPr>
      <w:r>
        <w:br w:type="page"/>
      </w:r>
    </w:p>
    <w:p w:rsidR="00336793" w:rsidRPr="00083E04" w:rsidRDefault="00336793" w:rsidP="00DF0B96">
      <w:pPr>
        <w:pStyle w:val="Heading2"/>
      </w:pPr>
      <w:r w:rsidRPr="00083E04">
        <w:lastRenderedPageBreak/>
        <w:t>Expenses</w:t>
      </w:r>
    </w:p>
    <w:p w:rsidR="00336793" w:rsidRDefault="00336793" w:rsidP="00DF0B96">
      <w:r>
        <w:t>Total State expenses increased by 3.7 per cent during 2014</w:t>
      </w:r>
      <w:r>
        <w:noBreakHyphen/>
        <w:t xml:space="preserve">15 to $61.7 billion, $197 million lower than forecast in the </w:t>
      </w:r>
      <w:r w:rsidRPr="00A325D1">
        <w:rPr>
          <w:i/>
        </w:rPr>
        <w:t>2015</w:t>
      </w:r>
      <w:r>
        <w:rPr>
          <w:i/>
        </w:rPr>
        <w:noBreakHyphen/>
      </w:r>
      <w:r w:rsidRPr="00A325D1">
        <w:rPr>
          <w:i/>
        </w:rPr>
        <w:t xml:space="preserve">16 </w:t>
      </w:r>
      <w:r>
        <w:rPr>
          <w:i/>
        </w:rPr>
        <w:t>B</w:t>
      </w:r>
      <w:r w:rsidRPr="00A325D1">
        <w:rPr>
          <w:i/>
        </w:rPr>
        <w:t>udg</w:t>
      </w:r>
      <w:r>
        <w:rPr>
          <w:i/>
        </w:rPr>
        <w:t>et</w:t>
      </w:r>
      <w:r>
        <w:t xml:space="preserve"> and $2.2 billion higher than in 2013</w:t>
      </w:r>
      <w:r>
        <w:noBreakHyphen/>
        <w:t>14</w:t>
      </w:r>
      <w:r>
        <w:rPr>
          <w:i/>
        </w:rPr>
        <w:t>.</w:t>
      </w:r>
      <w:r>
        <w:t xml:space="preserve"> </w:t>
      </w:r>
    </w:p>
    <w:p w:rsidR="00336793" w:rsidRDefault="00336793" w:rsidP="00DF0B96">
      <w:r>
        <w:t>In the PNFC sector, total expenses increased by 1.7 per cent to $9.6 billion, $45 million lower than the revised budget estimates and $165 million higher than 2013</w:t>
      </w:r>
      <w:r>
        <w:noBreakHyphen/>
        <w:t>14. The increase since 2013</w:t>
      </w:r>
      <w:r>
        <w:noBreakHyphen/>
        <w:t>14 was mainly driven by employee expenses, other operating expenses and depreciation expenses.</w:t>
      </w:r>
    </w:p>
    <w:p w:rsidR="00336793" w:rsidRDefault="00336793" w:rsidP="00DF0B96">
      <w:r>
        <w:t xml:space="preserve">Within the PFC sector, total expenses increased by 2.2 per cent compared to the </w:t>
      </w:r>
      <w:r w:rsidRPr="001D33CA">
        <w:rPr>
          <w:i/>
        </w:rPr>
        <w:t>2015</w:t>
      </w:r>
      <w:r>
        <w:rPr>
          <w:i/>
        </w:rPr>
        <w:noBreakHyphen/>
        <w:t>16 </w:t>
      </w:r>
      <w:r w:rsidRPr="001D33CA">
        <w:rPr>
          <w:i/>
        </w:rPr>
        <w:t>Budget</w:t>
      </w:r>
      <w:r>
        <w:rPr>
          <w:i/>
        </w:rPr>
        <w:t>,</w:t>
      </w:r>
      <w:r>
        <w:t xml:space="preserve"> and was $108.4 million lower than in 2013</w:t>
      </w:r>
      <w:r>
        <w:noBreakHyphen/>
        <w:t>14. The decrease in expenses since 2013</w:t>
      </w:r>
      <w:r>
        <w:noBreakHyphen/>
        <w:t>14 was mainly driven by decreases in employee expenses, interest expenses and other property expenses.</w:t>
      </w:r>
    </w:p>
    <w:p w:rsidR="00336793" w:rsidRPr="00083E04" w:rsidRDefault="00336793" w:rsidP="00DF0B96">
      <w:pPr>
        <w:pStyle w:val="Heading2"/>
      </w:pPr>
      <w:r>
        <w:t>Net result from transactions</w:t>
      </w:r>
    </w:p>
    <w:p w:rsidR="00336793" w:rsidRDefault="00336793" w:rsidP="00DF0B96">
      <w:r w:rsidRPr="00B20578">
        <w:t xml:space="preserve">As shown in </w:t>
      </w:r>
      <w:r>
        <w:t>Chart 3.2</w:t>
      </w:r>
      <w:r w:rsidRPr="00B20578">
        <w:t>, the PNFC sector recorded a $</w:t>
      </w:r>
      <w:r>
        <w:t>1</w:t>
      </w:r>
      <w:r w:rsidRPr="00B20578">
        <w:t>6</w:t>
      </w:r>
      <w:r>
        <w:t>2 million</w:t>
      </w:r>
      <w:r w:rsidRPr="00B20578">
        <w:t xml:space="preserve"> net deficit from transactions</w:t>
      </w:r>
      <w:r>
        <w:t xml:space="preserve"> in 2014</w:t>
      </w:r>
      <w:r>
        <w:noBreakHyphen/>
        <w:t>15</w:t>
      </w:r>
      <w:r w:rsidRPr="00B20578">
        <w:t xml:space="preserve">, improving </w:t>
      </w:r>
      <w:r>
        <w:t xml:space="preserve">slightly </w:t>
      </w:r>
      <w:r w:rsidRPr="00B20578">
        <w:t>on the $18</w:t>
      </w:r>
      <w:r>
        <w:t>4 million</w:t>
      </w:r>
      <w:r w:rsidRPr="00B20578">
        <w:t xml:space="preserve"> d</w:t>
      </w:r>
      <w:r>
        <w:t>e</w:t>
      </w:r>
      <w:r w:rsidRPr="00B20578">
        <w:t xml:space="preserve">ficit </w:t>
      </w:r>
      <w:r>
        <w:t>in</w:t>
      </w:r>
      <w:r w:rsidRPr="00B20578">
        <w:t xml:space="preserve"> 2013</w:t>
      </w:r>
      <w:r>
        <w:noBreakHyphen/>
        <w:t>14. This reflects</w:t>
      </w:r>
      <w:r w:rsidRPr="00B20578">
        <w:t xml:space="preserve"> improved performance </w:t>
      </w:r>
      <w:r>
        <w:t>from the metropolitan water businesses resulting mainly from higher developer revenue.</w:t>
      </w:r>
    </w:p>
    <w:p w:rsidR="00336793" w:rsidRDefault="00336793" w:rsidP="00DF0B96">
      <w:pPr>
        <w:pStyle w:val="Chartheading"/>
      </w:pPr>
      <w:r w:rsidRPr="00D04EF7">
        <w:t>Chart 3.</w:t>
      </w:r>
      <w:r>
        <w:t>2</w:t>
      </w:r>
      <w:r w:rsidRPr="00D04EF7">
        <w:t>:</w:t>
      </w:r>
      <w:r>
        <w:tab/>
        <w:t>Net result from transactions by sector</w:t>
      </w:r>
    </w:p>
    <w:p w:rsidR="00336793" w:rsidRDefault="00CB3C3B" w:rsidP="00DF0B96">
      <w:pPr>
        <w:pStyle w:val="Chartpara"/>
      </w:pPr>
      <w:r>
        <w:pict>
          <v:shape id="_x0000_i1026" type="#_x0000_t75" style="width:479.25pt;height:333pt">
            <v:imagedata r:id="rId23" o:title=""/>
          </v:shape>
        </w:pict>
      </w:r>
    </w:p>
    <w:p w:rsidR="00336793" w:rsidRDefault="00336793" w:rsidP="00DF0B96">
      <w:pPr>
        <w:pStyle w:val="Source"/>
      </w:pPr>
      <w:r w:rsidRPr="00CA4E36">
        <w:t>Source: Department of Treasury and Finance</w:t>
      </w:r>
    </w:p>
    <w:p w:rsidR="00336793" w:rsidRPr="00514585" w:rsidRDefault="00336793" w:rsidP="00DF0B96">
      <w:pPr>
        <w:pStyle w:val="Source"/>
      </w:pPr>
      <w:r>
        <w:t>Note: The State of Victoria will not equal the sum of the general government, PNFC and PFC sectors due to inter</w:t>
      </w:r>
      <w:r>
        <w:noBreakHyphen/>
        <w:t>sector eliminations</w:t>
      </w:r>
    </w:p>
    <w:p w:rsidR="00336793" w:rsidRDefault="00336793" w:rsidP="00DF0B96"/>
    <w:p w:rsidR="00336793" w:rsidRPr="006A0CF7" w:rsidRDefault="00336793" w:rsidP="00DF0B96">
      <w:r>
        <w:t>The PFC sector recorded a net deficit from transactions of $892.4 million in 2014</w:t>
      </w:r>
      <w:r>
        <w:noBreakHyphen/>
        <w:t>15 compared to a $1.1 billion deficit in 2013</w:t>
      </w:r>
      <w:r>
        <w:noBreakHyphen/>
        <w:t xml:space="preserve">14. Care needs to be taken in interpreting this result as it should be noted that it excludes gains in the value of investment portfolios of the insurance agencies which will be used to fund their claims liabilities. These are included in the net result which is discussed in the next section. </w:t>
      </w:r>
    </w:p>
    <w:p w:rsidR="00336793" w:rsidRDefault="00336793" w:rsidP="00DF0B96">
      <w:pPr>
        <w:pStyle w:val="Heading2"/>
      </w:pPr>
      <w:r>
        <w:lastRenderedPageBreak/>
        <w:t xml:space="preserve">Net </w:t>
      </w:r>
      <w:r w:rsidRPr="006A0CF7">
        <w:t>result</w:t>
      </w:r>
    </w:p>
    <w:p w:rsidR="00336793" w:rsidRDefault="00336793" w:rsidP="00DF0B96">
      <w:r>
        <w:t>At the consolidated State level, the net result for 2014</w:t>
      </w:r>
      <w:r>
        <w:noBreakHyphen/>
        <w:t xml:space="preserve">15 was a surplus of $50.7 million. </w:t>
      </w:r>
    </w:p>
    <w:p w:rsidR="00336793" w:rsidRDefault="00336793" w:rsidP="00DF0B96">
      <w:r>
        <w:t>The difference between the net result and the net result from transactions comprises ‘other economic flows’ and includes the impact of valuation movements and actuarial assumptions on the State’s financial assets and liabilities including investments used to fund the State’s insurance and superannuation liabilities. As a result, the net result is considered a more meaningful measure of the expected operating position of the State.</w:t>
      </w:r>
    </w:p>
    <w:p w:rsidR="00336793" w:rsidRDefault="00336793" w:rsidP="00DF0B96">
      <w:r>
        <w:t>Other economic flows contributed $661 million towards the State’s net result; these mainly comprised:</w:t>
      </w:r>
    </w:p>
    <w:p w:rsidR="00336793" w:rsidRDefault="00336793" w:rsidP="00DF0B96">
      <w:pPr>
        <w:pStyle w:val="BulletText"/>
      </w:pPr>
      <w:r>
        <w:t>stronger investment returns for the State’s insurance agencies, attributed to the favourable conditions in global equity markets, with TAC and WorkSafe recording returns of 11.7 per cent on average; and</w:t>
      </w:r>
    </w:p>
    <w:p w:rsidR="00336793" w:rsidRDefault="00336793" w:rsidP="00DF0B96">
      <w:pPr>
        <w:pStyle w:val="BulletText"/>
      </w:pPr>
      <w:r>
        <w:t>offset by net losses arising from valuation changes on the State’s insurance and external borrowing liabilities.</w:t>
      </w:r>
    </w:p>
    <w:p w:rsidR="00336793" w:rsidRPr="00D04EF7" w:rsidRDefault="00336793" w:rsidP="003C06CE">
      <w:pPr>
        <w:pStyle w:val="Heading1"/>
      </w:pPr>
      <w:bookmarkStart w:id="23" w:name="_Toc433984471"/>
      <w:r>
        <w:t>Financial position</w:t>
      </w:r>
      <w:bookmarkEnd w:id="23"/>
    </w:p>
    <w:p w:rsidR="00336793" w:rsidRDefault="00336793" w:rsidP="00DF0B96">
      <w:r>
        <w:t>As shown in table 3.2, the State’s net assets increased during 2014</w:t>
      </w:r>
      <w:r>
        <w:noBreakHyphen/>
        <w:t>15 by $7.8 billion to $140 billion at 30 June 2015. This mainly reflects revaluation gains in non</w:t>
      </w:r>
      <w:r>
        <w:noBreakHyphen/>
        <w:t>financial assets driven by the PNFC sector.</w:t>
      </w:r>
    </w:p>
    <w:p w:rsidR="00336793" w:rsidRDefault="00336793" w:rsidP="00DF0B96">
      <w:pPr>
        <w:pStyle w:val="Tableheading"/>
      </w:pPr>
      <w:r>
        <w:t>Table 3.2:</w:t>
      </w:r>
      <w:r>
        <w:tab/>
        <w:t>S</w:t>
      </w:r>
      <w:r w:rsidRPr="00D04EF7">
        <w:t xml:space="preserve">ummary </w:t>
      </w:r>
      <w:r>
        <w:t>balance sheet</w:t>
      </w:r>
      <w:r w:rsidRPr="00D04EF7">
        <w:t xml:space="preserve"> – State of Victoria</w:t>
      </w:r>
      <w:r w:rsidRPr="00D1015A">
        <w:rPr>
          <w:vertAlign w:val="superscript"/>
        </w:rPr>
        <w:t>(a)</w:t>
      </w:r>
    </w:p>
    <w:p w:rsidR="00336793" w:rsidRPr="00A558B8" w:rsidRDefault="00336793" w:rsidP="00DF0B96">
      <w:pPr>
        <w:pStyle w:val="million"/>
        <w:rPr>
          <w:rFonts w:ascii="Times New Roman" w:hAnsi="Times New Roman"/>
          <w:i w:val="0"/>
          <w:szCs w:val="20"/>
          <w:lang w:eastAsia="en-AU"/>
        </w:rPr>
      </w:pPr>
      <w:r>
        <w:t>($ billion)</w:t>
      </w:r>
    </w:p>
    <w:tbl>
      <w:tblPr>
        <w:tblW w:w="9637" w:type="dxa"/>
        <w:tblInd w:w="28" w:type="dxa"/>
        <w:tblLayout w:type="fixed"/>
        <w:tblCellMar>
          <w:left w:w="45" w:type="dxa"/>
          <w:right w:w="45" w:type="dxa"/>
        </w:tblCellMar>
        <w:tblLook w:val="0000" w:firstRow="0" w:lastRow="0" w:firstColumn="0" w:lastColumn="0" w:noHBand="0" w:noVBand="0"/>
      </w:tblPr>
      <w:tblGrid>
        <w:gridCol w:w="4877"/>
        <w:gridCol w:w="900"/>
        <w:gridCol w:w="990"/>
        <w:gridCol w:w="894"/>
        <w:gridCol w:w="1176"/>
        <w:gridCol w:w="800"/>
      </w:tblGrid>
      <w:tr w:rsidR="00336793" w:rsidRPr="00463E60" w:rsidTr="00DF0B96">
        <w:tc>
          <w:tcPr>
            <w:tcW w:w="4877" w:type="dxa"/>
            <w:tcBorders>
              <w:top w:val="single" w:sz="6" w:space="0" w:color="auto"/>
              <w:left w:val="single" w:sz="6" w:space="0" w:color="auto"/>
              <w:right w:val="nil"/>
            </w:tcBorders>
            <w:shd w:val="clear" w:color="000000" w:fill="000000"/>
          </w:tcPr>
          <w:p w:rsidR="00336793" w:rsidRPr="00463E60" w:rsidRDefault="00336793" w:rsidP="00DF0B96">
            <w:pPr>
              <w:pStyle w:val="Tabletextheading"/>
              <w:jc w:val="left"/>
              <w:rPr>
                <w:rFonts w:eastAsiaTheme="minorEastAsia"/>
                <w:color w:val="FFFFFF"/>
                <w:lang w:eastAsia="en-AU"/>
              </w:rPr>
            </w:pPr>
            <w:r w:rsidRPr="00463E60">
              <w:rPr>
                <w:rFonts w:eastAsiaTheme="minorEastAsia"/>
                <w:color w:val="FFFFFF"/>
                <w:lang w:eastAsia="en-AU"/>
              </w:rPr>
              <w:t xml:space="preserve"> </w:t>
            </w:r>
          </w:p>
        </w:tc>
        <w:tc>
          <w:tcPr>
            <w:tcW w:w="900" w:type="dxa"/>
            <w:tcBorders>
              <w:top w:val="single" w:sz="6" w:space="0" w:color="auto"/>
              <w:left w:val="nil"/>
              <w:right w:val="nil"/>
            </w:tcBorders>
            <w:shd w:val="clear" w:color="000000" w:fill="000000"/>
          </w:tcPr>
          <w:p w:rsidR="00336793" w:rsidRPr="00463E60" w:rsidRDefault="00336793" w:rsidP="00DF0B96">
            <w:pPr>
              <w:pStyle w:val="Tabletextheading"/>
              <w:rPr>
                <w:rFonts w:eastAsiaTheme="minorEastAsia"/>
                <w:color w:val="FFFFFF"/>
                <w:lang w:eastAsia="en-AU"/>
              </w:rPr>
            </w:pPr>
            <w:r w:rsidRPr="00463E60">
              <w:rPr>
                <w:rFonts w:eastAsiaTheme="minorEastAsia"/>
                <w:color w:val="FFFFFF"/>
                <w:lang w:eastAsia="en-AU"/>
              </w:rPr>
              <w:t>2015</w:t>
            </w:r>
          </w:p>
        </w:tc>
        <w:tc>
          <w:tcPr>
            <w:tcW w:w="990" w:type="dxa"/>
            <w:tcBorders>
              <w:top w:val="single" w:sz="6" w:space="0" w:color="auto"/>
              <w:left w:val="nil"/>
              <w:right w:val="nil"/>
            </w:tcBorders>
            <w:shd w:val="clear" w:color="000000" w:fill="000000"/>
          </w:tcPr>
          <w:p w:rsidR="00336793" w:rsidRPr="00463E60" w:rsidRDefault="00336793" w:rsidP="00DF0B96">
            <w:pPr>
              <w:pStyle w:val="Tabletextheading"/>
              <w:rPr>
                <w:rFonts w:eastAsiaTheme="minorEastAsia"/>
                <w:color w:val="FFFFFF"/>
                <w:lang w:eastAsia="en-AU"/>
              </w:rPr>
            </w:pPr>
            <w:r w:rsidRPr="00463E60">
              <w:rPr>
                <w:rFonts w:eastAsiaTheme="minorEastAsia"/>
                <w:color w:val="FFFFFF"/>
                <w:lang w:eastAsia="en-AU"/>
              </w:rPr>
              <w:t>Revised</w:t>
            </w:r>
          </w:p>
        </w:tc>
        <w:tc>
          <w:tcPr>
            <w:tcW w:w="894" w:type="dxa"/>
            <w:tcBorders>
              <w:top w:val="single" w:sz="6" w:space="0" w:color="auto"/>
              <w:left w:val="nil"/>
              <w:right w:val="nil"/>
            </w:tcBorders>
            <w:shd w:val="clear" w:color="000000" w:fill="000000"/>
          </w:tcPr>
          <w:p w:rsidR="00336793" w:rsidRPr="00463E60" w:rsidRDefault="00336793" w:rsidP="00DF0B96">
            <w:pPr>
              <w:pStyle w:val="Tabletextheading"/>
              <w:rPr>
                <w:rFonts w:eastAsiaTheme="minorEastAsia"/>
                <w:color w:val="FFFFFF"/>
                <w:lang w:eastAsia="en-AU"/>
              </w:rPr>
            </w:pPr>
            <w:r w:rsidRPr="00463E60">
              <w:rPr>
                <w:rFonts w:eastAsiaTheme="minorEastAsia"/>
                <w:color w:val="FFFFFF"/>
                <w:lang w:eastAsia="en-AU"/>
              </w:rPr>
              <w:t>2015</w:t>
            </w:r>
          </w:p>
        </w:tc>
        <w:tc>
          <w:tcPr>
            <w:tcW w:w="1176" w:type="dxa"/>
            <w:tcBorders>
              <w:top w:val="single" w:sz="6" w:space="0" w:color="auto"/>
              <w:left w:val="nil"/>
              <w:right w:val="nil"/>
            </w:tcBorders>
            <w:shd w:val="clear" w:color="000000" w:fill="000000"/>
          </w:tcPr>
          <w:p w:rsidR="00336793" w:rsidRPr="00463E60" w:rsidRDefault="00336793" w:rsidP="00DF0B96">
            <w:pPr>
              <w:pStyle w:val="Tabletextheading"/>
              <w:rPr>
                <w:rFonts w:eastAsiaTheme="minorEastAsia"/>
                <w:color w:val="FFFFFF"/>
                <w:lang w:eastAsia="en-AU"/>
              </w:rPr>
            </w:pPr>
            <w:r w:rsidRPr="00463E60">
              <w:rPr>
                <w:rFonts w:eastAsiaTheme="minorEastAsia"/>
                <w:color w:val="FFFFFF"/>
                <w:lang w:eastAsia="en-AU"/>
              </w:rPr>
              <w:t>Actual</w:t>
            </w:r>
          </w:p>
        </w:tc>
        <w:tc>
          <w:tcPr>
            <w:tcW w:w="800" w:type="dxa"/>
            <w:tcBorders>
              <w:top w:val="single" w:sz="6" w:space="0" w:color="auto"/>
              <w:left w:val="nil"/>
              <w:right w:val="single" w:sz="6" w:space="0" w:color="auto"/>
            </w:tcBorders>
            <w:shd w:val="clear" w:color="000000" w:fill="000000"/>
          </w:tcPr>
          <w:p w:rsidR="00336793" w:rsidRPr="00463E60" w:rsidRDefault="00336793" w:rsidP="00DF0B96">
            <w:pPr>
              <w:pStyle w:val="Tabletextheading"/>
              <w:rPr>
                <w:rFonts w:eastAsiaTheme="minorEastAsia"/>
                <w:color w:val="FFFFFF"/>
                <w:lang w:eastAsia="en-AU"/>
              </w:rPr>
            </w:pPr>
            <w:r w:rsidRPr="00463E60">
              <w:rPr>
                <w:rFonts w:eastAsiaTheme="minorEastAsia"/>
                <w:color w:val="FFFFFF"/>
                <w:lang w:eastAsia="en-AU"/>
              </w:rPr>
              <w:t>2014</w:t>
            </w:r>
          </w:p>
        </w:tc>
      </w:tr>
      <w:tr w:rsidR="00336793" w:rsidRPr="00463E60" w:rsidTr="00DF0B96">
        <w:tc>
          <w:tcPr>
            <w:tcW w:w="4877" w:type="dxa"/>
            <w:tcBorders>
              <w:left w:val="single" w:sz="6" w:space="0" w:color="auto"/>
              <w:bottom w:val="single" w:sz="6" w:space="0" w:color="auto"/>
              <w:right w:val="nil"/>
            </w:tcBorders>
            <w:shd w:val="clear" w:color="000000" w:fill="000000"/>
          </w:tcPr>
          <w:p w:rsidR="00336793" w:rsidRPr="00463E60" w:rsidRDefault="00336793" w:rsidP="00DF0B96">
            <w:pPr>
              <w:pStyle w:val="Tabletextheading"/>
              <w:jc w:val="left"/>
              <w:rPr>
                <w:rFonts w:eastAsiaTheme="minorEastAsia"/>
                <w:color w:val="FFFFFF"/>
                <w:lang w:eastAsia="en-AU"/>
              </w:rPr>
            </w:pPr>
            <w:r w:rsidRPr="00463E60">
              <w:rPr>
                <w:rFonts w:eastAsiaTheme="minorEastAsia"/>
                <w:color w:val="FFFFFF"/>
                <w:lang w:eastAsia="en-AU"/>
              </w:rPr>
              <w:t xml:space="preserve"> </w:t>
            </w:r>
          </w:p>
        </w:tc>
        <w:tc>
          <w:tcPr>
            <w:tcW w:w="900" w:type="dxa"/>
            <w:tcBorders>
              <w:left w:val="nil"/>
              <w:bottom w:val="single" w:sz="6" w:space="0" w:color="auto"/>
              <w:right w:val="nil"/>
            </w:tcBorders>
            <w:shd w:val="clear" w:color="000000" w:fill="000000"/>
          </w:tcPr>
          <w:p w:rsidR="00336793" w:rsidRPr="00463E60" w:rsidRDefault="00336793" w:rsidP="00DF0B96">
            <w:pPr>
              <w:pStyle w:val="Tabletextheading"/>
              <w:rPr>
                <w:rFonts w:eastAsiaTheme="minorEastAsia"/>
                <w:color w:val="FFFFFF"/>
                <w:lang w:eastAsia="en-AU"/>
              </w:rPr>
            </w:pPr>
            <w:r w:rsidRPr="00463E60">
              <w:rPr>
                <w:rFonts w:eastAsiaTheme="minorEastAsia"/>
                <w:color w:val="FFFFFF"/>
                <w:lang w:eastAsia="en-AU"/>
              </w:rPr>
              <w:t>actual</w:t>
            </w:r>
          </w:p>
        </w:tc>
        <w:tc>
          <w:tcPr>
            <w:tcW w:w="990" w:type="dxa"/>
            <w:tcBorders>
              <w:left w:val="nil"/>
              <w:bottom w:val="single" w:sz="6" w:space="0" w:color="auto"/>
              <w:right w:val="nil"/>
            </w:tcBorders>
            <w:shd w:val="clear" w:color="000000" w:fill="000000"/>
          </w:tcPr>
          <w:p w:rsidR="00336793" w:rsidRPr="00463E60" w:rsidRDefault="00336793" w:rsidP="00DF0B96">
            <w:pPr>
              <w:pStyle w:val="Tabletextheading"/>
              <w:rPr>
                <w:rFonts w:eastAsiaTheme="minorEastAsia"/>
                <w:color w:val="FFFFFF"/>
                <w:lang w:eastAsia="en-AU"/>
              </w:rPr>
            </w:pPr>
            <w:r w:rsidRPr="00463E60">
              <w:rPr>
                <w:rFonts w:eastAsiaTheme="minorEastAsia"/>
                <w:color w:val="FFFFFF"/>
                <w:lang w:eastAsia="en-AU"/>
              </w:rPr>
              <w:t>variance</w:t>
            </w:r>
          </w:p>
        </w:tc>
        <w:tc>
          <w:tcPr>
            <w:tcW w:w="894" w:type="dxa"/>
            <w:tcBorders>
              <w:left w:val="nil"/>
              <w:bottom w:val="single" w:sz="6" w:space="0" w:color="auto"/>
              <w:right w:val="nil"/>
            </w:tcBorders>
            <w:shd w:val="clear" w:color="000000" w:fill="000000"/>
          </w:tcPr>
          <w:p w:rsidR="00336793" w:rsidRPr="00463E60" w:rsidRDefault="00336793" w:rsidP="00DF0B96">
            <w:pPr>
              <w:pStyle w:val="Tabletextheading"/>
              <w:rPr>
                <w:rFonts w:eastAsiaTheme="minorEastAsia"/>
                <w:color w:val="FFFFFF"/>
                <w:lang w:eastAsia="en-AU"/>
              </w:rPr>
            </w:pPr>
            <w:r w:rsidRPr="00463E60">
              <w:rPr>
                <w:rFonts w:eastAsiaTheme="minorEastAsia"/>
                <w:color w:val="FFFFFF"/>
                <w:lang w:eastAsia="en-AU"/>
              </w:rPr>
              <w:t>revised</w:t>
            </w:r>
          </w:p>
        </w:tc>
        <w:tc>
          <w:tcPr>
            <w:tcW w:w="1176" w:type="dxa"/>
            <w:tcBorders>
              <w:left w:val="nil"/>
              <w:bottom w:val="single" w:sz="6" w:space="0" w:color="auto"/>
              <w:right w:val="nil"/>
            </w:tcBorders>
            <w:shd w:val="clear" w:color="000000" w:fill="000000"/>
          </w:tcPr>
          <w:p w:rsidR="00336793" w:rsidRPr="00463E60" w:rsidRDefault="00336793" w:rsidP="00DF0B96">
            <w:pPr>
              <w:pStyle w:val="Tabletextheading"/>
              <w:rPr>
                <w:rFonts w:eastAsiaTheme="minorEastAsia"/>
                <w:color w:val="FFFFFF"/>
                <w:lang w:eastAsia="en-AU"/>
              </w:rPr>
            </w:pPr>
            <w:r w:rsidRPr="00463E60">
              <w:rPr>
                <w:rFonts w:eastAsiaTheme="minorEastAsia"/>
                <w:color w:val="FFFFFF"/>
                <w:lang w:eastAsia="en-AU"/>
              </w:rPr>
              <w:t>movement</w:t>
            </w:r>
          </w:p>
        </w:tc>
        <w:tc>
          <w:tcPr>
            <w:tcW w:w="800" w:type="dxa"/>
            <w:tcBorders>
              <w:left w:val="nil"/>
              <w:bottom w:val="single" w:sz="6" w:space="0" w:color="auto"/>
              <w:right w:val="single" w:sz="6" w:space="0" w:color="auto"/>
            </w:tcBorders>
            <w:shd w:val="clear" w:color="000000" w:fill="000000"/>
          </w:tcPr>
          <w:p w:rsidR="00336793" w:rsidRPr="00463E60" w:rsidRDefault="00336793" w:rsidP="00DF0B96">
            <w:pPr>
              <w:pStyle w:val="Tabletextheading"/>
              <w:rPr>
                <w:rFonts w:eastAsiaTheme="minorEastAsia"/>
                <w:color w:val="FFFFFF"/>
                <w:lang w:eastAsia="en-AU"/>
              </w:rPr>
            </w:pPr>
            <w:r w:rsidRPr="00463E60">
              <w:rPr>
                <w:rFonts w:eastAsiaTheme="minorEastAsia"/>
                <w:color w:val="FFFFFF"/>
                <w:lang w:eastAsia="en-AU"/>
              </w:rPr>
              <w:t>actual</w:t>
            </w:r>
          </w:p>
        </w:tc>
      </w:tr>
      <w:tr w:rsidR="00336793" w:rsidRPr="00463E60" w:rsidTr="00DF0B96">
        <w:tc>
          <w:tcPr>
            <w:tcW w:w="4877" w:type="dxa"/>
            <w:tcBorders>
              <w:top w:val="single" w:sz="6" w:space="0" w:color="auto"/>
              <w:left w:val="nil"/>
              <w:bottom w:val="nil"/>
              <w:right w:val="nil"/>
            </w:tcBorders>
            <w:shd w:val="solid" w:color="FFFFFF" w:fill="auto"/>
          </w:tcPr>
          <w:p w:rsidR="00336793" w:rsidRPr="00463E60" w:rsidRDefault="00336793" w:rsidP="00DF0B96">
            <w:pPr>
              <w:autoSpaceDE w:val="0"/>
              <w:autoSpaceDN w:val="0"/>
              <w:adjustRightInd w:val="0"/>
              <w:spacing w:after="0"/>
              <w:rPr>
                <w:rFonts w:ascii="Calibri" w:eastAsiaTheme="minorEastAsia" w:hAnsi="Calibri" w:cs="Calibri"/>
                <w:b/>
                <w:bCs/>
                <w:sz w:val="22"/>
                <w:lang w:eastAsia="en-AU"/>
              </w:rPr>
            </w:pPr>
            <w:r w:rsidRPr="00463E60">
              <w:rPr>
                <w:rFonts w:ascii="Calibri" w:eastAsiaTheme="minorEastAsia" w:hAnsi="Calibri" w:cs="Calibri"/>
                <w:b/>
                <w:bCs/>
                <w:sz w:val="22"/>
                <w:lang w:eastAsia="en-AU"/>
              </w:rPr>
              <w:t>Assets</w:t>
            </w:r>
          </w:p>
        </w:tc>
        <w:tc>
          <w:tcPr>
            <w:tcW w:w="900" w:type="dxa"/>
            <w:tcBorders>
              <w:top w:val="single" w:sz="6" w:space="0" w:color="auto"/>
              <w:left w:val="nil"/>
              <w:bottom w:val="nil"/>
              <w:right w:val="nil"/>
            </w:tcBorders>
          </w:tcPr>
          <w:p w:rsidR="00336793" w:rsidRPr="00463E60"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63E60">
              <w:rPr>
                <w:rFonts w:ascii="Calibri" w:eastAsiaTheme="minorEastAsia" w:hAnsi="Calibri" w:cs="Calibri"/>
                <w:sz w:val="22"/>
                <w:szCs w:val="22"/>
                <w:lang w:eastAsia="en-AU"/>
              </w:rPr>
              <w:t xml:space="preserve"> </w:t>
            </w:r>
          </w:p>
        </w:tc>
        <w:tc>
          <w:tcPr>
            <w:tcW w:w="990" w:type="dxa"/>
            <w:tcBorders>
              <w:top w:val="single" w:sz="6" w:space="0" w:color="auto"/>
              <w:left w:val="nil"/>
              <w:bottom w:val="nil"/>
              <w:right w:val="nil"/>
            </w:tcBorders>
          </w:tcPr>
          <w:p w:rsidR="00336793" w:rsidRPr="00463E60"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63E60">
              <w:rPr>
                <w:rFonts w:ascii="Calibri" w:eastAsiaTheme="minorEastAsia" w:hAnsi="Calibri" w:cs="Calibri"/>
                <w:sz w:val="22"/>
                <w:szCs w:val="22"/>
                <w:lang w:eastAsia="en-AU"/>
              </w:rPr>
              <w:t xml:space="preserve"> </w:t>
            </w:r>
          </w:p>
        </w:tc>
        <w:tc>
          <w:tcPr>
            <w:tcW w:w="894" w:type="dxa"/>
            <w:tcBorders>
              <w:top w:val="single" w:sz="6" w:space="0" w:color="auto"/>
              <w:left w:val="nil"/>
              <w:bottom w:val="nil"/>
              <w:right w:val="nil"/>
            </w:tcBorders>
          </w:tcPr>
          <w:p w:rsidR="00336793" w:rsidRPr="00463E60"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63E60">
              <w:rPr>
                <w:rFonts w:ascii="Calibri" w:eastAsiaTheme="minorEastAsia" w:hAnsi="Calibri" w:cs="Calibri"/>
                <w:sz w:val="22"/>
                <w:szCs w:val="22"/>
                <w:lang w:eastAsia="en-AU"/>
              </w:rPr>
              <w:t xml:space="preserve"> </w:t>
            </w:r>
          </w:p>
        </w:tc>
        <w:tc>
          <w:tcPr>
            <w:tcW w:w="1176" w:type="dxa"/>
            <w:tcBorders>
              <w:top w:val="single" w:sz="6" w:space="0" w:color="auto"/>
              <w:left w:val="nil"/>
              <w:bottom w:val="nil"/>
              <w:right w:val="nil"/>
            </w:tcBorders>
          </w:tcPr>
          <w:p w:rsidR="00336793" w:rsidRPr="00463E60"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63E60">
              <w:rPr>
                <w:rFonts w:ascii="Calibri" w:eastAsiaTheme="minorEastAsia" w:hAnsi="Calibri" w:cs="Calibri"/>
                <w:sz w:val="22"/>
                <w:szCs w:val="22"/>
                <w:lang w:eastAsia="en-AU"/>
              </w:rPr>
              <w:t xml:space="preserve"> </w:t>
            </w:r>
          </w:p>
        </w:tc>
        <w:tc>
          <w:tcPr>
            <w:tcW w:w="800" w:type="dxa"/>
            <w:tcBorders>
              <w:top w:val="single" w:sz="6" w:space="0" w:color="auto"/>
              <w:left w:val="nil"/>
              <w:bottom w:val="nil"/>
              <w:right w:val="nil"/>
            </w:tcBorders>
          </w:tcPr>
          <w:p w:rsidR="00336793" w:rsidRPr="00463E60"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63E60">
              <w:rPr>
                <w:rFonts w:ascii="Calibri" w:eastAsiaTheme="minorEastAsia" w:hAnsi="Calibri" w:cs="Calibri"/>
                <w:sz w:val="22"/>
                <w:szCs w:val="22"/>
                <w:lang w:eastAsia="en-AU"/>
              </w:rPr>
              <w:t xml:space="preserve"> </w:t>
            </w:r>
          </w:p>
        </w:tc>
      </w:tr>
      <w:tr w:rsidR="00336793" w:rsidRPr="00463E60" w:rsidTr="00DF0B96">
        <w:tc>
          <w:tcPr>
            <w:tcW w:w="4877"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rPr>
                <w:rFonts w:ascii="Calibri" w:eastAsiaTheme="minorEastAsia" w:hAnsi="Calibri" w:cs="Calibri"/>
                <w:sz w:val="22"/>
                <w:lang w:eastAsia="en-AU"/>
              </w:rPr>
            </w:pPr>
            <w:r w:rsidRPr="00463E60">
              <w:rPr>
                <w:rFonts w:ascii="Calibri" w:eastAsiaTheme="minorEastAsia" w:hAnsi="Calibri" w:cs="Calibri"/>
                <w:sz w:val="22"/>
                <w:lang w:eastAsia="en-AU"/>
              </w:rPr>
              <w:t>Financial assets</w:t>
            </w:r>
          </w:p>
        </w:tc>
        <w:tc>
          <w:tcPr>
            <w:tcW w:w="90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49.8</w:t>
            </w:r>
          </w:p>
        </w:tc>
        <w:tc>
          <w:tcPr>
            <w:tcW w:w="99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1.5</w:t>
            </w:r>
          </w:p>
        </w:tc>
        <w:tc>
          <w:tcPr>
            <w:tcW w:w="894"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48.3</w:t>
            </w:r>
          </w:p>
        </w:tc>
        <w:tc>
          <w:tcPr>
            <w:tcW w:w="1176"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2.0</w:t>
            </w:r>
          </w:p>
        </w:tc>
        <w:tc>
          <w:tcPr>
            <w:tcW w:w="80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47.8</w:t>
            </w:r>
          </w:p>
        </w:tc>
      </w:tr>
      <w:tr w:rsidR="00336793" w:rsidRPr="00463E60" w:rsidTr="00DF0B96">
        <w:tc>
          <w:tcPr>
            <w:tcW w:w="4877"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rPr>
                <w:rFonts w:ascii="Calibri" w:eastAsiaTheme="minorEastAsia" w:hAnsi="Calibri" w:cs="Calibri"/>
                <w:sz w:val="22"/>
                <w:lang w:eastAsia="en-AU"/>
              </w:rPr>
            </w:pPr>
            <w:r w:rsidRPr="00463E60">
              <w:rPr>
                <w:rFonts w:ascii="Calibri" w:eastAsiaTheme="minorEastAsia" w:hAnsi="Calibri" w:cs="Calibri"/>
                <w:sz w:val="22"/>
                <w:lang w:eastAsia="en-AU"/>
              </w:rPr>
              <w:t>Non</w:t>
            </w:r>
            <w:r>
              <w:rPr>
                <w:rFonts w:ascii="Calibri" w:eastAsiaTheme="minorEastAsia" w:hAnsi="Calibri" w:cs="Calibri"/>
                <w:sz w:val="22"/>
                <w:lang w:eastAsia="en-AU"/>
              </w:rPr>
              <w:noBreakHyphen/>
            </w:r>
            <w:r w:rsidRPr="00463E60">
              <w:rPr>
                <w:rFonts w:ascii="Calibri" w:eastAsiaTheme="minorEastAsia" w:hAnsi="Calibri" w:cs="Calibri"/>
                <w:sz w:val="22"/>
                <w:lang w:eastAsia="en-AU"/>
              </w:rPr>
              <w:t>financial assets</w:t>
            </w:r>
          </w:p>
        </w:tc>
        <w:tc>
          <w:tcPr>
            <w:tcW w:w="900"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210.0</w:t>
            </w:r>
          </w:p>
        </w:tc>
        <w:tc>
          <w:tcPr>
            <w:tcW w:w="990"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color w:val="000000"/>
                <w:sz w:val="22"/>
                <w:lang w:eastAsia="en-AU"/>
              </w:rPr>
            </w:pPr>
            <w:r>
              <w:rPr>
                <w:rFonts w:ascii="Calibri" w:eastAsiaTheme="minorEastAsia" w:hAnsi="Calibri" w:cs="Calibri"/>
                <w:sz w:val="22"/>
                <w:lang w:eastAsia="en-AU"/>
              </w:rPr>
              <w:t>(</w:t>
            </w:r>
            <w:r w:rsidRPr="00463E60">
              <w:rPr>
                <w:rFonts w:ascii="Calibri" w:eastAsiaTheme="minorEastAsia" w:hAnsi="Calibri" w:cs="Calibri"/>
                <w:color w:val="000000"/>
                <w:sz w:val="22"/>
                <w:lang w:eastAsia="en-AU"/>
              </w:rPr>
              <w:t>2.2)</w:t>
            </w:r>
          </w:p>
        </w:tc>
        <w:tc>
          <w:tcPr>
            <w:tcW w:w="894"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212.2</w:t>
            </w:r>
          </w:p>
        </w:tc>
        <w:tc>
          <w:tcPr>
            <w:tcW w:w="1176"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8.1</w:t>
            </w:r>
          </w:p>
        </w:tc>
        <w:tc>
          <w:tcPr>
            <w:tcW w:w="800"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201.9</w:t>
            </w:r>
          </w:p>
        </w:tc>
      </w:tr>
      <w:tr w:rsidR="00336793" w:rsidRPr="00463E60" w:rsidTr="00DF0B96">
        <w:tc>
          <w:tcPr>
            <w:tcW w:w="4877"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rPr>
                <w:rFonts w:ascii="Calibri" w:eastAsiaTheme="minorEastAsia" w:hAnsi="Calibri" w:cs="Calibri"/>
                <w:b/>
                <w:bCs/>
                <w:sz w:val="22"/>
                <w:lang w:eastAsia="en-AU"/>
              </w:rPr>
            </w:pPr>
            <w:r w:rsidRPr="00463E60">
              <w:rPr>
                <w:rFonts w:ascii="Calibri" w:eastAsiaTheme="minorEastAsia" w:hAnsi="Calibri" w:cs="Calibri"/>
                <w:b/>
                <w:bCs/>
                <w:sz w:val="22"/>
                <w:lang w:eastAsia="en-AU"/>
              </w:rPr>
              <w:t>Total assets</w:t>
            </w:r>
          </w:p>
        </w:tc>
        <w:tc>
          <w:tcPr>
            <w:tcW w:w="90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259.8</w:t>
            </w:r>
          </w:p>
        </w:tc>
        <w:tc>
          <w:tcPr>
            <w:tcW w:w="99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color w:val="000000"/>
                <w:sz w:val="22"/>
                <w:lang w:eastAsia="en-AU"/>
              </w:rPr>
            </w:pPr>
            <w:r>
              <w:rPr>
                <w:rFonts w:ascii="Calibri" w:eastAsiaTheme="minorEastAsia" w:hAnsi="Calibri" w:cs="Calibri"/>
                <w:b/>
                <w:bCs/>
                <w:sz w:val="22"/>
                <w:lang w:eastAsia="en-AU"/>
              </w:rPr>
              <w:t>(</w:t>
            </w:r>
            <w:r w:rsidRPr="00463E60">
              <w:rPr>
                <w:rFonts w:ascii="Calibri" w:eastAsiaTheme="minorEastAsia" w:hAnsi="Calibri" w:cs="Calibri"/>
                <w:b/>
                <w:bCs/>
                <w:color w:val="000000"/>
                <w:sz w:val="22"/>
                <w:lang w:eastAsia="en-AU"/>
              </w:rPr>
              <w:t>0.7)</w:t>
            </w:r>
          </w:p>
        </w:tc>
        <w:tc>
          <w:tcPr>
            <w:tcW w:w="894"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260.5</w:t>
            </w:r>
          </w:p>
        </w:tc>
        <w:tc>
          <w:tcPr>
            <w:tcW w:w="1176"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10.1</w:t>
            </w:r>
          </w:p>
        </w:tc>
        <w:tc>
          <w:tcPr>
            <w:tcW w:w="80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249.7</w:t>
            </w:r>
          </w:p>
        </w:tc>
      </w:tr>
      <w:tr w:rsidR="00336793" w:rsidRPr="00463E60" w:rsidTr="00DF0B96">
        <w:tc>
          <w:tcPr>
            <w:tcW w:w="4877"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rPr>
                <w:rFonts w:ascii="Calibri" w:eastAsiaTheme="minorEastAsia" w:hAnsi="Calibri" w:cs="Calibri"/>
                <w:b/>
                <w:bCs/>
                <w:sz w:val="22"/>
                <w:lang w:eastAsia="en-AU"/>
              </w:rPr>
            </w:pPr>
            <w:r w:rsidRPr="00463E60">
              <w:rPr>
                <w:rFonts w:ascii="Calibri" w:eastAsiaTheme="minorEastAsia" w:hAnsi="Calibri" w:cs="Calibri"/>
                <w:b/>
                <w:bCs/>
                <w:sz w:val="22"/>
                <w:lang w:eastAsia="en-AU"/>
              </w:rPr>
              <w:t>Liabilities</w:t>
            </w:r>
          </w:p>
        </w:tc>
        <w:tc>
          <w:tcPr>
            <w:tcW w:w="900" w:type="dxa"/>
            <w:tcBorders>
              <w:top w:val="nil"/>
              <w:left w:val="nil"/>
              <w:bottom w:val="nil"/>
              <w:right w:val="nil"/>
            </w:tcBorders>
          </w:tcPr>
          <w:p w:rsidR="00336793" w:rsidRPr="00463E60"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63E60">
              <w:rPr>
                <w:rFonts w:ascii="Calibri" w:eastAsiaTheme="minorEastAsia" w:hAnsi="Calibri" w:cs="Calibri"/>
                <w:sz w:val="22"/>
                <w:szCs w:val="22"/>
                <w:lang w:eastAsia="en-AU"/>
              </w:rPr>
              <w:t xml:space="preserve"> </w:t>
            </w:r>
          </w:p>
        </w:tc>
        <w:tc>
          <w:tcPr>
            <w:tcW w:w="990" w:type="dxa"/>
            <w:tcBorders>
              <w:top w:val="nil"/>
              <w:left w:val="nil"/>
              <w:bottom w:val="nil"/>
              <w:right w:val="nil"/>
            </w:tcBorders>
          </w:tcPr>
          <w:p w:rsidR="00336793" w:rsidRPr="00463E60"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63E60">
              <w:rPr>
                <w:rFonts w:ascii="Calibri" w:eastAsiaTheme="minorEastAsia" w:hAnsi="Calibri" w:cs="Calibri"/>
                <w:sz w:val="22"/>
                <w:szCs w:val="22"/>
                <w:lang w:eastAsia="en-AU"/>
              </w:rPr>
              <w:t xml:space="preserve"> </w:t>
            </w:r>
          </w:p>
        </w:tc>
        <w:tc>
          <w:tcPr>
            <w:tcW w:w="894" w:type="dxa"/>
            <w:tcBorders>
              <w:top w:val="nil"/>
              <w:left w:val="nil"/>
              <w:bottom w:val="nil"/>
              <w:right w:val="nil"/>
            </w:tcBorders>
          </w:tcPr>
          <w:p w:rsidR="00336793" w:rsidRPr="00463E60"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63E60">
              <w:rPr>
                <w:rFonts w:ascii="Calibri" w:eastAsiaTheme="minorEastAsia" w:hAnsi="Calibri" w:cs="Calibri"/>
                <w:sz w:val="22"/>
                <w:szCs w:val="22"/>
                <w:lang w:eastAsia="en-AU"/>
              </w:rPr>
              <w:t xml:space="preserve"> </w:t>
            </w:r>
          </w:p>
        </w:tc>
        <w:tc>
          <w:tcPr>
            <w:tcW w:w="1176" w:type="dxa"/>
            <w:tcBorders>
              <w:top w:val="nil"/>
              <w:left w:val="nil"/>
              <w:bottom w:val="nil"/>
              <w:right w:val="nil"/>
            </w:tcBorders>
          </w:tcPr>
          <w:p w:rsidR="00336793" w:rsidRPr="00463E60"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63E60">
              <w:rPr>
                <w:rFonts w:ascii="Calibri" w:eastAsiaTheme="minorEastAsia" w:hAnsi="Calibri" w:cs="Calibri"/>
                <w:sz w:val="22"/>
                <w:szCs w:val="22"/>
                <w:lang w:eastAsia="en-AU"/>
              </w:rPr>
              <w:t xml:space="preserve"> </w:t>
            </w:r>
          </w:p>
        </w:tc>
        <w:tc>
          <w:tcPr>
            <w:tcW w:w="800" w:type="dxa"/>
            <w:tcBorders>
              <w:top w:val="nil"/>
              <w:left w:val="nil"/>
              <w:bottom w:val="nil"/>
              <w:right w:val="nil"/>
            </w:tcBorders>
          </w:tcPr>
          <w:p w:rsidR="00336793" w:rsidRPr="00463E60"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63E60">
              <w:rPr>
                <w:rFonts w:ascii="Calibri" w:eastAsiaTheme="minorEastAsia" w:hAnsi="Calibri" w:cs="Calibri"/>
                <w:sz w:val="22"/>
                <w:szCs w:val="22"/>
                <w:lang w:eastAsia="en-AU"/>
              </w:rPr>
              <w:t xml:space="preserve"> </w:t>
            </w:r>
          </w:p>
        </w:tc>
      </w:tr>
      <w:tr w:rsidR="00336793" w:rsidRPr="00463E60" w:rsidTr="00DF0B96">
        <w:tc>
          <w:tcPr>
            <w:tcW w:w="4877"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rPr>
                <w:rFonts w:ascii="Calibri" w:eastAsiaTheme="minorEastAsia" w:hAnsi="Calibri" w:cs="Calibri"/>
                <w:sz w:val="22"/>
                <w:lang w:eastAsia="en-AU"/>
              </w:rPr>
            </w:pPr>
            <w:r w:rsidRPr="00463E60">
              <w:rPr>
                <w:rFonts w:ascii="Calibri" w:eastAsiaTheme="minorEastAsia" w:hAnsi="Calibri" w:cs="Calibri"/>
                <w:sz w:val="22"/>
                <w:lang w:eastAsia="en-AU"/>
              </w:rPr>
              <w:t>Superannuation</w:t>
            </w:r>
          </w:p>
        </w:tc>
        <w:tc>
          <w:tcPr>
            <w:tcW w:w="90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26.0</w:t>
            </w:r>
          </w:p>
        </w:tc>
        <w:tc>
          <w:tcPr>
            <w:tcW w:w="99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color w:val="000000"/>
                <w:sz w:val="22"/>
                <w:lang w:eastAsia="en-AU"/>
              </w:rPr>
            </w:pPr>
            <w:r>
              <w:rPr>
                <w:rFonts w:ascii="Calibri" w:eastAsiaTheme="minorEastAsia" w:hAnsi="Calibri" w:cs="Calibri"/>
                <w:sz w:val="22"/>
                <w:lang w:eastAsia="en-AU"/>
              </w:rPr>
              <w:t>(</w:t>
            </w:r>
            <w:r w:rsidRPr="00463E60">
              <w:rPr>
                <w:rFonts w:ascii="Calibri" w:eastAsiaTheme="minorEastAsia" w:hAnsi="Calibri" w:cs="Calibri"/>
                <w:color w:val="000000"/>
                <w:sz w:val="22"/>
                <w:lang w:eastAsia="en-AU"/>
              </w:rPr>
              <w:t>4.8)</w:t>
            </w:r>
          </w:p>
        </w:tc>
        <w:tc>
          <w:tcPr>
            <w:tcW w:w="894"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30.8</w:t>
            </w:r>
          </w:p>
        </w:tc>
        <w:tc>
          <w:tcPr>
            <w:tcW w:w="1176"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color w:val="000000"/>
                <w:sz w:val="22"/>
                <w:lang w:eastAsia="en-AU"/>
              </w:rPr>
            </w:pPr>
            <w:r>
              <w:rPr>
                <w:rFonts w:ascii="Calibri" w:eastAsiaTheme="minorEastAsia" w:hAnsi="Calibri" w:cs="Calibri"/>
                <w:sz w:val="22"/>
                <w:lang w:eastAsia="en-AU"/>
              </w:rPr>
              <w:t>(</w:t>
            </w:r>
            <w:r w:rsidRPr="00463E60">
              <w:rPr>
                <w:rFonts w:ascii="Calibri" w:eastAsiaTheme="minorEastAsia" w:hAnsi="Calibri" w:cs="Calibri"/>
                <w:color w:val="000000"/>
                <w:sz w:val="22"/>
                <w:lang w:eastAsia="en-AU"/>
              </w:rPr>
              <w:t>0.3)</w:t>
            </w:r>
          </w:p>
        </w:tc>
        <w:tc>
          <w:tcPr>
            <w:tcW w:w="80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26.3</w:t>
            </w:r>
          </w:p>
        </w:tc>
      </w:tr>
      <w:tr w:rsidR="00336793" w:rsidRPr="00463E60" w:rsidTr="00DF0B96">
        <w:tc>
          <w:tcPr>
            <w:tcW w:w="4877"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rPr>
                <w:rFonts w:ascii="Calibri" w:eastAsiaTheme="minorEastAsia" w:hAnsi="Calibri" w:cs="Calibri"/>
                <w:sz w:val="22"/>
                <w:lang w:eastAsia="en-AU"/>
              </w:rPr>
            </w:pPr>
            <w:r w:rsidRPr="00463E60">
              <w:rPr>
                <w:rFonts w:ascii="Calibri" w:eastAsiaTheme="minorEastAsia" w:hAnsi="Calibri" w:cs="Calibri"/>
                <w:sz w:val="22"/>
                <w:lang w:eastAsia="en-AU"/>
              </w:rPr>
              <w:t>Borrowings</w:t>
            </w:r>
          </w:p>
        </w:tc>
        <w:tc>
          <w:tcPr>
            <w:tcW w:w="90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51.7</w:t>
            </w:r>
          </w:p>
        </w:tc>
        <w:tc>
          <w:tcPr>
            <w:tcW w:w="99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color w:val="000000"/>
                <w:sz w:val="22"/>
                <w:lang w:eastAsia="en-AU"/>
              </w:rPr>
            </w:pPr>
            <w:r>
              <w:rPr>
                <w:rFonts w:ascii="Calibri" w:eastAsiaTheme="minorEastAsia" w:hAnsi="Calibri" w:cs="Calibri"/>
                <w:sz w:val="22"/>
                <w:lang w:eastAsia="en-AU"/>
              </w:rPr>
              <w:t>..</w:t>
            </w:r>
          </w:p>
        </w:tc>
        <w:tc>
          <w:tcPr>
            <w:tcW w:w="894"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51.7</w:t>
            </w:r>
          </w:p>
        </w:tc>
        <w:tc>
          <w:tcPr>
            <w:tcW w:w="1176"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0.3</w:t>
            </w:r>
          </w:p>
        </w:tc>
        <w:tc>
          <w:tcPr>
            <w:tcW w:w="800" w:type="dxa"/>
            <w:tcBorders>
              <w:top w:val="nil"/>
              <w:left w:val="nil"/>
              <w:bottom w:val="nil"/>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51.3</w:t>
            </w:r>
          </w:p>
        </w:tc>
      </w:tr>
      <w:tr w:rsidR="00336793" w:rsidRPr="00463E60" w:rsidTr="00DF0B96">
        <w:tc>
          <w:tcPr>
            <w:tcW w:w="4877"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rPr>
                <w:rFonts w:ascii="Calibri" w:eastAsiaTheme="minorEastAsia" w:hAnsi="Calibri" w:cs="Calibri"/>
                <w:sz w:val="22"/>
                <w:lang w:eastAsia="en-AU"/>
              </w:rPr>
            </w:pPr>
            <w:r w:rsidRPr="00463E60">
              <w:rPr>
                <w:rFonts w:ascii="Calibri" w:eastAsiaTheme="minorEastAsia" w:hAnsi="Calibri" w:cs="Calibri"/>
                <w:sz w:val="22"/>
                <w:lang w:eastAsia="en-AU"/>
              </w:rPr>
              <w:t>Other liabilities</w:t>
            </w:r>
          </w:p>
        </w:tc>
        <w:tc>
          <w:tcPr>
            <w:tcW w:w="900"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42.2</w:t>
            </w:r>
          </w:p>
        </w:tc>
        <w:tc>
          <w:tcPr>
            <w:tcW w:w="990"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color w:val="000000"/>
                <w:sz w:val="22"/>
                <w:lang w:eastAsia="en-AU"/>
              </w:rPr>
            </w:pPr>
            <w:r>
              <w:rPr>
                <w:rFonts w:ascii="Calibri" w:eastAsiaTheme="minorEastAsia" w:hAnsi="Calibri" w:cs="Calibri"/>
                <w:sz w:val="22"/>
                <w:lang w:eastAsia="en-AU"/>
              </w:rPr>
              <w:t>(</w:t>
            </w:r>
            <w:r w:rsidRPr="00463E60">
              <w:rPr>
                <w:rFonts w:ascii="Calibri" w:eastAsiaTheme="minorEastAsia" w:hAnsi="Calibri" w:cs="Calibri"/>
                <w:color w:val="000000"/>
                <w:sz w:val="22"/>
                <w:lang w:eastAsia="en-AU"/>
              </w:rPr>
              <w:t>1.1)</w:t>
            </w:r>
          </w:p>
        </w:tc>
        <w:tc>
          <w:tcPr>
            <w:tcW w:w="894"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43.3</w:t>
            </w:r>
          </w:p>
        </w:tc>
        <w:tc>
          <w:tcPr>
            <w:tcW w:w="1176"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2.2</w:t>
            </w:r>
          </w:p>
        </w:tc>
        <w:tc>
          <w:tcPr>
            <w:tcW w:w="800"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sz w:val="22"/>
                <w:lang w:eastAsia="en-AU"/>
              </w:rPr>
            </w:pPr>
            <w:r w:rsidRPr="00463E60">
              <w:rPr>
                <w:rFonts w:ascii="Calibri" w:eastAsiaTheme="minorEastAsia" w:hAnsi="Calibri" w:cs="Calibri"/>
                <w:sz w:val="22"/>
                <w:lang w:eastAsia="en-AU"/>
              </w:rPr>
              <w:t xml:space="preserve"> 40.0</w:t>
            </w:r>
          </w:p>
        </w:tc>
      </w:tr>
      <w:tr w:rsidR="00336793" w:rsidRPr="00463E60" w:rsidTr="00DF0B96">
        <w:tc>
          <w:tcPr>
            <w:tcW w:w="4877"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rPr>
                <w:rFonts w:ascii="Calibri" w:eastAsiaTheme="minorEastAsia" w:hAnsi="Calibri" w:cs="Calibri"/>
                <w:b/>
                <w:bCs/>
                <w:sz w:val="22"/>
                <w:lang w:eastAsia="en-AU"/>
              </w:rPr>
            </w:pPr>
            <w:r w:rsidRPr="00463E60">
              <w:rPr>
                <w:rFonts w:ascii="Calibri" w:eastAsiaTheme="minorEastAsia" w:hAnsi="Calibri" w:cs="Calibri"/>
                <w:b/>
                <w:bCs/>
                <w:sz w:val="22"/>
                <w:lang w:eastAsia="en-AU"/>
              </w:rPr>
              <w:t>Total liabilities</w:t>
            </w:r>
          </w:p>
        </w:tc>
        <w:tc>
          <w:tcPr>
            <w:tcW w:w="900"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119.9</w:t>
            </w:r>
          </w:p>
        </w:tc>
        <w:tc>
          <w:tcPr>
            <w:tcW w:w="990"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color w:val="000000"/>
                <w:sz w:val="22"/>
                <w:lang w:eastAsia="en-AU"/>
              </w:rPr>
            </w:pPr>
            <w:r>
              <w:rPr>
                <w:rFonts w:ascii="Calibri" w:eastAsiaTheme="minorEastAsia" w:hAnsi="Calibri" w:cs="Calibri"/>
                <w:b/>
                <w:bCs/>
                <w:sz w:val="22"/>
                <w:lang w:eastAsia="en-AU"/>
              </w:rPr>
              <w:t>(</w:t>
            </w:r>
            <w:r w:rsidRPr="00463E60">
              <w:rPr>
                <w:rFonts w:ascii="Calibri" w:eastAsiaTheme="minorEastAsia" w:hAnsi="Calibri" w:cs="Calibri"/>
                <w:b/>
                <w:bCs/>
                <w:color w:val="000000"/>
                <w:sz w:val="22"/>
                <w:lang w:eastAsia="en-AU"/>
              </w:rPr>
              <w:t>5.9)</w:t>
            </w:r>
          </w:p>
        </w:tc>
        <w:tc>
          <w:tcPr>
            <w:tcW w:w="894"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125.8</w:t>
            </w:r>
          </w:p>
        </w:tc>
        <w:tc>
          <w:tcPr>
            <w:tcW w:w="1176"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2.3</w:t>
            </w:r>
          </w:p>
        </w:tc>
        <w:tc>
          <w:tcPr>
            <w:tcW w:w="800" w:type="dxa"/>
            <w:tcBorders>
              <w:top w:val="nil"/>
              <w:left w:val="nil"/>
              <w:bottom w:val="single" w:sz="6" w:space="0" w:color="auto"/>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117.6</w:t>
            </w:r>
          </w:p>
        </w:tc>
      </w:tr>
      <w:tr w:rsidR="00336793" w:rsidRPr="00463E60" w:rsidTr="00DF0B96">
        <w:tc>
          <w:tcPr>
            <w:tcW w:w="4877" w:type="dxa"/>
            <w:tcBorders>
              <w:top w:val="single" w:sz="6" w:space="0" w:color="auto"/>
              <w:left w:val="nil"/>
              <w:bottom w:val="single" w:sz="12" w:space="0" w:color="000000"/>
              <w:right w:val="nil"/>
            </w:tcBorders>
            <w:shd w:val="solid" w:color="FFFFFF" w:fill="auto"/>
          </w:tcPr>
          <w:p w:rsidR="00336793" w:rsidRPr="00463E60" w:rsidRDefault="00336793" w:rsidP="00DF0B96">
            <w:pPr>
              <w:autoSpaceDE w:val="0"/>
              <w:autoSpaceDN w:val="0"/>
              <w:adjustRightInd w:val="0"/>
              <w:spacing w:after="0"/>
              <w:rPr>
                <w:rFonts w:ascii="Calibri" w:eastAsiaTheme="minorEastAsia" w:hAnsi="Calibri" w:cs="Calibri"/>
                <w:b/>
                <w:bCs/>
                <w:sz w:val="22"/>
                <w:lang w:eastAsia="en-AU"/>
              </w:rPr>
            </w:pPr>
            <w:r w:rsidRPr="00463E60">
              <w:rPr>
                <w:rFonts w:ascii="Calibri" w:eastAsiaTheme="minorEastAsia" w:hAnsi="Calibri" w:cs="Calibri"/>
                <w:b/>
                <w:bCs/>
                <w:sz w:val="22"/>
                <w:lang w:eastAsia="en-AU"/>
              </w:rPr>
              <w:t>Net assets</w:t>
            </w:r>
          </w:p>
        </w:tc>
        <w:tc>
          <w:tcPr>
            <w:tcW w:w="900" w:type="dxa"/>
            <w:tcBorders>
              <w:top w:val="single" w:sz="6" w:space="0" w:color="auto"/>
              <w:left w:val="nil"/>
              <w:bottom w:val="single" w:sz="12" w:space="0" w:color="000000"/>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139.9</w:t>
            </w:r>
          </w:p>
        </w:tc>
        <w:tc>
          <w:tcPr>
            <w:tcW w:w="990" w:type="dxa"/>
            <w:tcBorders>
              <w:top w:val="single" w:sz="6" w:space="0" w:color="auto"/>
              <w:left w:val="nil"/>
              <w:bottom w:val="single" w:sz="12" w:space="0" w:color="000000"/>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5.2</w:t>
            </w:r>
          </w:p>
        </w:tc>
        <w:tc>
          <w:tcPr>
            <w:tcW w:w="894" w:type="dxa"/>
            <w:tcBorders>
              <w:top w:val="single" w:sz="6" w:space="0" w:color="auto"/>
              <w:left w:val="nil"/>
              <w:bottom w:val="single" w:sz="12" w:space="0" w:color="000000"/>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134.7</w:t>
            </w:r>
          </w:p>
        </w:tc>
        <w:tc>
          <w:tcPr>
            <w:tcW w:w="1176" w:type="dxa"/>
            <w:tcBorders>
              <w:top w:val="single" w:sz="6" w:space="0" w:color="auto"/>
              <w:left w:val="nil"/>
              <w:bottom w:val="single" w:sz="12" w:space="0" w:color="000000"/>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7.8</w:t>
            </w:r>
          </w:p>
        </w:tc>
        <w:tc>
          <w:tcPr>
            <w:tcW w:w="800" w:type="dxa"/>
            <w:tcBorders>
              <w:top w:val="single" w:sz="6" w:space="0" w:color="auto"/>
              <w:left w:val="nil"/>
              <w:bottom w:val="single" w:sz="12" w:space="0" w:color="000000"/>
              <w:right w:val="nil"/>
            </w:tcBorders>
            <w:shd w:val="solid" w:color="FFFFFF" w:fill="auto"/>
          </w:tcPr>
          <w:p w:rsidR="00336793" w:rsidRPr="00463E60" w:rsidRDefault="00336793" w:rsidP="00DF0B96">
            <w:pPr>
              <w:autoSpaceDE w:val="0"/>
              <w:autoSpaceDN w:val="0"/>
              <w:adjustRightInd w:val="0"/>
              <w:spacing w:after="0"/>
              <w:jc w:val="right"/>
              <w:rPr>
                <w:rFonts w:ascii="Calibri" w:eastAsiaTheme="minorEastAsia" w:hAnsi="Calibri" w:cs="Calibri"/>
                <w:b/>
                <w:bCs/>
                <w:sz w:val="22"/>
                <w:lang w:eastAsia="en-AU"/>
              </w:rPr>
            </w:pPr>
            <w:r w:rsidRPr="00463E60">
              <w:rPr>
                <w:rFonts w:ascii="Calibri" w:eastAsiaTheme="minorEastAsia" w:hAnsi="Calibri" w:cs="Calibri"/>
                <w:b/>
                <w:bCs/>
                <w:sz w:val="22"/>
                <w:lang w:eastAsia="en-AU"/>
              </w:rPr>
              <w:t xml:space="preserve"> 132.1</w:t>
            </w:r>
          </w:p>
        </w:tc>
      </w:tr>
    </w:tbl>
    <w:p w:rsidR="00336793" w:rsidRDefault="00336793" w:rsidP="00DF0B96">
      <w:pPr>
        <w:pStyle w:val="Source"/>
      </w:pPr>
      <w:r w:rsidRPr="00CA4E36">
        <w:t>Source: Department of Treasury and Finance</w:t>
      </w:r>
    </w:p>
    <w:p w:rsidR="00336793" w:rsidRDefault="00336793" w:rsidP="00DF0B96">
      <w:pPr>
        <w:pStyle w:val="Notes"/>
      </w:pPr>
      <w:r>
        <w:t xml:space="preserve">Note: </w:t>
      </w:r>
    </w:p>
    <w:p w:rsidR="00336793" w:rsidRDefault="00336793" w:rsidP="00DF0B96">
      <w:pPr>
        <w:pStyle w:val="Notes"/>
      </w:pPr>
      <w:r>
        <w:t>(a)</w:t>
      </w:r>
      <w:r>
        <w:tab/>
        <w:t>June 2014 comparative figures have been restated. See Chapter 4, Note 37.</w:t>
      </w:r>
    </w:p>
    <w:p w:rsidR="00336793" w:rsidRDefault="00336793" w:rsidP="00DF0B96">
      <w:pPr>
        <w:pStyle w:val="Notes"/>
      </w:pPr>
    </w:p>
    <w:p w:rsidR="00336793" w:rsidRPr="00D840EA" w:rsidRDefault="00336793" w:rsidP="00DF0B96"/>
    <w:p w:rsidR="00336793" w:rsidRDefault="00336793" w:rsidP="00DF0B96">
      <w:pPr>
        <w:pStyle w:val="Chartheading"/>
      </w:pPr>
      <w:r w:rsidRPr="00D04EF7">
        <w:lastRenderedPageBreak/>
        <w:t>Chart 3.</w:t>
      </w:r>
      <w:r>
        <w:t>3:</w:t>
      </w:r>
      <w:r>
        <w:tab/>
        <w:t>Net assets by sector as at 30 June</w:t>
      </w:r>
    </w:p>
    <w:p w:rsidR="00336793" w:rsidRDefault="00CB3C3B" w:rsidP="00DF0B96">
      <w:pPr>
        <w:pStyle w:val="Chartpara"/>
      </w:pPr>
      <w:r>
        <w:pict>
          <v:shape id="_x0000_i1027" type="#_x0000_t75" style="width:476.25pt;height:310.5pt">
            <v:imagedata r:id="rId24" o:title=""/>
          </v:shape>
        </w:pict>
      </w:r>
    </w:p>
    <w:p w:rsidR="00336793" w:rsidRDefault="00336793" w:rsidP="00DF0B96">
      <w:pPr>
        <w:pStyle w:val="Source"/>
      </w:pPr>
      <w:r w:rsidRPr="00CA4E36">
        <w:t>Source: Department of Treasury and Finance</w:t>
      </w:r>
    </w:p>
    <w:p w:rsidR="00336793" w:rsidRDefault="00336793" w:rsidP="00DF0B96">
      <w:pPr>
        <w:pStyle w:val="Source"/>
        <w:spacing w:after="0"/>
      </w:pPr>
      <w:r>
        <w:t>Notes:</w:t>
      </w:r>
    </w:p>
    <w:p w:rsidR="00336793" w:rsidRDefault="00336793" w:rsidP="00DF0B96">
      <w:pPr>
        <w:pStyle w:val="Notes"/>
      </w:pPr>
      <w:r>
        <w:t>(a)</w:t>
      </w:r>
      <w:r>
        <w:tab/>
        <w:t>General government net assets excludes investments in other sector entities</w:t>
      </w:r>
    </w:p>
    <w:p w:rsidR="00336793" w:rsidRDefault="00336793" w:rsidP="00DF0B96">
      <w:pPr>
        <w:pStyle w:val="Notes"/>
      </w:pPr>
      <w:r>
        <w:t>(b)</w:t>
      </w:r>
      <w:r>
        <w:tab/>
        <w:t>The State of Victoria will not equal the sum of the general government, PNFC and PFC sectors due to inter</w:t>
      </w:r>
      <w:r>
        <w:noBreakHyphen/>
        <w:t>sector eliminations</w:t>
      </w:r>
    </w:p>
    <w:p w:rsidR="00336793" w:rsidRPr="00463E60" w:rsidRDefault="00336793" w:rsidP="00DF0B96">
      <w:pPr>
        <w:pStyle w:val="Notes"/>
      </w:pPr>
    </w:p>
    <w:p w:rsidR="00336793" w:rsidRPr="00C20266" w:rsidRDefault="00336793" w:rsidP="00DF0B96">
      <w:pPr>
        <w:pStyle w:val="Chartpara"/>
      </w:pPr>
    </w:p>
    <w:p w:rsidR="00336793" w:rsidRDefault="00336793" w:rsidP="00DF0B96">
      <w:r>
        <w:t>As shown in Chart 3.3, net assets have increased by $7.8 billion during 2014</w:t>
      </w:r>
      <w:r>
        <w:noBreakHyphen/>
        <w:t>15 driven largely by the general government sector and the PNFC sector. The general government sector is discussed in Chapter 2.</w:t>
      </w:r>
    </w:p>
    <w:p w:rsidR="00336793" w:rsidRDefault="00336793" w:rsidP="00DF0B96">
      <w:r>
        <w:t>Non</w:t>
      </w:r>
      <w:r>
        <w:noBreakHyphen/>
        <w:t>financial assets increased by $8.1 billion and included a $5.9 billion increase in the PNFC sector, attributed to Victoria’s large infrastructure program, and an upwards revaluation in fixed assets particularly in the transport and port sectors.</w:t>
      </w:r>
    </w:p>
    <w:p w:rsidR="00336793" w:rsidRDefault="00336793" w:rsidP="00DF0B96">
      <w:r w:rsidRPr="00657ECB">
        <w:t xml:space="preserve">The net asset position of the PFC sector declined </w:t>
      </w:r>
      <w:r>
        <w:t>by $482 million to a negative $794 million at 30 June 2015. This is primarily driven by the impact of lower interest rates on the valuation of financial liabilities of the Treasury Corporation of Victoria (TCV) and the State’s insurance agencies.</w:t>
      </w:r>
    </w:p>
    <w:p w:rsidR="00336793" w:rsidRDefault="00336793" w:rsidP="00DF0B96">
      <w:r>
        <w:t>The valuation impact on TCV’s liabilities arises because the majority of TCV’s assets are loans to Government clients which are measured at book value rather than market value, whereas its liabilities are reported at market value. This creates a valuation difference between TCV’s assets and liabilities when reported in the PFC sector. This difference is ultimately eliminated when TCV’s loans to Government clients are eliminated on consolidation of the whole of State accounts. This is not reflected in TCV’s accounts where both assets and liabilities are reported at market value.</w:t>
      </w:r>
    </w:p>
    <w:p w:rsidR="00336793" w:rsidRDefault="00336793" w:rsidP="00DF0B96">
      <w:pPr>
        <w:rPr>
          <w:rFonts w:ascii="Calibri" w:hAnsi="Calibri"/>
          <w:sz w:val="28"/>
          <w:szCs w:val="22"/>
        </w:rPr>
      </w:pPr>
      <w:r>
        <w:br w:type="page"/>
      </w:r>
    </w:p>
    <w:p w:rsidR="00336793" w:rsidRPr="00D04EF7" w:rsidRDefault="00336793" w:rsidP="003C06CE">
      <w:pPr>
        <w:pStyle w:val="Heading1"/>
      </w:pPr>
      <w:bookmarkStart w:id="24" w:name="_Toc433984472"/>
      <w:r w:rsidRPr="003C06CE">
        <w:lastRenderedPageBreak/>
        <w:t>Cash</w:t>
      </w:r>
      <w:r>
        <w:t xml:space="preserve"> flows</w:t>
      </w:r>
      <w:bookmarkEnd w:id="24"/>
    </w:p>
    <w:p w:rsidR="00336793" w:rsidRDefault="00336793" w:rsidP="00DF0B96">
      <w:r>
        <w:t>After excluding non</w:t>
      </w:r>
      <w:r>
        <w:noBreakHyphen/>
        <w:t>cash items such as asset revaluations and depreciation, the change in operating receipts and payments for the State are broadly in line with the same factors that underpinned the income and expense movements discussed earlier in this chapter.</w:t>
      </w:r>
    </w:p>
    <w:p w:rsidR="00336793" w:rsidRDefault="00336793" w:rsidP="00DF0B96">
      <w:pPr>
        <w:pStyle w:val="Heading2"/>
      </w:pPr>
      <w:r>
        <w:t>Infrastructure investment</w:t>
      </w:r>
    </w:p>
    <w:p w:rsidR="00336793" w:rsidRDefault="00336793" w:rsidP="00DF0B96">
      <w:r>
        <w:t xml:space="preserve">Total infrastructure investment for the State comprised of </w:t>
      </w:r>
      <w:r w:rsidRPr="00617749">
        <w:t>$</w:t>
      </w:r>
      <w:r>
        <w:t xml:space="preserve">4.9 billion invested by the general government sector (discussed in Chapter 2) and $2 billion invested by the PNFC sector, particularly in the water and transport sectors. </w:t>
      </w:r>
    </w:p>
    <w:p w:rsidR="00336793" w:rsidRDefault="00336793" w:rsidP="00DF0B96">
      <w:r w:rsidRPr="00D61E18">
        <w:t xml:space="preserve">Key projects in the PNFC sector included </w:t>
      </w:r>
      <w:r>
        <w:t>finalising</w:t>
      </w:r>
      <w:r w:rsidRPr="00D61E18">
        <w:t xml:space="preserve"> Regional Rail Link, purchasing </w:t>
      </w:r>
      <w:r>
        <w:t>additional rolling stock, commencing Melbourne Metro rail project and the augmentation,</w:t>
      </w:r>
      <w:r w:rsidRPr="00D61E18">
        <w:t xml:space="preserve"> upgrade and renewal of water and sewer assets, including Goulburn</w:t>
      </w:r>
      <w:r>
        <w:noBreakHyphen/>
      </w:r>
      <w:r w:rsidRPr="00D61E18">
        <w:t>Murray Water</w:t>
      </w:r>
      <w:r>
        <w:t>’</w:t>
      </w:r>
      <w:r w:rsidRPr="00D61E18">
        <w:t>s Connections project, which will connect irrigators to a modernised main system of irrigation channels</w:t>
      </w:r>
      <w:r>
        <w:t>.</w:t>
      </w:r>
    </w:p>
    <w:p w:rsidR="00336793" w:rsidRPr="00D04EF7" w:rsidRDefault="00336793" w:rsidP="003C06CE">
      <w:pPr>
        <w:pStyle w:val="Heading1"/>
      </w:pPr>
      <w:bookmarkStart w:id="25" w:name="_Toc433984473"/>
      <w:r w:rsidRPr="003C06CE">
        <w:t>Financial</w:t>
      </w:r>
      <w:r>
        <w:t xml:space="preserve"> sustainability (non</w:t>
      </w:r>
      <w:r>
        <w:noBreakHyphen/>
        <w:t>financial public sector)</w:t>
      </w:r>
      <w:bookmarkEnd w:id="25"/>
    </w:p>
    <w:p w:rsidR="00336793" w:rsidRDefault="00336793" w:rsidP="00DF0B96">
      <w:r>
        <w:t>The sustainability of the non</w:t>
      </w:r>
      <w:r>
        <w:noBreakHyphen/>
        <w:t xml:space="preserve">financial public sector (NFPS) is significant for the State’s credit rating. The NFPS comprises the general government sector and the PNFC sector. The credit rating agencies consider the level of net debt, net financial liabilities and the State’s capacity to service these liabilities. </w:t>
      </w:r>
    </w:p>
    <w:p w:rsidR="00336793" w:rsidRDefault="00336793" w:rsidP="00DF0B96">
      <w:r>
        <w:t>As shown in Table 3.3, NFPS net debt increased by $622 million in 2014</w:t>
      </w:r>
      <w:r>
        <w:noBreakHyphen/>
        <w:t>15 to $36.5 billion,</w:t>
      </w:r>
      <w:r w:rsidRPr="00D125BE">
        <w:t xml:space="preserve"> </w:t>
      </w:r>
      <w:r>
        <w:t>an increase of 1.7 per cent compared with the previous year, and $403 million higher than the revised estimate of $36 billion. However the ratio of net NFPS debt to gross state product (GSP) has fallen from 10.3 per cent to 10.1 per cent.</w:t>
      </w:r>
    </w:p>
    <w:p w:rsidR="00336793" w:rsidRPr="00D04EF7" w:rsidRDefault="00336793" w:rsidP="00DF0B96">
      <w:pPr>
        <w:pStyle w:val="Tableheading"/>
      </w:pPr>
      <w:r>
        <w:t xml:space="preserve">Table 3.3: </w:t>
      </w:r>
      <w:r>
        <w:tab/>
        <w:t>Non</w:t>
      </w:r>
      <w:r>
        <w:noBreakHyphen/>
        <w:t>financial public sector net debt and net financial liabilities as at 30 June 2015</w:t>
      </w:r>
    </w:p>
    <w:p w:rsidR="00336793" w:rsidRPr="00A558B8"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4049"/>
        <w:gridCol w:w="558"/>
        <w:gridCol w:w="1006"/>
        <w:gridCol w:w="1006"/>
        <w:gridCol w:w="958"/>
        <w:gridCol w:w="1170"/>
        <w:gridCol w:w="890"/>
      </w:tblGrid>
      <w:tr w:rsidR="00336793" w:rsidRPr="00A558B8" w:rsidTr="00DF0B96">
        <w:tc>
          <w:tcPr>
            <w:tcW w:w="4607" w:type="dxa"/>
            <w:gridSpan w:val="2"/>
            <w:tcBorders>
              <w:top w:val="single" w:sz="6" w:space="0" w:color="000000"/>
              <w:left w:val="single" w:sz="6" w:space="0" w:color="000000"/>
              <w:right w:val="nil"/>
            </w:tcBorders>
            <w:shd w:val="clear" w:color="000000" w:fill="000000"/>
          </w:tcPr>
          <w:p w:rsidR="00336793" w:rsidRPr="00A558B8" w:rsidRDefault="00336793" w:rsidP="00DF0B96">
            <w:pPr>
              <w:pStyle w:val="Tabletextheading"/>
              <w:jc w:val="left"/>
              <w:rPr>
                <w:rFonts w:eastAsiaTheme="minorEastAsia"/>
                <w:color w:val="FFFFFF"/>
                <w:lang w:eastAsia="en-AU"/>
              </w:rPr>
            </w:pPr>
            <w:r w:rsidRPr="00A558B8">
              <w:rPr>
                <w:rFonts w:eastAsiaTheme="minorEastAsia"/>
                <w:color w:val="FFFFFF"/>
                <w:lang w:eastAsia="en-AU"/>
              </w:rPr>
              <w:t xml:space="preserve"> </w:t>
            </w:r>
          </w:p>
        </w:tc>
        <w:tc>
          <w:tcPr>
            <w:tcW w:w="1006" w:type="dxa"/>
            <w:tcBorders>
              <w:top w:val="single" w:sz="6" w:space="0" w:color="000000"/>
              <w:left w:val="nil"/>
              <w:right w:val="nil"/>
            </w:tcBorders>
            <w:shd w:val="clear" w:color="000000" w:fill="000000"/>
          </w:tcPr>
          <w:p w:rsidR="00336793" w:rsidRPr="00A558B8" w:rsidRDefault="00336793" w:rsidP="00DF0B96">
            <w:pPr>
              <w:pStyle w:val="Tabletextheading"/>
            </w:pPr>
            <w:r w:rsidRPr="00A558B8">
              <w:t>2015</w:t>
            </w:r>
          </w:p>
        </w:tc>
        <w:tc>
          <w:tcPr>
            <w:tcW w:w="1006" w:type="dxa"/>
            <w:tcBorders>
              <w:top w:val="single" w:sz="6" w:space="0" w:color="000000"/>
              <w:left w:val="nil"/>
              <w:right w:val="nil"/>
            </w:tcBorders>
            <w:shd w:val="clear" w:color="000000" w:fill="000000"/>
          </w:tcPr>
          <w:p w:rsidR="00336793" w:rsidRPr="00A558B8" w:rsidRDefault="00336793" w:rsidP="00DF0B96">
            <w:pPr>
              <w:pStyle w:val="Tabletextheading"/>
            </w:pPr>
            <w:r w:rsidRPr="00A558B8">
              <w:t>Revised</w:t>
            </w:r>
          </w:p>
        </w:tc>
        <w:tc>
          <w:tcPr>
            <w:tcW w:w="958" w:type="dxa"/>
            <w:tcBorders>
              <w:top w:val="single" w:sz="6" w:space="0" w:color="000000"/>
              <w:left w:val="nil"/>
              <w:right w:val="nil"/>
            </w:tcBorders>
            <w:shd w:val="clear" w:color="000000" w:fill="000000"/>
          </w:tcPr>
          <w:p w:rsidR="00336793" w:rsidRPr="00A558B8" w:rsidRDefault="00336793" w:rsidP="00DF0B96">
            <w:pPr>
              <w:pStyle w:val="Tabletextheading"/>
            </w:pPr>
            <w:r w:rsidRPr="00A558B8">
              <w:t>2015</w:t>
            </w:r>
          </w:p>
        </w:tc>
        <w:tc>
          <w:tcPr>
            <w:tcW w:w="1170" w:type="dxa"/>
            <w:tcBorders>
              <w:top w:val="single" w:sz="6" w:space="0" w:color="000000"/>
              <w:left w:val="nil"/>
              <w:right w:val="nil"/>
            </w:tcBorders>
            <w:shd w:val="clear" w:color="000000" w:fill="000000"/>
          </w:tcPr>
          <w:p w:rsidR="00336793" w:rsidRPr="00A558B8" w:rsidRDefault="00336793" w:rsidP="00DF0B96">
            <w:pPr>
              <w:pStyle w:val="Tabletextheading"/>
            </w:pPr>
            <w:r w:rsidRPr="00A558B8">
              <w:t>Actual</w:t>
            </w:r>
          </w:p>
        </w:tc>
        <w:tc>
          <w:tcPr>
            <w:tcW w:w="890" w:type="dxa"/>
            <w:tcBorders>
              <w:top w:val="single" w:sz="6" w:space="0" w:color="000000"/>
              <w:left w:val="nil"/>
              <w:right w:val="single" w:sz="6" w:space="0" w:color="000000"/>
            </w:tcBorders>
            <w:shd w:val="clear" w:color="000000" w:fill="000000"/>
          </w:tcPr>
          <w:p w:rsidR="00336793" w:rsidRPr="00A558B8" w:rsidRDefault="00336793" w:rsidP="00DF0B96">
            <w:pPr>
              <w:pStyle w:val="Tabletextheading"/>
            </w:pPr>
            <w:r w:rsidRPr="00A558B8">
              <w:t>2014</w:t>
            </w:r>
          </w:p>
        </w:tc>
      </w:tr>
      <w:tr w:rsidR="00336793" w:rsidRPr="00A558B8" w:rsidTr="00DF0B96">
        <w:tc>
          <w:tcPr>
            <w:tcW w:w="4607" w:type="dxa"/>
            <w:gridSpan w:val="2"/>
            <w:tcBorders>
              <w:left w:val="single" w:sz="6" w:space="0" w:color="000000"/>
              <w:bottom w:val="single" w:sz="6" w:space="0" w:color="000000"/>
              <w:right w:val="nil"/>
            </w:tcBorders>
            <w:shd w:val="clear" w:color="000000" w:fill="000000"/>
          </w:tcPr>
          <w:p w:rsidR="00336793" w:rsidRPr="00A558B8" w:rsidRDefault="00336793" w:rsidP="00DF0B96">
            <w:pPr>
              <w:pStyle w:val="Tabletextheading"/>
              <w:jc w:val="left"/>
              <w:rPr>
                <w:rFonts w:eastAsiaTheme="minorEastAsia"/>
                <w:color w:val="FFFFFF"/>
                <w:lang w:eastAsia="en-AU"/>
              </w:rPr>
            </w:pPr>
            <w:r w:rsidRPr="00A558B8">
              <w:rPr>
                <w:rFonts w:eastAsiaTheme="minorEastAsia"/>
                <w:color w:val="FFFFFF"/>
                <w:lang w:eastAsia="en-AU"/>
              </w:rPr>
              <w:t xml:space="preserve"> </w:t>
            </w:r>
          </w:p>
        </w:tc>
        <w:tc>
          <w:tcPr>
            <w:tcW w:w="1006" w:type="dxa"/>
            <w:tcBorders>
              <w:left w:val="nil"/>
              <w:bottom w:val="single" w:sz="6" w:space="0" w:color="000000"/>
              <w:right w:val="nil"/>
            </w:tcBorders>
            <w:shd w:val="clear" w:color="000000" w:fill="000000"/>
          </w:tcPr>
          <w:p w:rsidR="00336793" w:rsidRPr="00A558B8" w:rsidRDefault="00336793" w:rsidP="00DF0B96">
            <w:pPr>
              <w:pStyle w:val="Tabletextheading"/>
            </w:pPr>
            <w:r w:rsidRPr="00A558B8">
              <w:t>actual</w:t>
            </w:r>
          </w:p>
        </w:tc>
        <w:tc>
          <w:tcPr>
            <w:tcW w:w="1006" w:type="dxa"/>
            <w:tcBorders>
              <w:left w:val="nil"/>
              <w:bottom w:val="single" w:sz="6" w:space="0" w:color="000000"/>
              <w:right w:val="nil"/>
            </w:tcBorders>
            <w:shd w:val="clear" w:color="000000" w:fill="000000"/>
          </w:tcPr>
          <w:p w:rsidR="00336793" w:rsidRPr="00A558B8" w:rsidRDefault="00336793" w:rsidP="00DF0B96">
            <w:pPr>
              <w:pStyle w:val="Tabletextheading"/>
            </w:pPr>
            <w:r w:rsidRPr="00A558B8">
              <w:t>variance</w:t>
            </w:r>
          </w:p>
        </w:tc>
        <w:tc>
          <w:tcPr>
            <w:tcW w:w="958" w:type="dxa"/>
            <w:tcBorders>
              <w:left w:val="nil"/>
              <w:bottom w:val="single" w:sz="6" w:space="0" w:color="000000"/>
              <w:right w:val="nil"/>
            </w:tcBorders>
            <w:shd w:val="clear" w:color="000000" w:fill="000000"/>
          </w:tcPr>
          <w:p w:rsidR="00336793" w:rsidRPr="00A558B8" w:rsidRDefault="00336793" w:rsidP="00DF0B96">
            <w:pPr>
              <w:pStyle w:val="Tabletextheading"/>
            </w:pPr>
            <w:r w:rsidRPr="00A558B8">
              <w:t>revised</w:t>
            </w:r>
          </w:p>
        </w:tc>
        <w:tc>
          <w:tcPr>
            <w:tcW w:w="1170" w:type="dxa"/>
            <w:tcBorders>
              <w:left w:val="nil"/>
              <w:bottom w:val="single" w:sz="6" w:space="0" w:color="000000"/>
              <w:right w:val="nil"/>
            </w:tcBorders>
            <w:shd w:val="clear" w:color="000000" w:fill="000000"/>
          </w:tcPr>
          <w:p w:rsidR="00336793" w:rsidRPr="00A558B8" w:rsidRDefault="00336793" w:rsidP="00DF0B96">
            <w:pPr>
              <w:pStyle w:val="Tabletextheading"/>
            </w:pPr>
            <w:r w:rsidRPr="00A558B8">
              <w:t>movement</w:t>
            </w:r>
          </w:p>
        </w:tc>
        <w:tc>
          <w:tcPr>
            <w:tcW w:w="890" w:type="dxa"/>
            <w:tcBorders>
              <w:left w:val="nil"/>
              <w:bottom w:val="single" w:sz="6" w:space="0" w:color="000000"/>
              <w:right w:val="single" w:sz="6" w:space="0" w:color="000000"/>
            </w:tcBorders>
            <w:shd w:val="clear" w:color="000000" w:fill="000000"/>
          </w:tcPr>
          <w:p w:rsidR="00336793" w:rsidRPr="00A558B8" w:rsidRDefault="00336793" w:rsidP="00DF0B96">
            <w:pPr>
              <w:pStyle w:val="Tabletextheading"/>
            </w:pPr>
            <w:r w:rsidRPr="00A558B8">
              <w:t>actual</w:t>
            </w:r>
          </w:p>
        </w:tc>
      </w:tr>
      <w:tr w:rsidR="00336793" w:rsidRPr="00A558B8" w:rsidTr="00DF0B96">
        <w:tc>
          <w:tcPr>
            <w:tcW w:w="4607" w:type="dxa"/>
            <w:gridSpan w:val="2"/>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Assets</w:t>
            </w:r>
          </w:p>
        </w:tc>
        <w:tc>
          <w:tcPr>
            <w:tcW w:w="1006"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i/>
                <w:iCs/>
                <w:sz w:val="22"/>
                <w:szCs w:val="22"/>
                <w:lang w:eastAsia="en-AU"/>
              </w:rPr>
            </w:pPr>
            <w:r w:rsidRPr="00A558B8">
              <w:rPr>
                <w:rFonts w:ascii="Calibri" w:eastAsiaTheme="minorEastAsia" w:hAnsi="Calibri" w:cs="Calibri"/>
                <w:i/>
                <w:iCs/>
                <w:sz w:val="22"/>
                <w:szCs w:val="22"/>
                <w:lang w:eastAsia="en-AU"/>
              </w:rPr>
              <w:t xml:space="preserve"> </w:t>
            </w:r>
          </w:p>
        </w:tc>
        <w:tc>
          <w:tcPr>
            <w:tcW w:w="1006"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i/>
                <w:iCs/>
                <w:sz w:val="22"/>
                <w:szCs w:val="22"/>
                <w:lang w:eastAsia="en-AU"/>
              </w:rPr>
            </w:pPr>
            <w:r w:rsidRPr="00A558B8">
              <w:rPr>
                <w:rFonts w:ascii="Calibri" w:eastAsiaTheme="minorEastAsia" w:hAnsi="Calibri" w:cs="Calibri"/>
                <w:i/>
                <w:iCs/>
                <w:sz w:val="22"/>
                <w:szCs w:val="22"/>
                <w:lang w:eastAsia="en-AU"/>
              </w:rPr>
              <w:t xml:space="preserve"> </w:t>
            </w:r>
          </w:p>
        </w:tc>
        <w:tc>
          <w:tcPr>
            <w:tcW w:w="958"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i/>
                <w:iCs/>
                <w:sz w:val="22"/>
                <w:szCs w:val="22"/>
                <w:lang w:eastAsia="en-AU"/>
              </w:rPr>
            </w:pPr>
            <w:r w:rsidRPr="00A558B8">
              <w:rPr>
                <w:rFonts w:ascii="Calibri" w:eastAsiaTheme="minorEastAsia" w:hAnsi="Calibri" w:cs="Calibri"/>
                <w:i/>
                <w:iCs/>
                <w:sz w:val="22"/>
                <w:szCs w:val="22"/>
                <w:lang w:eastAsia="en-AU"/>
              </w:rPr>
              <w:t xml:space="preserve"> </w:t>
            </w:r>
          </w:p>
        </w:tc>
        <w:tc>
          <w:tcPr>
            <w:tcW w:w="1170"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i/>
                <w:iCs/>
                <w:sz w:val="22"/>
                <w:szCs w:val="22"/>
                <w:lang w:eastAsia="en-AU"/>
              </w:rPr>
            </w:pPr>
            <w:r w:rsidRPr="00A558B8">
              <w:rPr>
                <w:rFonts w:ascii="Calibri" w:eastAsiaTheme="minorEastAsia" w:hAnsi="Calibri" w:cs="Calibri"/>
                <w:i/>
                <w:iCs/>
                <w:sz w:val="22"/>
                <w:szCs w:val="22"/>
                <w:lang w:eastAsia="en-AU"/>
              </w:rPr>
              <w:t xml:space="preserve"> </w:t>
            </w:r>
          </w:p>
        </w:tc>
        <w:tc>
          <w:tcPr>
            <w:tcW w:w="890"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i/>
                <w:iCs/>
                <w:sz w:val="22"/>
                <w:szCs w:val="22"/>
                <w:lang w:eastAsia="en-AU"/>
              </w:rPr>
            </w:pPr>
            <w:r w:rsidRPr="00A558B8">
              <w:rPr>
                <w:rFonts w:ascii="Calibri" w:eastAsiaTheme="minorEastAsia" w:hAnsi="Calibri" w:cs="Calibri"/>
                <w:i/>
                <w:iCs/>
                <w:sz w:val="22"/>
                <w:szCs w:val="22"/>
                <w:lang w:eastAsia="en-AU"/>
              </w:rPr>
              <w:t xml:space="preserve"> </w:t>
            </w:r>
          </w:p>
        </w:tc>
      </w:tr>
      <w:tr w:rsidR="00336793" w:rsidRPr="00A558B8" w:rsidTr="00DF0B96">
        <w:tc>
          <w:tcPr>
            <w:tcW w:w="4607" w:type="dxa"/>
            <w:gridSpan w:val="2"/>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Cash and deposits</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5 373.5</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558B8">
              <w:rPr>
                <w:rFonts w:ascii="Calibri" w:eastAsiaTheme="minorEastAsia" w:hAnsi="Calibri" w:cs="Calibri"/>
                <w:color w:val="000000"/>
                <w:sz w:val="22"/>
                <w:szCs w:val="22"/>
                <w:lang w:eastAsia="en-AU"/>
              </w:rPr>
              <w:t>120.5)</w:t>
            </w:r>
          </w:p>
        </w:tc>
        <w:tc>
          <w:tcPr>
            <w:tcW w:w="958"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5 494.0</w:t>
            </w:r>
          </w:p>
        </w:tc>
        <w:tc>
          <w:tcPr>
            <w:tcW w:w="117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558B8">
              <w:rPr>
                <w:rFonts w:ascii="Calibri" w:eastAsiaTheme="minorEastAsia" w:hAnsi="Calibri" w:cs="Calibri"/>
                <w:color w:val="000000"/>
                <w:sz w:val="22"/>
                <w:szCs w:val="22"/>
                <w:lang w:eastAsia="en-AU"/>
              </w:rPr>
              <w:t>193.1)</w:t>
            </w:r>
          </w:p>
        </w:tc>
        <w:tc>
          <w:tcPr>
            <w:tcW w:w="89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5 566.7</w:t>
            </w:r>
          </w:p>
        </w:tc>
      </w:tr>
      <w:tr w:rsidR="00336793" w:rsidRPr="00A558B8" w:rsidTr="00DF0B96">
        <w:tc>
          <w:tcPr>
            <w:tcW w:w="4607" w:type="dxa"/>
            <w:gridSpan w:val="2"/>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Advances paid</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89.2</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4.9</w:t>
            </w:r>
          </w:p>
        </w:tc>
        <w:tc>
          <w:tcPr>
            <w:tcW w:w="958"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84.3</w:t>
            </w:r>
          </w:p>
        </w:tc>
        <w:tc>
          <w:tcPr>
            <w:tcW w:w="117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3.1</w:t>
            </w:r>
          </w:p>
        </w:tc>
        <w:tc>
          <w:tcPr>
            <w:tcW w:w="89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86.1</w:t>
            </w:r>
          </w:p>
        </w:tc>
      </w:tr>
      <w:tr w:rsidR="00336793" w:rsidRPr="00A558B8" w:rsidTr="00DF0B96">
        <w:tc>
          <w:tcPr>
            <w:tcW w:w="4607" w:type="dxa"/>
            <w:gridSpan w:val="2"/>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Investments, loans and placements</w:t>
            </w:r>
          </w:p>
        </w:tc>
        <w:tc>
          <w:tcPr>
            <w:tcW w:w="1006"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4 395.3</w:t>
            </w:r>
          </w:p>
        </w:tc>
        <w:tc>
          <w:tcPr>
            <w:tcW w:w="1006"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273.3</w:t>
            </w:r>
          </w:p>
        </w:tc>
        <w:tc>
          <w:tcPr>
            <w:tcW w:w="958"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4 122.0</w:t>
            </w:r>
          </w:p>
        </w:tc>
        <w:tc>
          <w:tcPr>
            <w:tcW w:w="1170"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380.0</w:t>
            </w:r>
          </w:p>
        </w:tc>
        <w:tc>
          <w:tcPr>
            <w:tcW w:w="890"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4 015.3</w:t>
            </w:r>
          </w:p>
        </w:tc>
      </w:tr>
      <w:tr w:rsidR="00336793" w:rsidRPr="00A558B8" w:rsidTr="00DF0B96">
        <w:tc>
          <w:tcPr>
            <w:tcW w:w="4607" w:type="dxa"/>
            <w:gridSpan w:val="2"/>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Total</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9 858.0</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 xml:space="preserve"> 157.7</w:t>
            </w:r>
          </w:p>
        </w:tc>
        <w:tc>
          <w:tcPr>
            <w:tcW w:w="958"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9 700.3</w:t>
            </w:r>
          </w:p>
        </w:tc>
        <w:tc>
          <w:tcPr>
            <w:tcW w:w="117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 xml:space="preserve"> 189.9</w:t>
            </w:r>
          </w:p>
        </w:tc>
        <w:tc>
          <w:tcPr>
            <w:tcW w:w="89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9 668.1</w:t>
            </w:r>
          </w:p>
        </w:tc>
      </w:tr>
      <w:tr w:rsidR="00336793" w:rsidRPr="00A558B8" w:rsidTr="00DF0B96">
        <w:tc>
          <w:tcPr>
            <w:tcW w:w="4607" w:type="dxa"/>
            <w:gridSpan w:val="2"/>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Liabilities</w:t>
            </w:r>
          </w:p>
        </w:tc>
        <w:tc>
          <w:tcPr>
            <w:tcW w:w="1006" w:type="dxa"/>
            <w:tcBorders>
              <w:top w:val="nil"/>
              <w:left w:val="nil"/>
              <w:bottom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1006" w:type="dxa"/>
            <w:tcBorders>
              <w:top w:val="nil"/>
              <w:left w:val="nil"/>
              <w:bottom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958" w:type="dxa"/>
            <w:tcBorders>
              <w:top w:val="nil"/>
              <w:left w:val="nil"/>
              <w:bottom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1170" w:type="dxa"/>
            <w:tcBorders>
              <w:top w:val="nil"/>
              <w:left w:val="nil"/>
              <w:bottom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890" w:type="dxa"/>
            <w:tcBorders>
              <w:top w:val="nil"/>
              <w:left w:val="nil"/>
              <w:bottom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r>
      <w:tr w:rsidR="00336793" w:rsidRPr="00A558B8" w:rsidTr="00DF0B96">
        <w:tc>
          <w:tcPr>
            <w:tcW w:w="4607" w:type="dxa"/>
            <w:gridSpan w:val="2"/>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Deposits held and advances received </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636.8</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147.3</w:t>
            </w:r>
          </w:p>
        </w:tc>
        <w:tc>
          <w:tcPr>
            <w:tcW w:w="958"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489.5</w:t>
            </w:r>
          </w:p>
        </w:tc>
        <w:tc>
          <w:tcPr>
            <w:tcW w:w="117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95.2</w:t>
            </w:r>
          </w:p>
        </w:tc>
        <w:tc>
          <w:tcPr>
            <w:tcW w:w="89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541.5</w:t>
            </w:r>
          </w:p>
        </w:tc>
      </w:tr>
      <w:tr w:rsidR="00336793" w:rsidRPr="00A558B8" w:rsidTr="00DF0B96">
        <w:tc>
          <w:tcPr>
            <w:tcW w:w="4607" w:type="dxa"/>
            <w:gridSpan w:val="2"/>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Borrowings </w:t>
            </w:r>
          </w:p>
        </w:tc>
        <w:tc>
          <w:tcPr>
            <w:tcW w:w="1006"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45 769.4</w:t>
            </w:r>
          </w:p>
        </w:tc>
        <w:tc>
          <w:tcPr>
            <w:tcW w:w="1006"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413.0</w:t>
            </w:r>
          </w:p>
        </w:tc>
        <w:tc>
          <w:tcPr>
            <w:tcW w:w="958"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45 356.4</w:t>
            </w:r>
          </w:p>
        </w:tc>
        <w:tc>
          <w:tcPr>
            <w:tcW w:w="1170"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717.0</w:t>
            </w:r>
          </w:p>
        </w:tc>
        <w:tc>
          <w:tcPr>
            <w:tcW w:w="890"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45 052.5</w:t>
            </w:r>
          </w:p>
        </w:tc>
      </w:tr>
      <w:tr w:rsidR="00336793" w:rsidRPr="00A558B8" w:rsidTr="00DF0B96">
        <w:tc>
          <w:tcPr>
            <w:tcW w:w="4607" w:type="dxa"/>
            <w:gridSpan w:val="2"/>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Total</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46 406.2</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 xml:space="preserve"> 560.3</w:t>
            </w:r>
          </w:p>
        </w:tc>
        <w:tc>
          <w:tcPr>
            <w:tcW w:w="958"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45 845.9</w:t>
            </w:r>
          </w:p>
        </w:tc>
        <w:tc>
          <w:tcPr>
            <w:tcW w:w="117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 xml:space="preserve"> 812.2</w:t>
            </w:r>
          </w:p>
        </w:tc>
        <w:tc>
          <w:tcPr>
            <w:tcW w:w="89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45 594.0</w:t>
            </w:r>
          </w:p>
        </w:tc>
      </w:tr>
      <w:tr w:rsidR="00336793" w:rsidRPr="00A558B8" w:rsidTr="00DF0B96">
        <w:tc>
          <w:tcPr>
            <w:tcW w:w="4607" w:type="dxa"/>
            <w:gridSpan w:val="2"/>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Net debt</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36 548.2</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 xml:space="preserve"> 402.6</w:t>
            </w:r>
          </w:p>
        </w:tc>
        <w:tc>
          <w:tcPr>
            <w:tcW w:w="958"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36 145.6</w:t>
            </w:r>
          </w:p>
        </w:tc>
        <w:tc>
          <w:tcPr>
            <w:tcW w:w="117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 xml:space="preserve"> 622.3</w:t>
            </w:r>
          </w:p>
        </w:tc>
        <w:tc>
          <w:tcPr>
            <w:tcW w:w="89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35 925.9</w:t>
            </w:r>
          </w:p>
        </w:tc>
      </w:tr>
      <w:tr w:rsidR="00336793" w:rsidRPr="00A558B8" w:rsidTr="00DF0B96">
        <w:tc>
          <w:tcPr>
            <w:tcW w:w="4607" w:type="dxa"/>
            <w:gridSpan w:val="2"/>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rPr>
                <w:rFonts w:ascii="Arial" w:eastAsiaTheme="minorEastAsia" w:hAnsi="Arial" w:cs="Arial"/>
                <w:sz w:val="22"/>
                <w:szCs w:val="22"/>
                <w:lang w:eastAsia="en-AU"/>
              </w:rPr>
            </w:pPr>
            <w:r w:rsidRPr="00A558B8">
              <w:rPr>
                <w:rFonts w:ascii="Calibri" w:eastAsiaTheme="minorEastAsia" w:hAnsi="Calibri" w:cs="Calibri"/>
                <w:sz w:val="22"/>
                <w:szCs w:val="22"/>
                <w:lang w:eastAsia="en-AU"/>
              </w:rPr>
              <w:t>Superannuation</w:t>
            </w:r>
            <w:r w:rsidRPr="00A558B8">
              <w:rPr>
                <w:rFonts w:ascii="Arial" w:eastAsiaTheme="minorEastAsia" w:hAnsi="Arial" w:cs="Arial"/>
                <w:color w:val="FFFFFF" w:themeColor="background1"/>
                <w:sz w:val="22"/>
                <w:szCs w:val="22"/>
                <w:lang w:eastAsia="en-AU"/>
              </w:rPr>
              <w:t>(a)</w:t>
            </w:r>
          </w:p>
        </w:tc>
        <w:tc>
          <w:tcPr>
            <w:tcW w:w="1006"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25 988.4</w:t>
            </w:r>
          </w:p>
        </w:tc>
        <w:tc>
          <w:tcPr>
            <w:tcW w:w="1006"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(4 813.1)</w:t>
            </w:r>
          </w:p>
        </w:tc>
        <w:tc>
          <w:tcPr>
            <w:tcW w:w="958"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30 801.5</w:t>
            </w:r>
          </w:p>
        </w:tc>
        <w:tc>
          <w:tcPr>
            <w:tcW w:w="1170"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558B8">
              <w:rPr>
                <w:rFonts w:ascii="Calibri" w:eastAsiaTheme="minorEastAsia" w:hAnsi="Calibri" w:cs="Calibri"/>
                <w:color w:val="000000"/>
                <w:sz w:val="22"/>
                <w:szCs w:val="22"/>
                <w:lang w:eastAsia="en-AU"/>
              </w:rPr>
              <w:t>312.8)</w:t>
            </w:r>
          </w:p>
        </w:tc>
        <w:tc>
          <w:tcPr>
            <w:tcW w:w="890"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26 301.2</w:t>
            </w:r>
          </w:p>
        </w:tc>
      </w:tr>
      <w:tr w:rsidR="00336793" w:rsidRPr="00A558B8" w:rsidTr="00DF0B96">
        <w:tc>
          <w:tcPr>
            <w:tcW w:w="4607" w:type="dxa"/>
            <w:gridSpan w:val="2"/>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Net debt plus superannuation liabilities</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62 536.6</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 xml:space="preserve"> (4 410.5)</w:t>
            </w:r>
          </w:p>
        </w:tc>
        <w:tc>
          <w:tcPr>
            <w:tcW w:w="958"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66 947.1</w:t>
            </w:r>
          </w:p>
        </w:tc>
        <w:tc>
          <w:tcPr>
            <w:tcW w:w="117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 xml:space="preserve"> 309.5</w:t>
            </w:r>
          </w:p>
        </w:tc>
        <w:tc>
          <w:tcPr>
            <w:tcW w:w="89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62 227.1</w:t>
            </w:r>
          </w:p>
        </w:tc>
      </w:tr>
      <w:tr w:rsidR="00336793" w:rsidRPr="00A558B8" w:rsidTr="00DF0B96">
        <w:tc>
          <w:tcPr>
            <w:tcW w:w="4607" w:type="dxa"/>
            <w:gridSpan w:val="2"/>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Other liabilities (net)</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5 692.0</w:t>
            </w:r>
          </w:p>
        </w:tc>
        <w:tc>
          <w:tcPr>
            <w:tcW w:w="1006"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(1 528.5)</w:t>
            </w:r>
          </w:p>
        </w:tc>
        <w:tc>
          <w:tcPr>
            <w:tcW w:w="958"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7 220.5</w:t>
            </w:r>
          </w:p>
        </w:tc>
        <w:tc>
          <w:tcPr>
            <w:tcW w:w="117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558B8">
              <w:rPr>
                <w:rFonts w:ascii="Calibri" w:eastAsiaTheme="minorEastAsia" w:hAnsi="Calibri" w:cs="Calibri"/>
                <w:color w:val="000000"/>
                <w:sz w:val="22"/>
                <w:szCs w:val="22"/>
                <w:lang w:eastAsia="en-AU"/>
              </w:rPr>
              <w:t>425.0)</w:t>
            </w:r>
          </w:p>
        </w:tc>
        <w:tc>
          <w:tcPr>
            <w:tcW w:w="890" w:type="dxa"/>
            <w:tcBorders>
              <w:top w:val="nil"/>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6 117.0</w:t>
            </w:r>
          </w:p>
        </w:tc>
      </w:tr>
      <w:tr w:rsidR="00336793" w:rsidRPr="00A558B8" w:rsidTr="00DF0B96">
        <w:tc>
          <w:tcPr>
            <w:tcW w:w="4607" w:type="dxa"/>
            <w:gridSpan w:val="2"/>
            <w:tcBorders>
              <w:top w:val="nil"/>
              <w:left w:val="nil"/>
              <w:bottom w:val="single" w:sz="12" w:space="0" w:color="auto"/>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Net financial liabilities</w:t>
            </w:r>
            <w:r w:rsidRPr="00A558B8">
              <w:rPr>
                <w:rFonts w:ascii="Calibri" w:eastAsiaTheme="minorEastAsia" w:hAnsi="Calibri" w:cs="Calibri"/>
                <w:b/>
                <w:bCs/>
                <w:color w:val="FFFFFF" w:themeColor="background1"/>
                <w:sz w:val="22"/>
                <w:szCs w:val="22"/>
                <w:lang w:eastAsia="en-AU"/>
              </w:rPr>
              <w:t>(a)</w:t>
            </w:r>
          </w:p>
        </w:tc>
        <w:tc>
          <w:tcPr>
            <w:tcW w:w="1006" w:type="dxa"/>
            <w:tcBorders>
              <w:top w:val="nil"/>
              <w:left w:val="nil"/>
              <w:bottom w:val="single" w:sz="12"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68 228.6</w:t>
            </w:r>
          </w:p>
        </w:tc>
        <w:tc>
          <w:tcPr>
            <w:tcW w:w="1006" w:type="dxa"/>
            <w:tcBorders>
              <w:top w:val="nil"/>
              <w:left w:val="nil"/>
              <w:bottom w:val="single" w:sz="12"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 xml:space="preserve"> (5 939.0)</w:t>
            </w:r>
          </w:p>
        </w:tc>
        <w:tc>
          <w:tcPr>
            <w:tcW w:w="958" w:type="dxa"/>
            <w:tcBorders>
              <w:top w:val="nil"/>
              <w:left w:val="nil"/>
              <w:bottom w:val="single" w:sz="12"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74 167.6</w:t>
            </w:r>
          </w:p>
        </w:tc>
        <w:tc>
          <w:tcPr>
            <w:tcW w:w="1170" w:type="dxa"/>
            <w:tcBorders>
              <w:top w:val="nil"/>
              <w:left w:val="nil"/>
              <w:bottom w:val="single" w:sz="12"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2"/>
                <w:szCs w:val="22"/>
                <w:lang w:eastAsia="en-AU"/>
              </w:rPr>
              <w:t>(</w:t>
            </w:r>
            <w:r w:rsidRPr="00A558B8">
              <w:rPr>
                <w:rFonts w:ascii="Calibri" w:eastAsiaTheme="minorEastAsia" w:hAnsi="Calibri" w:cs="Calibri"/>
                <w:b/>
                <w:bCs/>
                <w:color w:val="000000"/>
                <w:sz w:val="22"/>
                <w:szCs w:val="22"/>
                <w:lang w:eastAsia="en-AU"/>
              </w:rPr>
              <w:t>115.5)</w:t>
            </w:r>
          </w:p>
        </w:tc>
        <w:tc>
          <w:tcPr>
            <w:tcW w:w="890" w:type="dxa"/>
            <w:tcBorders>
              <w:top w:val="nil"/>
              <w:left w:val="nil"/>
              <w:bottom w:val="single" w:sz="12"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68 344.1</w:t>
            </w:r>
          </w:p>
        </w:tc>
      </w:tr>
      <w:tr w:rsidR="00336793" w:rsidRPr="00A558B8" w:rsidTr="00DF0B96">
        <w:trPr>
          <w:trHeight w:hRule="exact" w:val="309"/>
        </w:trPr>
        <w:tc>
          <w:tcPr>
            <w:tcW w:w="4049" w:type="dxa"/>
            <w:tcBorders>
              <w:top w:val="nil"/>
              <w:left w:val="nil"/>
              <w:bottom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1564" w:type="dxa"/>
            <w:gridSpan w:val="2"/>
            <w:tcBorders>
              <w:top w:val="nil"/>
              <w:left w:val="nil"/>
              <w:bottom w:val="nil"/>
              <w:right w:val="nil"/>
            </w:tcBorders>
          </w:tcPr>
          <w:p w:rsidR="00336793" w:rsidRPr="00A558B8" w:rsidRDefault="00336793" w:rsidP="00DF0B96">
            <w:pPr>
              <w:pStyle w:val="million"/>
              <w:rPr>
                <w:rFonts w:eastAsiaTheme="minorEastAsia"/>
                <w:lang w:eastAsia="en-AU"/>
              </w:rPr>
            </w:pPr>
            <w:r w:rsidRPr="00A558B8">
              <w:rPr>
                <w:rFonts w:eastAsiaTheme="minorEastAsia"/>
                <w:lang w:eastAsia="en-AU"/>
              </w:rPr>
              <w:t>(</w:t>
            </w:r>
            <w:r w:rsidRPr="00A558B8">
              <w:t>per</w:t>
            </w:r>
            <w:r w:rsidRPr="00A558B8">
              <w:rPr>
                <w:rFonts w:eastAsiaTheme="minorEastAsia"/>
                <w:lang w:eastAsia="en-AU"/>
              </w:rPr>
              <w:t xml:space="preserve"> cent)</w:t>
            </w:r>
          </w:p>
        </w:tc>
        <w:tc>
          <w:tcPr>
            <w:tcW w:w="1006" w:type="dxa"/>
            <w:tcBorders>
              <w:top w:val="nil"/>
              <w:left w:val="nil"/>
              <w:bottom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958" w:type="dxa"/>
            <w:tcBorders>
              <w:top w:val="nil"/>
              <w:left w:val="nil"/>
              <w:bottom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1170" w:type="dxa"/>
            <w:tcBorders>
              <w:top w:val="nil"/>
              <w:left w:val="nil"/>
              <w:bottom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890" w:type="dxa"/>
            <w:tcBorders>
              <w:top w:val="nil"/>
              <w:left w:val="nil"/>
              <w:bottom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r>
      <w:tr w:rsidR="00336793" w:rsidRPr="00A558B8" w:rsidTr="00DF0B96">
        <w:tc>
          <w:tcPr>
            <w:tcW w:w="4607" w:type="dxa"/>
            <w:gridSpan w:val="2"/>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Net debt to GSP</w:t>
            </w:r>
          </w:p>
        </w:tc>
        <w:tc>
          <w:tcPr>
            <w:tcW w:w="1006"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10.1</w:t>
            </w:r>
          </w:p>
        </w:tc>
        <w:tc>
          <w:tcPr>
            <w:tcW w:w="1006"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958"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9.9</w:t>
            </w:r>
          </w:p>
        </w:tc>
        <w:tc>
          <w:tcPr>
            <w:tcW w:w="1170"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890" w:type="dxa"/>
            <w:tcBorders>
              <w:top w:val="nil"/>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10.3</w:t>
            </w:r>
          </w:p>
        </w:tc>
      </w:tr>
      <w:tr w:rsidR="00336793" w:rsidRPr="00A558B8" w:rsidTr="00DF0B96">
        <w:tc>
          <w:tcPr>
            <w:tcW w:w="4607" w:type="dxa"/>
            <w:gridSpan w:val="2"/>
            <w:tcBorders>
              <w:top w:val="single" w:sz="6" w:space="0" w:color="auto"/>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Net debt plus superannuation liabilities to GSP</w:t>
            </w:r>
          </w:p>
        </w:tc>
        <w:tc>
          <w:tcPr>
            <w:tcW w:w="1006" w:type="dxa"/>
            <w:tcBorders>
              <w:top w:val="single" w:sz="6" w:space="0" w:color="auto"/>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17.2</w:t>
            </w:r>
          </w:p>
        </w:tc>
        <w:tc>
          <w:tcPr>
            <w:tcW w:w="1006" w:type="dxa"/>
            <w:tcBorders>
              <w:top w:val="single" w:sz="6" w:space="0" w:color="auto"/>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958" w:type="dxa"/>
            <w:tcBorders>
              <w:top w:val="single" w:sz="6" w:space="0" w:color="auto"/>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18.4</w:t>
            </w:r>
          </w:p>
        </w:tc>
        <w:tc>
          <w:tcPr>
            <w:tcW w:w="1170" w:type="dxa"/>
            <w:tcBorders>
              <w:top w:val="single" w:sz="6" w:space="0" w:color="auto"/>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890" w:type="dxa"/>
            <w:tcBorders>
              <w:top w:val="single" w:sz="6" w:space="0" w:color="auto"/>
              <w:left w:val="nil"/>
              <w:bottom w:val="single" w:sz="6" w:space="0" w:color="auto"/>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17.8</w:t>
            </w:r>
          </w:p>
        </w:tc>
      </w:tr>
      <w:tr w:rsidR="00336793" w:rsidRPr="00A558B8" w:rsidTr="00DF0B96">
        <w:tc>
          <w:tcPr>
            <w:tcW w:w="4607" w:type="dxa"/>
            <w:gridSpan w:val="2"/>
            <w:tcBorders>
              <w:top w:val="single" w:sz="6" w:space="0" w:color="auto"/>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rPr>
                <w:rFonts w:ascii="Calibri" w:eastAsiaTheme="minorEastAsia" w:hAnsi="Calibri" w:cs="Calibri"/>
                <w:b/>
                <w:bCs/>
                <w:sz w:val="22"/>
                <w:szCs w:val="22"/>
                <w:lang w:eastAsia="en-AU"/>
              </w:rPr>
            </w:pPr>
            <w:r w:rsidRPr="00A558B8">
              <w:rPr>
                <w:rFonts w:ascii="Calibri" w:eastAsiaTheme="minorEastAsia" w:hAnsi="Calibri" w:cs="Calibri"/>
                <w:b/>
                <w:bCs/>
                <w:sz w:val="22"/>
                <w:szCs w:val="22"/>
                <w:lang w:eastAsia="en-AU"/>
              </w:rPr>
              <w:t>Net financial liabilities to GSP</w:t>
            </w:r>
          </w:p>
        </w:tc>
        <w:tc>
          <w:tcPr>
            <w:tcW w:w="1006" w:type="dxa"/>
            <w:tcBorders>
              <w:top w:val="single" w:sz="6" w:space="0" w:color="auto"/>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18.8</w:t>
            </w:r>
          </w:p>
        </w:tc>
        <w:tc>
          <w:tcPr>
            <w:tcW w:w="1006" w:type="dxa"/>
            <w:tcBorders>
              <w:top w:val="single" w:sz="6" w:space="0" w:color="auto"/>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958" w:type="dxa"/>
            <w:tcBorders>
              <w:top w:val="single" w:sz="6" w:space="0" w:color="auto"/>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20.4</w:t>
            </w:r>
          </w:p>
        </w:tc>
        <w:tc>
          <w:tcPr>
            <w:tcW w:w="1170" w:type="dxa"/>
            <w:tcBorders>
              <w:top w:val="single" w:sz="6" w:space="0" w:color="auto"/>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w:t>
            </w:r>
          </w:p>
        </w:tc>
        <w:tc>
          <w:tcPr>
            <w:tcW w:w="890" w:type="dxa"/>
            <w:tcBorders>
              <w:top w:val="single" w:sz="6" w:space="0" w:color="auto"/>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19.5</w:t>
            </w:r>
          </w:p>
        </w:tc>
      </w:tr>
    </w:tbl>
    <w:p w:rsidR="00336793" w:rsidRDefault="00336793" w:rsidP="00DF0B96">
      <w:pPr>
        <w:pStyle w:val="Source"/>
      </w:pPr>
      <w:r w:rsidRPr="00CA4E36">
        <w:t xml:space="preserve">Source: Department of </w:t>
      </w:r>
      <w:r w:rsidRPr="007D51F0">
        <w:t>Treasury</w:t>
      </w:r>
      <w:r w:rsidRPr="00CA4E36">
        <w:t xml:space="preserve"> and Finance</w:t>
      </w:r>
    </w:p>
    <w:p w:rsidR="00336793" w:rsidRPr="00DC7639" w:rsidRDefault="00336793" w:rsidP="00DF0B96">
      <w:pPr>
        <w:pStyle w:val="Notes"/>
      </w:pPr>
    </w:p>
    <w:p w:rsidR="00336793" w:rsidRDefault="00336793">
      <w:pPr>
        <w:spacing w:after="0"/>
        <w:rPr>
          <w:rFonts w:ascii="Calibri" w:hAnsi="Calibri"/>
          <w:b/>
          <w:kern w:val="28"/>
          <w:sz w:val="28"/>
          <w:szCs w:val="22"/>
        </w:rPr>
      </w:pPr>
      <w:r>
        <w:br w:type="page"/>
      </w:r>
    </w:p>
    <w:p w:rsidR="00336793" w:rsidRDefault="00336793" w:rsidP="00DF0B96">
      <w:pPr>
        <w:pStyle w:val="Heading2"/>
      </w:pPr>
      <w:r>
        <w:lastRenderedPageBreak/>
        <w:t>Indicators of financial condition</w:t>
      </w:r>
    </w:p>
    <w:p w:rsidR="00336793" w:rsidRDefault="00336793" w:rsidP="00DF0B96">
      <w:r>
        <w:t xml:space="preserve">Table 3.4 shows some key financial indicators for the NFPS and are important benchmarks of the NFPS sustainability. </w:t>
      </w:r>
    </w:p>
    <w:p w:rsidR="00336793" w:rsidRPr="00D3665D" w:rsidRDefault="00336793" w:rsidP="00DF0B96">
      <w:r w:rsidRPr="00D3665D">
        <w:t xml:space="preserve">The operating cash flow surplus to </w:t>
      </w:r>
      <w:r>
        <w:t>revenue</w:t>
      </w:r>
      <w:r w:rsidRPr="00D3665D">
        <w:t xml:space="preserve"> ratio has declined</w:t>
      </w:r>
      <w:r>
        <w:t xml:space="preserve"> in 2014</w:t>
      </w:r>
      <w:r>
        <w:noBreakHyphen/>
        <w:t>15 compared to 2013</w:t>
      </w:r>
      <w:r>
        <w:noBreakHyphen/>
        <w:t>14</w:t>
      </w:r>
      <w:r w:rsidRPr="00D3665D">
        <w:t xml:space="preserve">, mainly due to </w:t>
      </w:r>
      <w:r>
        <w:t>finalisation of the agreement with the East West Link consortium and the</w:t>
      </w:r>
      <w:r w:rsidRPr="0032085D">
        <w:t xml:space="preserve"> </w:t>
      </w:r>
      <w:r>
        <w:t>early unexpected receipt of Commonwealth grants revenue in 2013</w:t>
      </w:r>
      <w:r>
        <w:noBreakHyphen/>
        <w:t>14</w:t>
      </w:r>
      <w:r w:rsidRPr="00D3665D">
        <w:t>.</w:t>
      </w:r>
    </w:p>
    <w:p w:rsidR="00336793" w:rsidRDefault="00336793" w:rsidP="00DF0B96">
      <w:r>
        <w:t>Gross debt to revenue has fallen since 2012</w:t>
      </w:r>
      <w:r>
        <w:noBreakHyphen/>
        <w:t>13 while interest expense to revenue has stabilised since 2012</w:t>
      </w:r>
      <w:r>
        <w:noBreakHyphen/>
        <w:t>13</w:t>
      </w:r>
      <w:r w:rsidRPr="00D3665D">
        <w:t>.</w:t>
      </w:r>
    </w:p>
    <w:p w:rsidR="00336793" w:rsidRDefault="00336793" w:rsidP="00DF0B96">
      <w:pPr>
        <w:pStyle w:val="Tableheading"/>
      </w:pPr>
      <w:r>
        <w:t>Table 3.4:</w:t>
      </w:r>
      <w:r>
        <w:tab/>
      </w:r>
      <w:r w:rsidRPr="002D4409">
        <w:t>Indicators of financial condition for NFPS</w:t>
      </w:r>
    </w:p>
    <w:p w:rsidR="00336793" w:rsidRPr="00A558B8" w:rsidRDefault="00336793" w:rsidP="00DF0B96">
      <w:pPr>
        <w:pStyle w:val="million"/>
        <w:rPr>
          <w:rFonts w:ascii="Garamond" w:hAnsi="Garamond"/>
          <w:sz w:val="24"/>
        </w:rPr>
      </w:pPr>
      <w:r>
        <w:t>(per cent)</w:t>
      </w:r>
    </w:p>
    <w:tbl>
      <w:tblPr>
        <w:tblW w:w="9637" w:type="dxa"/>
        <w:tblInd w:w="28" w:type="dxa"/>
        <w:tblLayout w:type="fixed"/>
        <w:tblCellMar>
          <w:left w:w="45" w:type="dxa"/>
          <w:right w:w="45" w:type="dxa"/>
        </w:tblCellMar>
        <w:tblLook w:val="0000" w:firstRow="0" w:lastRow="0" w:firstColumn="0" w:lastColumn="0" w:noHBand="0" w:noVBand="0"/>
      </w:tblPr>
      <w:tblGrid>
        <w:gridCol w:w="4607"/>
        <w:gridCol w:w="718"/>
        <w:gridCol w:w="719"/>
        <w:gridCol w:w="718"/>
        <w:gridCol w:w="719"/>
        <w:gridCol w:w="718"/>
        <w:gridCol w:w="719"/>
        <w:gridCol w:w="719"/>
      </w:tblGrid>
      <w:tr w:rsidR="00336793" w:rsidRPr="00A558B8" w:rsidTr="00DF0B96">
        <w:tc>
          <w:tcPr>
            <w:tcW w:w="4607" w:type="dxa"/>
            <w:tcBorders>
              <w:top w:val="single" w:sz="6" w:space="0" w:color="000000"/>
              <w:left w:val="single" w:sz="6" w:space="0" w:color="000000"/>
              <w:bottom w:val="single" w:sz="6" w:space="0" w:color="000000"/>
              <w:right w:val="nil"/>
            </w:tcBorders>
            <w:shd w:val="clear" w:color="000000" w:fill="000000"/>
          </w:tcPr>
          <w:p w:rsidR="00336793" w:rsidRPr="00A558B8" w:rsidRDefault="00336793" w:rsidP="00DF0B96">
            <w:pPr>
              <w:pStyle w:val="Tabletextheading"/>
              <w:jc w:val="left"/>
              <w:rPr>
                <w:rFonts w:eastAsiaTheme="minorEastAsia"/>
                <w:color w:val="FFFFFF"/>
                <w:lang w:eastAsia="en-AU"/>
              </w:rPr>
            </w:pPr>
            <w:r w:rsidRPr="00A558B8">
              <w:rPr>
                <w:rFonts w:eastAsiaTheme="minorEastAsia"/>
                <w:color w:val="FFFFFF"/>
                <w:lang w:eastAsia="en-AU"/>
              </w:rPr>
              <w:t xml:space="preserve"> </w:t>
            </w:r>
          </w:p>
        </w:tc>
        <w:tc>
          <w:tcPr>
            <w:tcW w:w="718" w:type="dxa"/>
            <w:tcBorders>
              <w:top w:val="single" w:sz="6" w:space="0" w:color="000000"/>
              <w:left w:val="nil"/>
              <w:bottom w:val="single" w:sz="6" w:space="0" w:color="000000"/>
              <w:right w:val="nil"/>
            </w:tcBorders>
            <w:shd w:val="clear" w:color="000000" w:fill="000000"/>
          </w:tcPr>
          <w:p w:rsidR="00336793" w:rsidRPr="00A558B8" w:rsidRDefault="00336793" w:rsidP="00DF0B96">
            <w:pPr>
              <w:pStyle w:val="Tabletextheading"/>
              <w:rPr>
                <w:rFonts w:eastAsiaTheme="minorEastAsia"/>
                <w:color w:val="FFFFFF"/>
                <w:lang w:eastAsia="en-AU"/>
              </w:rPr>
            </w:pPr>
            <w:r w:rsidRPr="00A558B8">
              <w:rPr>
                <w:rFonts w:eastAsiaTheme="minorEastAsia"/>
                <w:color w:val="FFFFFF"/>
                <w:lang w:eastAsia="en-AU"/>
              </w:rPr>
              <w:t>2009</w:t>
            </w:r>
          </w:p>
        </w:tc>
        <w:tc>
          <w:tcPr>
            <w:tcW w:w="719" w:type="dxa"/>
            <w:tcBorders>
              <w:top w:val="single" w:sz="6" w:space="0" w:color="000000"/>
              <w:left w:val="nil"/>
              <w:bottom w:val="single" w:sz="6" w:space="0" w:color="000000"/>
              <w:right w:val="nil"/>
            </w:tcBorders>
            <w:shd w:val="clear" w:color="000000" w:fill="000000"/>
          </w:tcPr>
          <w:p w:rsidR="00336793" w:rsidRPr="00A558B8" w:rsidRDefault="00336793" w:rsidP="00DF0B96">
            <w:pPr>
              <w:pStyle w:val="Tabletextheading"/>
              <w:rPr>
                <w:rFonts w:eastAsiaTheme="minorEastAsia"/>
                <w:color w:val="FFFFFF"/>
                <w:lang w:eastAsia="en-AU"/>
              </w:rPr>
            </w:pPr>
            <w:r w:rsidRPr="00A558B8">
              <w:rPr>
                <w:rFonts w:eastAsiaTheme="minorEastAsia"/>
                <w:color w:val="FFFFFF"/>
                <w:lang w:eastAsia="en-AU"/>
              </w:rPr>
              <w:t>2010</w:t>
            </w:r>
          </w:p>
        </w:tc>
        <w:tc>
          <w:tcPr>
            <w:tcW w:w="718" w:type="dxa"/>
            <w:tcBorders>
              <w:top w:val="single" w:sz="6" w:space="0" w:color="000000"/>
              <w:left w:val="nil"/>
              <w:bottom w:val="single" w:sz="6" w:space="0" w:color="000000"/>
              <w:right w:val="nil"/>
            </w:tcBorders>
            <w:shd w:val="clear" w:color="000000" w:fill="000000"/>
          </w:tcPr>
          <w:p w:rsidR="00336793" w:rsidRPr="00A558B8" w:rsidRDefault="00336793" w:rsidP="00DF0B96">
            <w:pPr>
              <w:pStyle w:val="Tabletextheading"/>
              <w:rPr>
                <w:rFonts w:eastAsiaTheme="minorEastAsia"/>
                <w:color w:val="FFFFFF"/>
                <w:lang w:eastAsia="en-AU"/>
              </w:rPr>
            </w:pPr>
            <w:r w:rsidRPr="00A558B8">
              <w:rPr>
                <w:rFonts w:eastAsiaTheme="minorEastAsia"/>
                <w:color w:val="FFFFFF"/>
                <w:lang w:eastAsia="en-AU"/>
              </w:rPr>
              <w:t>2011</w:t>
            </w:r>
          </w:p>
        </w:tc>
        <w:tc>
          <w:tcPr>
            <w:tcW w:w="719" w:type="dxa"/>
            <w:tcBorders>
              <w:top w:val="single" w:sz="6" w:space="0" w:color="000000"/>
              <w:left w:val="nil"/>
              <w:bottom w:val="single" w:sz="6" w:space="0" w:color="000000"/>
              <w:right w:val="nil"/>
            </w:tcBorders>
            <w:shd w:val="clear" w:color="000000" w:fill="000000"/>
          </w:tcPr>
          <w:p w:rsidR="00336793" w:rsidRPr="00A558B8" w:rsidRDefault="00336793" w:rsidP="00DF0B96">
            <w:pPr>
              <w:pStyle w:val="Tabletextheading"/>
              <w:rPr>
                <w:rFonts w:eastAsiaTheme="minorEastAsia"/>
                <w:color w:val="FFFFFF"/>
                <w:lang w:eastAsia="en-AU"/>
              </w:rPr>
            </w:pPr>
            <w:r w:rsidRPr="00A558B8">
              <w:rPr>
                <w:rFonts w:eastAsiaTheme="minorEastAsia"/>
                <w:color w:val="FFFFFF"/>
                <w:lang w:eastAsia="en-AU"/>
              </w:rPr>
              <w:t>2012</w:t>
            </w:r>
          </w:p>
        </w:tc>
        <w:tc>
          <w:tcPr>
            <w:tcW w:w="718" w:type="dxa"/>
            <w:tcBorders>
              <w:top w:val="single" w:sz="6" w:space="0" w:color="000000"/>
              <w:left w:val="nil"/>
              <w:bottom w:val="single" w:sz="6" w:space="0" w:color="000000"/>
              <w:right w:val="nil"/>
            </w:tcBorders>
            <w:shd w:val="clear" w:color="000000" w:fill="000000"/>
          </w:tcPr>
          <w:p w:rsidR="00336793" w:rsidRPr="00A558B8" w:rsidRDefault="00336793" w:rsidP="00DF0B96">
            <w:pPr>
              <w:pStyle w:val="Tabletextheading"/>
              <w:rPr>
                <w:rFonts w:eastAsiaTheme="minorEastAsia"/>
                <w:color w:val="FFFFFF"/>
                <w:lang w:eastAsia="en-AU"/>
              </w:rPr>
            </w:pPr>
            <w:r w:rsidRPr="00A558B8">
              <w:rPr>
                <w:rFonts w:eastAsiaTheme="minorEastAsia"/>
                <w:color w:val="FFFFFF"/>
                <w:lang w:eastAsia="en-AU"/>
              </w:rPr>
              <w:t>2013</w:t>
            </w:r>
          </w:p>
        </w:tc>
        <w:tc>
          <w:tcPr>
            <w:tcW w:w="719" w:type="dxa"/>
            <w:tcBorders>
              <w:top w:val="single" w:sz="6" w:space="0" w:color="000000"/>
              <w:left w:val="nil"/>
              <w:bottom w:val="single" w:sz="6" w:space="0" w:color="000000"/>
              <w:right w:val="nil"/>
            </w:tcBorders>
            <w:shd w:val="clear" w:color="000000" w:fill="000000"/>
          </w:tcPr>
          <w:p w:rsidR="00336793" w:rsidRPr="00A558B8" w:rsidRDefault="00336793" w:rsidP="00DF0B96">
            <w:pPr>
              <w:pStyle w:val="Tabletextheading"/>
              <w:rPr>
                <w:rFonts w:eastAsiaTheme="minorEastAsia"/>
                <w:color w:val="FFFFFF"/>
                <w:lang w:eastAsia="en-AU"/>
              </w:rPr>
            </w:pPr>
            <w:r w:rsidRPr="00A558B8">
              <w:rPr>
                <w:rFonts w:eastAsiaTheme="minorEastAsia"/>
                <w:color w:val="FFFFFF"/>
                <w:lang w:eastAsia="en-AU"/>
              </w:rPr>
              <w:t>2014</w:t>
            </w:r>
          </w:p>
        </w:tc>
        <w:tc>
          <w:tcPr>
            <w:tcW w:w="719" w:type="dxa"/>
            <w:tcBorders>
              <w:top w:val="single" w:sz="6" w:space="0" w:color="000000"/>
              <w:left w:val="nil"/>
              <w:bottom w:val="single" w:sz="6" w:space="0" w:color="000000"/>
              <w:right w:val="single" w:sz="6" w:space="0" w:color="000000"/>
            </w:tcBorders>
            <w:shd w:val="clear" w:color="000000" w:fill="000000"/>
          </w:tcPr>
          <w:p w:rsidR="00336793" w:rsidRPr="00A558B8" w:rsidRDefault="00336793" w:rsidP="00DF0B96">
            <w:pPr>
              <w:pStyle w:val="Tabletextheading"/>
              <w:rPr>
                <w:rFonts w:eastAsiaTheme="minorEastAsia"/>
                <w:color w:val="FFFFFF"/>
                <w:lang w:eastAsia="en-AU"/>
              </w:rPr>
            </w:pPr>
            <w:r w:rsidRPr="00A558B8">
              <w:rPr>
                <w:rFonts w:eastAsiaTheme="minorEastAsia"/>
                <w:color w:val="FFFFFF"/>
                <w:lang w:eastAsia="en-AU"/>
              </w:rPr>
              <w:t>2015</w:t>
            </w:r>
          </w:p>
        </w:tc>
      </w:tr>
      <w:tr w:rsidR="00336793" w:rsidRPr="00A558B8" w:rsidTr="00DF0B96">
        <w:tc>
          <w:tcPr>
            <w:tcW w:w="4607" w:type="dxa"/>
            <w:tcBorders>
              <w:top w:val="single" w:sz="6" w:space="0" w:color="000000"/>
              <w:left w:val="nil"/>
              <w:bottom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Operating cash flow surplus to revenue</w:t>
            </w:r>
          </w:p>
        </w:tc>
        <w:tc>
          <w:tcPr>
            <w:tcW w:w="718"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6.8</w:t>
            </w:r>
          </w:p>
        </w:tc>
        <w:tc>
          <w:tcPr>
            <w:tcW w:w="719"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9.8</w:t>
            </w:r>
          </w:p>
        </w:tc>
        <w:tc>
          <w:tcPr>
            <w:tcW w:w="718"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8.6</w:t>
            </w:r>
          </w:p>
        </w:tc>
        <w:tc>
          <w:tcPr>
            <w:tcW w:w="719"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7.6</w:t>
            </w:r>
          </w:p>
        </w:tc>
        <w:tc>
          <w:tcPr>
            <w:tcW w:w="718"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4.9</w:t>
            </w:r>
          </w:p>
        </w:tc>
        <w:tc>
          <w:tcPr>
            <w:tcW w:w="719"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10.0</w:t>
            </w:r>
          </w:p>
        </w:tc>
        <w:tc>
          <w:tcPr>
            <w:tcW w:w="719" w:type="dxa"/>
            <w:tcBorders>
              <w:top w:val="single" w:sz="6" w:space="0" w:color="000000"/>
              <w:left w:val="nil"/>
              <w:bottom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9.1</w:t>
            </w:r>
          </w:p>
        </w:tc>
      </w:tr>
      <w:tr w:rsidR="00336793" w:rsidRPr="00A558B8" w:rsidTr="00DF0B96">
        <w:tc>
          <w:tcPr>
            <w:tcW w:w="4607" w:type="dxa"/>
            <w:tcBorders>
              <w:top w:val="nil"/>
              <w:left w:val="nil"/>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vertAlign w:val="superscript"/>
                <w:lang w:eastAsia="en-AU"/>
              </w:rPr>
            </w:pPr>
            <w:r w:rsidRPr="00A558B8">
              <w:rPr>
                <w:rFonts w:ascii="Calibri" w:eastAsiaTheme="minorEastAsia" w:hAnsi="Calibri" w:cs="Calibri"/>
                <w:sz w:val="22"/>
                <w:szCs w:val="22"/>
                <w:lang w:eastAsia="en-AU"/>
              </w:rPr>
              <w:t>Gross debt to revenue</w:t>
            </w:r>
            <w:r w:rsidRPr="00A558B8">
              <w:rPr>
                <w:rFonts w:ascii="Calibri" w:eastAsiaTheme="minorEastAsia" w:hAnsi="Calibri" w:cs="Calibri"/>
                <w:sz w:val="22"/>
                <w:szCs w:val="22"/>
                <w:vertAlign w:val="superscript"/>
                <w:lang w:eastAsia="en-AU"/>
              </w:rPr>
              <w:t xml:space="preserve"> (a)</w:t>
            </w:r>
          </w:p>
        </w:tc>
        <w:tc>
          <w:tcPr>
            <w:tcW w:w="718" w:type="dxa"/>
            <w:tcBorders>
              <w:top w:val="nil"/>
              <w:left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43.8</w:t>
            </w:r>
          </w:p>
        </w:tc>
        <w:tc>
          <w:tcPr>
            <w:tcW w:w="719" w:type="dxa"/>
            <w:tcBorders>
              <w:top w:val="nil"/>
              <w:left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48.6</w:t>
            </w:r>
          </w:p>
        </w:tc>
        <w:tc>
          <w:tcPr>
            <w:tcW w:w="718" w:type="dxa"/>
            <w:tcBorders>
              <w:top w:val="nil"/>
              <w:left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57.2</w:t>
            </w:r>
          </w:p>
        </w:tc>
        <w:tc>
          <w:tcPr>
            <w:tcW w:w="719" w:type="dxa"/>
            <w:tcBorders>
              <w:top w:val="nil"/>
              <w:left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66.5</w:t>
            </w:r>
          </w:p>
        </w:tc>
        <w:tc>
          <w:tcPr>
            <w:tcW w:w="718" w:type="dxa"/>
            <w:tcBorders>
              <w:top w:val="nil"/>
              <w:left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86.5</w:t>
            </w:r>
          </w:p>
        </w:tc>
        <w:tc>
          <w:tcPr>
            <w:tcW w:w="719" w:type="dxa"/>
            <w:tcBorders>
              <w:top w:val="nil"/>
              <w:left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81.5</w:t>
            </w:r>
          </w:p>
        </w:tc>
        <w:tc>
          <w:tcPr>
            <w:tcW w:w="719" w:type="dxa"/>
            <w:tcBorders>
              <w:top w:val="nil"/>
              <w:left w:val="nil"/>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81.0</w:t>
            </w:r>
          </w:p>
        </w:tc>
      </w:tr>
      <w:tr w:rsidR="00336793" w:rsidRPr="00A558B8" w:rsidTr="00DF0B96">
        <w:tc>
          <w:tcPr>
            <w:tcW w:w="4607" w:type="dxa"/>
            <w:tcBorders>
              <w:top w:val="nil"/>
              <w:left w:val="nil"/>
              <w:bottom w:val="single" w:sz="12" w:space="0" w:color="000000"/>
              <w:right w:val="nil"/>
            </w:tcBorders>
          </w:tcPr>
          <w:p w:rsidR="00336793" w:rsidRPr="00A558B8" w:rsidRDefault="00336793" w:rsidP="00DF0B96">
            <w:pPr>
              <w:autoSpaceDE w:val="0"/>
              <w:autoSpaceDN w:val="0"/>
              <w:adjustRightInd w:val="0"/>
              <w:spacing w:after="0"/>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Interest expense to revenue</w:t>
            </w:r>
          </w:p>
        </w:tc>
        <w:tc>
          <w:tcPr>
            <w:tcW w:w="718" w:type="dxa"/>
            <w:tcBorders>
              <w:top w:val="nil"/>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2.7</w:t>
            </w:r>
          </w:p>
        </w:tc>
        <w:tc>
          <w:tcPr>
            <w:tcW w:w="719" w:type="dxa"/>
            <w:tcBorders>
              <w:top w:val="nil"/>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2.9</w:t>
            </w:r>
          </w:p>
        </w:tc>
        <w:tc>
          <w:tcPr>
            <w:tcW w:w="718" w:type="dxa"/>
            <w:tcBorders>
              <w:top w:val="nil"/>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3.3</w:t>
            </w:r>
          </w:p>
        </w:tc>
        <w:tc>
          <w:tcPr>
            <w:tcW w:w="719" w:type="dxa"/>
            <w:tcBorders>
              <w:top w:val="nil"/>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3.8</w:t>
            </w:r>
          </w:p>
        </w:tc>
        <w:tc>
          <w:tcPr>
            <w:tcW w:w="718" w:type="dxa"/>
            <w:tcBorders>
              <w:top w:val="nil"/>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4.8</w:t>
            </w:r>
          </w:p>
        </w:tc>
        <w:tc>
          <w:tcPr>
            <w:tcW w:w="719" w:type="dxa"/>
            <w:tcBorders>
              <w:top w:val="nil"/>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5.0</w:t>
            </w:r>
          </w:p>
        </w:tc>
        <w:tc>
          <w:tcPr>
            <w:tcW w:w="719" w:type="dxa"/>
            <w:tcBorders>
              <w:top w:val="nil"/>
              <w:left w:val="nil"/>
              <w:bottom w:val="single" w:sz="12" w:space="0" w:color="000000"/>
              <w:right w:val="nil"/>
            </w:tcBorders>
            <w:shd w:val="solid" w:color="FFFFFF" w:fill="auto"/>
          </w:tcPr>
          <w:p w:rsidR="00336793" w:rsidRPr="00A558B8"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558B8">
              <w:rPr>
                <w:rFonts w:ascii="Calibri" w:eastAsiaTheme="minorEastAsia" w:hAnsi="Calibri" w:cs="Calibri"/>
                <w:sz w:val="22"/>
                <w:szCs w:val="22"/>
                <w:lang w:eastAsia="en-AU"/>
              </w:rPr>
              <w:t xml:space="preserve"> 4.9</w:t>
            </w:r>
          </w:p>
        </w:tc>
      </w:tr>
    </w:tbl>
    <w:p w:rsidR="00336793" w:rsidRDefault="00336793" w:rsidP="00DF0B96">
      <w:pPr>
        <w:pStyle w:val="Source"/>
      </w:pPr>
      <w:r>
        <w:t xml:space="preserve">Source: </w:t>
      </w:r>
      <w:r w:rsidRPr="004E2FE8">
        <w:t>Department</w:t>
      </w:r>
      <w:r>
        <w:t xml:space="preserve"> of Treasury and Finance</w:t>
      </w:r>
    </w:p>
    <w:p w:rsidR="00336793" w:rsidRDefault="00336793" w:rsidP="00DF0B96">
      <w:pPr>
        <w:pStyle w:val="Notes"/>
      </w:pPr>
      <w:r w:rsidRPr="007D51F0">
        <w:t>Note</w:t>
      </w:r>
      <w:r>
        <w:t>:</w:t>
      </w:r>
    </w:p>
    <w:p w:rsidR="00336793" w:rsidRDefault="00336793" w:rsidP="00DF0B96">
      <w:pPr>
        <w:pStyle w:val="Notes"/>
      </w:pPr>
      <w:r>
        <w:t>(a)</w:t>
      </w:r>
      <w:r>
        <w:tab/>
        <w:t xml:space="preserve">Gross </w:t>
      </w:r>
      <w:r w:rsidRPr="004E2FE8">
        <w:t>debt</w:t>
      </w:r>
      <w:r>
        <w:t xml:space="preserve"> comprises </w:t>
      </w:r>
      <w:r w:rsidRPr="007D51F0">
        <w:t>borrowings</w:t>
      </w:r>
      <w:r>
        <w:t xml:space="preserve"> and deposits held and advances received.</w:t>
      </w:r>
    </w:p>
    <w:p w:rsidR="00336793" w:rsidRDefault="00336793" w:rsidP="00DF0B96">
      <w:pPr>
        <w:pStyle w:val="Notes"/>
      </w:pPr>
    </w:p>
    <w:p w:rsidR="00336793" w:rsidRDefault="00336793" w:rsidP="00DF0B96"/>
    <w:p w:rsidR="00336793" w:rsidRDefault="00336793" w:rsidP="0028370C"/>
    <w:p w:rsidR="00336793" w:rsidRDefault="00336793" w:rsidP="009B024D">
      <w:pPr>
        <w:sectPr w:rsidR="00336793" w:rsidSect="003C06CE">
          <w:footerReference w:type="even" r:id="rId25"/>
          <w:footerReference w:type="default" r:id="rId26"/>
          <w:type w:val="oddPage"/>
          <w:pgSz w:w="11906" w:h="16838" w:code="9"/>
          <w:pgMar w:top="1152" w:right="1152" w:bottom="1152" w:left="1152" w:header="720" w:footer="720" w:gutter="0"/>
          <w:cols w:space="708"/>
          <w:docGrid w:linePitch="360"/>
        </w:sectPr>
      </w:pPr>
    </w:p>
    <w:p w:rsidR="00336793" w:rsidRDefault="00336793" w:rsidP="00DF0B96">
      <w:pPr>
        <w:pStyle w:val="ChapterHeading"/>
      </w:pPr>
      <w:bookmarkStart w:id="26" w:name="_Toc433984474"/>
      <w:r w:rsidRPr="002D292F">
        <w:lastRenderedPageBreak/>
        <w:t>Chapter 4 – Annual Financial Report</w:t>
      </w:r>
      <w:bookmarkEnd w:id="26"/>
    </w:p>
    <w:p w:rsidR="00336793" w:rsidRPr="00040686" w:rsidRDefault="00336793" w:rsidP="00DF0B96">
      <w:pPr>
        <w:pStyle w:val="Heading2"/>
      </w:pPr>
      <w:r w:rsidRPr="00040686">
        <w:t>This chapter contains the audited 2014</w:t>
      </w:r>
      <w:r>
        <w:noBreakHyphen/>
      </w:r>
      <w:r w:rsidRPr="00040686">
        <w:t>15 financial report for the State of Victoria and the Victorian general government sector.</w:t>
      </w:r>
    </w:p>
    <w:p w:rsidR="00336793" w:rsidRDefault="00336793" w:rsidP="00DF0B96">
      <w:pPr>
        <w:rPr>
          <w:b/>
        </w:rPr>
      </w:pPr>
    </w:p>
    <w:p w:rsidR="00336793" w:rsidRDefault="00336793">
      <w:pPr>
        <w:spacing w:after="0"/>
        <w:rPr>
          <w:b/>
        </w:rPr>
      </w:pPr>
      <w:r>
        <w:rPr>
          <w:b/>
        </w:rPr>
        <w:br w:type="page"/>
      </w:r>
    </w:p>
    <w:p w:rsidR="00336793" w:rsidRDefault="00336793" w:rsidP="00DF0B96">
      <w:pPr>
        <w:pStyle w:val="Heading1"/>
      </w:pPr>
      <w:bookmarkStart w:id="27" w:name="_Toc391549914"/>
      <w:bookmarkStart w:id="28" w:name="_Toc433984475"/>
      <w:r w:rsidRPr="002D292F">
        <w:lastRenderedPageBreak/>
        <w:t>Report of the Auditor General</w:t>
      </w:r>
      <w:bookmarkEnd w:id="27"/>
      <w:bookmarkEnd w:id="28"/>
    </w:p>
    <w:p w:rsidR="00336793" w:rsidRDefault="00DA6577" w:rsidP="00DA6577">
      <w:r>
        <w:rPr>
          <w:noProof/>
          <w:lang w:eastAsia="en-AU"/>
        </w:rPr>
        <w:drawing>
          <wp:inline distT="0" distB="0" distL="0" distR="0" wp14:anchorId="1EE7B9E4" wp14:editId="3AD3334D">
            <wp:extent cx="5962650" cy="8505825"/>
            <wp:effectExtent l="0" t="0" r="0" b="9525"/>
            <wp:docPr id="51" name="Picture 51" descr="R:\Admin\eDraftPDFs\AFR\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dmin\eDraftPDFs\AFR\Page 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094" t="553" r="1094" b="774"/>
                    <a:stretch/>
                  </pic:blipFill>
                  <pic:spPr bwMode="auto">
                    <a:xfrm>
                      <a:off x="0" y="0"/>
                      <a:ext cx="5962650" cy="8505825"/>
                    </a:xfrm>
                    <a:prstGeom prst="rect">
                      <a:avLst/>
                    </a:prstGeom>
                    <a:noFill/>
                    <a:ln>
                      <a:noFill/>
                    </a:ln>
                    <a:extLst>
                      <a:ext uri="{53640926-AAD7-44D8-BBD7-CCE9431645EC}">
                        <a14:shadowObscured xmlns:a14="http://schemas.microsoft.com/office/drawing/2010/main"/>
                      </a:ext>
                    </a:extLst>
                  </pic:spPr>
                </pic:pic>
              </a:graphicData>
            </a:graphic>
          </wp:inline>
        </w:drawing>
      </w:r>
    </w:p>
    <w:p w:rsidR="00DA6577" w:rsidRDefault="00DA6577" w:rsidP="00DA6577">
      <w:pPr>
        <w:pStyle w:val="TableofContentscontinued"/>
        <w:rPr>
          <w:i/>
        </w:rPr>
      </w:pPr>
      <w:r w:rsidRPr="002D292F">
        <w:lastRenderedPageBreak/>
        <w:t>Report of the Auditor General</w:t>
      </w:r>
      <w:r w:rsidRPr="002D292F">
        <w:rPr>
          <w:i/>
        </w:rPr>
        <w:t xml:space="preserve"> (continued)</w:t>
      </w:r>
    </w:p>
    <w:p w:rsidR="00336793" w:rsidRDefault="0092044D" w:rsidP="00DF0B96">
      <w:r>
        <w:rPr>
          <w:noProof/>
          <w:lang w:eastAsia="en-AU"/>
        </w:rPr>
        <w:drawing>
          <wp:inline distT="0" distB="0" distL="0" distR="0" wp14:anchorId="5363D1C9" wp14:editId="3773EA6E">
            <wp:extent cx="5915025" cy="8448675"/>
            <wp:effectExtent l="0" t="0" r="9525" b="9525"/>
            <wp:docPr id="55" name="Picture 55" descr="R:\Admin\eDraftPDFs\AFR\P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dmin\eDraftPDFs\AFR\Page 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031" t="993" r="937" b="1104"/>
                    <a:stretch/>
                  </pic:blipFill>
                  <pic:spPr bwMode="auto">
                    <a:xfrm>
                      <a:off x="0" y="0"/>
                      <a:ext cx="5915025" cy="8448675"/>
                    </a:xfrm>
                    <a:prstGeom prst="rect">
                      <a:avLst/>
                    </a:prstGeom>
                    <a:noFill/>
                    <a:ln>
                      <a:noFill/>
                    </a:ln>
                    <a:extLst>
                      <a:ext uri="{53640926-AAD7-44D8-BBD7-CCE9431645EC}">
                        <a14:shadowObscured xmlns:a14="http://schemas.microsoft.com/office/drawing/2010/main"/>
                      </a:ext>
                    </a:extLst>
                  </pic:spPr>
                </pic:pic>
              </a:graphicData>
            </a:graphic>
          </wp:inline>
        </w:drawing>
      </w:r>
    </w:p>
    <w:p w:rsidR="00336793" w:rsidRDefault="00336793">
      <w:pPr>
        <w:spacing w:after="0"/>
      </w:pPr>
      <w:r>
        <w:br w:type="page"/>
      </w:r>
    </w:p>
    <w:p w:rsidR="00336793" w:rsidRDefault="00336793" w:rsidP="00DF0B96">
      <w:pPr>
        <w:pStyle w:val="TableofContentscontinued"/>
        <w:rPr>
          <w:i/>
        </w:rPr>
      </w:pPr>
      <w:r w:rsidRPr="002D292F">
        <w:lastRenderedPageBreak/>
        <w:t>Report of the Auditor General</w:t>
      </w:r>
      <w:r w:rsidRPr="002D292F">
        <w:rPr>
          <w:i/>
        </w:rPr>
        <w:t xml:space="preserve"> (continued)</w:t>
      </w:r>
    </w:p>
    <w:p w:rsidR="00336793" w:rsidRDefault="00DA6577" w:rsidP="00DA6577">
      <w:pPr>
        <w:spacing w:after="0"/>
      </w:pPr>
      <w:r>
        <w:rPr>
          <w:noProof/>
          <w:lang w:eastAsia="en-AU"/>
        </w:rPr>
        <w:drawing>
          <wp:inline distT="0" distB="0" distL="0" distR="0" wp14:anchorId="74F552B4" wp14:editId="0272ADF1">
            <wp:extent cx="5981700" cy="8496300"/>
            <wp:effectExtent l="0" t="0" r="0" b="0"/>
            <wp:docPr id="53" name="Picture 53" descr="R:\Admin\eDraftPDFs\AFR\P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dmin\eDraftPDFs\AFR\Page 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93" t="664" r="781" b="553"/>
                    <a:stretch/>
                  </pic:blipFill>
                  <pic:spPr bwMode="auto">
                    <a:xfrm>
                      <a:off x="0" y="0"/>
                      <a:ext cx="5981700" cy="8496300"/>
                    </a:xfrm>
                    <a:prstGeom prst="rect">
                      <a:avLst/>
                    </a:prstGeom>
                    <a:noFill/>
                    <a:ln>
                      <a:noFill/>
                    </a:ln>
                    <a:extLst>
                      <a:ext uri="{53640926-AAD7-44D8-BBD7-CCE9431645EC}">
                        <a14:shadowObscured xmlns:a14="http://schemas.microsoft.com/office/drawing/2010/main"/>
                      </a:ext>
                    </a:extLst>
                  </pic:spPr>
                </pic:pic>
              </a:graphicData>
            </a:graphic>
          </wp:inline>
        </w:drawing>
      </w:r>
    </w:p>
    <w:p w:rsidR="00336793" w:rsidRDefault="00336793">
      <w:pPr>
        <w:spacing w:after="0"/>
      </w:pPr>
      <w:r>
        <w:br w:type="page"/>
      </w:r>
    </w:p>
    <w:p w:rsidR="00336793" w:rsidRPr="00F23E76" w:rsidRDefault="00336793" w:rsidP="00DF0B96">
      <w:pPr>
        <w:keepNext/>
        <w:spacing w:before="240"/>
        <w:outlineLvl w:val="1"/>
        <w:rPr>
          <w:rFonts w:ascii="Calibri" w:hAnsi="Calibri"/>
          <w:b/>
          <w:kern w:val="28"/>
          <w:sz w:val="28"/>
        </w:rPr>
      </w:pPr>
      <w:r w:rsidRPr="00F23E76">
        <w:rPr>
          <w:rFonts w:ascii="Calibri" w:hAnsi="Calibri"/>
          <w:b/>
          <w:kern w:val="28"/>
          <w:sz w:val="28"/>
        </w:rPr>
        <w:lastRenderedPageBreak/>
        <w:t>Certification by the Treasurer and the Department of Treasury and Finance</w:t>
      </w:r>
    </w:p>
    <w:p w:rsidR="00336793" w:rsidRPr="00F23E76" w:rsidRDefault="00336793" w:rsidP="00DF0B96">
      <w:r w:rsidRPr="00F23E76">
        <w:t xml:space="preserve">The </w:t>
      </w:r>
      <w:r w:rsidRPr="00F23E76">
        <w:rPr>
          <w:i/>
        </w:rPr>
        <w:t>Annual Financial Report</w:t>
      </w:r>
      <w:r w:rsidRPr="00F23E76">
        <w:t xml:space="preserve"> has been prepared by the Department of Treasury and Finance through the consolidation of financial information provided by the Victorian public sector reporting entities listed herein.</w:t>
      </w:r>
    </w:p>
    <w:p w:rsidR="00336793" w:rsidRPr="00F23E76" w:rsidRDefault="00336793" w:rsidP="00DF0B96">
      <w:r w:rsidRPr="00F23E76">
        <w:t xml:space="preserve">In our opinion, the </w:t>
      </w:r>
      <w:r w:rsidRPr="00F23E76">
        <w:rPr>
          <w:i/>
        </w:rPr>
        <w:t>Annual Financial Report</w:t>
      </w:r>
      <w:r w:rsidRPr="00F23E76">
        <w:t>, which comprises of the consolidated comprehensive operating statement, consolidated balance sheet, consolidated cash flow statement, consolidated statement of changes in equity, and notes to the financial statements of the State and the Victorian general government sector as at 30 June 2015:</w:t>
      </w:r>
    </w:p>
    <w:p w:rsidR="00336793" w:rsidRPr="00F23E76" w:rsidRDefault="00336793" w:rsidP="00DF0B96">
      <w:pPr>
        <w:ind w:left="567" w:hanging="567"/>
      </w:pPr>
      <w:r w:rsidRPr="00F23E76">
        <w:t>(a)</w:t>
      </w:r>
      <w:r w:rsidRPr="00F23E76">
        <w:tab/>
        <w:t>presents fairly the State and the Victorian general government sector</w:t>
      </w:r>
      <w:r>
        <w:t>’</w:t>
      </w:r>
      <w:r w:rsidRPr="00F23E76">
        <w:t>s financial positions as at 30 June 2015 and their financial performance and cash flows for the financial year ended on that date; and</w:t>
      </w:r>
    </w:p>
    <w:p w:rsidR="00336793" w:rsidRPr="00F23E76" w:rsidRDefault="00336793" w:rsidP="00DF0B96">
      <w:pPr>
        <w:ind w:left="567" w:hanging="567"/>
      </w:pPr>
      <w:r w:rsidRPr="00F23E76">
        <w:t>(b)</w:t>
      </w:r>
      <w:r w:rsidRPr="00F23E76">
        <w:tab/>
        <w:t xml:space="preserve">has been prepared in accordance with Australian Accounting Standards and pronouncements, in particular AASB 1049 </w:t>
      </w:r>
      <w:r w:rsidRPr="00F23E76">
        <w:rPr>
          <w:i/>
        </w:rPr>
        <w:t xml:space="preserve">Whole of Government and General Government Sector Financial Reporting </w:t>
      </w:r>
      <w:r w:rsidRPr="00F23E76">
        <w:t xml:space="preserve">and the financial reporting requirements contained in Part 5 of the </w:t>
      </w:r>
      <w:r w:rsidRPr="00F23E76">
        <w:rPr>
          <w:i/>
        </w:rPr>
        <w:t>Financial Management Act 1994</w:t>
      </w:r>
      <w:r w:rsidRPr="00F23E76">
        <w:t>.</w:t>
      </w:r>
    </w:p>
    <w:p w:rsidR="00336793" w:rsidRPr="00F23E76" w:rsidRDefault="00336793" w:rsidP="00DF0B96">
      <w:r w:rsidRPr="00F23E76">
        <w:t xml:space="preserve">At the time of signing, we are not aware of any circumstances which would render any particulars included in the </w:t>
      </w:r>
      <w:r w:rsidRPr="00F23E76">
        <w:rPr>
          <w:i/>
        </w:rPr>
        <w:t>Annual Financial Report</w:t>
      </w:r>
      <w:r w:rsidRPr="00F23E76">
        <w:t xml:space="preserve"> to be misleading or inaccurate.</w:t>
      </w:r>
    </w:p>
    <w:p w:rsidR="00336793" w:rsidRPr="00F42983" w:rsidRDefault="00336793" w:rsidP="00DF0B96">
      <w:pPr>
        <w:pStyle w:val="Heading4"/>
      </w:pPr>
      <w:r w:rsidRPr="00F42983">
        <w:t>Accounting for the East West Link project funding</w:t>
      </w:r>
    </w:p>
    <w:p w:rsidR="00336793" w:rsidRPr="00F23E76" w:rsidRDefault="00336793" w:rsidP="00DF0B96">
      <w:pPr>
        <w:rPr>
          <w:color w:val="000000"/>
        </w:rPr>
      </w:pPr>
      <w:r w:rsidRPr="00F23E76">
        <w:t>Particular attention is drawn to Note 1(B) to the Annual Financial Report which describes the judgment</w:t>
      </w:r>
      <w:r>
        <w:t>s</w:t>
      </w:r>
      <w:r w:rsidRPr="00F23E76">
        <w:t xml:space="preserve"> </w:t>
      </w:r>
      <w:r>
        <w:t>made supporting the</w:t>
      </w:r>
      <w:r w:rsidRPr="00F23E76">
        <w:t xml:space="preserve"> basis of accounting</w:t>
      </w:r>
      <w:r>
        <w:t xml:space="preserve"> adopted for </w:t>
      </w:r>
      <w:r w:rsidRPr="00F23E76">
        <w:t>the $1.5</w:t>
      </w:r>
      <w:r>
        <w:t> billion</w:t>
      </w:r>
      <w:r w:rsidRPr="00F23E76">
        <w:t xml:space="preserve"> contribution previously provided by the Commonwealth Government </w:t>
      </w:r>
      <w:r>
        <w:t>towards</w:t>
      </w:r>
      <w:r w:rsidRPr="00F23E76">
        <w:t xml:space="preserve"> the former East West Link project</w:t>
      </w:r>
      <w:r>
        <w:t xml:space="preserve">. </w:t>
      </w:r>
      <w:r w:rsidRPr="00F23E76">
        <w:t>The contribution was received by the State i</w:t>
      </w:r>
      <w:r w:rsidRPr="00F23E76">
        <w:rPr>
          <w:color w:val="000000"/>
        </w:rPr>
        <w:t>n 2013</w:t>
      </w:r>
      <w:r>
        <w:rPr>
          <w:color w:val="000000"/>
        </w:rPr>
        <w:noBreakHyphen/>
      </w:r>
      <w:r w:rsidRPr="00F23E76">
        <w:rPr>
          <w:color w:val="000000"/>
        </w:rPr>
        <w:t xml:space="preserve">14 </w:t>
      </w:r>
      <w:r>
        <w:rPr>
          <w:color w:val="000000"/>
        </w:rPr>
        <w:t>and</w:t>
      </w:r>
      <w:r w:rsidRPr="00F23E76">
        <w:rPr>
          <w:color w:val="000000"/>
        </w:rPr>
        <w:t xml:space="preserve"> recorded as </w:t>
      </w:r>
      <w:r>
        <w:rPr>
          <w:color w:val="000000"/>
        </w:rPr>
        <w:t>‘</w:t>
      </w:r>
      <w:r w:rsidRPr="00F23E76">
        <w:rPr>
          <w:color w:val="000000"/>
        </w:rPr>
        <w:t>income from transactions</w:t>
      </w:r>
      <w:r>
        <w:rPr>
          <w:color w:val="000000"/>
        </w:rPr>
        <w:t>’</w:t>
      </w:r>
      <w:r w:rsidRPr="00F23E76">
        <w:rPr>
          <w:color w:val="000000"/>
        </w:rPr>
        <w:t xml:space="preserve"> in th</w:t>
      </w:r>
      <w:r>
        <w:rPr>
          <w:color w:val="000000"/>
        </w:rPr>
        <w:t>at</w:t>
      </w:r>
      <w:r w:rsidRPr="00F23E76">
        <w:rPr>
          <w:color w:val="000000"/>
        </w:rPr>
        <w:t xml:space="preserve"> year. </w:t>
      </w:r>
    </w:p>
    <w:p w:rsidR="00336793" w:rsidRDefault="00336793" w:rsidP="00DF0B96">
      <w:r w:rsidRPr="00F23E76">
        <w:t>Following the election in November 2014, the new Victorian Government confirmed that the East West Link project would not proceed and that the State would not return the $1.5</w:t>
      </w:r>
      <w:r>
        <w:t> billion</w:t>
      </w:r>
      <w:r w:rsidRPr="00F23E76">
        <w:t xml:space="preserve"> to the Commonwealth Government. The State subsequently sought independent legal and accounting advice on the appropriate accounting treatment for this transaction in the 2014</w:t>
      </w:r>
      <w:r>
        <w:noBreakHyphen/>
      </w:r>
      <w:r w:rsidRPr="00F23E76">
        <w:t>15 financial year. This advice concluded that the State is not required to recognise a liability under Austr</w:t>
      </w:r>
      <w:r>
        <w:t>alian Accounting Standards AASB </w:t>
      </w:r>
      <w:r w:rsidRPr="00F23E76">
        <w:t xml:space="preserve">1004 </w:t>
      </w:r>
      <w:r w:rsidRPr="00F23E76">
        <w:rPr>
          <w:i/>
        </w:rPr>
        <w:t>Contributions</w:t>
      </w:r>
      <w:r w:rsidRPr="00F23E76">
        <w:t xml:space="preserve"> and AASB 137 </w:t>
      </w:r>
      <w:r w:rsidRPr="00F23E76">
        <w:rPr>
          <w:i/>
        </w:rPr>
        <w:t xml:space="preserve">Provisions, Contingent Liabilities and Contingent Assets </w:t>
      </w:r>
      <w:r w:rsidRPr="00F23E76">
        <w:t xml:space="preserve">as there is no present obligation on the State to return the funding previously received for the project. </w:t>
      </w:r>
    </w:p>
    <w:p w:rsidR="00336793" w:rsidRPr="00F23E76" w:rsidRDefault="00336793" w:rsidP="00DF0B96">
      <w:r>
        <w:rPr>
          <w:color w:val="000000"/>
        </w:rPr>
        <w:t>On this basis,</w:t>
      </w:r>
      <w:r w:rsidRPr="00F23E76">
        <w:rPr>
          <w:color w:val="000000"/>
        </w:rPr>
        <w:t xml:space="preserve"> the State is of the view that there is no present obligation on the State to return the funding as at 30 June 2015 and therefore no liability or expense has been recognised by the State in relation to this transaction</w:t>
      </w:r>
      <w:r>
        <w:rPr>
          <w:color w:val="000000"/>
        </w:rPr>
        <w:t xml:space="preserve">. </w:t>
      </w:r>
    </w:p>
    <w:p w:rsidR="00336793" w:rsidRPr="00F23E76" w:rsidRDefault="00336793" w:rsidP="00DF0B96"/>
    <w:p w:rsidR="00336793" w:rsidRPr="00F23E76" w:rsidRDefault="00336793" w:rsidP="00DF0B96"/>
    <w:p w:rsidR="00336793" w:rsidRDefault="00336793" w:rsidP="00375DD2">
      <w:pPr>
        <w:tabs>
          <w:tab w:val="left" w:pos="4680"/>
        </w:tabs>
        <w:spacing w:after="0"/>
      </w:pPr>
    </w:p>
    <w:p w:rsidR="00336793" w:rsidRDefault="00336793" w:rsidP="00DF0B96">
      <w:pPr>
        <w:tabs>
          <w:tab w:val="left" w:pos="5040"/>
        </w:tabs>
        <w:spacing w:after="0"/>
      </w:pPr>
    </w:p>
    <w:p w:rsidR="00336793" w:rsidRDefault="00336793" w:rsidP="00DF0B96">
      <w:pPr>
        <w:tabs>
          <w:tab w:val="left" w:pos="5040"/>
        </w:tabs>
        <w:spacing w:after="0"/>
      </w:pPr>
    </w:p>
    <w:p w:rsidR="00336793" w:rsidRDefault="00336793" w:rsidP="00DF0B96">
      <w:pPr>
        <w:tabs>
          <w:tab w:val="left" w:pos="5040"/>
        </w:tabs>
        <w:spacing w:after="0"/>
      </w:pPr>
    </w:p>
    <w:p w:rsidR="00336793" w:rsidRDefault="00336793" w:rsidP="00DF0B96">
      <w:pPr>
        <w:tabs>
          <w:tab w:val="left" w:pos="5040"/>
        </w:tabs>
        <w:spacing w:after="0"/>
        <w:rPr>
          <w:b/>
        </w:rPr>
      </w:pPr>
      <w:r w:rsidRPr="00F23E76">
        <w:t>Tim Pallas MP</w:t>
      </w:r>
      <w:r w:rsidRPr="00F23E76">
        <w:tab/>
        <w:t>David Martine</w:t>
      </w:r>
      <w:r w:rsidRPr="00F23E76">
        <w:br/>
      </w:r>
      <w:r w:rsidRPr="00F23E76">
        <w:rPr>
          <w:b/>
        </w:rPr>
        <w:t>Treasurer</w:t>
      </w:r>
      <w:r w:rsidRPr="00F23E76">
        <w:rPr>
          <w:b/>
        </w:rPr>
        <w:tab/>
        <w:t>Secretary</w:t>
      </w:r>
    </w:p>
    <w:p w:rsidR="00336793" w:rsidRPr="00F23E76" w:rsidRDefault="00336793" w:rsidP="00DF0B96"/>
    <w:p w:rsidR="00336793" w:rsidRPr="00F23E76" w:rsidRDefault="00336793" w:rsidP="00DF0B96">
      <w:pPr>
        <w:spacing w:after="0"/>
      </w:pPr>
      <w:r>
        <w:t>A</w:t>
      </w:r>
      <w:r w:rsidRPr="00F23E76">
        <w:t>uthorised for issue on:</w:t>
      </w:r>
    </w:p>
    <w:p w:rsidR="00336793" w:rsidRPr="00F23E76" w:rsidRDefault="00336793" w:rsidP="00DF0B96">
      <w:pPr>
        <w:spacing w:after="0"/>
      </w:pPr>
      <w:r>
        <w:t>28</w:t>
      </w:r>
      <w:r w:rsidRPr="00F23E76">
        <w:t xml:space="preserve"> </w:t>
      </w:r>
      <w:r w:rsidRPr="00204CEC">
        <w:t>October 2015</w:t>
      </w:r>
    </w:p>
    <w:p w:rsidR="00336793" w:rsidRDefault="00336793" w:rsidP="00DF0B96"/>
    <w:p w:rsidR="00336793" w:rsidRDefault="00336793">
      <w:pPr>
        <w:spacing w:after="0"/>
      </w:pPr>
      <w:r>
        <w:br w:type="page"/>
      </w:r>
    </w:p>
    <w:p w:rsidR="00336793" w:rsidRPr="006A75A2" w:rsidRDefault="00336793" w:rsidP="00DF0B96">
      <w:pPr>
        <w:pStyle w:val="Tableheading"/>
      </w:pPr>
      <w:r w:rsidRPr="006A75A2">
        <w:lastRenderedPageBreak/>
        <w:t>Consolidated comprehensive operating statement for the financial year ending 30 June</w:t>
      </w:r>
    </w:p>
    <w:p w:rsidR="00336793" w:rsidRPr="00752128" w:rsidRDefault="00336793" w:rsidP="00DF0B96">
      <w:pPr>
        <w:pStyle w:val="million"/>
        <w:rPr>
          <w:rFonts w:ascii="Times New Roman" w:hAnsi="Times New Roman"/>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4417"/>
        <w:gridCol w:w="127"/>
        <w:gridCol w:w="423"/>
        <w:gridCol w:w="190"/>
        <w:gridCol w:w="80"/>
        <w:gridCol w:w="251"/>
        <w:gridCol w:w="163"/>
        <w:gridCol w:w="626"/>
        <w:gridCol w:w="760"/>
        <w:gridCol w:w="360"/>
        <w:gridCol w:w="270"/>
        <w:gridCol w:w="850"/>
        <w:gridCol w:w="860"/>
        <w:gridCol w:w="260"/>
      </w:tblGrid>
      <w:tr w:rsidR="00336793" w:rsidRPr="00752128" w:rsidTr="00DF0B96">
        <w:tc>
          <w:tcPr>
            <w:tcW w:w="4417" w:type="dxa"/>
            <w:tcBorders>
              <w:top w:val="single" w:sz="6" w:space="0" w:color="auto"/>
              <w:left w:val="single" w:sz="6" w:space="0" w:color="auto"/>
              <w:bottom w:val="nil"/>
              <w:right w:val="nil"/>
            </w:tcBorders>
            <w:shd w:val="clear" w:color="000000" w:fill="000000"/>
          </w:tcPr>
          <w:p w:rsidR="00336793" w:rsidRPr="00752128" w:rsidRDefault="00336793" w:rsidP="00DF0B96">
            <w:pPr>
              <w:pStyle w:val="Tabletext"/>
              <w:rPr>
                <w:rFonts w:eastAsiaTheme="minorEastAsia"/>
                <w:i/>
                <w:sz w:val="20"/>
                <w:lang w:eastAsia="en-AU"/>
              </w:rPr>
            </w:pPr>
            <w:r w:rsidRPr="00752128">
              <w:rPr>
                <w:rFonts w:eastAsiaTheme="minorEastAsia"/>
                <w:i/>
                <w:sz w:val="20"/>
                <w:lang w:eastAsia="en-AU"/>
              </w:rPr>
              <w:t xml:space="preserve"> </w:t>
            </w:r>
          </w:p>
        </w:tc>
        <w:tc>
          <w:tcPr>
            <w:tcW w:w="740" w:type="dxa"/>
            <w:gridSpan w:val="3"/>
            <w:tcBorders>
              <w:top w:val="single" w:sz="6" w:space="0" w:color="auto"/>
              <w:left w:val="nil"/>
              <w:bottom w:val="nil"/>
              <w:right w:val="nil"/>
            </w:tcBorders>
            <w:shd w:val="clear" w:color="000000" w:fill="000000"/>
          </w:tcPr>
          <w:p w:rsidR="00336793" w:rsidRPr="00752128" w:rsidRDefault="00336793" w:rsidP="00DF0B96">
            <w:pPr>
              <w:pStyle w:val="TabletextheadingCentred"/>
              <w:rPr>
                <w:rFonts w:eastAsiaTheme="minorEastAsia"/>
                <w:sz w:val="20"/>
                <w:lang w:eastAsia="en-AU"/>
              </w:rPr>
            </w:pPr>
            <w:r w:rsidRPr="00752128">
              <w:rPr>
                <w:rFonts w:eastAsiaTheme="minorEastAsia"/>
                <w:sz w:val="20"/>
                <w:lang w:eastAsia="en-AU"/>
              </w:rPr>
              <w:t xml:space="preserve"> </w:t>
            </w:r>
          </w:p>
        </w:tc>
        <w:tc>
          <w:tcPr>
            <w:tcW w:w="1880" w:type="dxa"/>
            <w:gridSpan w:val="5"/>
            <w:tcBorders>
              <w:top w:val="single" w:sz="6" w:space="0" w:color="auto"/>
              <w:left w:val="nil"/>
              <w:bottom w:val="nil"/>
              <w:right w:val="nil"/>
            </w:tcBorders>
            <w:shd w:val="clear" w:color="000000" w:fill="000000"/>
            <w:vAlign w:val="bottom"/>
          </w:tcPr>
          <w:p w:rsidR="00336793" w:rsidRPr="00752128" w:rsidRDefault="00336793" w:rsidP="00DF0B96">
            <w:pPr>
              <w:pStyle w:val="Tabletextheading"/>
              <w:rPr>
                <w:rFonts w:eastAsiaTheme="minorEastAsia"/>
                <w:color w:val="FFFFFF"/>
                <w:sz w:val="20"/>
                <w:lang w:eastAsia="en-AU"/>
              </w:rPr>
            </w:pPr>
            <w:r w:rsidRPr="00752128">
              <w:rPr>
                <w:rFonts w:eastAsiaTheme="minorEastAsia"/>
                <w:color w:val="FFFFFF"/>
                <w:sz w:val="20"/>
                <w:lang w:eastAsia="en-AU"/>
              </w:rPr>
              <w:t>State of Victoria</w:t>
            </w:r>
          </w:p>
        </w:tc>
        <w:tc>
          <w:tcPr>
            <w:tcW w:w="630" w:type="dxa"/>
            <w:gridSpan w:val="2"/>
            <w:tcBorders>
              <w:top w:val="single" w:sz="6" w:space="0" w:color="auto"/>
              <w:left w:val="nil"/>
              <w:bottom w:val="nil"/>
              <w:right w:val="nil"/>
            </w:tcBorders>
            <w:shd w:val="clear" w:color="000000" w:fill="000000"/>
          </w:tcPr>
          <w:p w:rsidR="00336793" w:rsidRPr="00752128" w:rsidRDefault="00336793" w:rsidP="00DF0B96">
            <w:pPr>
              <w:pStyle w:val="Tabletextheading"/>
              <w:rPr>
                <w:rFonts w:eastAsiaTheme="minorEastAsia" w:cs="Calibri"/>
                <w:iCs/>
                <w:color w:val="FFFFFF"/>
                <w:sz w:val="20"/>
                <w:szCs w:val="22"/>
                <w:lang w:eastAsia="en-AU"/>
              </w:rPr>
            </w:pPr>
            <w:r w:rsidRPr="00752128">
              <w:rPr>
                <w:rFonts w:eastAsiaTheme="minorEastAsia"/>
                <w:color w:val="FFFFFF"/>
                <w:sz w:val="20"/>
                <w:lang w:eastAsia="en-AU"/>
              </w:rPr>
              <w:t xml:space="preserve"> </w:t>
            </w:r>
          </w:p>
        </w:tc>
        <w:tc>
          <w:tcPr>
            <w:tcW w:w="1710" w:type="dxa"/>
            <w:gridSpan w:val="2"/>
            <w:tcBorders>
              <w:top w:val="single" w:sz="6" w:space="0" w:color="auto"/>
              <w:left w:val="nil"/>
              <w:bottom w:val="nil"/>
              <w:right w:val="nil"/>
            </w:tcBorders>
            <w:shd w:val="clear" w:color="000000" w:fill="000000"/>
          </w:tcPr>
          <w:p w:rsidR="00336793" w:rsidRPr="00752128" w:rsidRDefault="00336793" w:rsidP="00DF0B96">
            <w:pPr>
              <w:pStyle w:val="Tabletextheading"/>
              <w:jc w:val="center"/>
              <w:rPr>
                <w:rFonts w:eastAsiaTheme="minorEastAsia"/>
                <w:color w:val="FFFFFF"/>
                <w:sz w:val="20"/>
                <w:lang w:eastAsia="en-AU"/>
              </w:rPr>
            </w:pPr>
            <w:r w:rsidRPr="00752128">
              <w:rPr>
                <w:rFonts w:eastAsiaTheme="minorEastAsia"/>
                <w:color w:val="FFFFFF"/>
                <w:sz w:val="20"/>
                <w:lang w:eastAsia="en-AU"/>
              </w:rPr>
              <w:t>General government sector</w:t>
            </w:r>
          </w:p>
        </w:tc>
        <w:tc>
          <w:tcPr>
            <w:tcW w:w="260" w:type="dxa"/>
            <w:tcBorders>
              <w:top w:val="single" w:sz="6" w:space="0" w:color="auto"/>
              <w:left w:val="nil"/>
              <w:bottom w:val="nil"/>
              <w:right w:val="single" w:sz="6" w:space="0" w:color="auto"/>
            </w:tcBorders>
            <w:shd w:val="clear" w:color="000000" w:fill="000000"/>
          </w:tcPr>
          <w:p w:rsidR="00336793" w:rsidRPr="00752128" w:rsidRDefault="00336793" w:rsidP="00DF0B96">
            <w:pPr>
              <w:pStyle w:val="Tabletextheading"/>
              <w:jc w:val="center"/>
              <w:rPr>
                <w:rFonts w:eastAsiaTheme="minorEastAsia" w:cs="Calibri"/>
                <w:iCs/>
                <w:color w:val="FFFFFF"/>
                <w:sz w:val="20"/>
                <w:szCs w:val="22"/>
                <w:lang w:eastAsia="en-AU"/>
              </w:rPr>
            </w:pPr>
            <w:r w:rsidRPr="00752128">
              <w:rPr>
                <w:rFonts w:eastAsiaTheme="minorEastAsia"/>
                <w:color w:val="FFFFFF"/>
                <w:sz w:val="20"/>
                <w:lang w:eastAsia="en-AU"/>
              </w:rPr>
              <w:t xml:space="preserve"> </w:t>
            </w:r>
          </w:p>
        </w:tc>
      </w:tr>
      <w:tr w:rsidR="00336793" w:rsidRPr="00752128" w:rsidTr="00DF0B96">
        <w:tc>
          <w:tcPr>
            <w:tcW w:w="4417" w:type="dxa"/>
            <w:tcBorders>
              <w:left w:val="single" w:sz="6" w:space="0" w:color="auto"/>
              <w:bottom w:val="single" w:sz="6" w:space="0" w:color="auto"/>
              <w:right w:val="nil"/>
            </w:tcBorders>
            <w:shd w:val="clear" w:color="000000" w:fill="000000"/>
          </w:tcPr>
          <w:p w:rsidR="00336793" w:rsidRPr="00752128" w:rsidRDefault="00336793" w:rsidP="00DF0B96">
            <w:pPr>
              <w:pStyle w:val="Tabletext"/>
              <w:rPr>
                <w:rFonts w:eastAsiaTheme="minorEastAsia"/>
                <w:i/>
                <w:sz w:val="20"/>
                <w:lang w:eastAsia="en-AU"/>
              </w:rPr>
            </w:pPr>
            <w:r w:rsidRPr="00752128">
              <w:rPr>
                <w:rFonts w:eastAsiaTheme="minorEastAsia"/>
                <w:i/>
                <w:sz w:val="20"/>
                <w:lang w:eastAsia="en-AU"/>
              </w:rPr>
              <w:t xml:space="preserve"> </w:t>
            </w:r>
          </w:p>
        </w:tc>
        <w:tc>
          <w:tcPr>
            <w:tcW w:w="740" w:type="dxa"/>
            <w:gridSpan w:val="3"/>
            <w:tcBorders>
              <w:left w:val="nil"/>
              <w:bottom w:val="single" w:sz="6" w:space="0" w:color="auto"/>
              <w:right w:val="nil"/>
            </w:tcBorders>
            <w:shd w:val="clear" w:color="000000" w:fill="000000"/>
          </w:tcPr>
          <w:p w:rsidR="00336793" w:rsidRPr="00752128" w:rsidRDefault="00336793" w:rsidP="00DF0B96">
            <w:pPr>
              <w:pStyle w:val="TabletextheadingCentred"/>
              <w:rPr>
                <w:rFonts w:eastAsiaTheme="minorEastAsia"/>
                <w:sz w:val="20"/>
                <w:lang w:eastAsia="en-AU"/>
              </w:rPr>
            </w:pPr>
            <w:r w:rsidRPr="00752128">
              <w:rPr>
                <w:rFonts w:eastAsiaTheme="minorEastAsia"/>
                <w:sz w:val="20"/>
                <w:lang w:eastAsia="en-AU"/>
              </w:rPr>
              <w:t>Notes</w:t>
            </w:r>
          </w:p>
        </w:tc>
        <w:tc>
          <w:tcPr>
            <w:tcW w:w="1120" w:type="dxa"/>
            <w:gridSpan w:val="4"/>
            <w:tcBorders>
              <w:left w:val="nil"/>
              <w:bottom w:val="single" w:sz="6" w:space="0" w:color="auto"/>
              <w:right w:val="nil"/>
            </w:tcBorders>
            <w:shd w:val="clear" w:color="000000" w:fill="000000"/>
          </w:tcPr>
          <w:p w:rsidR="00336793" w:rsidRPr="00752128" w:rsidRDefault="00336793" w:rsidP="00DF0B96">
            <w:pPr>
              <w:pStyle w:val="Tabletextheading"/>
              <w:rPr>
                <w:rFonts w:eastAsiaTheme="minorEastAsia"/>
                <w:color w:val="FFFFFF"/>
                <w:sz w:val="20"/>
                <w:lang w:eastAsia="en-AU"/>
              </w:rPr>
            </w:pPr>
            <w:r w:rsidRPr="00752128">
              <w:rPr>
                <w:rFonts w:eastAsiaTheme="minorEastAsia"/>
                <w:color w:val="FFFFFF"/>
                <w:sz w:val="20"/>
                <w:lang w:eastAsia="en-AU"/>
              </w:rPr>
              <w:t>2015</w:t>
            </w:r>
          </w:p>
        </w:tc>
        <w:tc>
          <w:tcPr>
            <w:tcW w:w="1120" w:type="dxa"/>
            <w:gridSpan w:val="2"/>
            <w:tcBorders>
              <w:left w:val="nil"/>
              <w:bottom w:val="single" w:sz="6" w:space="0" w:color="auto"/>
              <w:right w:val="nil"/>
            </w:tcBorders>
            <w:shd w:val="clear" w:color="000000" w:fill="000000"/>
          </w:tcPr>
          <w:p w:rsidR="00336793" w:rsidRPr="00752128" w:rsidRDefault="00336793" w:rsidP="00DF0B96">
            <w:pPr>
              <w:pStyle w:val="Tabletextheading"/>
              <w:rPr>
                <w:rFonts w:eastAsiaTheme="minorEastAsia"/>
                <w:color w:val="FFFFFF"/>
                <w:sz w:val="20"/>
                <w:lang w:eastAsia="en-AU"/>
              </w:rPr>
            </w:pPr>
            <w:r w:rsidRPr="00752128">
              <w:rPr>
                <w:rFonts w:eastAsiaTheme="minorEastAsia"/>
                <w:color w:val="FFFFFF"/>
                <w:sz w:val="20"/>
                <w:lang w:eastAsia="en-AU"/>
              </w:rPr>
              <w:t>2014</w:t>
            </w:r>
            <w:r w:rsidRPr="00752128">
              <w:rPr>
                <w:rFonts w:eastAsiaTheme="minorEastAsia"/>
                <w:color w:val="FFFFFF"/>
                <w:sz w:val="20"/>
                <w:vertAlign w:val="superscript"/>
                <w:lang w:eastAsia="en-AU"/>
              </w:rPr>
              <w:t>(a)</w:t>
            </w:r>
          </w:p>
        </w:tc>
        <w:tc>
          <w:tcPr>
            <w:tcW w:w="1120" w:type="dxa"/>
            <w:gridSpan w:val="2"/>
            <w:tcBorders>
              <w:left w:val="nil"/>
              <w:bottom w:val="single" w:sz="6" w:space="0" w:color="auto"/>
              <w:right w:val="nil"/>
            </w:tcBorders>
            <w:shd w:val="clear" w:color="000000" w:fill="000000"/>
          </w:tcPr>
          <w:p w:rsidR="00336793" w:rsidRPr="00752128" w:rsidRDefault="00336793" w:rsidP="00DF0B96">
            <w:pPr>
              <w:pStyle w:val="Tabletextheading"/>
              <w:rPr>
                <w:rFonts w:eastAsiaTheme="minorEastAsia"/>
                <w:color w:val="FFFFFF"/>
                <w:sz w:val="20"/>
                <w:lang w:eastAsia="en-AU"/>
              </w:rPr>
            </w:pPr>
            <w:r w:rsidRPr="00752128">
              <w:rPr>
                <w:rFonts w:eastAsiaTheme="minorEastAsia"/>
                <w:color w:val="FFFFFF"/>
                <w:sz w:val="20"/>
                <w:lang w:eastAsia="en-AU"/>
              </w:rPr>
              <w:t>2015</w:t>
            </w:r>
          </w:p>
        </w:tc>
        <w:tc>
          <w:tcPr>
            <w:tcW w:w="1120" w:type="dxa"/>
            <w:gridSpan w:val="2"/>
            <w:tcBorders>
              <w:left w:val="nil"/>
              <w:bottom w:val="single" w:sz="6" w:space="0" w:color="auto"/>
              <w:right w:val="single" w:sz="6" w:space="0" w:color="auto"/>
            </w:tcBorders>
            <w:shd w:val="clear" w:color="000000" w:fill="000000"/>
          </w:tcPr>
          <w:p w:rsidR="00336793" w:rsidRPr="00752128" w:rsidRDefault="00336793" w:rsidP="00DF0B96">
            <w:pPr>
              <w:pStyle w:val="Tabletextheading"/>
              <w:rPr>
                <w:rFonts w:eastAsiaTheme="minorEastAsia"/>
                <w:color w:val="FFFFFF"/>
                <w:sz w:val="20"/>
                <w:lang w:eastAsia="en-AU"/>
              </w:rPr>
            </w:pPr>
            <w:r w:rsidRPr="00752128">
              <w:rPr>
                <w:rFonts w:eastAsiaTheme="minorEastAsia"/>
                <w:color w:val="FFFFFF"/>
                <w:sz w:val="20"/>
                <w:lang w:eastAsia="en-AU"/>
              </w:rPr>
              <w:t>2014</w:t>
            </w:r>
            <w:r w:rsidRPr="00752128">
              <w:rPr>
                <w:rFonts w:eastAsiaTheme="minorEastAsia"/>
                <w:color w:val="FFFFFF"/>
                <w:sz w:val="20"/>
                <w:vertAlign w:val="superscript"/>
                <w:lang w:eastAsia="en-AU"/>
              </w:rPr>
              <w:t>(a)</w:t>
            </w:r>
          </w:p>
        </w:tc>
      </w:tr>
      <w:tr w:rsidR="00336793" w:rsidRPr="00752128" w:rsidTr="00DF0B96">
        <w:tc>
          <w:tcPr>
            <w:tcW w:w="4417" w:type="dxa"/>
            <w:tcBorders>
              <w:top w:val="single" w:sz="6" w:space="0" w:color="auto"/>
              <w:left w:val="nil"/>
              <w:bottom w:val="nil"/>
              <w:right w:val="nil"/>
            </w:tcBorders>
            <w:shd w:val="solid" w:color="FFFFFF" w:fill="auto"/>
          </w:tcPr>
          <w:p w:rsidR="00336793" w:rsidRPr="00752128" w:rsidRDefault="00336793" w:rsidP="00DF0B96">
            <w:pPr>
              <w:pStyle w:val="Tabletext"/>
              <w:rPr>
                <w:rFonts w:eastAsiaTheme="minorEastAsia"/>
                <w:b/>
                <w:bCs/>
                <w:sz w:val="20"/>
                <w:lang w:eastAsia="en-AU"/>
              </w:rPr>
            </w:pPr>
            <w:r w:rsidRPr="00752128">
              <w:rPr>
                <w:rFonts w:eastAsiaTheme="minorEastAsia"/>
                <w:b/>
                <w:bCs/>
                <w:sz w:val="20"/>
                <w:lang w:eastAsia="en-AU"/>
              </w:rPr>
              <w:t>Revenue from transactions</w:t>
            </w:r>
          </w:p>
        </w:tc>
        <w:tc>
          <w:tcPr>
            <w:tcW w:w="740" w:type="dxa"/>
            <w:gridSpan w:val="3"/>
            <w:tcBorders>
              <w:top w:val="single" w:sz="6" w:space="0" w:color="auto"/>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single" w:sz="6" w:space="0" w:color="auto"/>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Taxation revenue</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3</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17 936.0</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16 490.4</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18 338.7</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16 900.9</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Interest revenue</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979.9</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938.6</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827.1</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831.2</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vertAlign w:val="superscript"/>
                <w:lang w:eastAsia="en-AU"/>
              </w:rPr>
            </w:pPr>
            <w:r w:rsidRPr="00752128">
              <w:rPr>
                <w:rFonts w:eastAsiaTheme="minorEastAsia"/>
                <w:sz w:val="20"/>
                <w:lang w:eastAsia="en-AU"/>
              </w:rPr>
              <w:t>Dividends and income tax equivalent and rate equivalent revenue</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4</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767.5</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842.2</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1 112.7</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445.9</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Sales of goods and services</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5</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13 906.3</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14 233.3</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6 482.2</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6 724.8</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Grant revenue</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6</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24 376.7</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25 019.1</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24 502.8</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25 144.9</w:t>
            </w:r>
          </w:p>
        </w:tc>
      </w:tr>
      <w:tr w:rsidR="00336793" w:rsidRPr="00752128" w:rsidTr="00DF0B96">
        <w:tc>
          <w:tcPr>
            <w:tcW w:w="4417" w:type="dxa"/>
            <w:tcBorders>
              <w:top w:val="nil"/>
              <w:left w:val="nil"/>
              <w:bottom w:val="single" w:sz="6" w:space="0" w:color="000000"/>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Other revenue</w:t>
            </w:r>
          </w:p>
        </w:tc>
        <w:tc>
          <w:tcPr>
            <w:tcW w:w="740" w:type="dxa"/>
            <w:gridSpan w:val="3"/>
            <w:tcBorders>
              <w:top w:val="nil"/>
              <w:left w:val="nil"/>
              <w:bottom w:val="single" w:sz="6" w:space="0" w:color="000000"/>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7</w:t>
            </w:r>
          </w:p>
        </w:tc>
        <w:tc>
          <w:tcPr>
            <w:tcW w:w="1120" w:type="dxa"/>
            <w:gridSpan w:val="4"/>
            <w:tcBorders>
              <w:top w:val="nil"/>
              <w:left w:val="nil"/>
              <w:bottom w:val="single" w:sz="6" w:space="0" w:color="000000"/>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3 087.6</w:t>
            </w:r>
          </w:p>
        </w:tc>
        <w:tc>
          <w:tcPr>
            <w:tcW w:w="1120" w:type="dxa"/>
            <w:gridSpan w:val="2"/>
            <w:tcBorders>
              <w:top w:val="nil"/>
              <w:left w:val="nil"/>
              <w:bottom w:val="single" w:sz="6" w:space="0" w:color="000000"/>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2 750.2</w:t>
            </w:r>
          </w:p>
        </w:tc>
        <w:tc>
          <w:tcPr>
            <w:tcW w:w="1120" w:type="dxa"/>
            <w:gridSpan w:val="2"/>
            <w:tcBorders>
              <w:top w:val="nil"/>
              <w:left w:val="nil"/>
              <w:bottom w:val="single" w:sz="6" w:space="0" w:color="000000"/>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2 508.5</w:t>
            </w:r>
          </w:p>
        </w:tc>
        <w:tc>
          <w:tcPr>
            <w:tcW w:w="1120" w:type="dxa"/>
            <w:gridSpan w:val="2"/>
            <w:tcBorders>
              <w:top w:val="nil"/>
              <w:left w:val="nil"/>
              <w:bottom w:val="single" w:sz="6" w:space="0" w:color="000000"/>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2 316.9</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b/>
                <w:bCs/>
                <w:sz w:val="20"/>
                <w:lang w:eastAsia="en-AU"/>
              </w:rPr>
            </w:pPr>
            <w:r w:rsidRPr="00752128">
              <w:rPr>
                <w:rFonts w:eastAsiaTheme="minorEastAsia"/>
                <w:b/>
                <w:bCs/>
                <w:sz w:val="20"/>
                <w:lang w:eastAsia="en-AU"/>
              </w:rPr>
              <w:t>Total revenue from transactions</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61 054.0</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60 273.8</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53 772.0</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52 364.7</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b/>
                <w:bCs/>
                <w:sz w:val="20"/>
                <w:lang w:eastAsia="en-AU"/>
              </w:rPr>
            </w:pPr>
            <w:r w:rsidRPr="00752128">
              <w:rPr>
                <w:rFonts w:eastAsiaTheme="minorEastAsia"/>
                <w:b/>
                <w:bCs/>
                <w:sz w:val="20"/>
                <w:lang w:eastAsia="en-AU"/>
              </w:rPr>
              <w:t>Expenses from transactions</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Employee expenses</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19 833.8</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19 029.7</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18 834.3</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18 004.1</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vertAlign w:val="superscript"/>
                <w:lang w:eastAsia="en-AU"/>
              </w:rPr>
            </w:pPr>
            <w:r w:rsidRPr="00752128">
              <w:rPr>
                <w:rFonts w:eastAsiaTheme="minorEastAsia"/>
                <w:sz w:val="20"/>
                <w:lang w:eastAsia="en-AU"/>
              </w:rPr>
              <w:t>Net superannuation interest expense</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8</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1 040.8</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1 077.3</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1 038.0</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1 074.7</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vertAlign w:val="superscript"/>
                <w:lang w:eastAsia="en-AU"/>
              </w:rPr>
            </w:pPr>
            <w:r w:rsidRPr="00752128">
              <w:rPr>
                <w:rFonts w:eastAsiaTheme="minorEastAsia"/>
                <w:sz w:val="20"/>
                <w:lang w:eastAsia="en-AU"/>
              </w:rPr>
              <w:t>Other superannuation</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8</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2 102.8</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1 965.6</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1 978.0</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1 843.1</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vertAlign w:val="superscript"/>
                <w:lang w:eastAsia="en-AU"/>
              </w:rPr>
            </w:pPr>
            <w:r w:rsidRPr="00752128">
              <w:rPr>
                <w:rFonts w:eastAsiaTheme="minorEastAsia"/>
                <w:sz w:val="20"/>
                <w:lang w:eastAsia="en-AU"/>
              </w:rPr>
              <w:t>Depreciation</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9</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4 453.7</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4 334.1</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2 425.4</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2 403.7</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Interest expense</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10</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2 867.3</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2 954.4</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2 102.4</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2 138.5</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Grant expense</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11</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5 821.8</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5 040.1</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8 529.1</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7 560.6</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Other operating expenses</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12</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25 544.4</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25 084.9</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17 650.8</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17 360.1</w:t>
            </w:r>
          </w:p>
        </w:tc>
      </w:tr>
      <w:tr w:rsidR="00336793" w:rsidRPr="00752128" w:rsidTr="00DF0B96">
        <w:tc>
          <w:tcPr>
            <w:tcW w:w="4417" w:type="dxa"/>
            <w:tcBorders>
              <w:top w:val="single" w:sz="6" w:space="0" w:color="000000"/>
              <w:left w:val="nil"/>
              <w:bottom w:val="nil"/>
              <w:right w:val="nil"/>
            </w:tcBorders>
            <w:shd w:val="solid" w:color="FFFFFF" w:fill="auto"/>
          </w:tcPr>
          <w:p w:rsidR="00336793" w:rsidRPr="00752128" w:rsidRDefault="00336793" w:rsidP="00DF0B96">
            <w:pPr>
              <w:pStyle w:val="Tabletext"/>
              <w:rPr>
                <w:rFonts w:eastAsiaTheme="minorEastAsia"/>
                <w:b/>
                <w:bCs/>
                <w:sz w:val="20"/>
                <w:vertAlign w:val="superscript"/>
                <w:lang w:eastAsia="en-AU"/>
              </w:rPr>
            </w:pPr>
            <w:r w:rsidRPr="00752128">
              <w:rPr>
                <w:rFonts w:eastAsiaTheme="minorEastAsia"/>
                <w:b/>
                <w:bCs/>
                <w:sz w:val="20"/>
                <w:lang w:eastAsia="en-AU"/>
              </w:rPr>
              <w:t>Total expenses from transactions</w:t>
            </w:r>
          </w:p>
        </w:tc>
        <w:tc>
          <w:tcPr>
            <w:tcW w:w="740" w:type="dxa"/>
            <w:gridSpan w:val="3"/>
            <w:tcBorders>
              <w:top w:val="single" w:sz="6" w:space="0" w:color="000000"/>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13</w:t>
            </w:r>
          </w:p>
        </w:tc>
        <w:tc>
          <w:tcPr>
            <w:tcW w:w="1120" w:type="dxa"/>
            <w:gridSpan w:val="4"/>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61 664.7</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59 486.2</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52 558.0</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50 384.9</w:t>
            </w:r>
          </w:p>
        </w:tc>
      </w:tr>
      <w:tr w:rsidR="00336793" w:rsidRPr="00752128" w:rsidTr="00DF0B96">
        <w:tc>
          <w:tcPr>
            <w:tcW w:w="4544" w:type="dxa"/>
            <w:gridSpan w:val="2"/>
            <w:tcBorders>
              <w:top w:val="single" w:sz="6" w:space="0" w:color="000000"/>
              <w:left w:val="nil"/>
              <w:bottom w:val="single" w:sz="12" w:space="0" w:color="000000"/>
              <w:right w:val="nil"/>
            </w:tcBorders>
            <w:shd w:val="solid" w:color="FFFFFF" w:fill="auto"/>
          </w:tcPr>
          <w:p w:rsidR="00336793" w:rsidRPr="00752128" w:rsidRDefault="00336793" w:rsidP="00DF0B96">
            <w:pPr>
              <w:pStyle w:val="Tabletext"/>
              <w:rPr>
                <w:rFonts w:eastAsiaTheme="minorEastAsia"/>
                <w:b/>
                <w:bCs/>
                <w:sz w:val="20"/>
                <w:vertAlign w:val="superscript"/>
                <w:lang w:eastAsia="en-AU"/>
              </w:rPr>
            </w:pPr>
            <w:r w:rsidRPr="00752128">
              <w:rPr>
                <w:rFonts w:eastAsiaTheme="minorEastAsia"/>
                <w:b/>
                <w:bCs/>
                <w:sz w:val="20"/>
                <w:lang w:eastAsia="en-AU"/>
              </w:rPr>
              <w:t>Net result from transactions – net operating balance</w:t>
            </w:r>
          </w:p>
        </w:tc>
        <w:tc>
          <w:tcPr>
            <w:tcW w:w="613" w:type="dxa"/>
            <w:gridSpan w:val="2"/>
            <w:tcBorders>
              <w:top w:val="single" w:sz="6" w:space="0" w:color="000000"/>
              <w:left w:val="nil"/>
              <w:bottom w:val="single" w:sz="12" w:space="0" w:color="000000"/>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cs="Calibri"/>
                <w:b/>
                <w:bCs/>
                <w:color w:val="000000"/>
                <w:sz w:val="20"/>
                <w:szCs w:val="22"/>
                <w:lang w:eastAsia="en-AU"/>
              </w:rPr>
            </w:pPr>
            <w:r>
              <w:rPr>
                <w:rFonts w:eastAsiaTheme="minorEastAsia"/>
                <w:b/>
                <w:bCs/>
                <w:sz w:val="20"/>
                <w:lang w:eastAsia="en-AU"/>
              </w:rPr>
              <w:t>(</w:t>
            </w:r>
            <w:r w:rsidRPr="00752128">
              <w:rPr>
                <w:rFonts w:eastAsiaTheme="minorEastAsia" w:cs="Calibri"/>
                <w:b/>
                <w:bCs/>
                <w:color w:val="000000"/>
                <w:sz w:val="20"/>
                <w:szCs w:val="22"/>
                <w:lang w:eastAsia="en-AU"/>
              </w:rPr>
              <w:t>610.7)</w:t>
            </w:r>
          </w:p>
        </w:tc>
        <w:tc>
          <w:tcPr>
            <w:tcW w:w="1120" w:type="dxa"/>
            <w:gridSpan w:val="2"/>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787.6</w:t>
            </w:r>
          </w:p>
        </w:tc>
        <w:tc>
          <w:tcPr>
            <w:tcW w:w="1120" w:type="dxa"/>
            <w:gridSpan w:val="2"/>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1 214.0</w:t>
            </w:r>
          </w:p>
        </w:tc>
        <w:tc>
          <w:tcPr>
            <w:tcW w:w="1120" w:type="dxa"/>
            <w:gridSpan w:val="2"/>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1 979.8</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b/>
                <w:bCs/>
                <w:sz w:val="20"/>
                <w:lang w:eastAsia="en-AU"/>
              </w:rPr>
            </w:pPr>
            <w:r w:rsidRPr="00752128">
              <w:rPr>
                <w:rFonts w:eastAsiaTheme="minorEastAsia"/>
                <w:b/>
                <w:bCs/>
                <w:sz w:val="20"/>
                <w:lang w:eastAsia="en-AU"/>
              </w:rPr>
              <w:t>Other economic flows included in net result</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Net gain/(loss) on disposal of non</w:t>
            </w:r>
            <w:r>
              <w:rPr>
                <w:rFonts w:eastAsiaTheme="minorEastAsia"/>
                <w:sz w:val="20"/>
                <w:lang w:eastAsia="en-AU"/>
              </w:rPr>
              <w:noBreakHyphen/>
            </w:r>
            <w:r w:rsidRPr="00752128">
              <w:rPr>
                <w:rFonts w:eastAsiaTheme="minorEastAsia"/>
                <w:sz w:val="20"/>
                <w:lang w:eastAsia="en-AU"/>
              </w:rPr>
              <w:t>financial assets</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14</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sidRPr="00752128">
              <w:rPr>
                <w:rFonts w:eastAsiaTheme="minorEastAsia"/>
                <w:sz w:val="20"/>
                <w:lang w:eastAsia="en-AU"/>
              </w:rPr>
              <w:t xml:space="preserve"> </w:t>
            </w:r>
            <w:r w:rsidRPr="00752128">
              <w:rPr>
                <w:rFonts w:eastAsiaTheme="minorEastAsia" w:cs="Calibri"/>
                <w:color w:val="000000"/>
                <w:sz w:val="20"/>
                <w:szCs w:val="22"/>
                <w:lang w:eastAsia="en-AU"/>
              </w:rPr>
              <w:t>8.8</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12.7)</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sidRPr="00752128">
              <w:rPr>
                <w:rFonts w:eastAsiaTheme="minorEastAsia"/>
                <w:sz w:val="20"/>
                <w:lang w:eastAsia="en-AU"/>
              </w:rPr>
              <w:t xml:space="preserve"> </w:t>
            </w:r>
            <w:r w:rsidRPr="00752128">
              <w:rPr>
                <w:rFonts w:eastAsiaTheme="minorEastAsia" w:cs="Calibri"/>
                <w:color w:val="000000"/>
                <w:sz w:val="20"/>
                <w:szCs w:val="22"/>
                <w:lang w:eastAsia="en-AU"/>
              </w:rPr>
              <w:t>32.1</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25.0)</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Net gain/(loss) on financial assets or liabilities at fair value</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1 229.5</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1 159.0</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53.1</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52.6</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vertAlign w:val="superscript"/>
                <w:lang w:eastAsia="en-AU"/>
              </w:rPr>
            </w:pPr>
            <w:r w:rsidRPr="00752128">
              <w:rPr>
                <w:rFonts w:eastAsiaTheme="minorEastAsia"/>
                <w:sz w:val="20"/>
                <w:lang w:eastAsia="en-AU"/>
              </w:rPr>
              <w:t>Share of net profit/(loss) from associates/joint venture entities</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29.8)</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108.1</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2.6)</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Pr>
                <w:rFonts w:eastAsiaTheme="minorEastAsia"/>
                <w:sz w:val="20"/>
                <w:lang w:eastAsia="en-AU"/>
              </w:rPr>
              <w:t>..</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Other gains/(losses) from other economic flows</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15</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547.1)</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390.1)</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547.9)</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(1 241.6)</w:t>
            </w:r>
          </w:p>
        </w:tc>
      </w:tr>
      <w:tr w:rsidR="00336793" w:rsidRPr="00752128" w:rsidTr="00DF0B96">
        <w:tc>
          <w:tcPr>
            <w:tcW w:w="4417" w:type="dxa"/>
            <w:tcBorders>
              <w:top w:val="single" w:sz="6" w:space="0" w:color="000000"/>
              <w:left w:val="nil"/>
              <w:bottom w:val="nil"/>
              <w:right w:val="nil"/>
            </w:tcBorders>
            <w:shd w:val="solid" w:color="FFFFFF" w:fill="auto"/>
          </w:tcPr>
          <w:p w:rsidR="00336793" w:rsidRPr="00752128" w:rsidRDefault="00336793" w:rsidP="00DF0B96">
            <w:pPr>
              <w:pStyle w:val="Tabletext"/>
              <w:rPr>
                <w:rFonts w:eastAsiaTheme="minorEastAsia"/>
                <w:b/>
                <w:bCs/>
                <w:sz w:val="20"/>
                <w:lang w:eastAsia="en-AU"/>
              </w:rPr>
            </w:pPr>
            <w:r w:rsidRPr="00752128">
              <w:rPr>
                <w:rFonts w:eastAsiaTheme="minorEastAsia"/>
                <w:b/>
                <w:bCs/>
                <w:sz w:val="20"/>
                <w:lang w:eastAsia="en-AU"/>
              </w:rPr>
              <w:t>Total other economic flows included in net result</w:t>
            </w:r>
          </w:p>
        </w:tc>
        <w:tc>
          <w:tcPr>
            <w:tcW w:w="740" w:type="dxa"/>
            <w:gridSpan w:val="3"/>
            <w:tcBorders>
              <w:top w:val="single" w:sz="6" w:space="0" w:color="000000"/>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661.4</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864.3</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cs="Calibri"/>
                <w:b/>
                <w:bCs/>
                <w:color w:val="000000"/>
                <w:sz w:val="20"/>
                <w:szCs w:val="22"/>
                <w:lang w:eastAsia="en-AU"/>
              </w:rPr>
            </w:pPr>
            <w:r>
              <w:rPr>
                <w:rFonts w:eastAsiaTheme="minorEastAsia"/>
                <w:b/>
                <w:bCs/>
                <w:sz w:val="20"/>
                <w:lang w:eastAsia="en-AU"/>
              </w:rPr>
              <w:t>(</w:t>
            </w:r>
            <w:r w:rsidRPr="00752128">
              <w:rPr>
                <w:rFonts w:eastAsiaTheme="minorEastAsia" w:cs="Calibri"/>
                <w:b/>
                <w:bCs/>
                <w:color w:val="000000"/>
                <w:sz w:val="20"/>
                <w:szCs w:val="22"/>
                <w:lang w:eastAsia="en-AU"/>
              </w:rPr>
              <w:t>465.2)</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(1 214.1)</w:t>
            </w:r>
          </w:p>
        </w:tc>
      </w:tr>
      <w:tr w:rsidR="00336793" w:rsidRPr="00752128" w:rsidTr="00DF0B96">
        <w:tc>
          <w:tcPr>
            <w:tcW w:w="4417" w:type="dxa"/>
            <w:tcBorders>
              <w:top w:val="single" w:sz="6" w:space="0" w:color="000000"/>
              <w:left w:val="nil"/>
              <w:bottom w:val="single" w:sz="12" w:space="0" w:color="000000"/>
              <w:right w:val="nil"/>
            </w:tcBorders>
            <w:shd w:val="solid" w:color="FFFFFF" w:fill="auto"/>
          </w:tcPr>
          <w:p w:rsidR="00336793" w:rsidRPr="00752128" w:rsidRDefault="00336793" w:rsidP="00DF0B96">
            <w:pPr>
              <w:pStyle w:val="Tabletext"/>
              <w:rPr>
                <w:rFonts w:eastAsiaTheme="minorEastAsia"/>
                <w:b/>
                <w:bCs/>
                <w:sz w:val="20"/>
                <w:vertAlign w:val="superscript"/>
                <w:lang w:eastAsia="en-AU"/>
              </w:rPr>
            </w:pPr>
            <w:r w:rsidRPr="00752128">
              <w:rPr>
                <w:rFonts w:eastAsiaTheme="minorEastAsia"/>
                <w:b/>
                <w:bCs/>
                <w:sz w:val="20"/>
                <w:lang w:eastAsia="en-AU"/>
              </w:rPr>
              <w:t>Net result</w:t>
            </w:r>
          </w:p>
        </w:tc>
        <w:tc>
          <w:tcPr>
            <w:tcW w:w="740" w:type="dxa"/>
            <w:gridSpan w:val="3"/>
            <w:tcBorders>
              <w:top w:val="single" w:sz="6" w:space="0" w:color="000000"/>
              <w:left w:val="nil"/>
              <w:bottom w:val="single" w:sz="12" w:space="0" w:color="000000"/>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cs="Calibri"/>
                <w:b/>
                <w:bCs/>
                <w:color w:val="000000"/>
                <w:sz w:val="20"/>
                <w:szCs w:val="22"/>
                <w:lang w:eastAsia="en-AU"/>
              </w:rPr>
            </w:pPr>
            <w:r w:rsidRPr="00752128">
              <w:rPr>
                <w:rFonts w:eastAsiaTheme="minorEastAsia"/>
                <w:b/>
                <w:bCs/>
                <w:sz w:val="20"/>
                <w:lang w:eastAsia="en-AU"/>
              </w:rPr>
              <w:t xml:space="preserve"> </w:t>
            </w:r>
            <w:r w:rsidRPr="00752128">
              <w:rPr>
                <w:rFonts w:eastAsiaTheme="minorEastAsia" w:cs="Calibri"/>
                <w:b/>
                <w:bCs/>
                <w:color w:val="000000"/>
                <w:sz w:val="20"/>
                <w:szCs w:val="22"/>
                <w:lang w:eastAsia="en-AU"/>
              </w:rPr>
              <w:t>50.7</w:t>
            </w:r>
          </w:p>
        </w:tc>
        <w:tc>
          <w:tcPr>
            <w:tcW w:w="1120" w:type="dxa"/>
            <w:gridSpan w:val="2"/>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1 651.9</w:t>
            </w:r>
          </w:p>
        </w:tc>
        <w:tc>
          <w:tcPr>
            <w:tcW w:w="1120" w:type="dxa"/>
            <w:gridSpan w:val="2"/>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748.8</w:t>
            </w:r>
          </w:p>
        </w:tc>
        <w:tc>
          <w:tcPr>
            <w:tcW w:w="1120" w:type="dxa"/>
            <w:gridSpan w:val="2"/>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765.7</w:t>
            </w:r>
          </w:p>
        </w:tc>
      </w:tr>
      <w:tr w:rsidR="00336793" w:rsidRPr="00752128" w:rsidTr="00DF0B96">
        <w:tc>
          <w:tcPr>
            <w:tcW w:w="5237" w:type="dxa"/>
            <w:gridSpan w:val="5"/>
            <w:tcBorders>
              <w:top w:val="nil"/>
              <w:left w:val="nil"/>
              <w:bottom w:val="nil"/>
              <w:right w:val="nil"/>
            </w:tcBorders>
            <w:shd w:val="solid" w:color="FFFFFF" w:fill="auto"/>
          </w:tcPr>
          <w:p w:rsidR="00336793" w:rsidRPr="00752128" w:rsidRDefault="00336793" w:rsidP="00DF0B96">
            <w:pPr>
              <w:pStyle w:val="Tabletext"/>
              <w:rPr>
                <w:rFonts w:eastAsiaTheme="minorEastAsia"/>
                <w:b/>
                <w:bCs/>
                <w:sz w:val="20"/>
                <w:lang w:eastAsia="en-AU"/>
              </w:rPr>
            </w:pPr>
            <w:r w:rsidRPr="00752128">
              <w:rPr>
                <w:rFonts w:eastAsiaTheme="minorEastAsia"/>
                <w:b/>
                <w:bCs/>
                <w:sz w:val="20"/>
                <w:lang w:eastAsia="en-AU"/>
              </w:rPr>
              <w:t>Other economic flows – other comprehensive income</w:t>
            </w:r>
          </w:p>
        </w:tc>
        <w:tc>
          <w:tcPr>
            <w:tcW w:w="414" w:type="dxa"/>
            <w:gridSpan w:val="2"/>
            <w:tcBorders>
              <w:top w:val="nil"/>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626" w:type="dxa"/>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b/>
                <w:bCs/>
                <w:sz w:val="20"/>
                <w:lang w:eastAsia="en-AU"/>
              </w:rPr>
            </w:pPr>
            <w:r w:rsidRPr="00752128">
              <w:rPr>
                <w:rFonts w:eastAsiaTheme="minorEastAsia"/>
                <w:b/>
                <w:bCs/>
                <w:sz w:val="20"/>
                <w:lang w:eastAsia="en-AU"/>
              </w:rPr>
              <w:t>Items that will not be reclassified to net result</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vertAlign w:val="superscript"/>
                <w:lang w:eastAsia="en-AU"/>
              </w:rPr>
            </w:pPr>
            <w:r w:rsidRPr="00752128">
              <w:rPr>
                <w:rFonts w:eastAsiaTheme="minorEastAsia"/>
                <w:sz w:val="20"/>
                <w:lang w:eastAsia="en-AU"/>
              </w:rPr>
              <w:t>Changes in non</w:t>
            </w:r>
            <w:r>
              <w:rPr>
                <w:rFonts w:eastAsiaTheme="minorEastAsia"/>
                <w:sz w:val="20"/>
                <w:lang w:eastAsia="en-AU"/>
              </w:rPr>
              <w:noBreakHyphen/>
            </w:r>
            <w:r w:rsidRPr="00752128">
              <w:rPr>
                <w:rFonts w:eastAsiaTheme="minorEastAsia"/>
                <w:sz w:val="20"/>
                <w:lang w:eastAsia="en-AU"/>
              </w:rPr>
              <w:t>financial assets revaluation surplus</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7 404.3</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4 945.9</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2 524.4</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1 963.2</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vertAlign w:val="superscript"/>
                <w:lang w:eastAsia="en-AU"/>
              </w:rPr>
            </w:pPr>
            <w:r w:rsidRPr="00752128">
              <w:rPr>
                <w:rFonts w:eastAsiaTheme="minorEastAsia"/>
                <w:sz w:val="20"/>
                <w:lang w:eastAsia="en-AU"/>
              </w:rPr>
              <w:t>Remeasurement of superannuation defined benefits plans</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8</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556.3</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266.1)</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551.3</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290.4)</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Net gain/(loss) on equity investments in other sector entities at proportional share of the carrying amount of net assets</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19</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Pr>
                <w:rFonts w:eastAsiaTheme="minorEastAsia"/>
                <w:sz w:val="20"/>
                <w:lang w:eastAsia="en-AU"/>
              </w:rPr>
              <w:t>..</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4 225.6</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3 813.8</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Other movements in equity</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175.5)</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574.5</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148.4)</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494.2</w:t>
            </w:r>
          </w:p>
        </w:tc>
      </w:tr>
      <w:tr w:rsidR="00336793" w:rsidRPr="00752128" w:rsidTr="00DF0B96">
        <w:tc>
          <w:tcPr>
            <w:tcW w:w="4967" w:type="dxa"/>
            <w:gridSpan w:val="3"/>
            <w:tcBorders>
              <w:top w:val="nil"/>
              <w:left w:val="nil"/>
              <w:bottom w:val="nil"/>
              <w:right w:val="nil"/>
            </w:tcBorders>
            <w:shd w:val="solid" w:color="FFFFFF" w:fill="auto"/>
          </w:tcPr>
          <w:p w:rsidR="00336793" w:rsidRPr="00752128" w:rsidRDefault="00336793" w:rsidP="00DF0B96">
            <w:pPr>
              <w:pStyle w:val="Tabletext"/>
              <w:rPr>
                <w:rFonts w:eastAsiaTheme="minorEastAsia"/>
                <w:b/>
                <w:bCs/>
                <w:sz w:val="20"/>
                <w:lang w:eastAsia="en-AU"/>
              </w:rPr>
            </w:pPr>
            <w:r w:rsidRPr="00752128">
              <w:rPr>
                <w:rFonts w:eastAsiaTheme="minorEastAsia"/>
                <w:b/>
                <w:bCs/>
                <w:sz w:val="20"/>
                <w:lang w:eastAsia="en-AU"/>
              </w:rPr>
              <w:t>Items that may be reclassified subsequently to net result</w:t>
            </w:r>
          </w:p>
        </w:tc>
        <w:tc>
          <w:tcPr>
            <w:tcW w:w="521"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789"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Net gain/(loss) on financial assets at fair value</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9.8)</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8.6)</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44.6)</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752128">
              <w:rPr>
                <w:rFonts w:eastAsiaTheme="minorEastAsia" w:cs="Calibri"/>
                <w:color w:val="000000"/>
                <w:sz w:val="20"/>
                <w:szCs w:val="22"/>
                <w:lang w:eastAsia="en-AU"/>
              </w:rPr>
              <w:t>5.2)</w:t>
            </w:r>
          </w:p>
        </w:tc>
      </w:tr>
      <w:tr w:rsidR="00336793" w:rsidRPr="00752128" w:rsidTr="00DF0B96">
        <w:tc>
          <w:tcPr>
            <w:tcW w:w="4417" w:type="dxa"/>
            <w:tcBorders>
              <w:top w:val="single" w:sz="6" w:space="0" w:color="000000"/>
              <w:left w:val="nil"/>
              <w:bottom w:val="nil"/>
              <w:right w:val="nil"/>
            </w:tcBorders>
            <w:shd w:val="solid" w:color="FFFFFF" w:fill="auto"/>
          </w:tcPr>
          <w:p w:rsidR="00336793" w:rsidRPr="00752128" w:rsidRDefault="00336793" w:rsidP="00DF0B96">
            <w:pPr>
              <w:pStyle w:val="Tabletext"/>
              <w:rPr>
                <w:rFonts w:eastAsiaTheme="minorEastAsia"/>
                <w:b/>
                <w:bCs/>
                <w:sz w:val="20"/>
                <w:vertAlign w:val="superscript"/>
                <w:lang w:eastAsia="en-AU"/>
              </w:rPr>
            </w:pPr>
            <w:r w:rsidRPr="00752128">
              <w:rPr>
                <w:rFonts w:eastAsiaTheme="minorEastAsia"/>
                <w:b/>
                <w:bCs/>
                <w:sz w:val="20"/>
                <w:lang w:eastAsia="en-AU"/>
              </w:rPr>
              <w:t>Total other economic flows – other comprehensive income</w:t>
            </w:r>
          </w:p>
        </w:tc>
        <w:tc>
          <w:tcPr>
            <w:tcW w:w="740" w:type="dxa"/>
            <w:gridSpan w:val="3"/>
            <w:tcBorders>
              <w:top w:val="single" w:sz="6" w:space="0" w:color="000000"/>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7 775.2</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5 245.7</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7 108.3</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5 975.7</w:t>
            </w:r>
          </w:p>
        </w:tc>
      </w:tr>
      <w:tr w:rsidR="00336793" w:rsidRPr="00752128" w:rsidTr="00DF0B96">
        <w:tc>
          <w:tcPr>
            <w:tcW w:w="4417" w:type="dxa"/>
            <w:tcBorders>
              <w:top w:val="single" w:sz="6" w:space="0" w:color="000000"/>
              <w:left w:val="nil"/>
              <w:bottom w:val="nil"/>
              <w:right w:val="nil"/>
            </w:tcBorders>
            <w:shd w:val="solid" w:color="FFFFFF" w:fill="auto"/>
          </w:tcPr>
          <w:p w:rsidR="00336793" w:rsidRPr="00752128" w:rsidRDefault="00336793" w:rsidP="00DF0B96">
            <w:pPr>
              <w:pStyle w:val="Tabletext"/>
              <w:rPr>
                <w:rFonts w:eastAsiaTheme="minorEastAsia"/>
                <w:b/>
                <w:bCs/>
                <w:sz w:val="20"/>
                <w:vertAlign w:val="superscript"/>
                <w:lang w:eastAsia="en-AU"/>
              </w:rPr>
            </w:pPr>
            <w:r w:rsidRPr="00752128">
              <w:rPr>
                <w:rFonts w:eastAsiaTheme="minorEastAsia"/>
                <w:b/>
                <w:bCs/>
                <w:sz w:val="20"/>
                <w:lang w:eastAsia="en-AU"/>
              </w:rPr>
              <w:t>Comprehensive result – total change in net worth</w:t>
            </w:r>
          </w:p>
        </w:tc>
        <w:tc>
          <w:tcPr>
            <w:tcW w:w="740" w:type="dxa"/>
            <w:gridSpan w:val="3"/>
            <w:tcBorders>
              <w:top w:val="single" w:sz="6" w:space="0" w:color="000000"/>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7 826.0</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6 897.6</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7 857.1</w:t>
            </w:r>
          </w:p>
        </w:tc>
        <w:tc>
          <w:tcPr>
            <w:tcW w:w="1120" w:type="dxa"/>
            <w:gridSpan w:val="2"/>
            <w:tcBorders>
              <w:top w:val="single" w:sz="6" w:space="0" w:color="000000"/>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6 741.4</w:t>
            </w:r>
          </w:p>
        </w:tc>
      </w:tr>
      <w:tr w:rsidR="00336793" w:rsidRPr="00752128" w:rsidTr="00DF0B96">
        <w:trPr>
          <w:trHeight w:hRule="exact" w:val="120"/>
        </w:trPr>
        <w:tc>
          <w:tcPr>
            <w:tcW w:w="4417" w:type="dxa"/>
            <w:tcBorders>
              <w:top w:val="single" w:sz="12" w:space="0" w:color="000000"/>
              <w:left w:val="nil"/>
              <w:bottom w:val="nil"/>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 xml:space="preserve"> </w:t>
            </w:r>
          </w:p>
        </w:tc>
        <w:tc>
          <w:tcPr>
            <w:tcW w:w="740" w:type="dxa"/>
            <w:gridSpan w:val="3"/>
            <w:tcBorders>
              <w:top w:val="single" w:sz="12" w:space="0" w:color="000000"/>
              <w:left w:val="nil"/>
              <w:bottom w:val="nil"/>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 xml:space="preserve"> </w:t>
            </w:r>
          </w:p>
        </w:tc>
        <w:tc>
          <w:tcPr>
            <w:tcW w:w="1120" w:type="dxa"/>
            <w:gridSpan w:val="4"/>
            <w:tcBorders>
              <w:top w:val="single" w:sz="12" w:space="0" w:color="000000"/>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w:t>
            </w:r>
          </w:p>
        </w:tc>
        <w:tc>
          <w:tcPr>
            <w:tcW w:w="1120" w:type="dxa"/>
            <w:gridSpan w:val="2"/>
            <w:tcBorders>
              <w:top w:val="single" w:sz="12" w:space="0" w:color="000000"/>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w:t>
            </w:r>
          </w:p>
        </w:tc>
        <w:tc>
          <w:tcPr>
            <w:tcW w:w="1120" w:type="dxa"/>
            <w:gridSpan w:val="2"/>
            <w:tcBorders>
              <w:top w:val="single" w:sz="12" w:space="0" w:color="000000"/>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w:t>
            </w:r>
          </w:p>
        </w:tc>
        <w:tc>
          <w:tcPr>
            <w:tcW w:w="1120" w:type="dxa"/>
            <w:gridSpan w:val="2"/>
            <w:tcBorders>
              <w:top w:val="single" w:sz="12" w:space="0" w:color="000000"/>
              <w:left w:val="nil"/>
              <w:bottom w:val="nil"/>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b/>
                <w:bCs/>
                <w:sz w:val="20"/>
                <w:lang w:eastAsia="en-AU"/>
              </w:rPr>
            </w:pPr>
            <w:r w:rsidRPr="00752128">
              <w:rPr>
                <w:rFonts w:eastAsiaTheme="minorEastAsia"/>
                <w:b/>
                <w:bCs/>
                <w:sz w:val="20"/>
                <w:lang w:eastAsia="en-AU"/>
              </w:rPr>
              <w:t>KEY FISCAL AGGREGATES</w:t>
            </w:r>
            <w:r w:rsidRPr="003453EB">
              <w:rPr>
                <w:rFonts w:eastAsiaTheme="minorEastAsia"/>
                <w:b/>
                <w:bCs/>
                <w:sz w:val="20"/>
                <w:vertAlign w:val="superscript"/>
                <w:lang w:eastAsia="en-AU"/>
              </w:rPr>
              <w:t xml:space="preserve"> </w:t>
            </w:r>
            <w:r w:rsidRPr="00E96950">
              <w:rPr>
                <w:rFonts w:eastAsiaTheme="minorEastAsia"/>
                <w:b/>
                <w:bCs/>
                <w:sz w:val="20"/>
                <w:vertAlign w:val="superscript"/>
                <w:lang w:eastAsia="en-AU"/>
              </w:rPr>
              <w:t>(</w:t>
            </w:r>
            <w:r w:rsidRPr="00752128">
              <w:rPr>
                <w:rFonts w:eastAsiaTheme="minorEastAsia"/>
                <w:b/>
                <w:bCs/>
                <w:sz w:val="20"/>
                <w:vertAlign w:val="superscript"/>
                <w:lang w:eastAsia="en-AU"/>
              </w:rPr>
              <w:t>a)</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w:t>
            </w:r>
          </w:p>
        </w:tc>
      </w:tr>
      <w:tr w:rsidR="00336793" w:rsidRPr="00752128" w:rsidTr="00DF0B96">
        <w:tc>
          <w:tcPr>
            <w:tcW w:w="4417" w:type="dxa"/>
            <w:tcBorders>
              <w:top w:val="nil"/>
              <w:left w:val="nil"/>
              <w:bottom w:val="nil"/>
              <w:right w:val="nil"/>
            </w:tcBorders>
            <w:shd w:val="solid" w:color="FFFFFF" w:fill="auto"/>
          </w:tcPr>
          <w:p w:rsidR="00336793" w:rsidRPr="00752128" w:rsidRDefault="00336793" w:rsidP="00DF0B96">
            <w:pPr>
              <w:pStyle w:val="Tabletext"/>
              <w:rPr>
                <w:rFonts w:eastAsiaTheme="minorEastAsia"/>
                <w:b/>
                <w:bCs/>
                <w:sz w:val="20"/>
                <w:vertAlign w:val="superscript"/>
                <w:lang w:eastAsia="en-AU"/>
              </w:rPr>
            </w:pPr>
            <w:r w:rsidRPr="00752128">
              <w:rPr>
                <w:rFonts w:eastAsiaTheme="minorEastAsia"/>
                <w:b/>
                <w:bCs/>
                <w:sz w:val="20"/>
                <w:lang w:eastAsia="en-AU"/>
              </w:rPr>
              <w:t>Net operating balance</w:t>
            </w:r>
          </w:p>
        </w:tc>
        <w:tc>
          <w:tcPr>
            <w:tcW w:w="740" w:type="dxa"/>
            <w:gridSpan w:val="3"/>
            <w:tcBorders>
              <w:top w:val="nil"/>
              <w:left w:val="nil"/>
              <w:bottom w:val="nil"/>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nil"/>
              <w:left w:val="nil"/>
              <w:bottom w:val="nil"/>
              <w:right w:val="nil"/>
            </w:tcBorders>
            <w:shd w:val="solid" w:color="FFFFFF" w:fill="auto"/>
          </w:tcPr>
          <w:p w:rsidR="00336793" w:rsidRPr="00752128" w:rsidRDefault="00336793" w:rsidP="00DF0B96">
            <w:pPr>
              <w:pStyle w:val="TableofFigures"/>
              <w:rPr>
                <w:rFonts w:eastAsiaTheme="minorEastAsia" w:cs="Calibri"/>
                <w:b/>
                <w:bCs/>
                <w:color w:val="000000"/>
                <w:sz w:val="20"/>
                <w:szCs w:val="22"/>
                <w:lang w:eastAsia="en-AU"/>
              </w:rPr>
            </w:pPr>
            <w:r>
              <w:rPr>
                <w:rFonts w:eastAsiaTheme="minorEastAsia"/>
                <w:b/>
                <w:bCs/>
                <w:sz w:val="20"/>
                <w:lang w:eastAsia="en-AU"/>
              </w:rPr>
              <w:t>(</w:t>
            </w:r>
            <w:r w:rsidRPr="00752128">
              <w:rPr>
                <w:rFonts w:eastAsiaTheme="minorEastAsia" w:cs="Calibri"/>
                <w:b/>
                <w:bCs/>
                <w:color w:val="000000"/>
                <w:sz w:val="20"/>
                <w:szCs w:val="22"/>
                <w:lang w:eastAsia="en-AU"/>
              </w:rPr>
              <w:t>610.7)</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787.6</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1 214.0</w:t>
            </w:r>
          </w:p>
        </w:tc>
        <w:tc>
          <w:tcPr>
            <w:tcW w:w="1120" w:type="dxa"/>
            <w:gridSpan w:val="2"/>
            <w:tcBorders>
              <w:top w:val="nil"/>
              <w:left w:val="nil"/>
              <w:bottom w:val="nil"/>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1 979.8</w:t>
            </w:r>
          </w:p>
        </w:tc>
      </w:tr>
      <w:tr w:rsidR="00336793" w:rsidRPr="00752128" w:rsidTr="00DF0B96">
        <w:tc>
          <w:tcPr>
            <w:tcW w:w="4417" w:type="dxa"/>
            <w:tcBorders>
              <w:top w:val="nil"/>
              <w:left w:val="nil"/>
              <w:bottom w:val="single" w:sz="6" w:space="0" w:color="000000"/>
              <w:right w:val="nil"/>
            </w:tcBorders>
            <w:shd w:val="solid" w:color="FFFFFF" w:fill="auto"/>
          </w:tcPr>
          <w:p w:rsidR="00336793" w:rsidRPr="00752128" w:rsidRDefault="00336793" w:rsidP="00DF0B96">
            <w:pPr>
              <w:pStyle w:val="Tabletext"/>
              <w:rPr>
                <w:rFonts w:eastAsiaTheme="minorEastAsia"/>
                <w:sz w:val="20"/>
                <w:lang w:eastAsia="en-AU"/>
              </w:rPr>
            </w:pPr>
            <w:r w:rsidRPr="00752128">
              <w:rPr>
                <w:rFonts w:eastAsiaTheme="minorEastAsia"/>
                <w:sz w:val="20"/>
                <w:lang w:eastAsia="en-AU"/>
              </w:rPr>
              <w:t>Less: Net acquisition of non</w:t>
            </w:r>
            <w:r>
              <w:rPr>
                <w:rFonts w:eastAsiaTheme="minorEastAsia"/>
                <w:sz w:val="20"/>
                <w:lang w:eastAsia="en-AU"/>
              </w:rPr>
              <w:noBreakHyphen/>
            </w:r>
            <w:r w:rsidRPr="00752128">
              <w:rPr>
                <w:rFonts w:eastAsiaTheme="minorEastAsia"/>
                <w:sz w:val="20"/>
                <w:lang w:eastAsia="en-AU"/>
              </w:rPr>
              <w:t>financial assets from transactions</w:t>
            </w:r>
          </w:p>
        </w:tc>
        <w:tc>
          <w:tcPr>
            <w:tcW w:w="740" w:type="dxa"/>
            <w:gridSpan w:val="3"/>
            <w:tcBorders>
              <w:top w:val="nil"/>
              <w:left w:val="nil"/>
              <w:bottom w:val="single" w:sz="6" w:space="0" w:color="000000"/>
              <w:right w:val="nil"/>
            </w:tcBorders>
            <w:shd w:val="solid" w:color="FFFFFF" w:fill="auto"/>
          </w:tcPr>
          <w:p w:rsidR="00336793" w:rsidRPr="00752128" w:rsidRDefault="00336793" w:rsidP="00DF0B96">
            <w:pPr>
              <w:pStyle w:val="TableTextCentred"/>
              <w:rPr>
                <w:rFonts w:eastAsiaTheme="minorEastAsia"/>
                <w:sz w:val="20"/>
                <w:lang w:eastAsia="en-AU"/>
              </w:rPr>
            </w:pPr>
            <w:r w:rsidRPr="00752128">
              <w:rPr>
                <w:rFonts w:eastAsiaTheme="minorEastAsia"/>
                <w:sz w:val="20"/>
                <w:lang w:eastAsia="en-AU"/>
              </w:rPr>
              <w:t>2</w:t>
            </w:r>
          </w:p>
        </w:tc>
        <w:tc>
          <w:tcPr>
            <w:tcW w:w="1120" w:type="dxa"/>
            <w:gridSpan w:val="4"/>
            <w:tcBorders>
              <w:top w:val="nil"/>
              <w:left w:val="nil"/>
              <w:bottom w:val="single" w:sz="6" w:space="0" w:color="000000"/>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1 807.8</w:t>
            </w:r>
          </w:p>
        </w:tc>
        <w:tc>
          <w:tcPr>
            <w:tcW w:w="1120" w:type="dxa"/>
            <w:gridSpan w:val="2"/>
            <w:tcBorders>
              <w:top w:val="nil"/>
              <w:left w:val="nil"/>
              <w:bottom w:val="single" w:sz="6" w:space="0" w:color="000000"/>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2 774.5</w:t>
            </w:r>
          </w:p>
        </w:tc>
        <w:tc>
          <w:tcPr>
            <w:tcW w:w="1120" w:type="dxa"/>
            <w:gridSpan w:val="2"/>
            <w:tcBorders>
              <w:top w:val="nil"/>
              <w:left w:val="nil"/>
              <w:bottom w:val="single" w:sz="6" w:space="0" w:color="000000"/>
              <w:right w:val="nil"/>
            </w:tcBorders>
            <w:shd w:val="solid" w:color="FFFFFF" w:fill="auto"/>
          </w:tcPr>
          <w:p w:rsidR="00336793" w:rsidRPr="00752128" w:rsidRDefault="00336793" w:rsidP="00DF0B96">
            <w:pPr>
              <w:pStyle w:val="TableofFigures"/>
              <w:rPr>
                <w:rFonts w:eastAsiaTheme="minorEastAsia" w:cs="Calibri"/>
                <w:color w:val="000000"/>
                <w:sz w:val="20"/>
                <w:szCs w:val="22"/>
                <w:lang w:eastAsia="en-AU"/>
              </w:rPr>
            </w:pPr>
            <w:r w:rsidRPr="00752128">
              <w:rPr>
                <w:rFonts w:eastAsiaTheme="minorEastAsia"/>
                <w:sz w:val="20"/>
                <w:lang w:eastAsia="en-AU"/>
              </w:rPr>
              <w:t xml:space="preserve"> 292.3</w:t>
            </w:r>
          </w:p>
        </w:tc>
        <w:tc>
          <w:tcPr>
            <w:tcW w:w="1120" w:type="dxa"/>
            <w:gridSpan w:val="2"/>
            <w:tcBorders>
              <w:top w:val="nil"/>
              <w:left w:val="nil"/>
              <w:bottom w:val="single" w:sz="6" w:space="0" w:color="000000"/>
              <w:right w:val="nil"/>
            </w:tcBorders>
            <w:shd w:val="solid" w:color="FFFFFF" w:fill="auto"/>
          </w:tcPr>
          <w:p w:rsidR="00336793" w:rsidRPr="00752128" w:rsidRDefault="00336793" w:rsidP="00DF0B96">
            <w:pPr>
              <w:pStyle w:val="TableofFigures"/>
              <w:rPr>
                <w:rFonts w:eastAsiaTheme="minorEastAsia"/>
                <w:sz w:val="20"/>
                <w:lang w:eastAsia="en-AU"/>
              </w:rPr>
            </w:pPr>
            <w:r w:rsidRPr="00752128">
              <w:rPr>
                <w:rFonts w:eastAsiaTheme="minorEastAsia"/>
                <w:sz w:val="20"/>
                <w:lang w:eastAsia="en-AU"/>
              </w:rPr>
              <w:t xml:space="preserve"> 625.8</w:t>
            </w:r>
          </w:p>
        </w:tc>
      </w:tr>
      <w:tr w:rsidR="00336793" w:rsidRPr="00752128" w:rsidTr="00DF0B96">
        <w:tc>
          <w:tcPr>
            <w:tcW w:w="4417" w:type="dxa"/>
            <w:tcBorders>
              <w:top w:val="single" w:sz="6" w:space="0" w:color="000000"/>
              <w:left w:val="nil"/>
              <w:bottom w:val="single" w:sz="12" w:space="0" w:color="000000"/>
              <w:right w:val="nil"/>
            </w:tcBorders>
            <w:shd w:val="solid" w:color="FFFFFF" w:fill="auto"/>
          </w:tcPr>
          <w:p w:rsidR="00336793" w:rsidRPr="00752128" w:rsidRDefault="00336793" w:rsidP="00DF0B96">
            <w:pPr>
              <w:pStyle w:val="Tabletext"/>
              <w:rPr>
                <w:rFonts w:eastAsiaTheme="minorEastAsia"/>
                <w:b/>
                <w:bCs/>
                <w:sz w:val="20"/>
                <w:vertAlign w:val="superscript"/>
                <w:lang w:eastAsia="en-AU"/>
              </w:rPr>
            </w:pPr>
            <w:r w:rsidRPr="00752128">
              <w:rPr>
                <w:rFonts w:eastAsiaTheme="minorEastAsia"/>
                <w:b/>
                <w:bCs/>
                <w:sz w:val="20"/>
                <w:lang w:eastAsia="en-AU"/>
              </w:rPr>
              <w:t>Net lending/(borrowing)</w:t>
            </w:r>
          </w:p>
        </w:tc>
        <w:tc>
          <w:tcPr>
            <w:tcW w:w="740" w:type="dxa"/>
            <w:gridSpan w:val="3"/>
            <w:tcBorders>
              <w:top w:val="single" w:sz="6" w:space="0" w:color="000000"/>
              <w:left w:val="nil"/>
              <w:bottom w:val="single" w:sz="12" w:space="0" w:color="000000"/>
              <w:right w:val="nil"/>
            </w:tcBorders>
            <w:shd w:val="solid" w:color="FFFFFF" w:fill="auto"/>
          </w:tcPr>
          <w:p w:rsidR="00336793" w:rsidRPr="00752128" w:rsidRDefault="00336793" w:rsidP="00DF0B96">
            <w:pPr>
              <w:pStyle w:val="TableTextCentred"/>
              <w:rPr>
                <w:rFonts w:eastAsiaTheme="minorEastAsia"/>
                <w:b/>
                <w:sz w:val="20"/>
                <w:lang w:eastAsia="en-AU"/>
              </w:rPr>
            </w:pPr>
            <w:r w:rsidRPr="00752128">
              <w:rPr>
                <w:rFonts w:eastAsiaTheme="minorEastAsia"/>
                <w:b/>
                <w:sz w:val="20"/>
                <w:lang w:eastAsia="en-AU"/>
              </w:rPr>
              <w:t xml:space="preserve"> </w:t>
            </w:r>
          </w:p>
        </w:tc>
        <w:tc>
          <w:tcPr>
            <w:tcW w:w="1120" w:type="dxa"/>
            <w:gridSpan w:val="4"/>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cs="Calibri"/>
                <w:b/>
                <w:bCs/>
                <w:color w:val="000000"/>
                <w:sz w:val="20"/>
                <w:szCs w:val="22"/>
                <w:lang w:eastAsia="en-AU"/>
              </w:rPr>
            </w:pPr>
            <w:r w:rsidRPr="00752128">
              <w:rPr>
                <w:rFonts w:eastAsiaTheme="minorEastAsia"/>
                <w:b/>
                <w:bCs/>
                <w:sz w:val="20"/>
                <w:lang w:eastAsia="en-AU"/>
              </w:rPr>
              <w:t xml:space="preserve"> (2 </w:t>
            </w:r>
            <w:r w:rsidRPr="00752128">
              <w:rPr>
                <w:rFonts w:eastAsiaTheme="minorEastAsia" w:cs="Calibri"/>
                <w:b/>
                <w:bCs/>
                <w:color w:val="000000"/>
                <w:sz w:val="20"/>
                <w:szCs w:val="22"/>
                <w:lang w:eastAsia="en-AU"/>
              </w:rPr>
              <w:t>418.5)</w:t>
            </w:r>
          </w:p>
        </w:tc>
        <w:tc>
          <w:tcPr>
            <w:tcW w:w="1120" w:type="dxa"/>
            <w:gridSpan w:val="2"/>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(1 986.9)</w:t>
            </w:r>
          </w:p>
        </w:tc>
        <w:tc>
          <w:tcPr>
            <w:tcW w:w="1120" w:type="dxa"/>
            <w:gridSpan w:val="2"/>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 xml:space="preserve"> 921.7</w:t>
            </w:r>
          </w:p>
        </w:tc>
        <w:tc>
          <w:tcPr>
            <w:tcW w:w="1120" w:type="dxa"/>
            <w:gridSpan w:val="2"/>
            <w:tcBorders>
              <w:top w:val="single" w:sz="6" w:space="0" w:color="000000"/>
              <w:left w:val="nil"/>
              <w:bottom w:val="single" w:sz="12" w:space="0" w:color="000000"/>
              <w:right w:val="nil"/>
            </w:tcBorders>
            <w:shd w:val="solid" w:color="FFFFFF" w:fill="auto"/>
          </w:tcPr>
          <w:p w:rsidR="00336793" w:rsidRPr="00752128" w:rsidRDefault="00336793" w:rsidP="00DF0B96">
            <w:pPr>
              <w:pStyle w:val="TableofFigures"/>
              <w:rPr>
                <w:rFonts w:eastAsiaTheme="minorEastAsia"/>
                <w:b/>
                <w:bCs/>
                <w:sz w:val="20"/>
                <w:lang w:eastAsia="en-AU"/>
              </w:rPr>
            </w:pPr>
            <w:r w:rsidRPr="00752128">
              <w:rPr>
                <w:rFonts w:eastAsiaTheme="minorEastAsia"/>
                <w:b/>
                <w:bCs/>
                <w:sz w:val="20"/>
                <w:lang w:eastAsia="en-AU"/>
              </w:rPr>
              <w:t>1 353.9</w:t>
            </w:r>
          </w:p>
        </w:tc>
      </w:tr>
    </w:tbl>
    <w:p w:rsidR="00336793" w:rsidRPr="006A75A2" w:rsidRDefault="00336793" w:rsidP="00DF0B96">
      <w:pPr>
        <w:pStyle w:val="Source"/>
      </w:pPr>
      <w:r w:rsidRPr="006A75A2">
        <w:t>The accompanying notes form part of these financial statements.</w:t>
      </w:r>
    </w:p>
    <w:p w:rsidR="00336793" w:rsidRPr="006A75A2" w:rsidRDefault="00336793" w:rsidP="00DF0B96">
      <w:pPr>
        <w:pStyle w:val="Notes"/>
      </w:pPr>
      <w:r>
        <w:t>Note</w:t>
      </w:r>
      <w:r w:rsidRPr="006A75A2">
        <w:t>:</w:t>
      </w:r>
    </w:p>
    <w:p w:rsidR="00336793" w:rsidRDefault="00336793" w:rsidP="00DF0B96">
      <w:pPr>
        <w:pStyle w:val="Notes"/>
      </w:pPr>
      <w:r w:rsidRPr="006A75A2">
        <w:t>(a)</w:t>
      </w:r>
      <w:r w:rsidRPr="006A75A2">
        <w:tab/>
      </w:r>
      <w:r>
        <w:t>June 2014 comparative figures have been restated. See Note 37</w:t>
      </w:r>
      <w:r w:rsidRPr="006A75A2">
        <w:t>.</w:t>
      </w:r>
    </w:p>
    <w:p w:rsidR="00336793" w:rsidRPr="006A75A2" w:rsidRDefault="00336793" w:rsidP="00DF0B96">
      <w:pPr>
        <w:pStyle w:val="Notes"/>
      </w:pPr>
    </w:p>
    <w:p w:rsidR="00336793" w:rsidRPr="006A75A2" w:rsidRDefault="00336793" w:rsidP="00DF0B96">
      <w:pPr>
        <w:pStyle w:val="Tableheading"/>
        <w:spacing w:before="0"/>
      </w:pPr>
      <w:r w:rsidRPr="006A75A2">
        <w:lastRenderedPageBreak/>
        <w:t>Consolidated balance sheet as at 30 June</w:t>
      </w:r>
    </w:p>
    <w:p w:rsidR="00336793" w:rsidRPr="00A10A3B" w:rsidRDefault="00336793" w:rsidP="00DF0B96">
      <w:pPr>
        <w:pStyle w:val="million"/>
        <w:rPr>
          <w:rFonts w:ascii="Times New Roman" w:hAnsi="Times New Roman"/>
          <w:i w:val="0"/>
          <w:szCs w:val="20"/>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2960"/>
        <w:gridCol w:w="792"/>
        <w:gridCol w:w="1008"/>
        <w:gridCol w:w="990"/>
        <w:gridCol w:w="221"/>
        <w:gridCol w:w="283"/>
        <w:gridCol w:w="495"/>
        <w:gridCol w:w="990"/>
        <w:gridCol w:w="963"/>
        <w:gridCol w:w="655"/>
        <w:gridCol w:w="110"/>
        <w:gridCol w:w="170"/>
      </w:tblGrid>
      <w:tr w:rsidR="00336793" w:rsidRPr="006D19D9" w:rsidTr="00DF0B96">
        <w:trPr>
          <w:tblHeader/>
        </w:trPr>
        <w:tc>
          <w:tcPr>
            <w:tcW w:w="2960" w:type="dxa"/>
            <w:tcBorders>
              <w:top w:val="single" w:sz="6" w:space="0" w:color="auto"/>
              <w:left w:val="single" w:sz="6" w:space="0" w:color="auto"/>
              <w:bottom w:val="nil"/>
              <w:right w:val="nil"/>
            </w:tcBorders>
            <w:shd w:val="clear" w:color="000000" w:fill="000000"/>
            <w:vAlign w:val="bottom"/>
          </w:tcPr>
          <w:p w:rsidR="00336793" w:rsidRPr="006D19D9" w:rsidRDefault="00336793" w:rsidP="00DF0B96">
            <w:pPr>
              <w:pStyle w:val="Tabletext"/>
              <w:rPr>
                <w:rFonts w:eastAsiaTheme="minorEastAsia"/>
                <w:i/>
                <w:sz w:val="19"/>
                <w:szCs w:val="20"/>
                <w:lang w:eastAsia="en-AU"/>
              </w:rPr>
            </w:pPr>
            <w:r w:rsidRPr="006D19D9">
              <w:rPr>
                <w:rFonts w:eastAsiaTheme="minorEastAsia"/>
                <w:i/>
                <w:sz w:val="19"/>
                <w:szCs w:val="20"/>
                <w:lang w:eastAsia="en-AU"/>
              </w:rPr>
              <w:t xml:space="preserve"> </w:t>
            </w:r>
          </w:p>
        </w:tc>
        <w:tc>
          <w:tcPr>
            <w:tcW w:w="792" w:type="dxa"/>
            <w:tcBorders>
              <w:top w:val="single" w:sz="6" w:space="0" w:color="auto"/>
              <w:left w:val="nil"/>
              <w:bottom w:val="nil"/>
              <w:right w:val="nil"/>
            </w:tcBorders>
            <w:shd w:val="clear" w:color="000000" w:fill="000000"/>
            <w:vAlign w:val="bottom"/>
          </w:tcPr>
          <w:p w:rsidR="00336793" w:rsidRPr="006D19D9" w:rsidRDefault="00336793" w:rsidP="00DF0B96">
            <w:pPr>
              <w:pStyle w:val="TabletextheadingCentred"/>
              <w:rPr>
                <w:rFonts w:eastAsiaTheme="minorEastAsia"/>
                <w:sz w:val="19"/>
                <w:szCs w:val="20"/>
                <w:lang w:eastAsia="en-AU"/>
              </w:rPr>
            </w:pPr>
            <w:r w:rsidRPr="006D19D9">
              <w:rPr>
                <w:rFonts w:eastAsiaTheme="minorEastAsia"/>
                <w:sz w:val="19"/>
                <w:szCs w:val="20"/>
                <w:lang w:eastAsia="en-AU"/>
              </w:rPr>
              <w:t xml:space="preserve"> </w:t>
            </w:r>
          </w:p>
        </w:tc>
        <w:tc>
          <w:tcPr>
            <w:tcW w:w="2219" w:type="dxa"/>
            <w:gridSpan w:val="3"/>
            <w:tcBorders>
              <w:top w:val="single" w:sz="6" w:space="0" w:color="auto"/>
              <w:left w:val="nil"/>
              <w:bottom w:val="nil"/>
              <w:right w:val="nil"/>
            </w:tcBorders>
            <w:shd w:val="clear" w:color="000000" w:fill="000000"/>
            <w:vAlign w:val="bottom"/>
          </w:tcPr>
          <w:p w:rsidR="00336793" w:rsidRPr="006D19D9" w:rsidRDefault="00336793" w:rsidP="00DF0B96">
            <w:pPr>
              <w:pStyle w:val="Tabletextheading"/>
              <w:rPr>
                <w:rFonts w:eastAsiaTheme="minorEastAsia"/>
                <w:color w:val="FFFFFF"/>
                <w:sz w:val="19"/>
                <w:szCs w:val="20"/>
                <w:lang w:eastAsia="en-AU"/>
              </w:rPr>
            </w:pPr>
            <w:r w:rsidRPr="006D19D9">
              <w:rPr>
                <w:rFonts w:eastAsiaTheme="minorEastAsia"/>
                <w:color w:val="FFFFFF"/>
                <w:sz w:val="19"/>
                <w:szCs w:val="20"/>
                <w:lang w:eastAsia="en-AU"/>
              </w:rPr>
              <w:t>State of Victoria</w:t>
            </w:r>
          </w:p>
        </w:tc>
        <w:tc>
          <w:tcPr>
            <w:tcW w:w="283" w:type="dxa"/>
            <w:tcBorders>
              <w:top w:val="single" w:sz="6" w:space="0" w:color="auto"/>
              <w:left w:val="nil"/>
              <w:bottom w:val="nil"/>
              <w:right w:val="nil"/>
            </w:tcBorders>
            <w:shd w:val="clear" w:color="000000" w:fill="000000"/>
            <w:vAlign w:val="bottom"/>
          </w:tcPr>
          <w:p w:rsidR="00336793" w:rsidRPr="006D19D9" w:rsidRDefault="00336793" w:rsidP="00DF0B96">
            <w:pPr>
              <w:pStyle w:val="Tabletextheading"/>
              <w:rPr>
                <w:rFonts w:eastAsiaTheme="minorEastAsia"/>
                <w:color w:val="FFFFFF"/>
                <w:sz w:val="19"/>
                <w:szCs w:val="20"/>
                <w:lang w:eastAsia="en-AU"/>
              </w:rPr>
            </w:pPr>
            <w:r w:rsidRPr="006D19D9">
              <w:rPr>
                <w:rFonts w:eastAsiaTheme="minorEastAsia"/>
                <w:color w:val="FFFFFF"/>
                <w:sz w:val="19"/>
                <w:szCs w:val="20"/>
                <w:lang w:eastAsia="en-AU"/>
              </w:rPr>
              <w:t xml:space="preserve"> </w:t>
            </w:r>
          </w:p>
        </w:tc>
        <w:tc>
          <w:tcPr>
            <w:tcW w:w="495" w:type="dxa"/>
            <w:tcBorders>
              <w:top w:val="single" w:sz="6" w:space="0" w:color="auto"/>
              <w:left w:val="nil"/>
              <w:bottom w:val="nil"/>
              <w:right w:val="nil"/>
            </w:tcBorders>
            <w:shd w:val="clear" w:color="000000" w:fill="000000"/>
            <w:vAlign w:val="bottom"/>
          </w:tcPr>
          <w:p w:rsidR="00336793" w:rsidRPr="006D19D9" w:rsidRDefault="00336793" w:rsidP="00DF0B96">
            <w:pPr>
              <w:pStyle w:val="Tabletextheading"/>
              <w:rPr>
                <w:rFonts w:eastAsiaTheme="minorEastAsia"/>
                <w:color w:val="FFFFFF"/>
                <w:sz w:val="19"/>
                <w:szCs w:val="20"/>
                <w:lang w:eastAsia="en-AU"/>
              </w:rPr>
            </w:pPr>
            <w:r w:rsidRPr="006D19D9">
              <w:rPr>
                <w:rFonts w:eastAsiaTheme="minorEastAsia"/>
                <w:color w:val="FFFFFF"/>
                <w:sz w:val="19"/>
                <w:szCs w:val="20"/>
                <w:lang w:eastAsia="en-AU"/>
              </w:rPr>
              <w:t xml:space="preserve"> </w:t>
            </w:r>
          </w:p>
        </w:tc>
        <w:tc>
          <w:tcPr>
            <w:tcW w:w="2608" w:type="dxa"/>
            <w:gridSpan w:val="3"/>
            <w:tcBorders>
              <w:top w:val="single" w:sz="6" w:space="0" w:color="auto"/>
              <w:left w:val="nil"/>
              <w:bottom w:val="nil"/>
              <w:right w:val="nil"/>
            </w:tcBorders>
            <w:shd w:val="clear" w:color="000000" w:fill="000000"/>
            <w:vAlign w:val="bottom"/>
          </w:tcPr>
          <w:p w:rsidR="00336793" w:rsidRPr="006D19D9" w:rsidRDefault="00336793" w:rsidP="00DF0B96">
            <w:pPr>
              <w:pStyle w:val="Tabletextheading"/>
              <w:rPr>
                <w:rFonts w:eastAsiaTheme="minorEastAsia"/>
                <w:color w:val="FFFFFF"/>
                <w:sz w:val="19"/>
                <w:szCs w:val="20"/>
                <w:lang w:eastAsia="en-AU"/>
              </w:rPr>
            </w:pPr>
            <w:r w:rsidRPr="006D19D9">
              <w:rPr>
                <w:rFonts w:eastAsiaTheme="minorEastAsia"/>
                <w:color w:val="FFFFFF"/>
                <w:sz w:val="19"/>
                <w:szCs w:val="20"/>
                <w:lang w:eastAsia="en-AU"/>
              </w:rPr>
              <w:t>General government sector</w:t>
            </w:r>
          </w:p>
        </w:tc>
        <w:tc>
          <w:tcPr>
            <w:tcW w:w="110" w:type="dxa"/>
            <w:tcBorders>
              <w:top w:val="single" w:sz="6" w:space="0" w:color="auto"/>
              <w:left w:val="nil"/>
              <w:bottom w:val="nil"/>
              <w:right w:val="nil"/>
            </w:tcBorders>
            <w:shd w:val="clear" w:color="000000" w:fill="000000"/>
            <w:vAlign w:val="bottom"/>
          </w:tcPr>
          <w:p w:rsidR="00336793" w:rsidRPr="006D19D9" w:rsidRDefault="00336793" w:rsidP="00DF0B96">
            <w:pPr>
              <w:pStyle w:val="Tabletextheading"/>
              <w:rPr>
                <w:rFonts w:eastAsiaTheme="minorEastAsia"/>
                <w:color w:val="FFFFFF"/>
                <w:sz w:val="19"/>
                <w:szCs w:val="20"/>
                <w:lang w:eastAsia="en-AU"/>
              </w:rPr>
            </w:pPr>
            <w:r w:rsidRPr="006D19D9">
              <w:rPr>
                <w:rFonts w:eastAsiaTheme="minorEastAsia"/>
                <w:color w:val="FFFFFF"/>
                <w:sz w:val="19"/>
                <w:szCs w:val="20"/>
                <w:lang w:eastAsia="en-AU"/>
              </w:rPr>
              <w:t xml:space="preserve"> </w:t>
            </w:r>
          </w:p>
        </w:tc>
        <w:tc>
          <w:tcPr>
            <w:tcW w:w="170" w:type="dxa"/>
            <w:tcBorders>
              <w:top w:val="single" w:sz="6" w:space="0" w:color="auto"/>
              <w:left w:val="nil"/>
              <w:bottom w:val="nil"/>
              <w:right w:val="single" w:sz="6" w:space="0" w:color="auto"/>
            </w:tcBorders>
            <w:shd w:val="clear" w:color="000000" w:fill="000000"/>
            <w:vAlign w:val="bottom"/>
          </w:tcPr>
          <w:p w:rsidR="00336793" w:rsidRPr="006D19D9" w:rsidRDefault="00336793" w:rsidP="00DF0B96">
            <w:pPr>
              <w:pStyle w:val="Tabletextheading"/>
              <w:rPr>
                <w:rFonts w:eastAsiaTheme="minorEastAsia"/>
                <w:color w:val="FFFFFF"/>
                <w:sz w:val="19"/>
                <w:szCs w:val="20"/>
                <w:lang w:eastAsia="en-AU"/>
              </w:rPr>
            </w:pPr>
            <w:r w:rsidRPr="006D19D9">
              <w:rPr>
                <w:rFonts w:eastAsiaTheme="minorEastAsia"/>
                <w:color w:val="FFFFFF"/>
                <w:sz w:val="19"/>
                <w:szCs w:val="20"/>
                <w:lang w:eastAsia="en-AU"/>
              </w:rPr>
              <w:t xml:space="preserve"> </w:t>
            </w:r>
          </w:p>
        </w:tc>
      </w:tr>
      <w:tr w:rsidR="00336793" w:rsidRPr="006D19D9" w:rsidTr="00DF0B96">
        <w:trPr>
          <w:tblHeader/>
        </w:trPr>
        <w:tc>
          <w:tcPr>
            <w:tcW w:w="2960" w:type="dxa"/>
            <w:tcBorders>
              <w:left w:val="single" w:sz="6" w:space="0" w:color="auto"/>
              <w:bottom w:val="single" w:sz="6" w:space="0" w:color="auto"/>
              <w:right w:val="nil"/>
            </w:tcBorders>
            <w:shd w:val="clear" w:color="000000" w:fill="000000"/>
            <w:vAlign w:val="bottom"/>
          </w:tcPr>
          <w:p w:rsidR="00336793" w:rsidRPr="006D19D9" w:rsidRDefault="00336793" w:rsidP="00DF0B96">
            <w:pPr>
              <w:pStyle w:val="Tabletext"/>
              <w:rPr>
                <w:rFonts w:eastAsiaTheme="minorEastAsia"/>
                <w:i/>
                <w:sz w:val="19"/>
                <w:szCs w:val="20"/>
                <w:lang w:eastAsia="en-AU"/>
              </w:rPr>
            </w:pPr>
            <w:r w:rsidRPr="006D19D9">
              <w:rPr>
                <w:rFonts w:eastAsiaTheme="minorEastAsia"/>
                <w:i/>
                <w:sz w:val="19"/>
                <w:szCs w:val="20"/>
                <w:lang w:eastAsia="en-AU"/>
              </w:rPr>
              <w:t xml:space="preserve"> </w:t>
            </w:r>
          </w:p>
        </w:tc>
        <w:tc>
          <w:tcPr>
            <w:tcW w:w="792" w:type="dxa"/>
            <w:tcBorders>
              <w:left w:val="nil"/>
              <w:bottom w:val="single" w:sz="6" w:space="0" w:color="auto"/>
              <w:right w:val="nil"/>
            </w:tcBorders>
            <w:shd w:val="clear" w:color="000000" w:fill="000000"/>
            <w:vAlign w:val="bottom"/>
          </w:tcPr>
          <w:p w:rsidR="00336793" w:rsidRPr="006D19D9" w:rsidRDefault="00336793" w:rsidP="00DF0B96">
            <w:pPr>
              <w:pStyle w:val="TabletextheadingCentred"/>
              <w:rPr>
                <w:rFonts w:eastAsiaTheme="minorEastAsia"/>
                <w:sz w:val="19"/>
                <w:szCs w:val="20"/>
                <w:lang w:eastAsia="en-AU"/>
              </w:rPr>
            </w:pPr>
            <w:r w:rsidRPr="006D19D9">
              <w:rPr>
                <w:rFonts w:eastAsiaTheme="minorEastAsia"/>
                <w:sz w:val="19"/>
                <w:szCs w:val="20"/>
                <w:lang w:eastAsia="en-AU"/>
              </w:rPr>
              <w:t>Notes</w:t>
            </w:r>
          </w:p>
        </w:tc>
        <w:tc>
          <w:tcPr>
            <w:tcW w:w="1008" w:type="dxa"/>
            <w:tcBorders>
              <w:left w:val="nil"/>
              <w:bottom w:val="single" w:sz="6" w:space="0" w:color="auto"/>
              <w:right w:val="nil"/>
            </w:tcBorders>
            <w:shd w:val="clear" w:color="000000" w:fill="000000"/>
            <w:vAlign w:val="bottom"/>
          </w:tcPr>
          <w:p w:rsidR="00336793" w:rsidRPr="006D19D9" w:rsidRDefault="00336793" w:rsidP="00DF0B96">
            <w:pPr>
              <w:pStyle w:val="Tabletextheading"/>
              <w:rPr>
                <w:rFonts w:eastAsiaTheme="minorEastAsia"/>
                <w:color w:val="FFFFFF"/>
                <w:sz w:val="19"/>
                <w:szCs w:val="20"/>
                <w:lang w:eastAsia="en-AU"/>
              </w:rPr>
            </w:pPr>
            <w:r w:rsidRPr="006D19D9">
              <w:rPr>
                <w:rFonts w:eastAsiaTheme="minorEastAsia"/>
                <w:color w:val="FFFFFF"/>
                <w:sz w:val="19"/>
                <w:szCs w:val="20"/>
                <w:lang w:eastAsia="en-AU"/>
              </w:rPr>
              <w:t>2015</w:t>
            </w:r>
          </w:p>
        </w:tc>
        <w:tc>
          <w:tcPr>
            <w:tcW w:w="990" w:type="dxa"/>
            <w:tcBorders>
              <w:left w:val="nil"/>
              <w:bottom w:val="single" w:sz="6" w:space="0" w:color="auto"/>
              <w:right w:val="nil"/>
            </w:tcBorders>
            <w:shd w:val="clear" w:color="000000" w:fill="000000"/>
            <w:vAlign w:val="bottom"/>
          </w:tcPr>
          <w:p w:rsidR="00336793" w:rsidRPr="006D19D9" w:rsidRDefault="00336793" w:rsidP="00DF0B96">
            <w:pPr>
              <w:pStyle w:val="Tabletextheading"/>
              <w:rPr>
                <w:rFonts w:eastAsiaTheme="minorEastAsia" w:cs="Calibri"/>
                <w:iCs/>
                <w:color w:val="FFFFFF"/>
                <w:sz w:val="19"/>
                <w:szCs w:val="22"/>
                <w:vertAlign w:val="superscript"/>
                <w:lang w:eastAsia="en-AU"/>
              </w:rPr>
            </w:pPr>
            <w:r w:rsidRPr="006D19D9">
              <w:rPr>
                <w:rFonts w:eastAsiaTheme="minorEastAsia"/>
                <w:color w:val="FFFFFF"/>
                <w:sz w:val="19"/>
                <w:szCs w:val="20"/>
                <w:lang w:eastAsia="en-AU"/>
              </w:rPr>
              <w:t>2014</w:t>
            </w:r>
            <w:r w:rsidRPr="006D19D9">
              <w:rPr>
                <w:rFonts w:eastAsiaTheme="minorEastAsia"/>
                <w:color w:val="FFFFFF"/>
                <w:sz w:val="19"/>
                <w:szCs w:val="20"/>
                <w:vertAlign w:val="superscript"/>
                <w:lang w:eastAsia="en-AU"/>
              </w:rPr>
              <w:t>(</w:t>
            </w:r>
            <w:r w:rsidRPr="006D19D9">
              <w:rPr>
                <w:rFonts w:eastAsiaTheme="minorEastAsia" w:cs="Calibri"/>
                <w:iCs/>
                <w:color w:val="FFFFFF"/>
                <w:sz w:val="19"/>
                <w:szCs w:val="22"/>
                <w:vertAlign w:val="superscript"/>
                <w:lang w:eastAsia="en-AU"/>
              </w:rPr>
              <w:t>a)</w:t>
            </w:r>
          </w:p>
        </w:tc>
        <w:tc>
          <w:tcPr>
            <w:tcW w:w="999" w:type="dxa"/>
            <w:gridSpan w:val="3"/>
            <w:tcBorders>
              <w:left w:val="nil"/>
              <w:bottom w:val="single" w:sz="6" w:space="0" w:color="auto"/>
              <w:right w:val="nil"/>
            </w:tcBorders>
            <w:shd w:val="clear" w:color="000000" w:fill="000000"/>
            <w:vAlign w:val="bottom"/>
          </w:tcPr>
          <w:p w:rsidR="00336793" w:rsidRPr="006D19D9" w:rsidRDefault="00336793" w:rsidP="00DF0B96">
            <w:pPr>
              <w:pStyle w:val="Tabletextheading"/>
              <w:rPr>
                <w:rFonts w:eastAsiaTheme="minorEastAsia" w:cs="Calibri"/>
                <w:iCs/>
                <w:color w:val="FFFFFF"/>
                <w:sz w:val="19"/>
                <w:szCs w:val="22"/>
                <w:vertAlign w:val="superscript"/>
                <w:lang w:eastAsia="en-AU"/>
              </w:rPr>
            </w:pPr>
            <w:r w:rsidRPr="006D19D9">
              <w:rPr>
                <w:rFonts w:eastAsiaTheme="minorEastAsia"/>
                <w:color w:val="FFFFFF"/>
                <w:sz w:val="19"/>
                <w:szCs w:val="20"/>
                <w:lang w:eastAsia="en-AU"/>
              </w:rPr>
              <w:t>2013</w:t>
            </w:r>
            <w:r w:rsidRPr="006D19D9">
              <w:rPr>
                <w:rFonts w:eastAsiaTheme="minorEastAsia"/>
                <w:color w:val="FFFFFF"/>
                <w:sz w:val="19"/>
                <w:szCs w:val="20"/>
                <w:vertAlign w:val="superscript"/>
                <w:lang w:eastAsia="en-AU"/>
              </w:rPr>
              <w:t>(</w:t>
            </w:r>
            <w:r w:rsidRPr="006D19D9">
              <w:rPr>
                <w:rFonts w:eastAsiaTheme="minorEastAsia" w:cs="Calibri"/>
                <w:iCs/>
                <w:color w:val="FFFFFF"/>
                <w:sz w:val="19"/>
                <w:szCs w:val="22"/>
                <w:vertAlign w:val="superscript"/>
                <w:lang w:eastAsia="en-AU"/>
              </w:rPr>
              <w:t>a)</w:t>
            </w:r>
          </w:p>
        </w:tc>
        <w:tc>
          <w:tcPr>
            <w:tcW w:w="990" w:type="dxa"/>
            <w:tcBorders>
              <w:left w:val="nil"/>
              <w:bottom w:val="single" w:sz="6" w:space="0" w:color="auto"/>
              <w:right w:val="nil"/>
            </w:tcBorders>
            <w:shd w:val="clear" w:color="000000" w:fill="000000"/>
            <w:vAlign w:val="bottom"/>
          </w:tcPr>
          <w:p w:rsidR="00336793" w:rsidRPr="006D19D9" w:rsidRDefault="00336793" w:rsidP="00DF0B96">
            <w:pPr>
              <w:pStyle w:val="Tabletextheading"/>
              <w:rPr>
                <w:rFonts w:eastAsiaTheme="minorEastAsia"/>
                <w:color w:val="FFFFFF"/>
                <w:sz w:val="19"/>
                <w:szCs w:val="20"/>
                <w:lang w:eastAsia="en-AU"/>
              </w:rPr>
            </w:pPr>
            <w:r w:rsidRPr="006D19D9">
              <w:rPr>
                <w:rFonts w:eastAsiaTheme="minorEastAsia"/>
                <w:color w:val="FFFFFF"/>
                <w:sz w:val="19"/>
                <w:szCs w:val="20"/>
                <w:lang w:eastAsia="en-AU"/>
              </w:rPr>
              <w:t>2015</w:t>
            </w:r>
          </w:p>
        </w:tc>
        <w:tc>
          <w:tcPr>
            <w:tcW w:w="963" w:type="dxa"/>
            <w:tcBorders>
              <w:left w:val="nil"/>
              <w:bottom w:val="single" w:sz="6" w:space="0" w:color="auto"/>
              <w:right w:val="nil"/>
            </w:tcBorders>
            <w:shd w:val="clear" w:color="000000" w:fill="000000"/>
            <w:vAlign w:val="bottom"/>
          </w:tcPr>
          <w:p w:rsidR="00336793" w:rsidRPr="006D19D9" w:rsidRDefault="00336793" w:rsidP="00DF0B96">
            <w:pPr>
              <w:pStyle w:val="Tabletextheading"/>
              <w:rPr>
                <w:rFonts w:eastAsiaTheme="minorEastAsia" w:cs="Calibri"/>
                <w:iCs/>
                <w:color w:val="FFFFFF"/>
                <w:sz w:val="19"/>
                <w:szCs w:val="22"/>
                <w:vertAlign w:val="superscript"/>
                <w:lang w:eastAsia="en-AU"/>
              </w:rPr>
            </w:pPr>
            <w:r w:rsidRPr="006D19D9">
              <w:rPr>
                <w:rFonts w:eastAsiaTheme="minorEastAsia"/>
                <w:color w:val="FFFFFF"/>
                <w:sz w:val="19"/>
                <w:szCs w:val="20"/>
                <w:lang w:eastAsia="en-AU"/>
              </w:rPr>
              <w:t>2014</w:t>
            </w:r>
            <w:r w:rsidRPr="006D19D9">
              <w:rPr>
                <w:rFonts w:eastAsiaTheme="minorEastAsia"/>
                <w:color w:val="FFFFFF"/>
                <w:sz w:val="19"/>
                <w:szCs w:val="20"/>
                <w:vertAlign w:val="superscript"/>
                <w:lang w:eastAsia="en-AU"/>
              </w:rPr>
              <w:t>(</w:t>
            </w:r>
            <w:r w:rsidRPr="006D19D9">
              <w:rPr>
                <w:rFonts w:eastAsiaTheme="minorEastAsia" w:cs="Calibri"/>
                <w:iCs/>
                <w:color w:val="FFFFFF"/>
                <w:sz w:val="19"/>
                <w:szCs w:val="22"/>
                <w:vertAlign w:val="superscript"/>
                <w:lang w:eastAsia="en-AU"/>
              </w:rPr>
              <w:t>a)</w:t>
            </w:r>
          </w:p>
        </w:tc>
        <w:tc>
          <w:tcPr>
            <w:tcW w:w="935" w:type="dxa"/>
            <w:gridSpan w:val="3"/>
            <w:tcBorders>
              <w:left w:val="nil"/>
              <w:bottom w:val="single" w:sz="6" w:space="0" w:color="auto"/>
              <w:right w:val="single" w:sz="6" w:space="0" w:color="auto"/>
            </w:tcBorders>
            <w:shd w:val="clear" w:color="000000" w:fill="000000"/>
            <w:vAlign w:val="bottom"/>
          </w:tcPr>
          <w:p w:rsidR="00336793" w:rsidRPr="006D19D9" w:rsidRDefault="00336793" w:rsidP="00DF0B96">
            <w:pPr>
              <w:pStyle w:val="Tabletextheading"/>
              <w:rPr>
                <w:rFonts w:eastAsiaTheme="minorEastAsia" w:cs="Calibri"/>
                <w:iCs/>
                <w:color w:val="FFFFFF"/>
                <w:sz w:val="19"/>
                <w:szCs w:val="22"/>
                <w:vertAlign w:val="superscript"/>
                <w:lang w:eastAsia="en-AU"/>
              </w:rPr>
            </w:pPr>
            <w:r w:rsidRPr="006D19D9">
              <w:rPr>
                <w:rFonts w:eastAsiaTheme="minorEastAsia"/>
                <w:color w:val="FFFFFF"/>
                <w:sz w:val="19"/>
                <w:szCs w:val="20"/>
                <w:lang w:eastAsia="en-AU"/>
              </w:rPr>
              <w:t>2013</w:t>
            </w:r>
            <w:r w:rsidRPr="006D19D9">
              <w:rPr>
                <w:rFonts w:eastAsiaTheme="minorEastAsia"/>
                <w:color w:val="FFFFFF"/>
                <w:sz w:val="19"/>
                <w:szCs w:val="20"/>
                <w:vertAlign w:val="superscript"/>
                <w:lang w:eastAsia="en-AU"/>
              </w:rPr>
              <w:t>(</w:t>
            </w:r>
            <w:r w:rsidRPr="006D19D9">
              <w:rPr>
                <w:rFonts w:eastAsiaTheme="minorEastAsia" w:cs="Calibri"/>
                <w:iCs/>
                <w:color w:val="FFFFFF"/>
                <w:sz w:val="19"/>
                <w:szCs w:val="22"/>
                <w:vertAlign w:val="superscript"/>
                <w:lang w:eastAsia="en-AU"/>
              </w:rPr>
              <w:t>a)</w:t>
            </w:r>
          </w:p>
        </w:tc>
      </w:tr>
      <w:tr w:rsidR="00336793" w:rsidRPr="006D19D9" w:rsidTr="00DF0B96">
        <w:tc>
          <w:tcPr>
            <w:tcW w:w="2960" w:type="dxa"/>
            <w:tcBorders>
              <w:top w:val="single" w:sz="6" w:space="0" w:color="auto"/>
              <w:left w:val="nil"/>
              <w:bottom w:val="nil"/>
              <w:right w:val="nil"/>
            </w:tcBorders>
            <w:shd w:val="solid" w:color="FFFFFF" w:fill="auto"/>
          </w:tcPr>
          <w:p w:rsidR="00336793" w:rsidRPr="006D19D9" w:rsidRDefault="00336793" w:rsidP="00DF0B96">
            <w:pPr>
              <w:pStyle w:val="Tabletext"/>
              <w:rPr>
                <w:rFonts w:eastAsiaTheme="minorEastAsia"/>
                <w:b/>
                <w:bCs/>
                <w:sz w:val="19"/>
                <w:szCs w:val="20"/>
                <w:lang w:eastAsia="en-AU"/>
              </w:rPr>
            </w:pPr>
            <w:r w:rsidRPr="006D19D9">
              <w:rPr>
                <w:rFonts w:eastAsiaTheme="minorEastAsia"/>
                <w:b/>
                <w:bCs/>
                <w:sz w:val="19"/>
                <w:szCs w:val="20"/>
                <w:lang w:eastAsia="en-AU"/>
              </w:rPr>
              <w:t>Assets</w:t>
            </w:r>
          </w:p>
        </w:tc>
        <w:tc>
          <w:tcPr>
            <w:tcW w:w="792" w:type="dxa"/>
            <w:tcBorders>
              <w:top w:val="single" w:sz="6" w:space="0" w:color="auto"/>
              <w:left w:val="nil"/>
              <w:bottom w:val="nil"/>
              <w:right w:val="nil"/>
            </w:tcBorders>
            <w:shd w:val="solid" w:color="FFFFFF" w:fill="auto"/>
          </w:tcPr>
          <w:p w:rsidR="00336793" w:rsidRPr="006D19D9" w:rsidRDefault="00336793" w:rsidP="00DF0B96">
            <w:pPr>
              <w:pStyle w:val="TableTextCentred"/>
              <w:rPr>
                <w:rFonts w:eastAsiaTheme="minorEastAsia"/>
                <w:b/>
                <w:sz w:val="19"/>
                <w:szCs w:val="20"/>
                <w:lang w:eastAsia="en-AU"/>
              </w:rPr>
            </w:pPr>
            <w:r w:rsidRPr="006D19D9">
              <w:rPr>
                <w:rFonts w:eastAsiaTheme="minorEastAsia"/>
                <w:b/>
                <w:sz w:val="19"/>
                <w:szCs w:val="20"/>
                <w:lang w:eastAsia="en-AU"/>
              </w:rPr>
              <w:t xml:space="preserve"> </w:t>
            </w:r>
          </w:p>
        </w:tc>
        <w:tc>
          <w:tcPr>
            <w:tcW w:w="1008" w:type="dxa"/>
            <w:tcBorders>
              <w:top w:val="single" w:sz="6" w:space="0" w:color="auto"/>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0" w:type="dxa"/>
            <w:tcBorders>
              <w:top w:val="single" w:sz="6" w:space="0" w:color="auto"/>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9" w:type="dxa"/>
            <w:gridSpan w:val="3"/>
            <w:tcBorders>
              <w:top w:val="single" w:sz="6" w:space="0" w:color="auto"/>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0" w:type="dxa"/>
            <w:tcBorders>
              <w:top w:val="single" w:sz="6" w:space="0" w:color="auto"/>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63" w:type="dxa"/>
            <w:tcBorders>
              <w:top w:val="single" w:sz="6" w:space="0" w:color="auto"/>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35" w:type="dxa"/>
            <w:gridSpan w:val="3"/>
            <w:tcBorders>
              <w:top w:val="single" w:sz="6" w:space="0" w:color="auto"/>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b/>
                <w:bCs/>
                <w:sz w:val="19"/>
                <w:szCs w:val="20"/>
                <w:lang w:eastAsia="en-AU"/>
              </w:rPr>
            </w:pPr>
            <w:r w:rsidRPr="006D19D9">
              <w:rPr>
                <w:rFonts w:eastAsiaTheme="minorEastAsia"/>
                <w:b/>
                <w:bCs/>
                <w:sz w:val="19"/>
                <w:szCs w:val="20"/>
                <w:lang w:eastAsia="en-AU"/>
              </w:rPr>
              <w:t>Financial assets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b/>
                <w:sz w:val="19"/>
                <w:szCs w:val="20"/>
                <w:lang w:eastAsia="en-AU"/>
              </w:rPr>
            </w:pPr>
            <w:r w:rsidRPr="006D19D9">
              <w:rPr>
                <w:rFonts w:eastAsiaTheme="minorEastAsia"/>
                <w:b/>
                <w:sz w:val="19"/>
                <w:szCs w:val="20"/>
                <w:lang w:eastAsia="en-AU"/>
              </w:rPr>
              <w:t xml:space="preserve"> </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Cash and deposits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30(a)</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6 521.1</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8 282.0</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6 252.9</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4 281.7</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4 582.2</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3 962.0</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Advances paid</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16</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121.4</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1 795.1</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1 727.3</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4 571.8</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4 586.9</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4 626.8</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Receivables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17</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6 789.2</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6 396.5</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7 402.9</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5 555.3</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4 940.6</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5 061.0</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vertAlign w:val="superscript"/>
                <w:lang w:eastAsia="en-AU"/>
              </w:rPr>
            </w:pPr>
            <w:r w:rsidRPr="006D19D9">
              <w:rPr>
                <w:rFonts w:eastAsiaTheme="minorEastAsia"/>
                <w:sz w:val="19"/>
                <w:szCs w:val="20"/>
                <w:lang w:eastAsia="en-AU"/>
              </w:rPr>
              <w:t>Investments, loans and placements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16</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34 317.1</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29 755.3</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26 128.7</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3 405.9</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3 036.3</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3 383.4</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Investments accounted for using the equity method</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18</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2 020.8</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1 555.1</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1 666.1</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44.6</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44.1</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49.4</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Investments in other sector entities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19</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82 181.0</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75 869.2</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69 714.8</w:t>
            </w:r>
          </w:p>
        </w:tc>
      </w:tr>
      <w:tr w:rsidR="00336793" w:rsidRPr="006D19D9" w:rsidTr="00DF0B96">
        <w:tc>
          <w:tcPr>
            <w:tcW w:w="2960"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text"/>
              <w:rPr>
                <w:rFonts w:eastAsiaTheme="minorEastAsia"/>
                <w:b/>
                <w:bCs/>
                <w:sz w:val="19"/>
                <w:szCs w:val="20"/>
                <w:vertAlign w:val="superscript"/>
                <w:lang w:eastAsia="en-AU"/>
              </w:rPr>
            </w:pPr>
            <w:r w:rsidRPr="006D19D9">
              <w:rPr>
                <w:rFonts w:eastAsiaTheme="minorEastAsia"/>
                <w:b/>
                <w:bCs/>
                <w:sz w:val="19"/>
                <w:szCs w:val="20"/>
                <w:lang w:eastAsia="en-AU"/>
              </w:rPr>
              <w:t>Total financial assets</w:t>
            </w:r>
          </w:p>
        </w:tc>
        <w:tc>
          <w:tcPr>
            <w:tcW w:w="792"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TextCentred"/>
              <w:rPr>
                <w:rFonts w:eastAsiaTheme="minorEastAsia"/>
                <w:b/>
                <w:sz w:val="19"/>
                <w:szCs w:val="20"/>
                <w:lang w:eastAsia="en-AU"/>
              </w:rPr>
            </w:pPr>
            <w:r w:rsidRPr="006D19D9">
              <w:rPr>
                <w:rFonts w:eastAsiaTheme="minorEastAsia"/>
                <w:b/>
                <w:sz w:val="19"/>
                <w:szCs w:val="20"/>
                <w:lang w:eastAsia="en-AU"/>
              </w:rPr>
              <w:t xml:space="preserve"> </w:t>
            </w:r>
          </w:p>
        </w:tc>
        <w:tc>
          <w:tcPr>
            <w:tcW w:w="1008"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49 769.6</w:t>
            </w:r>
          </w:p>
        </w:tc>
        <w:tc>
          <w:tcPr>
            <w:tcW w:w="990"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47 784.1</w:t>
            </w:r>
          </w:p>
        </w:tc>
        <w:tc>
          <w:tcPr>
            <w:tcW w:w="999" w:type="dxa"/>
            <w:gridSpan w:val="3"/>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43 177.7</w:t>
            </w:r>
          </w:p>
        </w:tc>
        <w:tc>
          <w:tcPr>
            <w:tcW w:w="990"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100 040.3</w:t>
            </w:r>
          </w:p>
        </w:tc>
        <w:tc>
          <w:tcPr>
            <w:tcW w:w="963"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93 059.4</w:t>
            </w:r>
          </w:p>
        </w:tc>
        <w:tc>
          <w:tcPr>
            <w:tcW w:w="935" w:type="dxa"/>
            <w:gridSpan w:val="3"/>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86 797.4</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b/>
                <w:bCs/>
                <w:sz w:val="19"/>
                <w:szCs w:val="20"/>
                <w:lang w:eastAsia="en-AU"/>
              </w:rPr>
            </w:pPr>
            <w:r w:rsidRPr="006D19D9">
              <w:rPr>
                <w:rFonts w:eastAsiaTheme="minorEastAsia"/>
                <w:b/>
                <w:bCs/>
                <w:sz w:val="19"/>
                <w:szCs w:val="20"/>
                <w:lang w:eastAsia="en-AU"/>
              </w:rPr>
              <w:t>Non</w:t>
            </w:r>
            <w:r>
              <w:rPr>
                <w:rFonts w:eastAsiaTheme="minorEastAsia"/>
                <w:b/>
                <w:bCs/>
                <w:sz w:val="19"/>
                <w:szCs w:val="20"/>
                <w:lang w:eastAsia="en-AU"/>
              </w:rPr>
              <w:noBreakHyphen/>
            </w:r>
            <w:r w:rsidRPr="006D19D9">
              <w:rPr>
                <w:rFonts w:eastAsiaTheme="minorEastAsia"/>
                <w:b/>
                <w:bCs/>
                <w:sz w:val="19"/>
                <w:szCs w:val="20"/>
                <w:lang w:eastAsia="en-AU"/>
              </w:rPr>
              <w:t>financial assets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b/>
                <w:sz w:val="19"/>
                <w:szCs w:val="20"/>
                <w:lang w:eastAsia="en-AU"/>
              </w:rPr>
            </w:pPr>
            <w:r w:rsidRPr="006D19D9">
              <w:rPr>
                <w:rFonts w:eastAsiaTheme="minorEastAsia"/>
                <w:b/>
                <w:sz w:val="19"/>
                <w:szCs w:val="20"/>
                <w:lang w:eastAsia="en-AU"/>
              </w:rPr>
              <w:t xml:space="preserve"> </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Inventories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20</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709.9</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785.4</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871.0</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144.5</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159.8</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192.1</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Non</w:t>
            </w:r>
            <w:r>
              <w:rPr>
                <w:rFonts w:eastAsiaTheme="minorEastAsia"/>
                <w:sz w:val="19"/>
                <w:szCs w:val="20"/>
                <w:lang w:eastAsia="en-AU"/>
              </w:rPr>
              <w:noBreakHyphen/>
            </w:r>
            <w:r w:rsidRPr="006D19D9">
              <w:rPr>
                <w:rFonts w:eastAsiaTheme="minorEastAsia"/>
                <w:sz w:val="19"/>
                <w:szCs w:val="20"/>
                <w:lang w:eastAsia="en-AU"/>
              </w:rPr>
              <w:t>financial assets held for sale</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21</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205.2</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161.9</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173.0</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175.3</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137.8</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142.1</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vertAlign w:val="superscript"/>
                <w:lang w:eastAsia="en-AU"/>
              </w:rPr>
            </w:pPr>
            <w:r w:rsidRPr="006D19D9">
              <w:rPr>
                <w:rFonts w:eastAsiaTheme="minorEastAsia"/>
                <w:sz w:val="19"/>
                <w:szCs w:val="20"/>
                <w:lang w:eastAsia="en-AU"/>
              </w:rPr>
              <w:t>Land, buildings, infrastructure, plant and equipment</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22</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206 972.9</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198 491.7</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191 409.7</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107 586.4</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104 998.8</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102 740.8</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Other non</w:t>
            </w:r>
            <w:r>
              <w:rPr>
                <w:rFonts w:eastAsiaTheme="minorEastAsia"/>
                <w:sz w:val="19"/>
                <w:szCs w:val="20"/>
                <w:lang w:eastAsia="en-AU"/>
              </w:rPr>
              <w:noBreakHyphen/>
            </w:r>
            <w:r w:rsidRPr="006D19D9">
              <w:rPr>
                <w:rFonts w:eastAsiaTheme="minorEastAsia"/>
                <w:sz w:val="19"/>
                <w:szCs w:val="20"/>
                <w:lang w:eastAsia="en-AU"/>
              </w:rPr>
              <w:t>financial assets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23</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2 127.3</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2 458.1</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2 053.1</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1 038.3</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1 204.8</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954.3</w:t>
            </w:r>
          </w:p>
        </w:tc>
      </w:tr>
      <w:tr w:rsidR="00336793" w:rsidRPr="006D19D9" w:rsidTr="00DF0B96">
        <w:tc>
          <w:tcPr>
            <w:tcW w:w="2960"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text"/>
              <w:rPr>
                <w:rFonts w:eastAsiaTheme="minorEastAsia"/>
                <w:b/>
                <w:bCs/>
                <w:sz w:val="19"/>
                <w:szCs w:val="20"/>
                <w:vertAlign w:val="superscript"/>
                <w:lang w:eastAsia="en-AU"/>
              </w:rPr>
            </w:pPr>
            <w:r w:rsidRPr="006D19D9">
              <w:rPr>
                <w:rFonts w:eastAsiaTheme="minorEastAsia"/>
                <w:b/>
                <w:bCs/>
                <w:sz w:val="19"/>
                <w:szCs w:val="20"/>
                <w:lang w:eastAsia="en-AU"/>
              </w:rPr>
              <w:t>Total non</w:t>
            </w:r>
            <w:r>
              <w:rPr>
                <w:rFonts w:eastAsiaTheme="minorEastAsia"/>
                <w:b/>
                <w:bCs/>
                <w:sz w:val="19"/>
                <w:szCs w:val="20"/>
                <w:lang w:eastAsia="en-AU"/>
              </w:rPr>
              <w:noBreakHyphen/>
            </w:r>
            <w:r w:rsidRPr="006D19D9">
              <w:rPr>
                <w:rFonts w:eastAsiaTheme="minorEastAsia"/>
                <w:b/>
                <w:bCs/>
                <w:sz w:val="19"/>
                <w:szCs w:val="20"/>
                <w:lang w:eastAsia="en-AU"/>
              </w:rPr>
              <w:t>financial assets</w:t>
            </w:r>
          </w:p>
        </w:tc>
        <w:tc>
          <w:tcPr>
            <w:tcW w:w="792"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TextCentred"/>
              <w:rPr>
                <w:rFonts w:eastAsiaTheme="minorEastAsia"/>
                <w:b/>
                <w:sz w:val="19"/>
                <w:szCs w:val="20"/>
                <w:lang w:eastAsia="en-AU"/>
              </w:rPr>
            </w:pPr>
            <w:r w:rsidRPr="006D19D9">
              <w:rPr>
                <w:rFonts w:eastAsiaTheme="minorEastAsia"/>
                <w:b/>
                <w:sz w:val="19"/>
                <w:szCs w:val="20"/>
                <w:lang w:eastAsia="en-AU"/>
              </w:rPr>
              <w:t xml:space="preserve"> </w:t>
            </w:r>
          </w:p>
        </w:tc>
        <w:tc>
          <w:tcPr>
            <w:tcW w:w="1008"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210 015.3</w:t>
            </w:r>
          </w:p>
        </w:tc>
        <w:tc>
          <w:tcPr>
            <w:tcW w:w="990"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201 897.1</w:t>
            </w:r>
          </w:p>
        </w:tc>
        <w:tc>
          <w:tcPr>
            <w:tcW w:w="999" w:type="dxa"/>
            <w:gridSpan w:val="3"/>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194 506.8</w:t>
            </w:r>
          </w:p>
        </w:tc>
        <w:tc>
          <w:tcPr>
            <w:tcW w:w="990"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108 944.5</w:t>
            </w:r>
          </w:p>
        </w:tc>
        <w:tc>
          <w:tcPr>
            <w:tcW w:w="963" w:type="dxa"/>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106 501.3</w:t>
            </w:r>
          </w:p>
        </w:tc>
        <w:tc>
          <w:tcPr>
            <w:tcW w:w="935" w:type="dxa"/>
            <w:gridSpan w:val="3"/>
            <w:tcBorders>
              <w:top w:val="single" w:sz="6" w:space="0" w:color="000000"/>
              <w:left w:val="nil"/>
              <w:bottom w:val="single" w:sz="6"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104 029.2</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b/>
                <w:bCs/>
                <w:sz w:val="19"/>
                <w:szCs w:val="20"/>
                <w:vertAlign w:val="superscript"/>
                <w:lang w:eastAsia="en-AU"/>
              </w:rPr>
            </w:pPr>
            <w:r w:rsidRPr="006D19D9">
              <w:rPr>
                <w:rFonts w:eastAsiaTheme="minorEastAsia"/>
                <w:b/>
                <w:bCs/>
                <w:sz w:val="19"/>
                <w:szCs w:val="20"/>
                <w:lang w:eastAsia="en-AU"/>
              </w:rPr>
              <w:t>Total assets</w:t>
            </w:r>
          </w:p>
        </w:tc>
        <w:tc>
          <w:tcPr>
            <w:tcW w:w="792" w:type="dxa"/>
            <w:tcBorders>
              <w:top w:val="nil"/>
              <w:left w:val="nil"/>
              <w:bottom w:val="nil"/>
              <w:right w:val="nil"/>
            </w:tcBorders>
            <w:shd w:val="solid" w:color="FFFFFF" w:fill="auto"/>
          </w:tcPr>
          <w:p w:rsidR="00336793" w:rsidRPr="00D45BA6" w:rsidRDefault="00336793" w:rsidP="00DF0B96">
            <w:pPr>
              <w:pStyle w:val="TableTextCentred"/>
              <w:rPr>
                <w:rFonts w:eastAsiaTheme="minorEastAsia"/>
                <w:sz w:val="19"/>
                <w:szCs w:val="20"/>
                <w:lang w:eastAsia="en-AU"/>
              </w:rPr>
            </w:pPr>
            <w:r w:rsidRPr="00D45BA6">
              <w:rPr>
                <w:rFonts w:eastAsiaTheme="minorEastAsia"/>
                <w:sz w:val="19"/>
                <w:szCs w:val="20"/>
                <w:lang w:eastAsia="en-AU"/>
              </w:rPr>
              <w:t>24</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259 784.9</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249 681.2</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237 684.5</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208 984.7</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199 560.6</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190 826.7</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b/>
                <w:bCs/>
                <w:sz w:val="19"/>
                <w:szCs w:val="20"/>
                <w:lang w:eastAsia="en-AU"/>
              </w:rPr>
            </w:pPr>
            <w:r w:rsidRPr="006D19D9">
              <w:rPr>
                <w:rFonts w:eastAsiaTheme="minorEastAsia"/>
                <w:b/>
                <w:bCs/>
                <w:sz w:val="19"/>
                <w:szCs w:val="20"/>
                <w:lang w:eastAsia="en-AU"/>
              </w:rPr>
              <w:t>Liabilities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b/>
                <w:sz w:val="19"/>
                <w:szCs w:val="20"/>
                <w:lang w:eastAsia="en-AU"/>
              </w:rPr>
            </w:pPr>
            <w:r w:rsidRPr="006D19D9">
              <w:rPr>
                <w:rFonts w:eastAsiaTheme="minorEastAsia"/>
                <w:b/>
                <w:sz w:val="19"/>
                <w:szCs w:val="20"/>
                <w:lang w:eastAsia="en-AU"/>
              </w:rPr>
              <w:t xml:space="preserve"> </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 xml:space="preserve">Deposits held and advances received </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 xml:space="preserve"> </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2 320.0</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2 070.7</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2 088.9</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517.8</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426.5</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449.0</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Payables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25</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7 590.9</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7 540.5</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8 030.5</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5 704.3</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5 554.8</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5 791.7</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vertAlign w:val="superscript"/>
                <w:lang w:eastAsia="en-AU"/>
              </w:rPr>
            </w:pPr>
            <w:r w:rsidRPr="006D19D9">
              <w:rPr>
                <w:rFonts w:eastAsiaTheme="minorEastAsia"/>
                <w:sz w:val="19"/>
                <w:szCs w:val="20"/>
                <w:lang w:eastAsia="en-AU"/>
              </w:rPr>
              <w:t>Borrowings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26</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51 687.7</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51 345.3</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47 437.0</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34 069.0</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32 953.6</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31 345.3</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Employee benefits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27</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6 075.9</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5 708.4</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5 595.8</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5 605.3</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5 266.0</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5 180.0</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vertAlign w:val="superscript"/>
                <w:lang w:eastAsia="en-AU"/>
              </w:rPr>
            </w:pPr>
            <w:r w:rsidRPr="006D19D9">
              <w:rPr>
                <w:rFonts w:eastAsiaTheme="minorEastAsia"/>
                <w:sz w:val="19"/>
                <w:szCs w:val="20"/>
                <w:lang w:eastAsia="en-AU"/>
              </w:rPr>
              <w:t>Superannuation</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8</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25 988.4</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26 301.2</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25 804.1</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25 946.6</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26 252.9</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25 721.2</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Other provisions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28</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26 212.8</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24 631.8</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23 542.4</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807.4</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629.4</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603.3</w:t>
            </w:r>
          </w:p>
        </w:tc>
      </w:tr>
      <w:tr w:rsidR="00336793" w:rsidRPr="006D19D9" w:rsidTr="00DF0B96">
        <w:tc>
          <w:tcPr>
            <w:tcW w:w="2960" w:type="dxa"/>
            <w:tcBorders>
              <w:top w:val="single" w:sz="6" w:space="0" w:color="000000"/>
              <w:left w:val="nil"/>
              <w:bottom w:val="nil"/>
              <w:right w:val="nil"/>
            </w:tcBorders>
            <w:shd w:val="solid" w:color="FFFFFF" w:fill="auto"/>
          </w:tcPr>
          <w:p w:rsidR="00336793" w:rsidRPr="006D19D9" w:rsidRDefault="00336793" w:rsidP="00DF0B96">
            <w:pPr>
              <w:pStyle w:val="Tabletext"/>
              <w:rPr>
                <w:rFonts w:eastAsiaTheme="minorEastAsia"/>
                <w:b/>
                <w:bCs/>
                <w:sz w:val="19"/>
                <w:szCs w:val="20"/>
                <w:vertAlign w:val="superscript"/>
                <w:lang w:eastAsia="en-AU"/>
              </w:rPr>
            </w:pPr>
            <w:r w:rsidRPr="006D19D9">
              <w:rPr>
                <w:rFonts w:eastAsiaTheme="minorEastAsia"/>
                <w:b/>
                <w:bCs/>
                <w:sz w:val="19"/>
                <w:szCs w:val="20"/>
                <w:lang w:eastAsia="en-AU"/>
              </w:rPr>
              <w:t>Total liabilities</w:t>
            </w:r>
          </w:p>
        </w:tc>
        <w:tc>
          <w:tcPr>
            <w:tcW w:w="792" w:type="dxa"/>
            <w:tcBorders>
              <w:top w:val="single" w:sz="6" w:space="0" w:color="000000"/>
              <w:left w:val="nil"/>
              <w:bottom w:val="nil"/>
              <w:right w:val="nil"/>
            </w:tcBorders>
            <w:shd w:val="solid" w:color="FFFFFF" w:fill="auto"/>
          </w:tcPr>
          <w:p w:rsidR="00336793" w:rsidRPr="006D19D9" w:rsidRDefault="00336793" w:rsidP="00DF0B96">
            <w:pPr>
              <w:pStyle w:val="TableTextCentred"/>
              <w:rPr>
                <w:rFonts w:eastAsiaTheme="minorEastAsia"/>
                <w:b/>
                <w:sz w:val="19"/>
                <w:szCs w:val="20"/>
                <w:lang w:eastAsia="en-AU"/>
              </w:rPr>
            </w:pPr>
            <w:r w:rsidRPr="006D19D9">
              <w:rPr>
                <w:rFonts w:eastAsiaTheme="minorEastAsia"/>
                <w:b/>
                <w:sz w:val="19"/>
                <w:szCs w:val="20"/>
                <w:lang w:eastAsia="en-AU"/>
              </w:rPr>
              <w:t xml:space="preserve"> </w:t>
            </w:r>
          </w:p>
        </w:tc>
        <w:tc>
          <w:tcPr>
            <w:tcW w:w="1008" w:type="dxa"/>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119 875.7</w:t>
            </w:r>
          </w:p>
        </w:tc>
        <w:tc>
          <w:tcPr>
            <w:tcW w:w="990" w:type="dxa"/>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117 597.9</w:t>
            </w:r>
          </w:p>
        </w:tc>
        <w:tc>
          <w:tcPr>
            <w:tcW w:w="999" w:type="dxa"/>
            <w:gridSpan w:val="3"/>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112 498.8</w:t>
            </w:r>
          </w:p>
        </w:tc>
        <w:tc>
          <w:tcPr>
            <w:tcW w:w="990" w:type="dxa"/>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72 650.2</w:t>
            </w:r>
          </w:p>
        </w:tc>
        <w:tc>
          <w:tcPr>
            <w:tcW w:w="963" w:type="dxa"/>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71 083.2</w:t>
            </w:r>
          </w:p>
        </w:tc>
        <w:tc>
          <w:tcPr>
            <w:tcW w:w="935" w:type="dxa"/>
            <w:gridSpan w:val="3"/>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69 090.5</w:t>
            </w:r>
          </w:p>
        </w:tc>
      </w:tr>
      <w:tr w:rsidR="00336793" w:rsidRPr="006D19D9" w:rsidTr="00DF0B96">
        <w:tc>
          <w:tcPr>
            <w:tcW w:w="2960" w:type="dxa"/>
            <w:tcBorders>
              <w:top w:val="single" w:sz="6" w:space="0" w:color="000000"/>
              <w:left w:val="nil"/>
              <w:bottom w:val="single" w:sz="12" w:space="0" w:color="000000"/>
              <w:right w:val="nil"/>
            </w:tcBorders>
            <w:shd w:val="solid" w:color="FFFFFF" w:fill="auto"/>
          </w:tcPr>
          <w:p w:rsidR="00336793" w:rsidRPr="006D19D9" w:rsidRDefault="00336793" w:rsidP="00DF0B96">
            <w:pPr>
              <w:pStyle w:val="Tabletext"/>
              <w:rPr>
                <w:rFonts w:eastAsiaTheme="minorEastAsia"/>
                <w:b/>
                <w:bCs/>
                <w:sz w:val="19"/>
                <w:szCs w:val="20"/>
                <w:vertAlign w:val="superscript"/>
                <w:lang w:eastAsia="en-AU"/>
              </w:rPr>
            </w:pPr>
            <w:r w:rsidRPr="006D19D9">
              <w:rPr>
                <w:rFonts w:eastAsiaTheme="minorEastAsia"/>
                <w:b/>
                <w:bCs/>
                <w:sz w:val="19"/>
                <w:szCs w:val="20"/>
                <w:lang w:eastAsia="en-AU"/>
              </w:rPr>
              <w:t>Net assets</w:t>
            </w:r>
          </w:p>
        </w:tc>
        <w:tc>
          <w:tcPr>
            <w:tcW w:w="792" w:type="dxa"/>
            <w:tcBorders>
              <w:top w:val="single" w:sz="6" w:space="0" w:color="000000"/>
              <w:left w:val="nil"/>
              <w:bottom w:val="single" w:sz="12" w:space="0" w:color="000000"/>
              <w:right w:val="nil"/>
            </w:tcBorders>
            <w:shd w:val="solid" w:color="FFFFFF" w:fill="auto"/>
          </w:tcPr>
          <w:p w:rsidR="00336793" w:rsidRPr="006D19D9" w:rsidRDefault="00336793" w:rsidP="00DF0B96">
            <w:pPr>
              <w:pStyle w:val="TableTextCentred"/>
              <w:rPr>
                <w:rFonts w:eastAsiaTheme="minorEastAsia"/>
                <w:b/>
                <w:sz w:val="19"/>
                <w:szCs w:val="20"/>
                <w:lang w:eastAsia="en-AU"/>
              </w:rPr>
            </w:pPr>
            <w:r w:rsidRPr="006D19D9">
              <w:rPr>
                <w:rFonts w:eastAsiaTheme="minorEastAsia"/>
                <w:b/>
                <w:sz w:val="19"/>
                <w:szCs w:val="20"/>
                <w:lang w:eastAsia="en-AU"/>
              </w:rPr>
              <w:t xml:space="preserve"> </w:t>
            </w:r>
          </w:p>
        </w:tc>
        <w:tc>
          <w:tcPr>
            <w:tcW w:w="1008" w:type="dxa"/>
            <w:tcBorders>
              <w:top w:val="single" w:sz="6" w:space="0" w:color="000000"/>
              <w:left w:val="nil"/>
              <w:bottom w:val="single" w:sz="12"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139 909.2</w:t>
            </w:r>
          </w:p>
        </w:tc>
        <w:tc>
          <w:tcPr>
            <w:tcW w:w="990" w:type="dxa"/>
            <w:tcBorders>
              <w:top w:val="single" w:sz="6" w:space="0" w:color="000000"/>
              <w:left w:val="nil"/>
              <w:bottom w:val="single" w:sz="12"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132 083.2</w:t>
            </w:r>
          </w:p>
        </w:tc>
        <w:tc>
          <w:tcPr>
            <w:tcW w:w="999" w:type="dxa"/>
            <w:gridSpan w:val="3"/>
            <w:tcBorders>
              <w:top w:val="single" w:sz="6" w:space="0" w:color="000000"/>
              <w:left w:val="nil"/>
              <w:bottom w:val="single" w:sz="12"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125 185.7</w:t>
            </w:r>
          </w:p>
        </w:tc>
        <w:tc>
          <w:tcPr>
            <w:tcW w:w="990" w:type="dxa"/>
            <w:tcBorders>
              <w:top w:val="single" w:sz="6" w:space="0" w:color="000000"/>
              <w:left w:val="nil"/>
              <w:bottom w:val="single" w:sz="12"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136 334.5</w:t>
            </w:r>
          </w:p>
        </w:tc>
        <w:tc>
          <w:tcPr>
            <w:tcW w:w="963" w:type="dxa"/>
            <w:tcBorders>
              <w:top w:val="single" w:sz="6" w:space="0" w:color="000000"/>
              <w:left w:val="nil"/>
              <w:bottom w:val="single" w:sz="12"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128 477.4</w:t>
            </w:r>
          </w:p>
        </w:tc>
        <w:tc>
          <w:tcPr>
            <w:tcW w:w="935" w:type="dxa"/>
            <w:gridSpan w:val="3"/>
            <w:tcBorders>
              <w:top w:val="single" w:sz="6" w:space="0" w:color="000000"/>
              <w:left w:val="nil"/>
              <w:bottom w:val="single" w:sz="12" w:space="0" w:color="000000"/>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121 736.2</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vertAlign w:val="superscript"/>
                <w:lang w:eastAsia="en-AU"/>
              </w:rPr>
            </w:pPr>
            <w:r w:rsidRPr="006D19D9">
              <w:rPr>
                <w:rFonts w:eastAsiaTheme="minorEastAsia"/>
                <w:sz w:val="19"/>
                <w:szCs w:val="20"/>
                <w:lang w:eastAsia="en-AU"/>
              </w:rPr>
              <w:t>Accumulated surplus/(deficit)</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29</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61 228.8</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45 435.9</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42 802.2</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45 788.5</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43 634.6</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42 411.9</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vertAlign w:val="superscript"/>
                <w:lang w:eastAsia="en-AU"/>
              </w:rPr>
            </w:pPr>
            <w:r w:rsidRPr="006D19D9">
              <w:rPr>
                <w:rFonts w:eastAsiaTheme="minorEastAsia"/>
                <w:sz w:val="19"/>
                <w:szCs w:val="20"/>
                <w:lang w:eastAsia="en-AU"/>
              </w:rPr>
              <w:t>Reserves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29</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78 630.4</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86 597.3</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82 333.5</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90 496.0</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84 792.8</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79 274.4</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Non</w:t>
            </w:r>
            <w:r>
              <w:rPr>
                <w:rFonts w:eastAsiaTheme="minorEastAsia"/>
                <w:sz w:val="19"/>
                <w:szCs w:val="20"/>
                <w:lang w:eastAsia="en-AU"/>
              </w:rPr>
              <w:noBreakHyphen/>
            </w:r>
            <w:r w:rsidRPr="006D19D9">
              <w:rPr>
                <w:rFonts w:eastAsiaTheme="minorEastAsia"/>
                <w:sz w:val="19"/>
                <w:szCs w:val="20"/>
                <w:lang w:eastAsia="en-AU"/>
              </w:rPr>
              <w:t>controlling interest</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29</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50.0</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50.0</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50.0</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50.0</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50.0</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50.0</w:t>
            </w:r>
          </w:p>
        </w:tc>
      </w:tr>
      <w:tr w:rsidR="00336793" w:rsidRPr="006D19D9" w:rsidTr="00DF0B96">
        <w:tc>
          <w:tcPr>
            <w:tcW w:w="2960" w:type="dxa"/>
            <w:tcBorders>
              <w:top w:val="single" w:sz="6" w:space="0" w:color="000000"/>
              <w:left w:val="nil"/>
              <w:bottom w:val="nil"/>
              <w:right w:val="nil"/>
            </w:tcBorders>
            <w:shd w:val="solid" w:color="FFFFFF" w:fill="auto"/>
          </w:tcPr>
          <w:p w:rsidR="00336793" w:rsidRPr="006D19D9" w:rsidRDefault="00336793" w:rsidP="00DF0B96">
            <w:pPr>
              <w:pStyle w:val="Tabletext"/>
              <w:rPr>
                <w:rFonts w:eastAsiaTheme="minorEastAsia"/>
                <w:b/>
                <w:bCs/>
                <w:sz w:val="19"/>
                <w:szCs w:val="20"/>
                <w:vertAlign w:val="superscript"/>
                <w:lang w:eastAsia="en-AU"/>
              </w:rPr>
            </w:pPr>
            <w:r w:rsidRPr="006D19D9">
              <w:rPr>
                <w:rFonts w:eastAsiaTheme="minorEastAsia"/>
                <w:b/>
                <w:bCs/>
                <w:sz w:val="19"/>
                <w:szCs w:val="20"/>
                <w:lang w:eastAsia="en-AU"/>
              </w:rPr>
              <w:t>Net worth</w:t>
            </w:r>
          </w:p>
        </w:tc>
        <w:tc>
          <w:tcPr>
            <w:tcW w:w="792" w:type="dxa"/>
            <w:tcBorders>
              <w:top w:val="single" w:sz="6" w:space="0" w:color="000000"/>
              <w:left w:val="nil"/>
              <w:bottom w:val="nil"/>
              <w:right w:val="nil"/>
            </w:tcBorders>
            <w:shd w:val="solid" w:color="FFFFFF" w:fill="auto"/>
          </w:tcPr>
          <w:p w:rsidR="00336793" w:rsidRPr="006D19D9" w:rsidRDefault="00336793" w:rsidP="00DF0B96">
            <w:pPr>
              <w:pStyle w:val="TableTextCentred"/>
              <w:rPr>
                <w:rFonts w:eastAsiaTheme="minorEastAsia"/>
                <w:b/>
                <w:sz w:val="19"/>
                <w:szCs w:val="20"/>
                <w:lang w:eastAsia="en-AU"/>
              </w:rPr>
            </w:pPr>
            <w:r w:rsidRPr="006D19D9">
              <w:rPr>
                <w:rFonts w:eastAsiaTheme="minorEastAsia"/>
                <w:b/>
                <w:sz w:val="19"/>
                <w:szCs w:val="20"/>
                <w:lang w:eastAsia="en-AU"/>
              </w:rPr>
              <w:t xml:space="preserve"> </w:t>
            </w:r>
          </w:p>
        </w:tc>
        <w:tc>
          <w:tcPr>
            <w:tcW w:w="1008" w:type="dxa"/>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139 909.2</w:t>
            </w:r>
          </w:p>
        </w:tc>
        <w:tc>
          <w:tcPr>
            <w:tcW w:w="990" w:type="dxa"/>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132 083.2</w:t>
            </w:r>
          </w:p>
        </w:tc>
        <w:tc>
          <w:tcPr>
            <w:tcW w:w="999" w:type="dxa"/>
            <w:gridSpan w:val="3"/>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125 185.7</w:t>
            </w:r>
          </w:p>
        </w:tc>
        <w:tc>
          <w:tcPr>
            <w:tcW w:w="990" w:type="dxa"/>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136 334.5</w:t>
            </w:r>
          </w:p>
        </w:tc>
        <w:tc>
          <w:tcPr>
            <w:tcW w:w="963" w:type="dxa"/>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128 477.4</w:t>
            </w:r>
          </w:p>
        </w:tc>
        <w:tc>
          <w:tcPr>
            <w:tcW w:w="935" w:type="dxa"/>
            <w:gridSpan w:val="3"/>
            <w:tcBorders>
              <w:top w:val="single" w:sz="6" w:space="0" w:color="000000"/>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121 736.2</w:t>
            </w:r>
          </w:p>
        </w:tc>
      </w:tr>
      <w:tr w:rsidR="00336793" w:rsidRPr="006D19D9" w:rsidTr="00DF0B96">
        <w:trPr>
          <w:trHeight w:hRule="exact" w:val="120"/>
        </w:trPr>
        <w:tc>
          <w:tcPr>
            <w:tcW w:w="2960" w:type="dxa"/>
            <w:tcBorders>
              <w:top w:val="single" w:sz="12" w:space="0" w:color="000000"/>
              <w:left w:val="nil"/>
              <w:bottom w:val="nil"/>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 xml:space="preserve"> </w:t>
            </w:r>
          </w:p>
        </w:tc>
        <w:tc>
          <w:tcPr>
            <w:tcW w:w="792" w:type="dxa"/>
            <w:tcBorders>
              <w:top w:val="single" w:sz="12" w:space="0" w:color="000000"/>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 xml:space="preserve"> </w:t>
            </w:r>
          </w:p>
        </w:tc>
        <w:tc>
          <w:tcPr>
            <w:tcW w:w="1008" w:type="dxa"/>
            <w:tcBorders>
              <w:top w:val="single" w:sz="12" w:space="0" w:color="000000"/>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w:t>
            </w:r>
          </w:p>
        </w:tc>
        <w:tc>
          <w:tcPr>
            <w:tcW w:w="990" w:type="dxa"/>
            <w:tcBorders>
              <w:top w:val="single" w:sz="12" w:space="0" w:color="000000"/>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w:t>
            </w:r>
          </w:p>
        </w:tc>
        <w:tc>
          <w:tcPr>
            <w:tcW w:w="999" w:type="dxa"/>
            <w:gridSpan w:val="3"/>
            <w:tcBorders>
              <w:top w:val="single" w:sz="12" w:space="0" w:color="000000"/>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w:t>
            </w:r>
          </w:p>
        </w:tc>
        <w:tc>
          <w:tcPr>
            <w:tcW w:w="990" w:type="dxa"/>
            <w:tcBorders>
              <w:top w:val="single" w:sz="12" w:space="0" w:color="000000"/>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w:t>
            </w:r>
          </w:p>
        </w:tc>
        <w:tc>
          <w:tcPr>
            <w:tcW w:w="963" w:type="dxa"/>
            <w:tcBorders>
              <w:top w:val="single" w:sz="12" w:space="0" w:color="000000"/>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w:t>
            </w:r>
          </w:p>
        </w:tc>
        <w:tc>
          <w:tcPr>
            <w:tcW w:w="935" w:type="dxa"/>
            <w:gridSpan w:val="3"/>
            <w:tcBorders>
              <w:top w:val="single" w:sz="12" w:space="0" w:color="000000"/>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 xml:space="preserve"> </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b/>
                <w:bCs/>
                <w:sz w:val="19"/>
                <w:szCs w:val="20"/>
                <w:lang w:eastAsia="en-AU"/>
              </w:rPr>
            </w:pPr>
            <w:r w:rsidRPr="006D19D9">
              <w:rPr>
                <w:rFonts w:eastAsiaTheme="minorEastAsia"/>
                <w:b/>
                <w:bCs/>
                <w:sz w:val="19"/>
                <w:szCs w:val="20"/>
                <w:lang w:eastAsia="en-AU"/>
              </w:rPr>
              <w:t>FISCAL AGGREGATES</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b/>
                <w:sz w:val="19"/>
                <w:szCs w:val="20"/>
                <w:lang w:eastAsia="en-AU"/>
              </w:rPr>
            </w:pPr>
            <w:r w:rsidRPr="006D19D9">
              <w:rPr>
                <w:rFonts w:eastAsiaTheme="minorEastAsia"/>
                <w:b/>
                <w:sz w:val="19"/>
                <w:szCs w:val="20"/>
                <w:lang w:eastAsia="en-AU"/>
              </w:rPr>
              <w:t xml:space="preserve"> </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b/>
                <w:bCs/>
                <w:sz w:val="19"/>
                <w:szCs w:val="20"/>
                <w:lang w:eastAsia="en-AU"/>
              </w:rPr>
            </w:pPr>
            <w:r w:rsidRPr="006D19D9">
              <w:rPr>
                <w:rFonts w:eastAsiaTheme="minorEastAsia"/>
                <w:b/>
                <w:bCs/>
                <w:sz w:val="19"/>
                <w:szCs w:val="20"/>
                <w:lang w:eastAsia="en-AU"/>
              </w:rPr>
              <w:t xml:space="preserve"> </w:t>
            </w:r>
          </w:p>
        </w:tc>
      </w:tr>
      <w:tr w:rsidR="00336793" w:rsidRPr="006D19D9" w:rsidTr="00DF0B96">
        <w:tc>
          <w:tcPr>
            <w:tcW w:w="2960" w:type="dxa"/>
            <w:tcBorders>
              <w:top w:val="nil"/>
              <w:left w:val="nil"/>
              <w:bottom w:val="nil"/>
              <w:right w:val="nil"/>
            </w:tcBorders>
            <w:shd w:val="solid" w:color="FFFFFF" w:fill="auto"/>
          </w:tcPr>
          <w:p w:rsidR="00336793" w:rsidRPr="006D19D9" w:rsidRDefault="00336793" w:rsidP="00DF0B96">
            <w:pPr>
              <w:pStyle w:val="Tabletext"/>
              <w:rPr>
                <w:rFonts w:eastAsiaTheme="minorEastAsia"/>
                <w:sz w:val="19"/>
                <w:szCs w:val="20"/>
                <w:vertAlign w:val="superscript"/>
                <w:lang w:eastAsia="en-AU"/>
              </w:rPr>
            </w:pPr>
            <w:r w:rsidRPr="006D19D9">
              <w:rPr>
                <w:rFonts w:eastAsiaTheme="minorEastAsia"/>
                <w:sz w:val="19"/>
                <w:szCs w:val="20"/>
                <w:lang w:eastAsia="en-AU"/>
              </w:rPr>
              <w:t>Net financial worth</w:t>
            </w:r>
          </w:p>
        </w:tc>
        <w:tc>
          <w:tcPr>
            <w:tcW w:w="792" w:type="dxa"/>
            <w:tcBorders>
              <w:top w:val="nil"/>
              <w:left w:val="nil"/>
              <w:bottom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 xml:space="preserve"> </w:t>
            </w:r>
          </w:p>
        </w:tc>
        <w:tc>
          <w:tcPr>
            <w:tcW w:w="1008"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cs="Calibri"/>
                <w:color w:val="000000"/>
                <w:sz w:val="19"/>
                <w:szCs w:val="22"/>
                <w:lang w:eastAsia="en-AU"/>
              </w:rPr>
            </w:pPr>
            <w:r w:rsidRPr="006D19D9">
              <w:rPr>
                <w:rFonts w:eastAsiaTheme="minorEastAsia"/>
                <w:sz w:val="19"/>
                <w:szCs w:val="20"/>
                <w:lang w:eastAsia="en-AU"/>
              </w:rPr>
              <w:t xml:space="preserve"> (70 106.1)</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cs="Calibri"/>
                <w:color w:val="000000"/>
                <w:sz w:val="19"/>
                <w:szCs w:val="22"/>
                <w:lang w:eastAsia="en-AU"/>
              </w:rPr>
            </w:pPr>
            <w:r w:rsidRPr="006D19D9">
              <w:rPr>
                <w:rFonts w:eastAsiaTheme="minorEastAsia"/>
                <w:sz w:val="19"/>
                <w:szCs w:val="20"/>
                <w:lang w:eastAsia="en-AU"/>
              </w:rPr>
              <w:t xml:space="preserve"> (69 813.9)</w:t>
            </w:r>
          </w:p>
        </w:tc>
        <w:tc>
          <w:tcPr>
            <w:tcW w:w="999"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cs="Calibri"/>
                <w:color w:val="000000"/>
                <w:sz w:val="19"/>
                <w:szCs w:val="22"/>
                <w:lang w:eastAsia="en-AU"/>
              </w:rPr>
            </w:pPr>
            <w:r w:rsidRPr="006D19D9">
              <w:rPr>
                <w:rFonts w:eastAsiaTheme="minorEastAsia"/>
                <w:sz w:val="19"/>
                <w:szCs w:val="20"/>
                <w:lang w:eastAsia="en-AU"/>
              </w:rPr>
              <w:t xml:space="preserve"> (69 321.0)</w:t>
            </w:r>
          </w:p>
        </w:tc>
        <w:tc>
          <w:tcPr>
            <w:tcW w:w="990"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27 390.1</w:t>
            </w:r>
          </w:p>
        </w:tc>
        <w:tc>
          <w:tcPr>
            <w:tcW w:w="963" w:type="dxa"/>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21 976.2</w:t>
            </w:r>
          </w:p>
        </w:tc>
        <w:tc>
          <w:tcPr>
            <w:tcW w:w="935" w:type="dxa"/>
            <w:gridSpan w:val="3"/>
            <w:tcBorders>
              <w:top w:val="nil"/>
              <w:left w:val="nil"/>
              <w:bottom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17 707.0</w:t>
            </w:r>
          </w:p>
        </w:tc>
      </w:tr>
      <w:tr w:rsidR="00336793" w:rsidRPr="006D19D9" w:rsidTr="00DF0B96">
        <w:tc>
          <w:tcPr>
            <w:tcW w:w="2960" w:type="dxa"/>
            <w:tcBorders>
              <w:top w:val="nil"/>
              <w:left w:val="nil"/>
              <w:right w:val="nil"/>
            </w:tcBorders>
            <w:shd w:val="solid" w:color="FFFFFF" w:fill="auto"/>
          </w:tcPr>
          <w:p w:rsidR="00336793" w:rsidRPr="006D19D9" w:rsidRDefault="00336793" w:rsidP="00DF0B96">
            <w:pPr>
              <w:pStyle w:val="Tabletext"/>
              <w:rPr>
                <w:rFonts w:eastAsiaTheme="minorEastAsia"/>
                <w:sz w:val="19"/>
                <w:szCs w:val="20"/>
                <w:vertAlign w:val="superscript"/>
                <w:lang w:eastAsia="en-AU"/>
              </w:rPr>
            </w:pPr>
            <w:r w:rsidRPr="006D19D9">
              <w:rPr>
                <w:rFonts w:eastAsiaTheme="minorEastAsia"/>
                <w:sz w:val="19"/>
                <w:szCs w:val="20"/>
                <w:lang w:eastAsia="en-AU"/>
              </w:rPr>
              <w:t>Net financial liabilities</w:t>
            </w:r>
          </w:p>
        </w:tc>
        <w:tc>
          <w:tcPr>
            <w:tcW w:w="792" w:type="dxa"/>
            <w:tcBorders>
              <w:top w:val="nil"/>
              <w:left w:val="nil"/>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 xml:space="preserve"> </w:t>
            </w:r>
          </w:p>
        </w:tc>
        <w:tc>
          <w:tcPr>
            <w:tcW w:w="1008" w:type="dxa"/>
            <w:tcBorders>
              <w:top w:val="nil"/>
              <w:left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70 106.1</w:t>
            </w:r>
          </w:p>
        </w:tc>
        <w:tc>
          <w:tcPr>
            <w:tcW w:w="990" w:type="dxa"/>
            <w:tcBorders>
              <w:top w:val="nil"/>
              <w:left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69 813.9</w:t>
            </w:r>
          </w:p>
        </w:tc>
        <w:tc>
          <w:tcPr>
            <w:tcW w:w="999" w:type="dxa"/>
            <w:gridSpan w:val="3"/>
            <w:tcBorders>
              <w:top w:val="nil"/>
              <w:left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69 321.0</w:t>
            </w:r>
          </w:p>
        </w:tc>
        <w:tc>
          <w:tcPr>
            <w:tcW w:w="990" w:type="dxa"/>
            <w:tcBorders>
              <w:top w:val="nil"/>
              <w:left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54 791.0</w:t>
            </w:r>
          </w:p>
        </w:tc>
        <w:tc>
          <w:tcPr>
            <w:tcW w:w="963" w:type="dxa"/>
            <w:tcBorders>
              <w:top w:val="nil"/>
              <w:left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53 893.1</w:t>
            </w:r>
          </w:p>
        </w:tc>
        <w:tc>
          <w:tcPr>
            <w:tcW w:w="935" w:type="dxa"/>
            <w:gridSpan w:val="3"/>
            <w:tcBorders>
              <w:top w:val="nil"/>
              <w:left w:val="nil"/>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52 007.8</w:t>
            </w:r>
          </w:p>
        </w:tc>
      </w:tr>
      <w:tr w:rsidR="00336793" w:rsidRPr="006D19D9" w:rsidTr="00DF0B96">
        <w:tc>
          <w:tcPr>
            <w:tcW w:w="2960" w:type="dxa"/>
            <w:tcBorders>
              <w:top w:val="nil"/>
              <w:left w:val="nil"/>
              <w:bottom w:val="single" w:sz="12" w:space="0" w:color="000000"/>
              <w:right w:val="nil"/>
            </w:tcBorders>
            <w:shd w:val="solid" w:color="FFFFFF" w:fill="auto"/>
          </w:tcPr>
          <w:p w:rsidR="00336793" w:rsidRPr="006D19D9" w:rsidRDefault="00336793" w:rsidP="00DF0B96">
            <w:pPr>
              <w:pStyle w:val="Tabletext"/>
              <w:rPr>
                <w:rFonts w:eastAsiaTheme="minorEastAsia"/>
                <w:sz w:val="19"/>
                <w:szCs w:val="20"/>
                <w:lang w:eastAsia="en-AU"/>
              </w:rPr>
            </w:pPr>
            <w:r w:rsidRPr="006D19D9">
              <w:rPr>
                <w:rFonts w:eastAsiaTheme="minorEastAsia"/>
                <w:sz w:val="19"/>
                <w:szCs w:val="20"/>
                <w:lang w:eastAsia="en-AU"/>
              </w:rPr>
              <w:t>Net debt</w:t>
            </w:r>
          </w:p>
        </w:tc>
        <w:tc>
          <w:tcPr>
            <w:tcW w:w="792" w:type="dxa"/>
            <w:tcBorders>
              <w:top w:val="nil"/>
              <w:left w:val="nil"/>
              <w:bottom w:val="single" w:sz="12" w:space="0" w:color="000000"/>
              <w:right w:val="nil"/>
            </w:tcBorders>
            <w:shd w:val="solid" w:color="FFFFFF" w:fill="auto"/>
          </w:tcPr>
          <w:p w:rsidR="00336793" w:rsidRPr="006D19D9" w:rsidRDefault="00336793" w:rsidP="00DF0B96">
            <w:pPr>
              <w:pStyle w:val="TableTextCentred"/>
              <w:rPr>
                <w:rFonts w:eastAsiaTheme="minorEastAsia"/>
                <w:sz w:val="19"/>
                <w:szCs w:val="20"/>
                <w:lang w:eastAsia="en-AU"/>
              </w:rPr>
            </w:pPr>
            <w:r w:rsidRPr="006D19D9">
              <w:rPr>
                <w:rFonts w:eastAsiaTheme="minorEastAsia"/>
                <w:sz w:val="19"/>
                <w:szCs w:val="20"/>
                <w:lang w:eastAsia="en-AU"/>
              </w:rPr>
              <w:t xml:space="preserve"> </w:t>
            </w:r>
          </w:p>
        </w:tc>
        <w:tc>
          <w:tcPr>
            <w:tcW w:w="1008" w:type="dxa"/>
            <w:tcBorders>
              <w:top w:val="nil"/>
              <w:left w:val="nil"/>
              <w:bottom w:val="single" w:sz="12" w:space="0" w:color="000000"/>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13 048.1</w:t>
            </w:r>
          </w:p>
        </w:tc>
        <w:tc>
          <w:tcPr>
            <w:tcW w:w="990" w:type="dxa"/>
            <w:tcBorders>
              <w:top w:val="nil"/>
              <w:left w:val="nil"/>
              <w:bottom w:val="single" w:sz="12" w:space="0" w:color="000000"/>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13 583.6</w:t>
            </w:r>
          </w:p>
        </w:tc>
        <w:tc>
          <w:tcPr>
            <w:tcW w:w="999" w:type="dxa"/>
            <w:gridSpan w:val="3"/>
            <w:tcBorders>
              <w:top w:val="nil"/>
              <w:left w:val="nil"/>
              <w:bottom w:val="single" w:sz="12" w:space="0" w:color="000000"/>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15 417.1</w:t>
            </w:r>
          </w:p>
        </w:tc>
        <w:tc>
          <w:tcPr>
            <w:tcW w:w="990" w:type="dxa"/>
            <w:tcBorders>
              <w:top w:val="nil"/>
              <w:left w:val="nil"/>
              <w:bottom w:val="single" w:sz="12" w:space="0" w:color="000000"/>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22 327.4</w:t>
            </w:r>
          </w:p>
        </w:tc>
        <w:tc>
          <w:tcPr>
            <w:tcW w:w="963" w:type="dxa"/>
            <w:tcBorders>
              <w:top w:val="nil"/>
              <w:left w:val="nil"/>
              <w:bottom w:val="single" w:sz="12" w:space="0" w:color="000000"/>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21 174.6</w:t>
            </w:r>
          </w:p>
        </w:tc>
        <w:tc>
          <w:tcPr>
            <w:tcW w:w="935" w:type="dxa"/>
            <w:gridSpan w:val="3"/>
            <w:tcBorders>
              <w:top w:val="nil"/>
              <w:left w:val="nil"/>
              <w:bottom w:val="single" w:sz="12" w:space="0" w:color="000000"/>
              <w:right w:val="nil"/>
            </w:tcBorders>
            <w:shd w:val="solid" w:color="FFFFFF" w:fill="auto"/>
          </w:tcPr>
          <w:p w:rsidR="00336793" w:rsidRPr="006D19D9" w:rsidRDefault="00336793" w:rsidP="00DF0B96">
            <w:pPr>
              <w:pStyle w:val="TableofFigures"/>
              <w:rPr>
                <w:rFonts w:eastAsiaTheme="minorEastAsia"/>
                <w:sz w:val="19"/>
                <w:szCs w:val="20"/>
                <w:lang w:eastAsia="en-AU"/>
              </w:rPr>
            </w:pPr>
            <w:r w:rsidRPr="006D19D9">
              <w:rPr>
                <w:rFonts w:eastAsiaTheme="minorEastAsia"/>
                <w:sz w:val="19"/>
                <w:szCs w:val="20"/>
                <w:lang w:eastAsia="en-AU"/>
              </w:rPr>
              <w:t>19 822.1</w:t>
            </w:r>
          </w:p>
        </w:tc>
      </w:tr>
    </w:tbl>
    <w:p w:rsidR="00336793" w:rsidRPr="006A75A2" w:rsidRDefault="00336793" w:rsidP="00DF0B96">
      <w:pPr>
        <w:pStyle w:val="Source"/>
      </w:pPr>
      <w:r w:rsidRPr="006A75A2">
        <w:t>The accompanying notes form part of these financial statements.</w:t>
      </w:r>
    </w:p>
    <w:p w:rsidR="00336793" w:rsidRPr="006A75A2" w:rsidRDefault="00336793" w:rsidP="00DF0B96">
      <w:pPr>
        <w:pStyle w:val="Notes"/>
      </w:pPr>
      <w:r>
        <w:t>Note</w:t>
      </w:r>
      <w:r w:rsidRPr="006A75A2">
        <w:t>:</w:t>
      </w:r>
    </w:p>
    <w:p w:rsidR="00336793" w:rsidRDefault="00336793" w:rsidP="00DF0B96">
      <w:pPr>
        <w:pStyle w:val="Notes"/>
      </w:pPr>
      <w:r>
        <w:t>(a</w:t>
      </w:r>
      <w:r w:rsidRPr="006A75A2">
        <w:t>)</w:t>
      </w:r>
      <w:r w:rsidRPr="006A75A2">
        <w:tab/>
      </w:r>
      <w:r>
        <w:t>Certain 30 June 2014 comparative figures and 1 July 2013 opening balances have been restated. See note 37.</w:t>
      </w:r>
    </w:p>
    <w:p w:rsidR="00336793" w:rsidRPr="006A75A2" w:rsidRDefault="00336793" w:rsidP="00DF0B96">
      <w:pPr>
        <w:pStyle w:val="Notes"/>
      </w:pPr>
    </w:p>
    <w:p w:rsidR="00336793" w:rsidRPr="006A75A2" w:rsidRDefault="00336793" w:rsidP="00DF0B96">
      <w:pPr>
        <w:spacing w:after="0"/>
        <w:rPr>
          <w:rFonts w:ascii="Calibri" w:hAnsi="Calibri"/>
          <w:b/>
          <w:sz w:val="25"/>
        </w:rPr>
      </w:pPr>
      <w:r w:rsidRPr="006A75A2">
        <w:br w:type="page"/>
      </w:r>
    </w:p>
    <w:p w:rsidR="00336793" w:rsidRPr="006A75A2" w:rsidRDefault="00336793" w:rsidP="00DF0B96">
      <w:pPr>
        <w:pStyle w:val="Tableheading"/>
      </w:pPr>
      <w:r w:rsidRPr="006A75A2">
        <w:lastRenderedPageBreak/>
        <w:t>Consolidated cash flow statement for the financial year ended 30 June</w:t>
      </w:r>
    </w:p>
    <w:p w:rsidR="00336793" w:rsidRPr="00B762D0" w:rsidRDefault="00336793" w:rsidP="00DF0B96">
      <w:pPr>
        <w:pStyle w:val="million"/>
        <w:rPr>
          <w:rFonts w:ascii="Times New Roman" w:hAnsi="Times New Roman"/>
          <w:i w:val="0"/>
          <w:szCs w:val="20"/>
          <w:lang w:eastAsia="en-AU"/>
        </w:rPr>
      </w:pPr>
      <w:r w:rsidRPr="006A75A2">
        <w:t>($</w:t>
      </w: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057"/>
        <w:gridCol w:w="720"/>
        <w:gridCol w:w="270"/>
        <w:gridCol w:w="695"/>
        <w:gridCol w:w="965"/>
        <w:gridCol w:w="236"/>
        <w:gridCol w:w="729"/>
        <w:gridCol w:w="965"/>
      </w:tblGrid>
      <w:tr w:rsidR="00336793" w:rsidRPr="00B762D0" w:rsidTr="00DF0B96">
        <w:tc>
          <w:tcPr>
            <w:tcW w:w="5057" w:type="dxa"/>
            <w:tcBorders>
              <w:top w:val="single" w:sz="6" w:space="0" w:color="auto"/>
              <w:left w:val="single" w:sz="6" w:space="0" w:color="auto"/>
              <w:bottom w:val="nil"/>
              <w:right w:val="nil"/>
            </w:tcBorders>
            <w:shd w:val="clear" w:color="000000" w:fill="000000"/>
          </w:tcPr>
          <w:p w:rsidR="00336793" w:rsidRPr="00B762D0" w:rsidRDefault="00336793" w:rsidP="00DF0B96">
            <w:pPr>
              <w:pStyle w:val="Tabletextheading"/>
              <w:jc w:val="left"/>
              <w:rPr>
                <w:rFonts w:eastAsiaTheme="minorEastAsia"/>
                <w:color w:val="FFFFFF"/>
                <w:sz w:val="16"/>
                <w:lang w:eastAsia="en-AU"/>
              </w:rPr>
            </w:pPr>
            <w:r w:rsidRPr="00B762D0">
              <w:rPr>
                <w:rFonts w:eastAsiaTheme="minorEastAsia"/>
                <w:color w:val="FFFFFF"/>
                <w:sz w:val="16"/>
                <w:lang w:eastAsia="en-AU"/>
              </w:rPr>
              <w:t xml:space="preserve"> </w:t>
            </w:r>
          </w:p>
        </w:tc>
        <w:tc>
          <w:tcPr>
            <w:tcW w:w="720" w:type="dxa"/>
            <w:tcBorders>
              <w:top w:val="single" w:sz="6" w:space="0" w:color="auto"/>
              <w:left w:val="nil"/>
              <w:bottom w:val="nil"/>
              <w:right w:val="nil"/>
            </w:tcBorders>
            <w:shd w:val="clear" w:color="000000" w:fill="000000"/>
          </w:tcPr>
          <w:p w:rsidR="00336793" w:rsidRPr="00B762D0" w:rsidRDefault="00336793" w:rsidP="00DF0B96">
            <w:pPr>
              <w:pStyle w:val="TabletextheadingCentred"/>
              <w:rPr>
                <w:rFonts w:eastAsiaTheme="minorEastAsia"/>
                <w:sz w:val="16"/>
                <w:lang w:eastAsia="en-AU"/>
              </w:rPr>
            </w:pPr>
            <w:r w:rsidRPr="00B762D0">
              <w:rPr>
                <w:rFonts w:eastAsiaTheme="minorEastAsia"/>
                <w:sz w:val="16"/>
                <w:lang w:eastAsia="en-AU"/>
              </w:rPr>
              <w:t xml:space="preserve"> </w:t>
            </w:r>
          </w:p>
        </w:tc>
        <w:tc>
          <w:tcPr>
            <w:tcW w:w="270" w:type="dxa"/>
            <w:tcBorders>
              <w:top w:val="single" w:sz="6" w:space="0" w:color="auto"/>
              <w:left w:val="nil"/>
              <w:bottom w:val="nil"/>
              <w:right w:val="nil"/>
            </w:tcBorders>
            <w:shd w:val="clear" w:color="000000" w:fill="000000"/>
          </w:tcPr>
          <w:p w:rsidR="00336793" w:rsidRPr="00B762D0" w:rsidRDefault="00336793" w:rsidP="00DF0B96">
            <w:pPr>
              <w:pStyle w:val="TabletextheadingCentred"/>
              <w:rPr>
                <w:rFonts w:eastAsiaTheme="minorEastAsia"/>
                <w:sz w:val="16"/>
                <w:lang w:eastAsia="en-AU"/>
              </w:rPr>
            </w:pPr>
            <w:r w:rsidRPr="00B762D0">
              <w:rPr>
                <w:rFonts w:eastAsiaTheme="minorEastAsia"/>
                <w:sz w:val="16"/>
                <w:lang w:eastAsia="en-AU"/>
              </w:rPr>
              <w:t xml:space="preserve"> </w:t>
            </w:r>
          </w:p>
        </w:tc>
        <w:tc>
          <w:tcPr>
            <w:tcW w:w="1660" w:type="dxa"/>
            <w:gridSpan w:val="2"/>
            <w:tcBorders>
              <w:top w:val="single" w:sz="6" w:space="0" w:color="auto"/>
              <w:left w:val="nil"/>
              <w:bottom w:val="nil"/>
              <w:right w:val="nil"/>
            </w:tcBorders>
            <w:shd w:val="clear" w:color="000000" w:fill="000000"/>
          </w:tcPr>
          <w:p w:rsidR="00336793" w:rsidRPr="00B762D0" w:rsidRDefault="00336793" w:rsidP="00DF0B96">
            <w:pPr>
              <w:pStyle w:val="TabletextheadingCentred"/>
              <w:rPr>
                <w:rFonts w:eastAsiaTheme="minorEastAsia"/>
                <w:sz w:val="16"/>
                <w:lang w:eastAsia="en-AU"/>
              </w:rPr>
            </w:pPr>
          </w:p>
          <w:p w:rsidR="00336793" w:rsidRPr="00B762D0" w:rsidRDefault="00336793" w:rsidP="00DF0B96">
            <w:pPr>
              <w:pStyle w:val="TabletextheadingCentred"/>
              <w:rPr>
                <w:rFonts w:eastAsiaTheme="minorEastAsia"/>
                <w:sz w:val="16"/>
                <w:lang w:eastAsia="en-AU"/>
              </w:rPr>
            </w:pPr>
            <w:r w:rsidRPr="00B762D0">
              <w:rPr>
                <w:rFonts w:eastAsiaTheme="minorEastAsia"/>
                <w:sz w:val="16"/>
                <w:lang w:eastAsia="en-AU"/>
              </w:rPr>
              <w:t>State of Victoria</w:t>
            </w:r>
          </w:p>
        </w:tc>
        <w:tc>
          <w:tcPr>
            <w:tcW w:w="236" w:type="dxa"/>
            <w:tcBorders>
              <w:top w:val="single" w:sz="6" w:space="0" w:color="auto"/>
              <w:left w:val="nil"/>
              <w:bottom w:val="nil"/>
              <w:right w:val="nil"/>
            </w:tcBorders>
            <w:shd w:val="clear" w:color="000000" w:fill="000000"/>
          </w:tcPr>
          <w:p w:rsidR="00336793" w:rsidRPr="00B762D0" w:rsidRDefault="00336793" w:rsidP="00DF0B96">
            <w:pPr>
              <w:pStyle w:val="TabletextheadingCentred"/>
              <w:rPr>
                <w:rFonts w:eastAsiaTheme="minorEastAsia"/>
                <w:sz w:val="16"/>
                <w:lang w:eastAsia="en-AU"/>
              </w:rPr>
            </w:pPr>
            <w:r w:rsidRPr="00B762D0">
              <w:rPr>
                <w:rFonts w:eastAsiaTheme="minorEastAsia"/>
                <w:sz w:val="16"/>
                <w:lang w:eastAsia="en-AU"/>
              </w:rPr>
              <w:t xml:space="preserve"> </w:t>
            </w:r>
          </w:p>
        </w:tc>
        <w:tc>
          <w:tcPr>
            <w:tcW w:w="1694" w:type="dxa"/>
            <w:gridSpan w:val="2"/>
            <w:tcBorders>
              <w:top w:val="single" w:sz="6" w:space="0" w:color="auto"/>
              <w:left w:val="nil"/>
              <w:bottom w:val="nil"/>
              <w:right w:val="single" w:sz="6" w:space="0" w:color="auto"/>
            </w:tcBorders>
            <w:shd w:val="clear" w:color="000000" w:fill="000000"/>
          </w:tcPr>
          <w:p w:rsidR="00336793" w:rsidRPr="00B762D0" w:rsidRDefault="00336793" w:rsidP="00DF0B96">
            <w:pPr>
              <w:pStyle w:val="TabletextheadingCentred"/>
              <w:rPr>
                <w:rFonts w:eastAsiaTheme="minorEastAsia"/>
                <w:sz w:val="16"/>
                <w:lang w:eastAsia="en-AU"/>
              </w:rPr>
            </w:pPr>
            <w:r w:rsidRPr="00B762D0">
              <w:rPr>
                <w:rFonts w:eastAsiaTheme="minorEastAsia"/>
                <w:sz w:val="16"/>
                <w:lang w:eastAsia="en-AU"/>
              </w:rPr>
              <w:t xml:space="preserve">General </w:t>
            </w:r>
          </w:p>
          <w:p w:rsidR="00336793" w:rsidRPr="00B762D0" w:rsidRDefault="00336793" w:rsidP="00DF0B96">
            <w:pPr>
              <w:pStyle w:val="TabletextheadingCentred"/>
              <w:rPr>
                <w:rFonts w:eastAsiaTheme="minorEastAsia"/>
                <w:sz w:val="16"/>
                <w:lang w:eastAsia="en-AU"/>
              </w:rPr>
            </w:pPr>
            <w:r w:rsidRPr="00B762D0">
              <w:rPr>
                <w:rFonts w:eastAsiaTheme="minorEastAsia"/>
                <w:sz w:val="16"/>
                <w:lang w:eastAsia="en-AU"/>
              </w:rPr>
              <w:t>government sector</w:t>
            </w:r>
          </w:p>
        </w:tc>
      </w:tr>
      <w:tr w:rsidR="00336793" w:rsidRPr="00B762D0" w:rsidTr="00DF0B96">
        <w:tc>
          <w:tcPr>
            <w:tcW w:w="5057" w:type="dxa"/>
            <w:tcBorders>
              <w:top w:val="nil"/>
              <w:left w:val="single" w:sz="6" w:space="0" w:color="auto"/>
              <w:bottom w:val="single" w:sz="6" w:space="0" w:color="auto"/>
              <w:right w:val="nil"/>
            </w:tcBorders>
            <w:shd w:val="clear" w:color="000000" w:fill="000000"/>
          </w:tcPr>
          <w:p w:rsidR="00336793" w:rsidRPr="00B762D0" w:rsidRDefault="00336793" w:rsidP="00DF0B96">
            <w:pPr>
              <w:pStyle w:val="Tabletextheading"/>
              <w:jc w:val="left"/>
              <w:rPr>
                <w:rFonts w:eastAsiaTheme="minorEastAsia"/>
                <w:color w:val="FFFFFF"/>
                <w:sz w:val="16"/>
                <w:lang w:eastAsia="en-AU"/>
              </w:rPr>
            </w:pPr>
            <w:r w:rsidRPr="00B762D0">
              <w:rPr>
                <w:rFonts w:eastAsiaTheme="minorEastAsia"/>
                <w:color w:val="FFFFFF"/>
                <w:sz w:val="16"/>
                <w:lang w:eastAsia="en-AU"/>
              </w:rPr>
              <w:t xml:space="preserve"> </w:t>
            </w:r>
          </w:p>
        </w:tc>
        <w:tc>
          <w:tcPr>
            <w:tcW w:w="720" w:type="dxa"/>
            <w:tcBorders>
              <w:top w:val="nil"/>
              <w:left w:val="nil"/>
              <w:bottom w:val="single" w:sz="6" w:space="0" w:color="auto"/>
              <w:right w:val="nil"/>
            </w:tcBorders>
            <w:shd w:val="clear" w:color="000000" w:fill="000000"/>
          </w:tcPr>
          <w:p w:rsidR="00336793" w:rsidRPr="00B762D0" w:rsidRDefault="00336793" w:rsidP="00DF0B96">
            <w:pPr>
              <w:pStyle w:val="TabletextheadingCentred"/>
              <w:rPr>
                <w:rFonts w:eastAsiaTheme="minorEastAsia"/>
                <w:sz w:val="16"/>
                <w:lang w:eastAsia="en-AU"/>
              </w:rPr>
            </w:pPr>
            <w:r w:rsidRPr="00B762D0">
              <w:rPr>
                <w:rFonts w:eastAsiaTheme="minorEastAsia"/>
                <w:sz w:val="16"/>
                <w:lang w:eastAsia="en-AU"/>
              </w:rPr>
              <w:t>Notes</w:t>
            </w:r>
          </w:p>
        </w:tc>
        <w:tc>
          <w:tcPr>
            <w:tcW w:w="965" w:type="dxa"/>
            <w:gridSpan w:val="2"/>
            <w:tcBorders>
              <w:top w:val="nil"/>
              <w:left w:val="nil"/>
              <w:bottom w:val="single" w:sz="6" w:space="0" w:color="auto"/>
              <w:right w:val="nil"/>
            </w:tcBorders>
            <w:shd w:val="clear" w:color="000000" w:fill="000000"/>
          </w:tcPr>
          <w:p w:rsidR="00336793" w:rsidRPr="00B762D0" w:rsidRDefault="00336793" w:rsidP="00DF0B96">
            <w:pPr>
              <w:pStyle w:val="Tabletextheading"/>
              <w:rPr>
                <w:rFonts w:eastAsiaTheme="minorEastAsia"/>
                <w:color w:val="FFFFFF"/>
                <w:sz w:val="16"/>
                <w:lang w:eastAsia="en-AU"/>
              </w:rPr>
            </w:pPr>
            <w:r w:rsidRPr="00B762D0">
              <w:rPr>
                <w:rFonts w:eastAsiaTheme="minorEastAsia"/>
                <w:color w:val="FFFFFF"/>
                <w:sz w:val="16"/>
                <w:lang w:eastAsia="en-AU"/>
              </w:rPr>
              <w:t>2015</w:t>
            </w:r>
          </w:p>
        </w:tc>
        <w:tc>
          <w:tcPr>
            <w:tcW w:w="965" w:type="dxa"/>
            <w:tcBorders>
              <w:top w:val="nil"/>
              <w:left w:val="nil"/>
              <w:bottom w:val="single" w:sz="6" w:space="0" w:color="auto"/>
              <w:right w:val="nil"/>
            </w:tcBorders>
            <w:shd w:val="clear" w:color="000000" w:fill="000000"/>
          </w:tcPr>
          <w:p w:rsidR="00336793" w:rsidRPr="00B762D0" w:rsidRDefault="00336793" w:rsidP="00DF0B96">
            <w:pPr>
              <w:pStyle w:val="Tabletextheading"/>
              <w:rPr>
                <w:rFonts w:eastAsiaTheme="minorEastAsia"/>
                <w:color w:val="FFFFFF"/>
                <w:sz w:val="16"/>
                <w:lang w:eastAsia="en-AU"/>
              </w:rPr>
            </w:pPr>
            <w:r w:rsidRPr="00B762D0">
              <w:rPr>
                <w:rFonts w:eastAsiaTheme="minorEastAsia"/>
                <w:color w:val="FFFFFF"/>
                <w:sz w:val="16"/>
                <w:lang w:eastAsia="en-AU"/>
              </w:rPr>
              <w:t>2014</w:t>
            </w:r>
          </w:p>
        </w:tc>
        <w:tc>
          <w:tcPr>
            <w:tcW w:w="965" w:type="dxa"/>
            <w:gridSpan w:val="2"/>
            <w:tcBorders>
              <w:top w:val="nil"/>
              <w:left w:val="nil"/>
              <w:bottom w:val="single" w:sz="6" w:space="0" w:color="auto"/>
              <w:right w:val="nil"/>
            </w:tcBorders>
            <w:shd w:val="clear" w:color="000000" w:fill="000000"/>
          </w:tcPr>
          <w:p w:rsidR="00336793" w:rsidRPr="00B762D0" w:rsidRDefault="00336793" w:rsidP="00DF0B96">
            <w:pPr>
              <w:pStyle w:val="Tabletextheading"/>
              <w:rPr>
                <w:rFonts w:eastAsiaTheme="minorEastAsia"/>
                <w:color w:val="FFFFFF"/>
                <w:sz w:val="16"/>
                <w:lang w:eastAsia="en-AU"/>
              </w:rPr>
            </w:pPr>
            <w:r w:rsidRPr="00B762D0">
              <w:rPr>
                <w:rFonts w:eastAsiaTheme="minorEastAsia"/>
                <w:color w:val="FFFFFF"/>
                <w:sz w:val="16"/>
                <w:lang w:eastAsia="en-AU"/>
              </w:rPr>
              <w:t>2015</w:t>
            </w:r>
          </w:p>
        </w:tc>
        <w:tc>
          <w:tcPr>
            <w:tcW w:w="965" w:type="dxa"/>
            <w:tcBorders>
              <w:top w:val="nil"/>
              <w:left w:val="nil"/>
              <w:bottom w:val="single" w:sz="6" w:space="0" w:color="auto"/>
              <w:right w:val="single" w:sz="6" w:space="0" w:color="auto"/>
            </w:tcBorders>
            <w:shd w:val="clear" w:color="000000" w:fill="000000"/>
          </w:tcPr>
          <w:p w:rsidR="00336793" w:rsidRPr="00B762D0" w:rsidRDefault="00336793" w:rsidP="00DF0B96">
            <w:pPr>
              <w:pStyle w:val="Tabletextheading"/>
              <w:rPr>
                <w:rFonts w:eastAsiaTheme="minorEastAsia"/>
                <w:color w:val="FFFFFF"/>
                <w:sz w:val="16"/>
                <w:lang w:eastAsia="en-AU"/>
              </w:rPr>
            </w:pPr>
            <w:r w:rsidRPr="00B762D0">
              <w:rPr>
                <w:rFonts w:eastAsiaTheme="minorEastAsia"/>
                <w:color w:val="FFFFFF"/>
                <w:sz w:val="16"/>
                <w:lang w:eastAsia="en-AU"/>
              </w:rPr>
              <w:t>2014</w:t>
            </w:r>
          </w:p>
        </w:tc>
      </w:tr>
      <w:tr w:rsidR="00336793" w:rsidRPr="00B762D0" w:rsidTr="00DF0B96">
        <w:tc>
          <w:tcPr>
            <w:tcW w:w="5057" w:type="dxa"/>
            <w:tcBorders>
              <w:top w:val="single" w:sz="6" w:space="0" w:color="auto"/>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Cash flows from operating activities</w:t>
            </w:r>
          </w:p>
        </w:tc>
        <w:tc>
          <w:tcPr>
            <w:tcW w:w="720" w:type="dxa"/>
            <w:tcBorders>
              <w:top w:val="single" w:sz="6" w:space="0" w:color="auto"/>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nil"/>
              <w:right w:val="nil"/>
            </w:tcBorders>
          </w:tcPr>
          <w:p w:rsidR="00336793" w:rsidRPr="00B762D0" w:rsidRDefault="00336793" w:rsidP="00DF0B96">
            <w:pPr>
              <w:autoSpaceDE w:val="0"/>
              <w:autoSpaceDN w:val="0"/>
              <w:adjustRightInd w:val="0"/>
              <w:spacing w:after="0"/>
              <w:jc w:val="center"/>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single" w:sz="6" w:space="0" w:color="auto"/>
              <w:left w:val="nil"/>
              <w:bottom w:val="nil"/>
              <w:right w:val="nil"/>
            </w:tcBorders>
          </w:tcPr>
          <w:p w:rsidR="00336793" w:rsidRPr="00B762D0" w:rsidRDefault="00336793" w:rsidP="00DF0B96">
            <w:pPr>
              <w:autoSpaceDE w:val="0"/>
              <w:autoSpaceDN w:val="0"/>
              <w:adjustRightInd w:val="0"/>
              <w:spacing w:after="0"/>
              <w:jc w:val="center"/>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gridSpan w:val="2"/>
            <w:tcBorders>
              <w:top w:val="single" w:sz="6" w:space="0" w:color="auto"/>
              <w:left w:val="nil"/>
              <w:bottom w:val="nil"/>
              <w:right w:val="nil"/>
            </w:tcBorders>
          </w:tcPr>
          <w:p w:rsidR="00336793" w:rsidRPr="00B762D0" w:rsidRDefault="00336793" w:rsidP="00DF0B96">
            <w:pPr>
              <w:autoSpaceDE w:val="0"/>
              <w:autoSpaceDN w:val="0"/>
              <w:adjustRightInd w:val="0"/>
              <w:spacing w:after="0"/>
              <w:jc w:val="center"/>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single" w:sz="6" w:space="0" w:color="auto"/>
              <w:left w:val="nil"/>
              <w:bottom w:val="nil"/>
              <w:right w:val="nil"/>
            </w:tcBorders>
          </w:tcPr>
          <w:p w:rsidR="00336793" w:rsidRPr="00B762D0" w:rsidRDefault="00336793" w:rsidP="00DF0B96">
            <w:pPr>
              <w:autoSpaceDE w:val="0"/>
              <w:autoSpaceDN w:val="0"/>
              <w:adjustRightInd w:val="0"/>
              <w:spacing w:after="0"/>
              <w:jc w:val="center"/>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Receipts</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center"/>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center"/>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center"/>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center"/>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Taxes received</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18 013.1</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16 308.9</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18 415.8</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16 719.4</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Grants</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24 362.7</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25 045.5</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24 499.1</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25 140.4</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vertAlign w:val="superscript"/>
                <w:lang w:eastAsia="en-AU"/>
              </w:rPr>
            </w:pPr>
            <w:r w:rsidRPr="00B762D0">
              <w:rPr>
                <w:rFonts w:ascii="Calibri" w:eastAsiaTheme="minorEastAsia" w:hAnsi="Calibri" w:cs="Calibri"/>
                <w:sz w:val="16"/>
                <w:szCs w:val="22"/>
                <w:lang w:eastAsia="en-AU"/>
              </w:rPr>
              <w:t>Sales of goods and services</w:t>
            </w:r>
            <w:r w:rsidRPr="00B762D0">
              <w:rPr>
                <w:rFonts w:ascii="Calibri" w:eastAsiaTheme="minorEastAsia" w:hAnsi="Calibri" w:cs="Calibri"/>
                <w:sz w:val="16"/>
                <w:szCs w:val="22"/>
                <w:vertAlign w:val="superscript"/>
                <w:lang w:eastAsia="en-AU"/>
              </w:rPr>
              <w:t>(a)</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15 325.1</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15 898.4</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7 001.8</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7 381.1</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Interest received</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865.6</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853.9</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812.3</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807.8</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vertAlign w:val="superscript"/>
                <w:lang w:eastAsia="en-AU"/>
              </w:rPr>
            </w:pPr>
            <w:r w:rsidRPr="00B762D0">
              <w:rPr>
                <w:rFonts w:ascii="Calibri" w:eastAsiaTheme="minorEastAsia" w:hAnsi="Calibri" w:cs="Calibri"/>
                <w:sz w:val="16"/>
                <w:szCs w:val="22"/>
                <w:lang w:eastAsia="en-AU"/>
              </w:rPr>
              <w:t>Dividends and income tax equivalent and rate equivalent receipts</w:t>
            </w:r>
            <w:r w:rsidRPr="00B762D0">
              <w:rPr>
                <w:rFonts w:ascii="Calibri" w:eastAsiaTheme="minorEastAsia" w:hAnsi="Calibri" w:cs="Calibri"/>
                <w:sz w:val="16"/>
                <w:szCs w:val="22"/>
                <w:vertAlign w:val="superscript"/>
                <w:lang w:eastAsia="en-AU"/>
              </w:rPr>
              <w:t>(b)</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767.8</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842.1</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1 014.8</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591.8</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Other receipts</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2 337.3</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2 151.9</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1 983.7</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1 803.8</w:t>
            </w:r>
          </w:p>
        </w:tc>
      </w:tr>
      <w:tr w:rsidR="00336793" w:rsidRPr="00B762D0" w:rsidTr="00DF0B96">
        <w:tc>
          <w:tcPr>
            <w:tcW w:w="5057" w:type="dxa"/>
            <w:tcBorders>
              <w:top w:val="single" w:sz="6" w:space="0" w:color="auto"/>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vertAlign w:val="superscript"/>
                <w:lang w:eastAsia="en-AU"/>
              </w:rPr>
            </w:pPr>
            <w:r w:rsidRPr="00B762D0">
              <w:rPr>
                <w:rFonts w:ascii="Calibri" w:eastAsiaTheme="minorEastAsia" w:hAnsi="Calibri" w:cs="Calibri"/>
                <w:b/>
                <w:bCs/>
                <w:sz w:val="16"/>
                <w:szCs w:val="22"/>
                <w:lang w:eastAsia="en-AU"/>
              </w:rPr>
              <w:t>Total receipts</w:t>
            </w:r>
            <w:r w:rsidRPr="00B762D0">
              <w:rPr>
                <w:rFonts w:ascii="Calibri" w:eastAsiaTheme="minorEastAsia" w:hAnsi="Calibri" w:cs="Calibri"/>
                <w:b/>
                <w:bCs/>
                <w:sz w:val="16"/>
                <w:szCs w:val="22"/>
                <w:vertAlign w:val="superscript"/>
                <w:lang w:eastAsia="en-AU"/>
              </w:rPr>
              <w:t>(b)</w:t>
            </w:r>
          </w:p>
        </w:tc>
        <w:tc>
          <w:tcPr>
            <w:tcW w:w="720" w:type="dxa"/>
            <w:tcBorders>
              <w:top w:val="single" w:sz="6" w:space="0" w:color="auto"/>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61 671.6</w:t>
            </w:r>
          </w:p>
        </w:tc>
        <w:tc>
          <w:tcPr>
            <w:tcW w:w="965" w:type="dxa"/>
            <w:tcBorders>
              <w:top w:val="single" w:sz="6" w:space="0" w:color="auto"/>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61 100.7</w:t>
            </w:r>
          </w:p>
        </w:tc>
        <w:tc>
          <w:tcPr>
            <w:tcW w:w="965" w:type="dxa"/>
            <w:gridSpan w:val="2"/>
            <w:tcBorders>
              <w:top w:val="single" w:sz="6" w:space="0" w:color="auto"/>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53 727.5</w:t>
            </w:r>
          </w:p>
        </w:tc>
        <w:tc>
          <w:tcPr>
            <w:tcW w:w="965" w:type="dxa"/>
            <w:tcBorders>
              <w:top w:val="single" w:sz="6" w:space="0" w:color="auto"/>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52 444.2</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Payments</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Payments for employees</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(19 593.2)</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(18 924.3)</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(18 619.4)</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(17 926.6)</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Superannuation</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(2 900.2)</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(2 812.0)</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(2 771.1)</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(2 676.5)</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Interest paid</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(2 881.7)</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(2 895.8)</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(2 062.2)</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(2 081.6)</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Grants and subsidies</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(5 746.6)</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(5 037.3)</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(8 563.8)</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(7 647.0)</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vertAlign w:val="superscript"/>
                <w:lang w:eastAsia="en-AU"/>
              </w:rPr>
            </w:pPr>
            <w:r w:rsidRPr="00B762D0">
              <w:rPr>
                <w:rFonts w:ascii="Calibri" w:eastAsiaTheme="minorEastAsia" w:hAnsi="Calibri" w:cs="Calibri"/>
                <w:sz w:val="16"/>
                <w:szCs w:val="22"/>
                <w:lang w:eastAsia="en-AU"/>
              </w:rPr>
              <w:t>Goods and services</w:t>
            </w:r>
            <w:r w:rsidRPr="00B762D0">
              <w:rPr>
                <w:rFonts w:ascii="Calibri" w:eastAsiaTheme="minorEastAsia" w:hAnsi="Calibri" w:cs="Calibri"/>
                <w:sz w:val="16"/>
                <w:szCs w:val="22"/>
                <w:vertAlign w:val="superscript"/>
                <w:lang w:eastAsia="en-AU"/>
              </w:rPr>
              <w:t>(a)</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(23 835.5)</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(23 756.8)</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(16 834.8)</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(16 949.4)</w:t>
            </w:r>
          </w:p>
        </w:tc>
      </w:tr>
      <w:tr w:rsidR="00336793" w:rsidRPr="00B762D0" w:rsidTr="00DF0B96">
        <w:tc>
          <w:tcPr>
            <w:tcW w:w="5057" w:type="dxa"/>
            <w:tcBorders>
              <w:top w:val="nil"/>
              <w:left w:val="nil"/>
              <w:bottom w:val="single" w:sz="6" w:space="0" w:color="auto"/>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Other payments</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(1 061.9)</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818.3)</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sidRPr="00B762D0">
              <w:rPr>
                <w:rFonts w:ascii="Calibri" w:eastAsiaTheme="minorEastAsia" w:hAnsi="Calibri" w:cs="Calibri"/>
                <w:sz w:val="16"/>
                <w:szCs w:val="22"/>
                <w:lang w:eastAsia="en-AU"/>
              </w:rPr>
              <w:t>(1</w:t>
            </w:r>
            <w:r w:rsidRPr="00B762D0">
              <w:rPr>
                <w:rFonts w:ascii="Calibri" w:eastAsiaTheme="minorEastAsia" w:hAnsi="Calibri" w:cs="Calibri"/>
                <w:color w:val="000000"/>
                <w:sz w:val="16"/>
                <w:szCs w:val="22"/>
                <w:lang w:eastAsia="en-AU"/>
              </w:rPr>
              <w:t xml:space="preserve"> 057.1)</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(1 220.6)</w:t>
            </w:r>
          </w:p>
        </w:tc>
      </w:tr>
      <w:tr w:rsidR="00336793" w:rsidRPr="00B762D0" w:rsidTr="00DF0B96">
        <w:tc>
          <w:tcPr>
            <w:tcW w:w="5057" w:type="dxa"/>
            <w:tcBorders>
              <w:top w:val="nil"/>
              <w:left w:val="nil"/>
              <w:bottom w:val="single" w:sz="6" w:space="0" w:color="auto"/>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Total payments</w:t>
            </w:r>
          </w:p>
        </w:tc>
        <w:tc>
          <w:tcPr>
            <w:tcW w:w="720" w:type="dxa"/>
            <w:tcBorders>
              <w:top w:val="single" w:sz="6" w:space="0" w:color="auto"/>
              <w:left w:val="nil"/>
              <w:bottom w:val="single" w:sz="6" w:space="0" w:color="auto"/>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(56 018.9)</w:t>
            </w:r>
          </w:p>
        </w:tc>
        <w:tc>
          <w:tcPr>
            <w:tcW w:w="965" w:type="dxa"/>
            <w:tcBorders>
              <w:top w:val="single" w:sz="6" w:space="0" w:color="auto"/>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(54 244.5)</w:t>
            </w:r>
          </w:p>
        </w:tc>
        <w:tc>
          <w:tcPr>
            <w:tcW w:w="965" w:type="dxa"/>
            <w:gridSpan w:val="2"/>
            <w:tcBorders>
              <w:top w:val="single" w:sz="6" w:space="0" w:color="auto"/>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(49 908.4)</w:t>
            </w:r>
          </w:p>
        </w:tc>
        <w:tc>
          <w:tcPr>
            <w:tcW w:w="965" w:type="dxa"/>
            <w:tcBorders>
              <w:top w:val="single" w:sz="6" w:space="0" w:color="auto"/>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(48 501.7)</w:t>
            </w:r>
          </w:p>
        </w:tc>
      </w:tr>
      <w:tr w:rsidR="00336793" w:rsidRPr="00B762D0" w:rsidTr="00DF0B96">
        <w:tc>
          <w:tcPr>
            <w:tcW w:w="5057" w:type="dxa"/>
            <w:tcBorders>
              <w:top w:val="single" w:sz="6" w:space="0" w:color="auto"/>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vertAlign w:val="superscript"/>
                <w:lang w:eastAsia="en-AU"/>
              </w:rPr>
            </w:pPr>
            <w:r w:rsidRPr="00B762D0">
              <w:rPr>
                <w:rFonts w:ascii="Calibri" w:eastAsiaTheme="minorEastAsia" w:hAnsi="Calibri" w:cs="Calibri"/>
                <w:b/>
                <w:bCs/>
                <w:sz w:val="16"/>
                <w:szCs w:val="22"/>
                <w:lang w:eastAsia="en-AU"/>
              </w:rPr>
              <w:t>Net cash flows from operating activities</w:t>
            </w:r>
            <w:r w:rsidRPr="00B762D0">
              <w:rPr>
                <w:rFonts w:ascii="Calibri" w:eastAsiaTheme="minorEastAsia" w:hAnsi="Calibri" w:cs="Calibri"/>
                <w:b/>
                <w:bCs/>
                <w:sz w:val="16"/>
                <w:szCs w:val="22"/>
                <w:vertAlign w:val="superscript"/>
                <w:lang w:eastAsia="en-AU"/>
              </w:rPr>
              <w:t>(b)</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30(b)</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5 652.6</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6 856.2</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3 819.1</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3 942.5</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Cash flows from investing activities</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Cash flows from investments in non</w:t>
            </w:r>
            <w:r>
              <w:rPr>
                <w:rFonts w:ascii="Calibri" w:eastAsiaTheme="minorEastAsia" w:hAnsi="Calibri" w:cs="Calibri"/>
                <w:b/>
                <w:bCs/>
                <w:sz w:val="16"/>
                <w:szCs w:val="22"/>
                <w:lang w:eastAsia="en-AU"/>
              </w:rPr>
              <w:noBreakHyphen/>
            </w:r>
            <w:r w:rsidRPr="00B762D0">
              <w:rPr>
                <w:rFonts w:ascii="Calibri" w:eastAsiaTheme="minorEastAsia" w:hAnsi="Calibri" w:cs="Calibri"/>
                <w:b/>
                <w:bCs/>
                <w:sz w:val="16"/>
                <w:szCs w:val="22"/>
                <w:lang w:eastAsia="en-AU"/>
              </w:rPr>
              <w:t>financial assets</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Purchases of non</w:t>
            </w:r>
            <w:r>
              <w:rPr>
                <w:rFonts w:ascii="Calibri" w:eastAsiaTheme="minorEastAsia" w:hAnsi="Calibri" w:cs="Calibri"/>
                <w:sz w:val="16"/>
                <w:szCs w:val="22"/>
                <w:lang w:eastAsia="en-AU"/>
              </w:rPr>
              <w:noBreakHyphen/>
            </w:r>
            <w:r w:rsidRPr="00B762D0">
              <w:rPr>
                <w:rFonts w:ascii="Calibri" w:eastAsiaTheme="minorEastAsia" w:hAnsi="Calibri" w:cs="Calibri"/>
                <w:sz w:val="16"/>
                <w:szCs w:val="22"/>
                <w:lang w:eastAsia="en-AU"/>
              </w:rPr>
              <w:t>financial assets</w:t>
            </w:r>
            <w:r w:rsidRPr="00B762D0">
              <w:rPr>
                <w:rFonts w:ascii="Calibri" w:eastAsiaTheme="minorEastAsia" w:hAnsi="Calibri" w:cs="Calibri"/>
                <w:sz w:val="16"/>
                <w:szCs w:val="22"/>
                <w:vertAlign w:val="superscript"/>
                <w:lang w:eastAsia="en-AU"/>
              </w:rPr>
              <w:t>(b)</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24</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(6 615.6)</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(7 334.7)</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(4 393.7)</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(3 997.3)</w:t>
            </w:r>
          </w:p>
        </w:tc>
      </w:tr>
      <w:tr w:rsidR="00336793" w:rsidRPr="00B762D0" w:rsidTr="00DF0B96">
        <w:tc>
          <w:tcPr>
            <w:tcW w:w="5057" w:type="dxa"/>
            <w:tcBorders>
              <w:top w:val="nil"/>
              <w:left w:val="nil"/>
              <w:bottom w:val="single" w:sz="6" w:space="0" w:color="auto"/>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Sales of non</w:t>
            </w:r>
            <w:r>
              <w:rPr>
                <w:rFonts w:ascii="Calibri" w:eastAsiaTheme="minorEastAsia" w:hAnsi="Calibri" w:cs="Calibri"/>
                <w:sz w:val="16"/>
                <w:szCs w:val="22"/>
                <w:lang w:eastAsia="en-AU"/>
              </w:rPr>
              <w:noBreakHyphen/>
            </w:r>
            <w:r w:rsidRPr="00B762D0">
              <w:rPr>
                <w:rFonts w:ascii="Calibri" w:eastAsiaTheme="minorEastAsia" w:hAnsi="Calibri" w:cs="Calibri"/>
                <w:sz w:val="16"/>
                <w:szCs w:val="22"/>
                <w:lang w:eastAsia="en-AU"/>
              </w:rPr>
              <w:t>financial assets</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595.0</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496.4</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397.7</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270.9</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Net cash flows from investments in non</w:t>
            </w:r>
            <w:r>
              <w:rPr>
                <w:rFonts w:ascii="Calibri" w:eastAsiaTheme="minorEastAsia" w:hAnsi="Calibri" w:cs="Calibri"/>
                <w:b/>
                <w:bCs/>
                <w:sz w:val="16"/>
                <w:szCs w:val="22"/>
                <w:lang w:eastAsia="en-AU"/>
              </w:rPr>
              <w:noBreakHyphen/>
            </w:r>
            <w:r w:rsidRPr="00B762D0">
              <w:rPr>
                <w:rFonts w:ascii="Calibri" w:eastAsiaTheme="minorEastAsia" w:hAnsi="Calibri" w:cs="Calibri"/>
                <w:b/>
                <w:bCs/>
                <w:sz w:val="16"/>
                <w:szCs w:val="22"/>
                <w:lang w:eastAsia="en-AU"/>
              </w:rPr>
              <w:t>financial assets</w:t>
            </w:r>
          </w:p>
        </w:tc>
        <w:tc>
          <w:tcPr>
            <w:tcW w:w="720" w:type="dxa"/>
            <w:tcBorders>
              <w:top w:val="single" w:sz="6" w:space="0" w:color="auto"/>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(6 020.6)</w:t>
            </w:r>
          </w:p>
        </w:tc>
        <w:tc>
          <w:tcPr>
            <w:tcW w:w="965" w:type="dxa"/>
            <w:tcBorders>
              <w:top w:val="single" w:sz="6" w:space="0" w:color="auto"/>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(6 838.3)</w:t>
            </w:r>
          </w:p>
        </w:tc>
        <w:tc>
          <w:tcPr>
            <w:tcW w:w="965" w:type="dxa"/>
            <w:gridSpan w:val="2"/>
            <w:tcBorders>
              <w:top w:val="single" w:sz="6" w:space="0" w:color="auto"/>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(3 996.0)</w:t>
            </w:r>
          </w:p>
        </w:tc>
        <w:tc>
          <w:tcPr>
            <w:tcW w:w="965" w:type="dxa"/>
            <w:tcBorders>
              <w:top w:val="single" w:sz="6" w:space="0" w:color="auto"/>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(3 726.4)</w:t>
            </w:r>
          </w:p>
        </w:tc>
      </w:tr>
      <w:tr w:rsidR="00336793" w:rsidRPr="00B762D0" w:rsidTr="00DF0B96">
        <w:tc>
          <w:tcPr>
            <w:tcW w:w="5057" w:type="dxa"/>
            <w:tcBorders>
              <w:top w:val="nil"/>
              <w:left w:val="nil"/>
              <w:bottom w:val="nil"/>
              <w:right w:val="nil"/>
            </w:tcBorders>
            <w:shd w:val="solid" w:color="FFFFFF" w:fill="auto"/>
          </w:tcPr>
          <w:p w:rsidR="00336793" w:rsidRPr="00B762D0" w:rsidRDefault="00336793" w:rsidP="00DF0B96">
            <w:pPr>
              <w:autoSpaceDE w:val="0"/>
              <w:autoSpaceDN w:val="0"/>
              <w:adjustRightInd w:val="0"/>
              <w:spacing w:after="0"/>
              <w:rPr>
                <w:rFonts w:ascii="Calibri" w:eastAsiaTheme="minorEastAsia" w:hAnsi="Calibri" w:cs="Calibri"/>
                <w:b/>
                <w:bCs/>
                <w:sz w:val="16"/>
                <w:szCs w:val="22"/>
                <w:vertAlign w:val="superscript"/>
                <w:lang w:eastAsia="en-AU"/>
              </w:rPr>
            </w:pPr>
            <w:r w:rsidRPr="00B762D0">
              <w:rPr>
                <w:rFonts w:ascii="Calibri" w:eastAsiaTheme="minorEastAsia" w:hAnsi="Calibri" w:cs="Calibri"/>
                <w:b/>
                <w:bCs/>
                <w:sz w:val="16"/>
                <w:szCs w:val="22"/>
                <w:lang w:eastAsia="en-AU"/>
              </w:rPr>
              <w:t>Cash flows from investments in financial assets for policy purposes</w:t>
            </w:r>
            <w:r w:rsidRPr="00B762D0">
              <w:rPr>
                <w:rFonts w:ascii="Calibri" w:eastAsiaTheme="minorEastAsia" w:hAnsi="Calibri" w:cs="Calibri"/>
                <w:b/>
                <w:bCs/>
                <w:sz w:val="16"/>
                <w:szCs w:val="22"/>
                <w:vertAlign w:val="superscript"/>
                <w:lang w:eastAsia="en-AU"/>
              </w:rPr>
              <w:t>(b)</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Cash inflows</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2 143.7</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992.5</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360.6</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3.2</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Cash outflows</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548.8)</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958.5)</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(1 218.7)</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(1 481.5)</w:t>
            </w:r>
          </w:p>
        </w:tc>
      </w:tr>
      <w:tr w:rsidR="00336793" w:rsidRPr="00B762D0" w:rsidTr="00DF0B96">
        <w:tc>
          <w:tcPr>
            <w:tcW w:w="5057"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Net cash flows from investments in financial assets for policy purposes</w:t>
            </w:r>
          </w:p>
        </w:tc>
        <w:tc>
          <w:tcPr>
            <w:tcW w:w="720" w:type="dxa"/>
            <w:tcBorders>
              <w:top w:val="single" w:sz="6" w:space="0" w:color="auto"/>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1 595.0</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 xml:space="preserve"> 34.0</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16"/>
                <w:szCs w:val="22"/>
                <w:lang w:eastAsia="en-AU"/>
              </w:rPr>
              <w:t>(</w:t>
            </w:r>
            <w:r w:rsidRPr="00B762D0">
              <w:rPr>
                <w:rFonts w:ascii="Calibri" w:eastAsiaTheme="minorEastAsia" w:hAnsi="Calibri" w:cs="Calibri"/>
                <w:b/>
                <w:bCs/>
                <w:color w:val="000000"/>
                <w:sz w:val="16"/>
                <w:szCs w:val="22"/>
                <w:lang w:eastAsia="en-AU"/>
              </w:rPr>
              <w:t>858.1)</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(1 478.3)</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b/>
                <w:bCs/>
                <w:sz w:val="16"/>
                <w:szCs w:val="22"/>
                <w:vertAlign w:val="superscript"/>
                <w:lang w:eastAsia="en-AU"/>
              </w:rPr>
            </w:pPr>
            <w:r w:rsidRPr="00B762D0">
              <w:rPr>
                <w:rFonts w:ascii="Calibri" w:eastAsiaTheme="minorEastAsia" w:hAnsi="Calibri" w:cs="Calibri"/>
                <w:b/>
                <w:bCs/>
                <w:sz w:val="16"/>
                <w:szCs w:val="22"/>
                <w:lang w:eastAsia="en-AU"/>
              </w:rPr>
              <w:t>Cash flows from investments in financial assets for liquidity management purposes</w:t>
            </w:r>
            <w:r w:rsidRPr="00B762D0">
              <w:rPr>
                <w:rFonts w:ascii="Calibri" w:eastAsiaTheme="minorEastAsia" w:hAnsi="Calibri" w:cs="Calibri"/>
                <w:b/>
                <w:bCs/>
                <w:sz w:val="16"/>
                <w:szCs w:val="22"/>
                <w:vertAlign w:val="superscript"/>
                <w:lang w:eastAsia="en-AU"/>
              </w:rPr>
              <w:t>(b)(c)(d)</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Cash inflows</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22 658.0</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11 287.4</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890.9</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1 122.5</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Cash outflows</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(25 102.2)</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(13 057.3)</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(1 260.9)</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709.3)</w:t>
            </w:r>
          </w:p>
        </w:tc>
      </w:tr>
      <w:tr w:rsidR="00336793" w:rsidRPr="00B762D0" w:rsidTr="00DF0B96">
        <w:tc>
          <w:tcPr>
            <w:tcW w:w="5057"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Net cash flows from investments in financial assets for liquidity management purposes</w:t>
            </w:r>
          </w:p>
        </w:tc>
        <w:tc>
          <w:tcPr>
            <w:tcW w:w="720" w:type="dxa"/>
            <w:tcBorders>
              <w:top w:val="single" w:sz="6" w:space="0" w:color="auto"/>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(2 444.1)</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(1 769.8)</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16"/>
                <w:szCs w:val="22"/>
                <w:lang w:eastAsia="en-AU"/>
              </w:rPr>
              <w:t>(</w:t>
            </w:r>
            <w:r w:rsidRPr="00B762D0">
              <w:rPr>
                <w:rFonts w:ascii="Calibri" w:eastAsiaTheme="minorEastAsia" w:hAnsi="Calibri" w:cs="Calibri"/>
                <w:b/>
                <w:bCs/>
                <w:color w:val="000000"/>
                <w:sz w:val="16"/>
                <w:szCs w:val="22"/>
                <w:lang w:eastAsia="en-AU"/>
              </w:rPr>
              <w:t>370.1)</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 xml:space="preserve"> 413.1</w:t>
            </w:r>
          </w:p>
        </w:tc>
      </w:tr>
      <w:tr w:rsidR="00336793" w:rsidRPr="00B762D0" w:rsidTr="00DF0B96">
        <w:tc>
          <w:tcPr>
            <w:tcW w:w="5057"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b/>
                <w:bCs/>
                <w:color w:val="000000"/>
                <w:sz w:val="16"/>
                <w:szCs w:val="22"/>
                <w:vertAlign w:val="superscript"/>
                <w:lang w:eastAsia="en-AU"/>
              </w:rPr>
            </w:pPr>
            <w:r w:rsidRPr="00B762D0">
              <w:rPr>
                <w:rFonts w:ascii="Calibri" w:eastAsiaTheme="minorEastAsia" w:hAnsi="Calibri" w:cs="Calibri"/>
                <w:b/>
                <w:bCs/>
                <w:sz w:val="16"/>
                <w:szCs w:val="22"/>
                <w:lang w:eastAsia="en-AU"/>
              </w:rPr>
              <w:t>Net cash flows from investing activities</w:t>
            </w:r>
            <w:r w:rsidRPr="00B762D0">
              <w:rPr>
                <w:rFonts w:ascii="Calibri" w:eastAsiaTheme="minorEastAsia" w:hAnsi="Calibri" w:cs="Calibri"/>
                <w:b/>
                <w:bCs/>
                <w:sz w:val="16"/>
                <w:szCs w:val="22"/>
                <w:vertAlign w:val="superscript"/>
                <w:lang w:eastAsia="en-AU"/>
              </w:rPr>
              <w:t>(</w:t>
            </w:r>
            <w:r w:rsidRPr="00B762D0">
              <w:rPr>
                <w:rFonts w:ascii="Calibri" w:eastAsiaTheme="minorEastAsia" w:hAnsi="Calibri" w:cs="Calibri"/>
                <w:b/>
                <w:bCs/>
                <w:color w:val="000000"/>
                <w:sz w:val="16"/>
                <w:szCs w:val="22"/>
                <w:vertAlign w:val="superscript"/>
                <w:lang w:eastAsia="en-AU"/>
              </w:rPr>
              <w:t>b)</w:t>
            </w:r>
          </w:p>
        </w:tc>
        <w:tc>
          <w:tcPr>
            <w:tcW w:w="720" w:type="dxa"/>
            <w:tcBorders>
              <w:top w:val="single" w:sz="6" w:space="0" w:color="auto"/>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(6 869.8)</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(8 574.1)</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(5 224.2)</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(4 791.5)</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b/>
                <w:bCs/>
                <w:sz w:val="16"/>
                <w:szCs w:val="22"/>
                <w:vertAlign w:val="superscript"/>
                <w:lang w:eastAsia="en-AU"/>
              </w:rPr>
            </w:pPr>
            <w:r w:rsidRPr="00B762D0">
              <w:rPr>
                <w:rFonts w:ascii="Calibri" w:eastAsiaTheme="minorEastAsia" w:hAnsi="Calibri" w:cs="Calibri"/>
                <w:b/>
                <w:bCs/>
                <w:sz w:val="16"/>
                <w:szCs w:val="22"/>
                <w:lang w:eastAsia="en-AU"/>
              </w:rPr>
              <w:t>Cash flows from financing activities</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Advances received</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44.7</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31.0</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r>
      <w:tr w:rsidR="00336793" w:rsidRPr="00B762D0" w:rsidTr="00DF0B96">
        <w:tc>
          <w:tcPr>
            <w:tcW w:w="5057" w:type="dxa"/>
            <w:tcBorders>
              <w:top w:val="nil"/>
              <w:left w:val="nil"/>
              <w:bottom w:val="single" w:sz="6" w:space="0" w:color="auto"/>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Advances repaid</w:t>
            </w:r>
          </w:p>
        </w:tc>
        <w:tc>
          <w:tcPr>
            <w:tcW w:w="720" w:type="dxa"/>
            <w:tcBorders>
              <w:top w:val="nil"/>
              <w:left w:val="nil"/>
              <w:bottom w:val="single" w:sz="6" w:space="0" w:color="auto"/>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5.5)</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0.6)</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vertAlign w:val="superscript"/>
                <w:lang w:eastAsia="en-AU"/>
              </w:rPr>
            </w:pPr>
            <w:r w:rsidRPr="00B762D0">
              <w:rPr>
                <w:rFonts w:ascii="Calibri" w:eastAsiaTheme="minorEastAsia" w:hAnsi="Calibri" w:cs="Calibri"/>
                <w:sz w:val="16"/>
                <w:szCs w:val="22"/>
                <w:lang w:eastAsia="en-AU"/>
              </w:rPr>
              <w:t>Advances received (net)</w:t>
            </w:r>
            <w:r w:rsidRPr="00B762D0">
              <w:rPr>
                <w:rFonts w:ascii="Calibri" w:eastAsiaTheme="minorEastAsia" w:hAnsi="Calibri" w:cs="Calibri"/>
                <w:sz w:val="16"/>
                <w:szCs w:val="22"/>
                <w:vertAlign w:val="superscript"/>
                <w:lang w:eastAsia="en-AU"/>
              </w:rPr>
              <w:t>(c)</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39.2</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30.4</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Pr>
                <w:rFonts w:ascii="Calibri" w:eastAsiaTheme="minorEastAsia" w:hAnsi="Calibri" w:cs="Calibri"/>
                <w:sz w:val="16"/>
                <w:szCs w:val="22"/>
                <w:lang w:eastAsia="en-AU"/>
              </w:rPr>
              <w:t>..</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Borrowings received</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262.5</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4 427.0</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1 306.3</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2 851.3</w:t>
            </w:r>
          </w:p>
        </w:tc>
      </w:tr>
      <w:tr w:rsidR="00336793" w:rsidRPr="00B762D0" w:rsidTr="00DF0B96">
        <w:tc>
          <w:tcPr>
            <w:tcW w:w="5057" w:type="dxa"/>
            <w:tcBorders>
              <w:top w:val="nil"/>
              <w:left w:val="nil"/>
              <w:bottom w:val="single" w:sz="6" w:space="0" w:color="auto"/>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Borrowings repaid</w:t>
            </w:r>
          </w:p>
        </w:tc>
        <w:tc>
          <w:tcPr>
            <w:tcW w:w="720" w:type="dxa"/>
            <w:tcBorders>
              <w:top w:val="nil"/>
              <w:left w:val="nil"/>
              <w:bottom w:val="single" w:sz="6" w:space="0" w:color="auto"/>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(1 065.7)</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665.4)</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sz w:val="16"/>
                <w:szCs w:val="22"/>
                <w:lang w:eastAsia="en-AU"/>
              </w:rPr>
              <w:t>292.9)</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(1 359.5)</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vertAlign w:val="superscript"/>
                <w:lang w:eastAsia="en-AU"/>
              </w:rPr>
            </w:pPr>
            <w:r w:rsidRPr="00B762D0">
              <w:rPr>
                <w:rFonts w:ascii="Calibri" w:eastAsiaTheme="minorEastAsia" w:hAnsi="Calibri" w:cs="Calibri"/>
                <w:sz w:val="16"/>
                <w:szCs w:val="22"/>
                <w:lang w:eastAsia="en-AU"/>
              </w:rPr>
              <w:t>Net borrowings</w:t>
            </w:r>
            <w:r w:rsidRPr="00B762D0">
              <w:rPr>
                <w:rFonts w:ascii="Calibri" w:eastAsiaTheme="minorEastAsia" w:hAnsi="Calibri" w:cs="Calibri"/>
                <w:sz w:val="16"/>
                <w:szCs w:val="22"/>
                <w:vertAlign w:val="superscript"/>
                <w:lang w:eastAsia="en-AU"/>
              </w:rPr>
              <w:t>(c)</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803.1)</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3 761.7</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1 013.4</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1 491.8</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Deposits received</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668.1</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441.6</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430.8</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373.1</w:t>
            </w:r>
          </w:p>
        </w:tc>
      </w:tr>
      <w:tr w:rsidR="00336793" w:rsidRPr="00B762D0" w:rsidTr="00DF0B96">
        <w:tc>
          <w:tcPr>
            <w:tcW w:w="5057" w:type="dxa"/>
            <w:tcBorders>
              <w:top w:val="nil"/>
              <w:left w:val="nil"/>
              <w:bottom w:val="single" w:sz="6" w:space="0" w:color="auto"/>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Deposits repaid</w:t>
            </w:r>
          </w:p>
        </w:tc>
        <w:tc>
          <w:tcPr>
            <w:tcW w:w="720" w:type="dxa"/>
            <w:tcBorders>
              <w:top w:val="nil"/>
              <w:left w:val="nil"/>
              <w:bottom w:val="single" w:sz="6" w:space="0" w:color="auto"/>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458.0)</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490.4)</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339.6)</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395.8)</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vertAlign w:val="superscript"/>
                <w:lang w:eastAsia="en-AU"/>
              </w:rPr>
            </w:pPr>
            <w:r w:rsidRPr="00B762D0">
              <w:rPr>
                <w:rFonts w:ascii="Calibri" w:eastAsiaTheme="minorEastAsia" w:hAnsi="Calibri" w:cs="Calibri"/>
                <w:sz w:val="16"/>
                <w:szCs w:val="22"/>
                <w:lang w:eastAsia="en-AU"/>
              </w:rPr>
              <w:t>Deposits received (net)</w:t>
            </w:r>
            <w:r w:rsidRPr="00B762D0">
              <w:rPr>
                <w:rFonts w:ascii="Calibri" w:eastAsiaTheme="minorEastAsia" w:hAnsi="Calibri" w:cs="Calibri"/>
                <w:sz w:val="16"/>
                <w:szCs w:val="22"/>
                <w:vertAlign w:val="superscript"/>
                <w:lang w:eastAsia="en-AU"/>
              </w:rPr>
              <w:t>(c)</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210.0</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48.7)</w:t>
            </w:r>
          </w:p>
        </w:tc>
        <w:tc>
          <w:tcPr>
            <w:tcW w:w="965" w:type="dxa"/>
            <w:gridSpan w:val="2"/>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91.3</w:t>
            </w:r>
          </w:p>
        </w:tc>
        <w:tc>
          <w:tcPr>
            <w:tcW w:w="965" w:type="dxa"/>
            <w:tcBorders>
              <w:top w:val="single" w:sz="6" w:space="0" w:color="auto"/>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16"/>
                <w:szCs w:val="22"/>
                <w:lang w:eastAsia="en-AU"/>
              </w:rPr>
              <w:t>(</w:t>
            </w:r>
            <w:r w:rsidRPr="00B762D0">
              <w:rPr>
                <w:rFonts w:ascii="Calibri" w:eastAsiaTheme="minorEastAsia" w:hAnsi="Calibri" w:cs="Calibri"/>
                <w:color w:val="000000"/>
                <w:sz w:val="16"/>
                <w:szCs w:val="22"/>
                <w:lang w:eastAsia="en-AU"/>
              </w:rPr>
              <w:t>22.7)</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Other financing inflows</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 xml:space="preserve"> 3.0</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c>
          <w:tcPr>
            <w:tcW w:w="965"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r>
      <w:tr w:rsidR="00336793" w:rsidRPr="00B762D0" w:rsidTr="00DF0B96">
        <w:tc>
          <w:tcPr>
            <w:tcW w:w="5057" w:type="dxa"/>
            <w:tcBorders>
              <w:top w:val="nil"/>
              <w:left w:val="nil"/>
              <w:bottom w:val="single" w:sz="6" w:space="0" w:color="auto"/>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Other financing outflows</w:t>
            </w:r>
          </w:p>
        </w:tc>
        <w:tc>
          <w:tcPr>
            <w:tcW w:w="720" w:type="dxa"/>
            <w:tcBorders>
              <w:top w:val="nil"/>
              <w:left w:val="nil"/>
              <w:bottom w:val="single" w:sz="6" w:space="0" w:color="auto"/>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c>
          <w:tcPr>
            <w:tcW w:w="965" w:type="dxa"/>
            <w:tcBorders>
              <w:top w:val="nil"/>
              <w:left w:val="nil"/>
              <w:bottom w:val="single" w:sz="6" w:space="0" w:color="auto"/>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c>
          <w:tcPr>
            <w:tcW w:w="965" w:type="dxa"/>
            <w:gridSpan w:val="2"/>
            <w:tcBorders>
              <w:top w:val="nil"/>
              <w:left w:val="nil"/>
              <w:bottom w:val="nil"/>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c>
          <w:tcPr>
            <w:tcW w:w="965" w:type="dxa"/>
            <w:tcBorders>
              <w:top w:val="nil"/>
              <w:left w:val="nil"/>
              <w:bottom w:val="single" w:sz="6" w:space="0" w:color="auto"/>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w:t>
            </w:r>
          </w:p>
        </w:tc>
      </w:tr>
      <w:tr w:rsidR="00336793" w:rsidRPr="00B762D0" w:rsidTr="00DF0B96">
        <w:tc>
          <w:tcPr>
            <w:tcW w:w="5057" w:type="dxa"/>
            <w:tcBorders>
              <w:top w:val="nil"/>
              <w:left w:val="nil"/>
              <w:bottom w:val="nil"/>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sz w:val="16"/>
                <w:szCs w:val="22"/>
                <w:vertAlign w:val="superscript"/>
                <w:lang w:eastAsia="en-AU"/>
              </w:rPr>
            </w:pPr>
            <w:r w:rsidRPr="00B762D0">
              <w:rPr>
                <w:rFonts w:ascii="Calibri" w:eastAsiaTheme="minorEastAsia" w:hAnsi="Calibri" w:cs="Calibri"/>
                <w:sz w:val="16"/>
                <w:szCs w:val="22"/>
                <w:lang w:eastAsia="en-AU"/>
              </w:rPr>
              <w:t>Other financing (net)</w:t>
            </w:r>
            <w:r w:rsidRPr="00B762D0">
              <w:rPr>
                <w:rFonts w:ascii="Calibri" w:eastAsiaTheme="minorEastAsia" w:hAnsi="Calibri" w:cs="Calibri"/>
                <w:sz w:val="16"/>
                <w:szCs w:val="22"/>
                <w:vertAlign w:val="superscript"/>
                <w:lang w:eastAsia="en-AU"/>
              </w:rPr>
              <w:t>(c)</w:t>
            </w:r>
          </w:p>
        </w:tc>
        <w:tc>
          <w:tcPr>
            <w:tcW w:w="720" w:type="dxa"/>
            <w:tcBorders>
              <w:top w:val="nil"/>
              <w:left w:val="nil"/>
              <w:bottom w:val="nil"/>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single" w:sz="6" w:space="0" w:color="auto"/>
              <w:right w:val="nil"/>
            </w:tcBorders>
            <w:shd w:val="clear" w:color="auto" w:fill="auto"/>
          </w:tcPr>
          <w:p w:rsidR="00336793" w:rsidRPr="00473D35" w:rsidRDefault="00336793" w:rsidP="00DF0B96">
            <w:pPr>
              <w:autoSpaceDE w:val="0"/>
              <w:autoSpaceDN w:val="0"/>
              <w:adjustRightInd w:val="0"/>
              <w:spacing w:after="0"/>
              <w:jc w:val="right"/>
              <w:rPr>
                <w:rFonts w:ascii="Calibri" w:eastAsiaTheme="minorEastAsia" w:hAnsi="Calibri" w:cs="Calibri"/>
                <w:color w:val="000000"/>
                <w:sz w:val="16"/>
                <w:szCs w:val="16"/>
                <w:lang w:eastAsia="en-AU"/>
              </w:rPr>
            </w:pPr>
            <w:r>
              <w:rPr>
                <w:rFonts w:ascii="Calibri" w:eastAsiaTheme="minorEastAsia" w:hAnsi="Calibri" w:cs="Calibri"/>
                <w:sz w:val="16"/>
                <w:szCs w:val="16"/>
                <w:lang w:eastAsia="en-AU"/>
              </w:rPr>
              <w:t>..</w:t>
            </w:r>
          </w:p>
        </w:tc>
        <w:tc>
          <w:tcPr>
            <w:tcW w:w="965" w:type="dxa"/>
            <w:tcBorders>
              <w:top w:val="nil"/>
              <w:left w:val="nil"/>
              <w:bottom w:val="nil"/>
              <w:right w:val="nil"/>
            </w:tcBorders>
            <w:shd w:val="clear" w:color="auto" w:fill="auto"/>
          </w:tcPr>
          <w:p w:rsidR="00336793" w:rsidRPr="00473D35"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473D35">
              <w:rPr>
                <w:rFonts w:ascii="Calibri" w:eastAsiaTheme="minorEastAsia" w:hAnsi="Calibri" w:cs="Calibri"/>
                <w:sz w:val="16"/>
                <w:szCs w:val="16"/>
                <w:lang w:eastAsia="en-AU"/>
              </w:rPr>
              <w:t xml:space="preserve"> 3.0</w:t>
            </w:r>
          </w:p>
        </w:tc>
        <w:tc>
          <w:tcPr>
            <w:tcW w:w="965" w:type="dxa"/>
            <w:gridSpan w:val="2"/>
            <w:tcBorders>
              <w:top w:val="single" w:sz="6" w:space="0" w:color="auto"/>
              <w:left w:val="nil"/>
              <w:bottom w:val="single" w:sz="6" w:space="0" w:color="auto"/>
              <w:right w:val="nil"/>
            </w:tcBorders>
            <w:shd w:val="clear" w:color="auto" w:fill="auto"/>
          </w:tcPr>
          <w:p w:rsidR="00336793" w:rsidRPr="00473D35" w:rsidRDefault="00336793" w:rsidP="00DF0B96">
            <w:pPr>
              <w:autoSpaceDE w:val="0"/>
              <w:autoSpaceDN w:val="0"/>
              <w:adjustRightInd w:val="0"/>
              <w:spacing w:after="0"/>
              <w:jc w:val="right"/>
              <w:rPr>
                <w:rFonts w:ascii="Calibri" w:eastAsiaTheme="minorEastAsia" w:hAnsi="Calibri" w:cs="Calibri"/>
                <w:color w:val="000000"/>
                <w:sz w:val="16"/>
                <w:szCs w:val="16"/>
                <w:lang w:eastAsia="en-AU"/>
              </w:rPr>
            </w:pPr>
            <w:r>
              <w:rPr>
                <w:rFonts w:ascii="Calibri" w:eastAsiaTheme="minorEastAsia" w:hAnsi="Calibri" w:cs="Calibri"/>
                <w:sz w:val="16"/>
                <w:szCs w:val="16"/>
                <w:lang w:eastAsia="en-AU"/>
              </w:rPr>
              <w:t>..</w:t>
            </w:r>
          </w:p>
        </w:tc>
        <w:tc>
          <w:tcPr>
            <w:tcW w:w="965" w:type="dxa"/>
            <w:tcBorders>
              <w:top w:val="nil"/>
              <w:left w:val="nil"/>
              <w:bottom w:val="nil"/>
              <w:right w:val="nil"/>
            </w:tcBorders>
            <w:shd w:val="clear" w:color="auto" w:fill="auto"/>
          </w:tcPr>
          <w:p w:rsidR="00336793" w:rsidRPr="00473D35"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473D35">
              <w:rPr>
                <w:rFonts w:ascii="Calibri" w:eastAsiaTheme="minorEastAsia" w:hAnsi="Calibri" w:cs="Calibri"/>
                <w:sz w:val="16"/>
                <w:szCs w:val="16"/>
                <w:lang w:eastAsia="en-AU"/>
              </w:rPr>
              <w:t>..</w:t>
            </w:r>
          </w:p>
        </w:tc>
      </w:tr>
      <w:tr w:rsidR="00336793" w:rsidRPr="00B762D0" w:rsidTr="00DF0B96">
        <w:tc>
          <w:tcPr>
            <w:tcW w:w="5057" w:type="dxa"/>
            <w:tcBorders>
              <w:top w:val="single" w:sz="6" w:space="0" w:color="auto"/>
              <w:left w:val="nil"/>
              <w:bottom w:val="single" w:sz="6" w:space="0" w:color="auto"/>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Net cash flows from financing activities</w:t>
            </w:r>
          </w:p>
        </w:tc>
        <w:tc>
          <w:tcPr>
            <w:tcW w:w="720" w:type="dxa"/>
            <w:tcBorders>
              <w:top w:val="single" w:sz="6" w:space="0" w:color="auto"/>
              <w:left w:val="nil"/>
              <w:bottom w:val="single" w:sz="6" w:space="0" w:color="auto"/>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16"/>
                <w:szCs w:val="22"/>
                <w:lang w:eastAsia="en-AU"/>
              </w:rPr>
              <w:t>(</w:t>
            </w:r>
            <w:r w:rsidRPr="00B762D0">
              <w:rPr>
                <w:rFonts w:ascii="Calibri" w:eastAsiaTheme="minorEastAsia" w:hAnsi="Calibri" w:cs="Calibri"/>
                <w:b/>
                <w:bCs/>
                <w:color w:val="000000"/>
                <w:sz w:val="16"/>
                <w:szCs w:val="22"/>
                <w:lang w:eastAsia="en-AU"/>
              </w:rPr>
              <w:t>553.8)</w:t>
            </w:r>
          </w:p>
        </w:tc>
        <w:tc>
          <w:tcPr>
            <w:tcW w:w="965" w:type="dxa"/>
            <w:tcBorders>
              <w:top w:val="single" w:sz="6" w:space="0" w:color="auto"/>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3 746.3</w:t>
            </w:r>
          </w:p>
        </w:tc>
        <w:tc>
          <w:tcPr>
            <w:tcW w:w="965" w:type="dxa"/>
            <w:gridSpan w:val="2"/>
            <w:tcBorders>
              <w:top w:val="single" w:sz="6" w:space="0" w:color="auto"/>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1 104.6</w:t>
            </w:r>
          </w:p>
        </w:tc>
        <w:tc>
          <w:tcPr>
            <w:tcW w:w="965" w:type="dxa"/>
            <w:tcBorders>
              <w:top w:val="single" w:sz="6" w:space="0" w:color="auto"/>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1 469.2</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Net increase/(decrease) in cash and cash equivalents</w:t>
            </w:r>
          </w:p>
        </w:tc>
        <w:tc>
          <w:tcPr>
            <w:tcW w:w="720" w:type="dxa"/>
            <w:tcBorders>
              <w:top w:val="single" w:sz="6" w:space="0" w:color="auto"/>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(1 771.0)</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2 028.4</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16"/>
                <w:szCs w:val="22"/>
                <w:lang w:eastAsia="en-AU"/>
              </w:rPr>
              <w:t>(</w:t>
            </w:r>
            <w:r w:rsidRPr="00B762D0">
              <w:rPr>
                <w:rFonts w:ascii="Calibri" w:eastAsiaTheme="minorEastAsia" w:hAnsi="Calibri" w:cs="Calibri"/>
                <w:b/>
                <w:bCs/>
                <w:color w:val="000000"/>
                <w:sz w:val="16"/>
                <w:szCs w:val="22"/>
                <w:lang w:eastAsia="en-AU"/>
              </w:rPr>
              <w:t>300.5)</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 xml:space="preserve"> 620.2</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Cash and cash equivalents at beginning of the financial year</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8 281.3</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6 252.9</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4 582.2</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B762D0">
              <w:rPr>
                <w:rFonts w:ascii="Calibri" w:eastAsiaTheme="minorEastAsia" w:hAnsi="Calibri" w:cs="Calibri"/>
                <w:sz w:val="16"/>
                <w:szCs w:val="22"/>
                <w:lang w:eastAsia="en-AU"/>
              </w:rPr>
              <w:t>3 962.0</w:t>
            </w:r>
          </w:p>
        </w:tc>
      </w:tr>
      <w:tr w:rsidR="00336793" w:rsidRPr="00B762D0" w:rsidTr="00DF0B96">
        <w:tc>
          <w:tcPr>
            <w:tcW w:w="5057" w:type="dxa"/>
            <w:tcBorders>
              <w:top w:val="single" w:sz="6" w:space="0" w:color="auto"/>
              <w:left w:val="nil"/>
              <w:bottom w:val="single" w:sz="12" w:space="0" w:color="auto"/>
              <w:right w:val="nil"/>
            </w:tcBorders>
          </w:tcPr>
          <w:p w:rsidR="00336793" w:rsidRPr="00B762D0" w:rsidRDefault="00336793" w:rsidP="00DF0B96">
            <w:pPr>
              <w:autoSpaceDE w:val="0"/>
              <w:autoSpaceDN w:val="0"/>
              <w:adjustRightInd w:val="0"/>
              <w:spacing w:after="0"/>
              <w:rPr>
                <w:rFonts w:ascii="Calibri" w:eastAsiaTheme="minorEastAsia" w:hAnsi="Calibri" w:cs="Calibri"/>
                <w:b/>
                <w:bCs/>
                <w:sz w:val="16"/>
                <w:szCs w:val="22"/>
                <w:vertAlign w:val="superscript"/>
                <w:lang w:eastAsia="en-AU"/>
              </w:rPr>
            </w:pPr>
            <w:r w:rsidRPr="00B762D0">
              <w:rPr>
                <w:rFonts w:ascii="Calibri" w:eastAsiaTheme="minorEastAsia" w:hAnsi="Calibri" w:cs="Calibri"/>
                <w:b/>
                <w:bCs/>
                <w:sz w:val="16"/>
                <w:szCs w:val="22"/>
                <w:lang w:eastAsia="en-AU"/>
              </w:rPr>
              <w:t>Cash and cash equivalents at end of the financial year</w:t>
            </w:r>
            <w:r w:rsidRPr="00B762D0">
              <w:rPr>
                <w:rFonts w:ascii="Calibri" w:eastAsiaTheme="minorEastAsia" w:hAnsi="Calibri" w:cs="Calibri"/>
                <w:b/>
                <w:bCs/>
                <w:sz w:val="16"/>
                <w:szCs w:val="22"/>
                <w:vertAlign w:val="superscript"/>
                <w:lang w:eastAsia="en-AU"/>
              </w:rPr>
              <w:t>(e)</w:t>
            </w:r>
          </w:p>
        </w:tc>
        <w:tc>
          <w:tcPr>
            <w:tcW w:w="720" w:type="dxa"/>
            <w:tcBorders>
              <w:top w:val="single" w:sz="6" w:space="0" w:color="auto"/>
              <w:left w:val="nil"/>
              <w:bottom w:val="single" w:sz="12" w:space="0" w:color="auto"/>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30(a)</w:t>
            </w:r>
          </w:p>
        </w:tc>
        <w:tc>
          <w:tcPr>
            <w:tcW w:w="965" w:type="dxa"/>
            <w:gridSpan w:val="2"/>
            <w:tcBorders>
              <w:top w:val="single" w:sz="6" w:space="0" w:color="auto"/>
              <w:left w:val="nil"/>
              <w:bottom w:val="single" w:sz="12"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6 510.3</w:t>
            </w:r>
          </w:p>
        </w:tc>
        <w:tc>
          <w:tcPr>
            <w:tcW w:w="965" w:type="dxa"/>
            <w:tcBorders>
              <w:top w:val="single" w:sz="6" w:space="0" w:color="auto"/>
              <w:left w:val="nil"/>
              <w:bottom w:val="single" w:sz="12"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8 281.3</w:t>
            </w:r>
          </w:p>
        </w:tc>
        <w:tc>
          <w:tcPr>
            <w:tcW w:w="965" w:type="dxa"/>
            <w:gridSpan w:val="2"/>
            <w:tcBorders>
              <w:top w:val="single" w:sz="6" w:space="0" w:color="auto"/>
              <w:left w:val="nil"/>
              <w:bottom w:val="single" w:sz="12"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4 281.7</w:t>
            </w:r>
          </w:p>
        </w:tc>
        <w:tc>
          <w:tcPr>
            <w:tcW w:w="965" w:type="dxa"/>
            <w:tcBorders>
              <w:top w:val="single" w:sz="6" w:space="0" w:color="auto"/>
              <w:left w:val="nil"/>
              <w:bottom w:val="single" w:sz="12"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4 582.2</w:t>
            </w:r>
          </w:p>
        </w:tc>
      </w:tr>
      <w:tr w:rsidR="00336793" w:rsidRPr="00B762D0" w:rsidTr="00DF0B96">
        <w:tc>
          <w:tcPr>
            <w:tcW w:w="5057" w:type="dxa"/>
            <w:tcBorders>
              <w:top w:val="nil"/>
              <w:left w:val="nil"/>
              <w:bottom w:val="nil"/>
              <w:right w:val="nil"/>
            </w:tcBorders>
            <w:shd w:val="solid" w:color="FFFFFF" w:fill="auto"/>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FISCAL AGGREGATES</w:t>
            </w:r>
          </w:p>
        </w:tc>
        <w:tc>
          <w:tcPr>
            <w:tcW w:w="720" w:type="dxa"/>
            <w:tcBorders>
              <w:top w:val="nil"/>
              <w:left w:val="nil"/>
              <w:bottom w:val="nil"/>
              <w:right w:val="nil"/>
            </w:tcBorders>
            <w:shd w:val="solid" w:color="FFFFFF"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shd w:val="solid" w:color="FFFFFF" w:fill="auto"/>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 xml:space="preserve">  </w:t>
            </w:r>
          </w:p>
        </w:tc>
        <w:tc>
          <w:tcPr>
            <w:tcW w:w="965" w:type="dxa"/>
            <w:tcBorders>
              <w:top w:val="nil"/>
              <w:left w:val="nil"/>
              <w:bottom w:val="nil"/>
              <w:right w:val="nil"/>
            </w:tcBorders>
            <w:shd w:val="solid" w:color="FFFFFF" w:fill="auto"/>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 xml:space="preserve">  </w:t>
            </w:r>
          </w:p>
        </w:tc>
        <w:tc>
          <w:tcPr>
            <w:tcW w:w="965" w:type="dxa"/>
            <w:gridSpan w:val="2"/>
            <w:tcBorders>
              <w:top w:val="nil"/>
              <w:left w:val="nil"/>
              <w:bottom w:val="nil"/>
              <w:right w:val="nil"/>
            </w:tcBorders>
            <w:shd w:val="solid" w:color="FFFFFF" w:fill="auto"/>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 xml:space="preserve">  </w:t>
            </w:r>
          </w:p>
        </w:tc>
        <w:tc>
          <w:tcPr>
            <w:tcW w:w="965" w:type="dxa"/>
            <w:tcBorders>
              <w:top w:val="nil"/>
              <w:left w:val="nil"/>
              <w:bottom w:val="nil"/>
              <w:right w:val="nil"/>
            </w:tcBorders>
            <w:shd w:val="solid" w:color="FFFFFF" w:fill="auto"/>
          </w:tcPr>
          <w:p w:rsidR="00336793" w:rsidRPr="00B762D0" w:rsidRDefault="00336793" w:rsidP="00DF0B96">
            <w:pPr>
              <w:autoSpaceDE w:val="0"/>
              <w:autoSpaceDN w:val="0"/>
              <w:adjustRightInd w:val="0"/>
              <w:spacing w:after="0"/>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 xml:space="preserve">  </w:t>
            </w:r>
          </w:p>
        </w:tc>
      </w:tr>
      <w:tr w:rsidR="00336793" w:rsidRPr="00B762D0" w:rsidTr="00DF0B96">
        <w:tc>
          <w:tcPr>
            <w:tcW w:w="5057" w:type="dxa"/>
            <w:tcBorders>
              <w:top w:val="nil"/>
              <w:left w:val="nil"/>
              <w:bottom w:val="nil"/>
              <w:right w:val="nil"/>
            </w:tcBorders>
          </w:tcPr>
          <w:p w:rsidR="00336793" w:rsidRPr="00B762D0" w:rsidRDefault="00336793" w:rsidP="00DF0B96">
            <w:pPr>
              <w:autoSpaceDE w:val="0"/>
              <w:autoSpaceDN w:val="0"/>
              <w:adjustRightInd w:val="0"/>
              <w:spacing w:after="0"/>
              <w:rPr>
                <w:rFonts w:ascii="Calibri" w:eastAsiaTheme="minorEastAsia" w:hAnsi="Calibri" w:cs="Calibri"/>
                <w:sz w:val="16"/>
                <w:szCs w:val="22"/>
                <w:vertAlign w:val="superscript"/>
                <w:lang w:eastAsia="en-AU"/>
              </w:rPr>
            </w:pPr>
            <w:r w:rsidRPr="00B762D0">
              <w:rPr>
                <w:rFonts w:ascii="Calibri" w:eastAsiaTheme="minorEastAsia" w:hAnsi="Calibri" w:cs="Calibri"/>
                <w:sz w:val="16"/>
                <w:szCs w:val="22"/>
                <w:lang w:eastAsia="en-AU"/>
              </w:rPr>
              <w:t>Net cash flows from operating activities</w:t>
            </w:r>
            <w:r w:rsidRPr="00B762D0">
              <w:rPr>
                <w:rFonts w:ascii="Calibri" w:eastAsiaTheme="minorEastAsia" w:hAnsi="Calibri" w:cs="Calibri"/>
                <w:sz w:val="16"/>
                <w:szCs w:val="22"/>
                <w:vertAlign w:val="superscript"/>
                <w:lang w:eastAsia="en-AU"/>
              </w:rPr>
              <w:t>(b)</w:t>
            </w:r>
          </w:p>
        </w:tc>
        <w:tc>
          <w:tcPr>
            <w:tcW w:w="720" w:type="dxa"/>
            <w:tcBorders>
              <w:top w:val="nil"/>
              <w:left w:val="nil"/>
              <w:bottom w:val="nil"/>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5 652.6</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6 856.2</w:t>
            </w:r>
          </w:p>
        </w:tc>
        <w:tc>
          <w:tcPr>
            <w:tcW w:w="965" w:type="dxa"/>
            <w:gridSpan w:val="2"/>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3 819.1</w:t>
            </w:r>
          </w:p>
        </w:tc>
        <w:tc>
          <w:tcPr>
            <w:tcW w:w="965" w:type="dxa"/>
            <w:tcBorders>
              <w:top w:val="nil"/>
              <w:left w:val="nil"/>
              <w:bottom w:val="nil"/>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3 942.5</w:t>
            </w:r>
          </w:p>
        </w:tc>
      </w:tr>
      <w:tr w:rsidR="00336793" w:rsidRPr="00B762D0" w:rsidTr="00DF0B96">
        <w:tc>
          <w:tcPr>
            <w:tcW w:w="5057" w:type="dxa"/>
            <w:tcBorders>
              <w:top w:val="nil"/>
              <w:left w:val="nil"/>
              <w:bottom w:val="single" w:sz="6" w:space="0" w:color="auto"/>
              <w:right w:val="nil"/>
            </w:tcBorders>
          </w:tcPr>
          <w:p w:rsidR="00336793" w:rsidRPr="00B762D0" w:rsidRDefault="00336793" w:rsidP="00DF0B96">
            <w:pPr>
              <w:autoSpaceDE w:val="0"/>
              <w:autoSpaceDN w:val="0"/>
              <w:adjustRightInd w:val="0"/>
              <w:spacing w:after="0"/>
              <w:rPr>
                <w:rFonts w:ascii="Calibri" w:eastAsiaTheme="minorEastAsia" w:hAnsi="Calibri" w:cs="Calibri"/>
                <w:color w:val="000000"/>
                <w:sz w:val="16"/>
                <w:szCs w:val="22"/>
                <w:vertAlign w:val="superscript"/>
                <w:lang w:eastAsia="en-AU"/>
              </w:rPr>
            </w:pPr>
            <w:r w:rsidRPr="00B762D0">
              <w:rPr>
                <w:rFonts w:ascii="Calibri" w:eastAsiaTheme="minorEastAsia" w:hAnsi="Calibri" w:cs="Calibri"/>
                <w:sz w:val="16"/>
                <w:szCs w:val="22"/>
                <w:lang w:eastAsia="en-AU"/>
              </w:rPr>
              <w:t>Net cash flows from investments in non</w:t>
            </w:r>
            <w:r>
              <w:rPr>
                <w:rFonts w:ascii="Calibri" w:eastAsiaTheme="minorEastAsia" w:hAnsi="Calibri" w:cs="Calibri"/>
                <w:sz w:val="16"/>
                <w:szCs w:val="22"/>
                <w:lang w:eastAsia="en-AU"/>
              </w:rPr>
              <w:noBreakHyphen/>
            </w:r>
            <w:r w:rsidRPr="00B762D0">
              <w:rPr>
                <w:rFonts w:ascii="Calibri" w:eastAsiaTheme="minorEastAsia" w:hAnsi="Calibri" w:cs="Calibri"/>
                <w:sz w:val="16"/>
                <w:szCs w:val="22"/>
                <w:lang w:eastAsia="en-AU"/>
              </w:rPr>
              <w:t>financial assets</w:t>
            </w:r>
            <w:r w:rsidRPr="00B762D0">
              <w:rPr>
                <w:rFonts w:ascii="Calibri" w:eastAsiaTheme="minorEastAsia" w:hAnsi="Calibri" w:cs="Calibri"/>
                <w:sz w:val="16"/>
                <w:szCs w:val="22"/>
                <w:vertAlign w:val="superscript"/>
                <w:lang w:eastAsia="en-AU"/>
              </w:rPr>
              <w:t>(</w:t>
            </w:r>
            <w:r w:rsidRPr="00B762D0">
              <w:rPr>
                <w:rFonts w:ascii="Calibri" w:eastAsiaTheme="minorEastAsia" w:hAnsi="Calibri" w:cs="Calibri"/>
                <w:color w:val="000000"/>
                <w:sz w:val="16"/>
                <w:szCs w:val="22"/>
                <w:vertAlign w:val="superscript"/>
                <w:lang w:eastAsia="en-AU"/>
              </w:rPr>
              <w:t>b)</w:t>
            </w:r>
          </w:p>
        </w:tc>
        <w:tc>
          <w:tcPr>
            <w:tcW w:w="720" w:type="dxa"/>
            <w:tcBorders>
              <w:top w:val="nil"/>
              <w:left w:val="nil"/>
              <w:bottom w:val="single" w:sz="6" w:space="0" w:color="auto"/>
              <w:right w:val="nil"/>
            </w:tcBorders>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nil"/>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(6 020.6)</w:t>
            </w:r>
          </w:p>
        </w:tc>
        <w:tc>
          <w:tcPr>
            <w:tcW w:w="965" w:type="dxa"/>
            <w:tcBorders>
              <w:top w:val="nil"/>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(6 838.3)</w:t>
            </w:r>
          </w:p>
        </w:tc>
        <w:tc>
          <w:tcPr>
            <w:tcW w:w="965" w:type="dxa"/>
            <w:gridSpan w:val="2"/>
            <w:tcBorders>
              <w:top w:val="nil"/>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(3 996.0)</w:t>
            </w:r>
          </w:p>
        </w:tc>
        <w:tc>
          <w:tcPr>
            <w:tcW w:w="965" w:type="dxa"/>
            <w:tcBorders>
              <w:top w:val="nil"/>
              <w:left w:val="nil"/>
              <w:bottom w:val="single" w:sz="6" w:space="0" w:color="auto"/>
              <w:right w:val="nil"/>
            </w:tcBorders>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(3 726.4)</w:t>
            </w:r>
          </w:p>
        </w:tc>
      </w:tr>
      <w:tr w:rsidR="00336793" w:rsidRPr="00B762D0" w:rsidTr="00DF0B96">
        <w:tc>
          <w:tcPr>
            <w:tcW w:w="5057" w:type="dxa"/>
            <w:tcBorders>
              <w:top w:val="single" w:sz="6" w:space="0" w:color="auto"/>
              <w:left w:val="nil"/>
              <w:bottom w:val="single" w:sz="12" w:space="0" w:color="000000"/>
              <w:right w:val="nil"/>
            </w:tcBorders>
            <w:shd w:val="clear" w:color="auto" w:fill="auto"/>
          </w:tcPr>
          <w:p w:rsidR="00336793" w:rsidRPr="00B762D0" w:rsidRDefault="00336793" w:rsidP="00DF0B96">
            <w:pPr>
              <w:autoSpaceDE w:val="0"/>
              <w:autoSpaceDN w:val="0"/>
              <w:adjustRightInd w:val="0"/>
              <w:spacing w:after="0"/>
              <w:rPr>
                <w:rFonts w:ascii="Calibri" w:eastAsiaTheme="minorEastAsia" w:hAnsi="Calibri" w:cs="Calibri"/>
                <w:b/>
                <w:bCs/>
                <w:sz w:val="16"/>
                <w:szCs w:val="22"/>
                <w:vertAlign w:val="superscript"/>
                <w:lang w:eastAsia="en-AU"/>
              </w:rPr>
            </w:pPr>
            <w:r w:rsidRPr="00B762D0">
              <w:rPr>
                <w:rFonts w:ascii="Calibri" w:eastAsiaTheme="minorEastAsia" w:hAnsi="Calibri" w:cs="Calibri"/>
                <w:b/>
                <w:bCs/>
                <w:sz w:val="16"/>
                <w:szCs w:val="22"/>
                <w:lang w:eastAsia="en-AU"/>
              </w:rPr>
              <w:t>Cash surplus/(deficit)</w:t>
            </w:r>
            <w:r w:rsidRPr="00B762D0">
              <w:rPr>
                <w:rFonts w:ascii="Calibri" w:eastAsiaTheme="minorEastAsia" w:hAnsi="Calibri" w:cs="Calibri"/>
                <w:b/>
                <w:bCs/>
                <w:sz w:val="16"/>
                <w:szCs w:val="22"/>
                <w:vertAlign w:val="superscript"/>
                <w:lang w:eastAsia="en-AU"/>
              </w:rPr>
              <w:t>(b)</w:t>
            </w:r>
          </w:p>
        </w:tc>
        <w:tc>
          <w:tcPr>
            <w:tcW w:w="720" w:type="dxa"/>
            <w:tcBorders>
              <w:top w:val="single" w:sz="6" w:space="0" w:color="auto"/>
              <w:left w:val="nil"/>
              <w:bottom w:val="single" w:sz="12" w:space="0" w:color="000000"/>
              <w:right w:val="nil"/>
            </w:tcBorders>
            <w:shd w:val="clear" w:color="auto" w:fill="auto"/>
          </w:tcPr>
          <w:p w:rsidR="00336793" w:rsidRPr="00B762D0" w:rsidRDefault="00336793" w:rsidP="00DF0B96">
            <w:pPr>
              <w:pStyle w:val="TableTextCentred"/>
              <w:rPr>
                <w:rFonts w:eastAsiaTheme="minorEastAsia"/>
                <w:sz w:val="16"/>
                <w:lang w:eastAsia="en-AU"/>
              </w:rPr>
            </w:pPr>
            <w:r w:rsidRPr="00B762D0">
              <w:rPr>
                <w:rFonts w:eastAsiaTheme="minorEastAsia"/>
                <w:sz w:val="16"/>
                <w:lang w:eastAsia="en-AU"/>
              </w:rPr>
              <w:t xml:space="preserve"> </w:t>
            </w:r>
          </w:p>
        </w:tc>
        <w:tc>
          <w:tcPr>
            <w:tcW w:w="965" w:type="dxa"/>
            <w:gridSpan w:val="2"/>
            <w:tcBorders>
              <w:top w:val="single" w:sz="6" w:space="0" w:color="auto"/>
              <w:left w:val="nil"/>
              <w:bottom w:val="single" w:sz="12" w:space="0" w:color="000000"/>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16"/>
                <w:szCs w:val="22"/>
                <w:lang w:eastAsia="en-AU"/>
              </w:rPr>
              <w:t>(</w:t>
            </w:r>
            <w:r w:rsidRPr="00B762D0">
              <w:rPr>
                <w:rFonts w:ascii="Calibri" w:eastAsiaTheme="minorEastAsia" w:hAnsi="Calibri" w:cs="Calibri"/>
                <w:b/>
                <w:bCs/>
                <w:color w:val="000000"/>
                <w:sz w:val="16"/>
                <w:szCs w:val="22"/>
                <w:lang w:eastAsia="en-AU"/>
              </w:rPr>
              <w:t>368.0)</w:t>
            </w:r>
          </w:p>
        </w:tc>
        <w:tc>
          <w:tcPr>
            <w:tcW w:w="965" w:type="dxa"/>
            <w:tcBorders>
              <w:top w:val="single" w:sz="6" w:space="0" w:color="auto"/>
              <w:left w:val="nil"/>
              <w:bottom w:val="single" w:sz="12" w:space="0" w:color="000000"/>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 xml:space="preserve"> 17.9</w:t>
            </w:r>
          </w:p>
        </w:tc>
        <w:tc>
          <w:tcPr>
            <w:tcW w:w="965" w:type="dxa"/>
            <w:gridSpan w:val="2"/>
            <w:tcBorders>
              <w:top w:val="single" w:sz="6" w:space="0" w:color="auto"/>
              <w:left w:val="nil"/>
              <w:bottom w:val="single" w:sz="12" w:space="0" w:color="000000"/>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16"/>
                <w:szCs w:val="22"/>
                <w:lang w:eastAsia="en-AU"/>
              </w:rPr>
              <w:t>(</w:t>
            </w:r>
            <w:r w:rsidRPr="00B762D0">
              <w:rPr>
                <w:rFonts w:ascii="Calibri" w:eastAsiaTheme="minorEastAsia" w:hAnsi="Calibri" w:cs="Calibri"/>
                <w:b/>
                <w:bCs/>
                <w:color w:val="000000"/>
                <w:sz w:val="16"/>
                <w:szCs w:val="22"/>
                <w:lang w:eastAsia="en-AU"/>
              </w:rPr>
              <w:t>176.9)</w:t>
            </w:r>
          </w:p>
        </w:tc>
        <w:tc>
          <w:tcPr>
            <w:tcW w:w="965" w:type="dxa"/>
            <w:tcBorders>
              <w:top w:val="single" w:sz="6" w:space="0" w:color="auto"/>
              <w:left w:val="nil"/>
              <w:bottom w:val="single" w:sz="12" w:space="0" w:color="000000"/>
              <w:right w:val="nil"/>
            </w:tcBorders>
            <w:shd w:val="clear" w:color="auto" w:fill="auto"/>
          </w:tcPr>
          <w:p w:rsidR="00336793" w:rsidRPr="00B762D0"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B762D0">
              <w:rPr>
                <w:rFonts w:ascii="Calibri" w:eastAsiaTheme="minorEastAsia" w:hAnsi="Calibri" w:cs="Calibri"/>
                <w:b/>
                <w:bCs/>
                <w:sz w:val="16"/>
                <w:szCs w:val="22"/>
                <w:lang w:eastAsia="en-AU"/>
              </w:rPr>
              <w:t xml:space="preserve"> 216.1</w:t>
            </w:r>
          </w:p>
        </w:tc>
      </w:tr>
    </w:tbl>
    <w:p w:rsidR="00336793" w:rsidRPr="007F6AD7" w:rsidRDefault="00336793" w:rsidP="00DF0B96">
      <w:pPr>
        <w:pStyle w:val="Source"/>
        <w:spacing w:after="60"/>
      </w:pPr>
      <w:r w:rsidRPr="007F6AD7">
        <w:t>The accompanying notes form part of these financial statements.</w:t>
      </w:r>
    </w:p>
    <w:p w:rsidR="00336793" w:rsidRPr="007F6AD7" w:rsidRDefault="00336793" w:rsidP="00DF0B96">
      <w:pPr>
        <w:pStyle w:val="Notes"/>
        <w:rPr>
          <w:sz w:val="15"/>
        </w:rPr>
      </w:pPr>
      <w:r w:rsidRPr="007F6AD7">
        <w:rPr>
          <w:sz w:val="15"/>
        </w:rPr>
        <w:t>Notes:</w:t>
      </w:r>
    </w:p>
    <w:p w:rsidR="00336793" w:rsidRDefault="00336793" w:rsidP="00DF0B96">
      <w:pPr>
        <w:pStyle w:val="Notes"/>
        <w:rPr>
          <w:sz w:val="15"/>
        </w:rPr>
      </w:pPr>
      <w:r w:rsidRPr="009F7E6C">
        <w:rPr>
          <w:sz w:val="15"/>
        </w:rPr>
        <w:t>(a)</w:t>
      </w:r>
      <w:r w:rsidRPr="009F7E6C">
        <w:rPr>
          <w:sz w:val="15"/>
        </w:rPr>
        <w:tab/>
      </w:r>
      <w:r w:rsidRPr="007F6AD7">
        <w:rPr>
          <w:sz w:val="15"/>
        </w:rPr>
        <w:t>These items are inclusive of goods and services tax.</w:t>
      </w:r>
    </w:p>
    <w:p w:rsidR="00336793" w:rsidRPr="007F6AD7" w:rsidRDefault="00336793" w:rsidP="00DF0B96">
      <w:pPr>
        <w:pStyle w:val="Notes"/>
        <w:rPr>
          <w:sz w:val="15"/>
        </w:rPr>
      </w:pPr>
      <w:r>
        <w:rPr>
          <w:sz w:val="15"/>
        </w:rPr>
        <w:t xml:space="preserve">(b) </w:t>
      </w:r>
      <w:r>
        <w:rPr>
          <w:sz w:val="15"/>
        </w:rPr>
        <w:tab/>
      </w:r>
      <w:r w:rsidRPr="007F6AD7">
        <w:rPr>
          <w:sz w:val="15"/>
        </w:rPr>
        <w:t>June 2014 compara</w:t>
      </w:r>
      <w:r>
        <w:rPr>
          <w:sz w:val="15"/>
        </w:rPr>
        <w:t>tive figures have been restated. See Note 37.</w:t>
      </w:r>
    </w:p>
    <w:p w:rsidR="00336793" w:rsidRPr="007F6AD7" w:rsidRDefault="00336793" w:rsidP="00DF0B96">
      <w:pPr>
        <w:pStyle w:val="Notes"/>
        <w:rPr>
          <w:sz w:val="15"/>
        </w:rPr>
      </w:pPr>
      <w:r w:rsidRPr="007F6AD7">
        <w:rPr>
          <w:sz w:val="15"/>
        </w:rPr>
        <w:t>(</w:t>
      </w:r>
      <w:r>
        <w:rPr>
          <w:sz w:val="15"/>
        </w:rPr>
        <w:t>c)</w:t>
      </w:r>
      <w:r w:rsidRPr="007F6AD7">
        <w:rPr>
          <w:sz w:val="15"/>
        </w:rPr>
        <w:tab/>
        <w:t>In accordance with AASB 107</w:t>
      </w:r>
      <w:r>
        <w:rPr>
          <w:sz w:val="15"/>
        </w:rPr>
        <w:t>,</w:t>
      </w:r>
      <w:r w:rsidRPr="007F6AD7">
        <w:rPr>
          <w:sz w:val="15"/>
        </w:rPr>
        <w:t xml:space="preserve"> Treasury Corporation of Victoria</w:t>
      </w:r>
      <w:r>
        <w:rPr>
          <w:sz w:val="15"/>
        </w:rPr>
        <w:t xml:space="preserve"> is not required to gross</w:t>
      </w:r>
      <w:r w:rsidRPr="007F6AD7">
        <w:rPr>
          <w:sz w:val="15"/>
        </w:rPr>
        <w:t xml:space="preserve"> up </w:t>
      </w:r>
      <w:r>
        <w:rPr>
          <w:sz w:val="15"/>
        </w:rPr>
        <w:t xml:space="preserve">their cash flow information </w:t>
      </w:r>
      <w:r w:rsidRPr="007F6AD7">
        <w:rPr>
          <w:sz w:val="15"/>
        </w:rPr>
        <w:t>for whole of government consolidation purposes. The net cash movements for Treasury Cor</w:t>
      </w:r>
      <w:r>
        <w:rPr>
          <w:sz w:val="15"/>
        </w:rPr>
        <w:t>poration Victoria have</w:t>
      </w:r>
      <w:r w:rsidRPr="007F6AD7">
        <w:rPr>
          <w:sz w:val="15"/>
        </w:rPr>
        <w:t xml:space="preserve"> been added to cash inflows or outflows for both financial year</w:t>
      </w:r>
      <w:r>
        <w:rPr>
          <w:sz w:val="15"/>
        </w:rPr>
        <w:t xml:space="preserve">s ended 30 June 2015 and 30 June 2014. </w:t>
      </w:r>
    </w:p>
    <w:p w:rsidR="00336793" w:rsidRPr="007F6AD7" w:rsidRDefault="00336793" w:rsidP="00DF0B96">
      <w:pPr>
        <w:pStyle w:val="Notes"/>
        <w:rPr>
          <w:sz w:val="15"/>
        </w:rPr>
      </w:pPr>
      <w:r>
        <w:rPr>
          <w:sz w:val="15"/>
        </w:rPr>
        <w:t>(d</w:t>
      </w:r>
      <w:r w:rsidRPr="007F6AD7">
        <w:rPr>
          <w:sz w:val="15"/>
        </w:rPr>
        <w:t>)</w:t>
      </w:r>
      <w:r w:rsidRPr="007F6AD7">
        <w:rPr>
          <w:sz w:val="15"/>
        </w:rPr>
        <w:tab/>
        <w:t>The cash flows resulting from schools</w:t>
      </w:r>
      <w:r>
        <w:rPr>
          <w:sz w:val="15"/>
        </w:rPr>
        <w:t>’</w:t>
      </w:r>
      <w:r w:rsidRPr="007F6AD7">
        <w:rPr>
          <w:sz w:val="15"/>
        </w:rPr>
        <w:t xml:space="preserve"> investments in financial assets for liquidity management purposes are reported on a net basis, with the net cash movement added to cash inflows or outflows.</w:t>
      </w:r>
    </w:p>
    <w:p w:rsidR="00336793" w:rsidRPr="006A75A2" w:rsidRDefault="00336793" w:rsidP="00DF0B96">
      <w:pPr>
        <w:pStyle w:val="Notes"/>
      </w:pPr>
      <w:r>
        <w:rPr>
          <w:sz w:val="15"/>
        </w:rPr>
        <w:t>(e</w:t>
      </w:r>
      <w:r w:rsidRPr="007F6AD7">
        <w:rPr>
          <w:sz w:val="15"/>
        </w:rPr>
        <w:t>)</w:t>
      </w:r>
      <w:r w:rsidRPr="007F6AD7">
        <w:rPr>
          <w:sz w:val="15"/>
        </w:rPr>
        <w:tab/>
        <w:t>Cash and cash equivalents at the end of the reporting period does not equal cash and deposits on the balance sheet. This is due to overdrafts being included in the cash flow statement balances. See Note 30(a)</w:t>
      </w:r>
      <w:r>
        <w:rPr>
          <w:sz w:val="15"/>
        </w:rPr>
        <w:t xml:space="preserve">. </w:t>
      </w:r>
    </w:p>
    <w:p w:rsidR="00336793" w:rsidRPr="009D3399" w:rsidRDefault="00336793" w:rsidP="00DF0B96">
      <w:pPr>
        <w:rPr>
          <w:rFonts w:ascii="Calibri" w:hAnsi="Calibri"/>
          <w:i/>
          <w:sz w:val="16"/>
          <w:lang w:eastAsia="en-AU"/>
        </w:rPr>
        <w:sectPr w:rsidR="00336793" w:rsidRPr="009D3399" w:rsidSect="00FA2033">
          <w:headerReference w:type="even" r:id="rId30"/>
          <w:headerReference w:type="default" r:id="rId31"/>
          <w:footerReference w:type="even" r:id="rId32"/>
          <w:footerReference w:type="default" r:id="rId33"/>
          <w:headerReference w:type="first" r:id="rId34"/>
          <w:footerReference w:type="first" r:id="rId35"/>
          <w:type w:val="oddPage"/>
          <w:pgSz w:w="11906" w:h="16838" w:code="9"/>
          <w:pgMar w:top="1152" w:right="1152" w:bottom="1152" w:left="1152" w:header="720" w:footer="720" w:gutter="0"/>
          <w:cols w:space="708"/>
          <w:docGrid w:linePitch="360"/>
        </w:sectPr>
      </w:pPr>
    </w:p>
    <w:p w:rsidR="00336793" w:rsidRPr="006A75A2" w:rsidRDefault="00336793" w:rsidP="00DF0B96">
      <w:pPr>
        <w:pStyle w:val="Tableheading"/>
      </w:pPr>
      <w:r w:rsidRPr="006A75A2">
        <w:lastRenderedPageBreak/>
        <w:t>Consolidated statement of changes in equity for the financial year ending 30 June</w:t>
      </w:r>
    </w:p>
    <w:p w:rsidR="00336793" w:rsidRPr="00D96C4B" w:rsidRDefault="00336793" w:rsidP="00DF0B96">
      <w:pPr>
        <w:pStyle w:val="million"/>
        <w:rPr>
          <w:rFonts w:ascii="Times New Roman" w:hAnsi="Times New Roman"/>
          <w:i w:val="0"/>
          <w:szCs w:val="20"/>
          <w:lang w:eastAsia="en-AU"/>
        </w:rPr>
      </w:pPr>
      <w:r w:rsidRPr="006A75A2">
        <w:t>($</w:t>
      </w: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7127"/>
        <w:gridCol w:w="1620"/>
        <w:gridCol w:w="1530"/>
        <w:gridCol w:w="2070"/>
        <w:gridCol w:w="1107"/>
        <w:gridCol w:w="1116"/>
      </w:tblGrid>
      <w:tr w:rsidR="00336793" w:rsidRPr="00D96C4B" w:rsidTr="00DF0B96">
        <w:tc>
          <w:tcPr>
            <w:tcW w:w="7127" w:type="dxa"/>
            <w:tcBorders>
              <w:top w:val="single" w:sz="6" w:space="0" w:color="auto"/>
              <w:left w:val="single" w:sz="6" w:space="0" w:color="auto"/>
              <w:bottom w:val="single" w:sz="6" w:space="0" w:color="auto"/>
              <w:right w:val="nil"/>
            </w:tcBorders>
            <w:shd w:val="clear" w:color="000000" w:fill="000000"/>
          </w:tcPr>
          <w:p w:rsidR="00336793" w:rsidRPr="00D96C4B" w:rsidRDefault="00336793" w:rsidP="00DF0B96">
            <w:pPr>
              <w:pStyle w:val="Tabletext"/>
              <w:rPr>
                <w:rFonts w:eastAsiaTheme="minorEastAsia"/>
                <w:i/>
                <w:sz w:val="20"/>
                <w:lang w:eastAsia="en-AU"/>
              </w:rPr>
            </w:pPr>
          </w:p>
          <w:p w:rsidR="00336793" w:rsidRPr="00D96C4B" w:rsidRDefault="00336793" w:rsidP="00DF0B96">
            <w:pPr>
              <w:pStyle w:val="Tabletext"/>
              <w:rPr>
                <w:rFonts w:eastAsiaTheme="minorEastAsia"/>
                <w:i/>
                <w:sz w:val="20"/>
                <w:lang w:eastAsia="en-AU"/>
              </w:rPr>
            </w:pPr>
          </w:p>
          <w:p w:rsidR="00336793" w:rsidRPr="00D96C4B" w:rsidRDefault="00336793" w:rsidP="00DF0B96">
            <w:pPr>
              <w:pStyle w:val="Tabletext"/>
              <w:rPr>
                <w:rFonts w:eastAsiaTheme="minorEastAsia"/>
                <w:i/>
                <w:sz w:val="20"/>
                <w:lang w:eastAsia="en-AU"/>
              </w:rPr>
            </w:pPr>
            <w:r w:rsidRPr="00D96C4B">
              <w:rPr>
                <w:rFonts w:eastAsiaTheme="minorEastAsia"/>
                <w:i/>
                <w:sz w:val="20"/>
                <w:lang w:eastAsia="en-AU"/>
              </w:rPr>
              <w:t>State of Victoria</w:t>
            </w:r>
          </w:p>
        </w:tc>
        <w:tc>
          <w:tcPr>
            <w:tcW w:w="1620" w:type="dxa"/>
            <w:tcBorders>
              <w:top w:val="single" w:sz="6" w:space="0" w:color="auto"/>
              <w:left w:val="nil"/>
              <w:bottom w:val="single" w:sz="6" w:space="0" w:color="auto"/>
              <w:right w:val="nil"/>
            </w:tcBorders>
            <w:shd w:val="clear" w:color="000000" w:fill="000000"/>
          </w:tcPr>
          <w:p w:rsidR="00336793" w:rsidRPr="00D96C4B" w:rsidRDefault="00336793" w:rsidP="00DF0B96">
            <w:pPr>
              <w:pStyle w:val="Tabletextheading"/>
              <w:rPr>
                <w:rFonts w:eastAsiaTheme="minorEastAsia"/>
                <w:color w:val="FFFFFF"/>
                <w:sz w:val="20"/>
                <w:lang w:eastAsia="en-AU"/>
              </w:rPr>
            </w:pPr>
          </w:p>
          <w:p w:rsidR="00336793" w:rsidRPr="00D96C4B" w:rsidRDefault="00336793" w:rsidP="00DF0B96">
            <w:pPr>
              <w:pStyle w:val="Tabletextheading"/>
              <w:rPr>
                <w:rFonts w:eastAsiaTheme="minorEastAsia"/>
                <w:color w:val="FFFFFF"/>
                <w:sz w:val="20"/>
                <w:lang w:eastAsia="en-AU"/>
              </w:rPr>
            </w:pPr>
            <w:r w:rsidRPr="00D96C4B">
              <w:rPr>
                <w:rFonts w:eastAsiaTheme="minorEastAsia"/>
                <w:color w:val="FFFFFF"/>
                <w:sz w:val="20"/>
                <w:lang w:eastAsia="en-AU"/>
              </w:rPr>
              <w:t>Accumulated surplus/(deficit)</w:t>
            </w:r>
          </w:p>
        </w:tc>
        <w:tc>
          <w:tcPr>
            <w:tcW w:w="1530" w:type="dxa"/>
            <w:tcBorders>
              <w:top w:val="single" w:sz="6" w:space="0" w:color="auto"/>
              <w:left w:val="nil"/>
              <w:bottom w:val="single" w:sz="6" w:space="0" w:color="auto"/>
              <w:right w:val="nil"/>
            </w:tcBorders>
            <w:shd w:val="clear" w:color="000000" w:fill="000000"/>
          </w:tcPr>
          <w:p w:rsidR="00336793" w:rsidRPr="00D96C4B" w:rsidRDefault="00336793" w:rsidP="00DF0B96">
            <w:pPr>
              <w:pStyle w:val="Tabletextheading"/>
              <w:rPr>
                <w:rFonts w:eastAsiaTheme="minorEastAsia"/>
                <w:color w:val="FFFFFF"/>
                <w:sz w:val="20"/>
                <w:lang w:eastAsia="en-AU"/>
              </w:rPr>
            </w:pPr>
          </w:p>
          <w:p w:rsidR="00336793" w:rsidRPr="00D96C4B" w:rsidRDefault="00336793" w:rsidP="00DF0B96">
            <w:pPr>
              <w:pStyle w:val="Tabletextheading"/>
              <w:rPr>
                <w:rFonts w:eastAsiaTheme="minorEastAsia"/>
                <w:color w:val="FFFFFF"/>
                <w:sz w:val="20"/>
                <w:lang w:eastAsia="en-AU"/>
              </w:rPr>
            </w:pPr>
            <w:r w:rsidRPr="00D96C4B">
              <w:rPr>
                <w:rFonts w:eastAsiaTheme="minorEastAsia"/>
                <w:color w:val="FFFFFF"/>
                <w:sz w:val="20"/>
                <w:lang w:eastAsia="en-AU"/>
              </w:rPr>
              <w:t>Non</w:t>
            </w:r>
            <w:r>
              <w:rPr>
                <w:rFonts w:eastAsiaTheme="minorEastAsia"/>
                <w:color w:val="FFFFFF"/>
                <w:sz w:val="20"/>
                <w:lang w:eastAsia="en-AU"/>
              </w:rPr>
              <w:noBreakHyphen/>
            </w:r>
            <w:r w:rsidRPr="00D96C4B">
              <w:rPr>
                <w:rFonts w:eastAsiaTheme="minorEastAsia"/>
                <w:color w:val="FFFFFF"/>
                <w:sz w:val="20"/>
                <w:lang w:eastAsia="en-AU"/>
              </w:rPr>
              <w:t>controlling Interest</w:t>
            </w:r>
          </w:p>
        </w:tc>
        <w:tc>
          <w:tcPr>
            <w:tcW w:w="2070" w:type="dxa"/>
            <w:tcBorders>
              <w:top w:val="single" w:sz="6" w:space="0" w:color="auto"/>
              <w:left w:val="nil"/>
              <w:bottom w:val="single" w:sz="6" w:space="0" w:color="auto"/>
              <w:right w:val="nil"/>
            </w:tcBorders>
            <w:shd w:val="clear" w:color="000000" w:fill="000000"/>
          </w:tcPr>
          <w:p w:rsidR="00336793" w:rsidRPr="00D96C4B" w:rsidRDefault="00336793" w:rsidP="00DF0B96">
            <w:pPr>
              <w:pStyle w:val="Tabletextheading"/>
              <w:rPr>
                <w:rFonts w:eastAsiaTheme="minorEastAsia"/>
                <w:color w:val="FFFFFF"/>
                <w:sz w:val="20"/>
                <w:lang w:eastAsia="en-AU"/>
              </w:rPr>
            </w:pPr>
          </w:p>
          <w:p w:rsidR="00336793" w:rsidRPr="00D96C4B" w:rsidRDefault="00336793" w:rsidP="00DF0B96">
            <w:pPr>
              <w:pStyle w:val="Tabletextheading"/>
              <w:rPr>
                <w:rFonts w:eastAsiaTheme="minorEastAsia" w:cs="Calibri"/>
                <w:iCs/>
                <w:color w:val="FFFFFF"/>
                <w:sz w:val="20"/>
                <w:szCs w:val="22"/>
                <w:lang w:eastAsia="en-AU"/>
              </w:rPr>
            </w:pPr>
            <w:r w:rsidRPr="00D96C4B">
              <w:rPr>
                <w:rFonts w:eastAsiaTheme="minorEastAsia"/>
                <w:color w:val="FFFFFF"/>
                <w:sz w:val="20"/>
                <w:lang w:eastAsia="en-AU"/>
              </w:rPr>
              <w:t>Non</w:t>
            </w:r>
            <w:r>
              <w:rPr>
                <w:rFonts w:eastAsiaTheme="minorEastAsia"/>
                <w:color w:val="FFFFFF"/>
                <w:sz w:val="20"/>
                <w:lang w:eastAsia="en-AU"/>
              </w:rPr>
              <w:noBreakHyphen/>
            </w:r>
            <w:r w:rsidRPr="00D96C4B">
              <w:rPr>
                <w:rFonts w:eastAsiaTheme="minorEastAsia"/>
                <w:color w:val="FFFFFF"/>
                <w:sz w:val="20"/>
                <w:lang w:eastAsia="en-AU"/>
              </w:rPr>
              <w:t>financial assets</w:t>
            </w:r>
          </w:p>
          <w:p w:rsidR="00336793" w:rsidRPr="00D96C4B" w:rsidRDefault="00336793" w:rsidP="00DF0B96">
            <w:pPr>
              <w:pStyle w:val="Tabletextheading"/>
              <w:rPr>
                <w:rFonts w:eastAsiaTheme="minorEastAsia" w:cs="Calibri"/>
                <w:iCs/>
                <w:color w:val="FFFFFF"/>
                <w:sz w:val="20"/>
                <w:szCs w:val="22"/>
                <w:vertAlign w:val="superscript"/>
                <w:lang w:eastAsia="en-AU"/>
              </w:rPr>
            </w:pPr>
            <w:r w:rsidRPr="00D96C4B">
              <w:rPr>
                <w:rFonts w:eastAsiaTheme="minorEastAsia"/>
                <w:color w:val="FFFFFF"/>
                <w:sz w:val="20"/>
                <w:lang w:eastAsia="en-AU"/>
              </w:rPr>
              <w:t xml:space="preserve"> revaluation surplus</w:t>
            </w:r>
            <w:r w:rsidRPr="00D96C4B">
              <w:rPr>
                <w:rFonts w:eastAsiaTheme="minorEastAsia"/>
                <w:color w:val="FFFFFF"/>
                <w:sz w:val="20"/>
                <w:vertAlign w:val="superscript"/>
                <w:lang w:eastAsia="en-AU"/>
              </w:rPr>
              <w:t>(a</w:t>
            </w:r>
            <w:r w:rsidRPr="00D96C4B">
              <w:rPr>
                <w:rFonts w:eastAsiaTheme="minorEastAsia" w:cs="Calibri"/>
                <w:iCs/>
                <w:color w:val="FFFFFF"/>
                <w:sz w:val="20"/>
                <w:szCs w:val="22"/>
                <w:vertAlign w:val="superscript"/>
                <w:lang w:eastAsia="en-AU"/>
              </w:rPr>
              <w:t>)</w:t>
            </w:r>
          </w:p>
        </w:tc>
        <w:tc>
          <w:tcPr>
            <w:tcW w:w="1107" w:type="dxa"/>
            <w:tcBorders>
              <w:top w:val="single" w:sz="6" w:space="0" w:color="auto"/>
              <w:left w:val="nil"/>
              <w:bottom w:val="single" w:sz="6" w:space="0" w:color="auto"/>
              <w:right w:val="nil"/>
            </w:tcBorders>
            <w:shd w:val="clear" w:color="000000" w:fill="000000"/>
          </w:tcPr>
          <w:p w:rsidR="00336793" w:rsidRPr="00D96C4B" w:rsidRDefault="00336793" w:rsidP="00DF0B96">
            <w:pPr>
              <w:pStyle w:val="Tabletextheading"/>
              <w:rPr>
                <w:rFonts w:eastAsiaTheme="minorEastAsia"/>
                <w:color w:val="FFFFFF"/>
                <w:sz w:val="20"/>
                <w:lang w:eastAsia="en-AU"/>
              </w:rPr>
            </w:pPr>
          </w:p>
          <w:p w:rsidR="00336793" w:rsidRPr="00D96C4B" w:rsidRDefault="00336793" w:rsidP="00DF0B96">
            <w:pPr>
              <w:pStyle w:val="Tabletextheading"/>
              <w:rPr>
                <w:rFonts w:eastAsiaTheme="minorEastAsia"/>
                <w:color w:val="FFFFFF"/>
                <w:sz w:val="20"/>
                <w:lang w:eastAsia="en-AU"/>
              </w:rPr>
            </w:pPr>
            <w:r w:rsidRPr="00D96C4B">
              <w:rPr>
                <w:rFonts w:eastAsiaTheme="minorEastAsia"/>
                <w:color w:val="FFFFFF"/>
                <w:sz w:val="20"/>
                <w:lang w:eastAsia="en-AU"/>
              </w:rPr>
              <w:t xml:space="preserve">Other </w:t>
            </w:r>
          </w:p>
          <w:p w:rsidR="00336793" w:rsidRPr="00D96C4B" w:rsidRDefault="00336793" w:rsidP="00DF0B96">
            <w:pPr>
              <w:pStyle w:val="Tabletextheading"/>
              <w:rPr>
                <w:rFonts w:eastAsiaTheme="minorEastAsia"/>
                <w:color w:val="FFFFFF"/>
                <w:sz w:val="20"/>
                <w:lang w:eastAsia="en-AU"/>
              </w:rPr>
            </w:pPr>
            <w:r w:rsidRPr="00D96C4B">
              <w:rPr>
                <w:rFonts w:eastAsiaTheme="minorEastAsia"/>
                <w:color w:val="FFFFFF"/>
                <w:sz w:val="20"/>
                <w:lang w:eastAsia="en-AU"/>
              </w:rPr>
              <w:t>reserves</w:t>
            </w:r>
          </w:p>
        </w:tc>
        <w:tc>
          <w:tcPr>
            <w:tcW w:w="1116" w:type="dxa"/>
            <w:tcBorders>
              <w:top w:val="single" w:sz="6" w:space="0" w:color="auto"/>
              <w:left w:val="nil"/>
              <w:bottom w:val="single" w:sz="6" w:space="0" w:color="auto"/>
              <w:right w:val="single" w:sz="6" w:space="0" w:color="auto"/>
            </w:tcBorders>
            <w:shd w:val="clear" w:color="000000" w:fill="000000"/>
          </w:tcPr>
          <w:p w:rsidR="00336793" w:rsidRPr="00D96C4B" w:rsidRDefault="00336793" w:rsidP="00DF0B96">
            <w:pPr>
              <w:pStyle w:val="Tabletextheading"/>
              <w:rPr>
                <w:rFonts w:eastAsiaTheme="minorEastAsia"/>
                <w:color w:val="FFFFFF"/>
                <w:sz w:val="20"/>
                <w:lang w:eastAsia="en-AU"/>
              </w:rPr>
            </w:pPr>
          </w:p>
          <w:p w:rsidR="00336793" w:rsidRPr="00D96C4B" w:rsidRDefault="00336793" w:rsidP="00DF0B96">
            <w:pPr>
              <w:pStyle w:val="Tabletextheading"/>
              <w:rPr>
                <w:rFonts w:eastAsiaTheme="minorEastAsia"/>
                <w:color w:val="FFFFFF"/>
                <w:sz w:val="20"/>
                <w:lang w:eastAsia="en-AU"/>
              </w:rPr>
            </w:pPr>
          </w:p>
          <w:p w:rsidR="00336793" w:rsidRPr="00D96C4B" w:rsidRDefault="00336793" w:rsidP="00DF0B96">
            <w:pPr>
              <w:pStyle w:val="Tabletextheading"/>
              <w:rPr>
                <w:rFonts w:eastAsiaTheme="minorEastAsia"/>
                <w:color w:val="FFFFFF"/>
                <w:sz w:val="20"/>
                <w:lang w:eastAsia="en-AU"/>
              </w:rPr>
            </w:pPr>
            <w:r w:rsidRPr="00D96C4B">
              <w:rPr>
                <w:rFonts w:eastAsiaTheme="minorEastAsia"/>
                <w:color w:val="FFFFFF"/>
                <w:sz w:val="20"/>
                <w:lang w:eastAsia="en-AU"/>
              </w:rPr>
              <w:t>Total</w:t>
            </w:r>
          </w:p>
        </w:tc>
      </w:tr>
      <w:tr w:rsidR="00336793" w:rsidRPr="00D96C4B" w:rsidTr="00DF0B96">
        <w:tc>
          <w:tcPr>
            <w:tcW w:w="7127" w:type="dxa"/>
            <w:tcBorders>
              <w:top w:val="single" w:sz="6" w:space="0" w:color="auto"/>
              <w:left w:val="nil"/>
              <w:bottom w:val="nil"/>
              <w:right w:val="nil"/>
            </w:tcBorders>
          </w:tcPr>
          <w:p w:rsidR="00336793" w:rsidRPr="00D96C4B" w:rsidRDefault="00336793" w:rsidP="00DF0B96">
            <w:pPr>
              <w:pStyle w:val="Tabletext"/>
              <w:rPr>
                <w:rFonts w:eastAsiaTheme="minorEastAsia"/>
                <w:b/>
                <w:bCs/>
                <w:sz w:val="20"/>
                <w:lang w:eastAsia="en-AU"/>
              </w:rPr>
            </w:pPr>
            <w:r w:rsidRPr="00D96C4B">
              <w:rPr>
                <w:rFonts w:eastAsiaTheme="minorEastAsia"/>
                <w:b/>
                <w:bCs/>
                <w:sz w:val="20"/>
                <w:lang w:eastAsia="en-AU"/>
              </w:rPr>
              <w:t>2015</w:t>
            </w:r>
          </w:p>
        </w:tc>
        <w:tc>
          <w:tcPr>
            <w:tcW w:w="1620" w:type="dxa"/>
            <w:tcBorders>
              <w:top w:val="single" w:sz="6" w:space="0" w:color="auto"/>
              <w:left w:val="nil"/>
              <w:bottom w:val="nil"/>
              <w:right w:val="nil"/>
            </w:tcBorders>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 xml:space="preserve">  </w:t>
            </w:r>
          </w:p>
        </w:tc>
        <w:tc>
          <w:tcPr>
            <w:tcW w:w="1530" w:type="dxa"/>
            <w:tcBorders>
              <w:top w:val="single" w:sz="6" w:space="0" w:color="auto"/>
              <w:left w:val="nil"/>
              <w:bottom w:val="nil"/>
              <w:right w:val="nil"/>
            </w:tcBorders>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 xml:space="preserve">  </w:t>
            </w:r>
          </w:p>
        </w:tc>
        <w:tc>
          <w:tcPr>
            <w:tcW w:w="2070" w:type="dxa"/>
            <w:tcBorders>
              <w:top w:val="single" w:sz="6" w:space="0" w:color="auto"/>
              <w:left w:val="nil"/>
              <w:bottom w:val="nil"/>
              <w:right w:val="nil"/>
            </w:tcBorders>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 xml:space="preserve">  </w:t>
            </w:r>
          </w:p>
        </w:tc>
        <w:tc>
          <w:tcPr>
            <w:tcW w:w="1107" w:type="dxa"/>
            <w:tcBorders>
              <w:top w:val="single" w:sz="6" w:space="0" w:color="auto"/>
              <w:left w:val="nil"/>
              <w:bottom w:val="nil"/>
              <w:right w:val="nil"/>
            </w:tcBorders>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 xml:space="preserve">  </w:t>
            </w:r>
          </w:p>
        </w:tc>
        <w:tc>
          <w:tcPr>
            <w:tcW w:w="1116" w:type="dxa"/>
            <w:tcBorders>
              <w:top w:val="single" w:sz="6" w:space="0" w:color="auto"/>
              <w:left w:val="nil"/>
              <w:bottom w:val="nil"/>
              <w:right w:val="nil"/>
            </w:tcBorders>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 xml:space="preserve">  </w:t>
            </w:r>
          </w:p>
        </w:tc>
      </w:tr>
      <w:tr w:rsidR="00336793" w:rsidRPr="00D96C4B" w:rsidTr="00DF0B96">
        <w:tc>
          <w:tcPr>
            <w:tcW w:w="7127" w:type="dxa"/>
            <w:tcBorders>
              <w:top w:val="nil"/>
              <w:left w:val="nil"/>
              <w:bottom w:val="nil"/>
              <w:right w:val="nil"/>
            </w:tcBorders>
          </w:tcPr>
          <w:p w:rsidR="00336793" w:rsidRPr="00D96C4B" w:rsidRDefault="00336793" w:rsidP="00DF0B96">
            <w:pPr>
              <w:pStyle w:val="Tabletext"/>
              <w:rPr>
                <w:rFonts w:eastAsiaTheme="minorEastAsia"/>
                <w:sz w:val="20"/>
                <w:lang w:eastAsia="en-AU"/>
              </w:rPr>
            </w:pPr>
            <w:r w:rsidRPr="00D96C4B">
              <w:rPr>
                <w:rFonts w:eastAsiaTheme="minorEastAsia"/>
                <w:sz w:val="20"/>
                <w:lang w:eastAsia="en-AU"/>
              </w:rPr>
              <w:t>Balance at 1 July 2014</w:t>
            </w:r>
            <w:r w:rsidRPr="00E96950">
              <w:rPr>
                <w:rFonts w:eastAsiaTheme="minorEastAsia"/>
                <w:sz w:val="20"/>
                <w:vertAlign w:val="superscript"/>
                <w:lang w:eastAsia="en-AU"/>
              </w:rPr>
              <w:t xml:space="preserve"> (</w:t>
            </w:r>
            <w:r w:rsidRPr="00D96C4B">
              <w:rPr>
                <w:rFonts w:eastAsiaTheme="minorEastAsia"/>
                <w:sz w:val="20"/>
                <w:vertAlign w:val="superscript"/>
                <w:lang w:eastAsia="en-AU"/>
              </w:rPr>
              <w:t>b)</w:t>
            </w:r>
          </w:p>
        </w:tc>
        <w:tc>
          <w:tcPr>
            <w:tcW w:w="162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45 435.9</w:t>
            </w:r>
          </w:p>
        </w:tc>
        <w:tc>
          <w:tcPr>
            <w:tcW w:w="153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 xml:space="preserve"> 50.0</w:t>
            </w:r>
          </w:p>
        </w:tc>
        <w:tc>
          <w:tcPr>
            <w:tcW w:w="207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85 436.7</w:t>
            </w:r>
          </w:p>
        </w:tc>
        <w:tc>
          <w:tcPr>
            <w:tcW w:w="1107"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1 160.5</w:t>
            </w:r>
          </w:p>
        </w:tc>
        <w:tc>
          <w:tcPr>
            <w:tcW w:w="1116"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132 083.2</w:t>
            </w:r>
          </w:p>
        </w:tc>
      </w:tr>
      <w:tr w:rsidR="00336793" w:rsidRPr="00D96C4B" w:rsidTr="00DF0B96">
        <w:tc>
          <w:tcPr>
            <w:tcW w:w="7127" w:type="dxa"/>
            <w:tcBorders>
              <w:top w:val="nil"/>
              <w:left w:val="nil"/>
              <w:bottom w:val="nil"/>
              <w:right w:val="nil"/>
            </w:tcBorders>
          </w:tcPr>
          <w:p w:rsidR="00336793" w:rsidRPr="00D96C4B" w:rsidRDefault="00336793" w:rsidP="00DF0B96">
            <w:pPr>
              <w:pStyle w:val="Tabletext"/>
              <w:rPr>
                <w:rFonts w:eastAsiaTheme="minorEastAsia"/>
                <w:sz w:val="20"/>
                <w:lang w:eastAsia="en-AU"/>
              </w:rPr>
            </w:pPr>
            <w:r w:rsidRPr="00D96C4B">
              <w:rPr>
                <w:rFonts w:eastAsiaTheme="minorEastAsia"/>
                <w:sz w:val="20"/>
                <w:lang w:eastAsia="en-AU"/>
              </w:rPr>
              <w:t>Net result for the year</w:t>
            </w:r>
          </w:p>
        </w:tc>
        <w:tc>
          <w:tcPr>
            <w:tcW w:w="1620" w:type="dxa"/>
            <w:tcBorders>
              <w:top w:val="nil"/>
              <w:left w:val="nil"/>
              <w:bottom w:val="nil"/>
              <w:right w:val="nil"/>
            </w:tcBorders>
          </w:tcPr>
          <w:p w:rsidR="00336793" w:rsidRPr="00D96C4B" w:rsidRDefault="00336793" w:rsidP="00DF0B96">
            <w:pPr>
              <w:pStyle w:val="TableofFigures"/>
              <w:rPr>
                <w:rFonts w:eastAsiaTheme="minorEastAsia" w:cs="Calibri"/>
                <w:color w:val="000000"/>
                <w:sz w:val="20"/>
                <w:szCs w:val="22"/>
                <w:lang w:eastAsia="en-AU"/>
              </w:rPr>
            </w:pPr>
            <w:r w:rsidRPr="00D96C4B">
              <w:rPr>
                <w:rFonts w:eastAsiaTheme="minorEastAsia"/>
                <w:sz w:val="20"/>
                <w:lang w:eastAsia="en-AU"/>
              </w:rPr>
              <w:t xml:space="preserve"> </w:t>
            </w:r>
            <w:r w:rsidRPr="00D96C4B">
              <w:rPr>
                <w:rFonts w:eastAsiaTheme="minorEastAsia" w:cs="Calibri"/>
                <w:color w:val="000000"/>
                <w:sz w:val="20"/>
                <w:szCs w:val="22"/>
                <w:lang w:eastAsia="en-AU"/>
              </w:rPr>
              <w:t>50.7</w:t>
            </w:r>
          </w:p>
        </w:tc>
        <w:tc>
          <w:tcPr>
            <w:tcW w:w="153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207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1107"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1116" w:type="dxa"/>
            <w:tcBorders>
              <w:top w:val="nil"/>
              <w:left w:val="nil"/>
              <w:bottom w:val="nil"/>
              <w:right w:val="nil"/>
            </w:tcBorders>
          </w:tcPr>
          <w:p w:rsidR="00336793" w:rsidRPr="00D96C4B" w:rsidRDefault="00336793" w:rsidP="00DF0B96">
            <w:pPr>
              <w:pStyle w:val="TableofFigures"/>
              <w:rPr>
                <w:rFonts w:eastAsiaTheme="minorEastAsia" w:cs="Calibri"/>
                <w:color w:val="000000"/>
                <w:sz w:val="20"/>
                <w:szCs w:val="22"/>
                <w:lang w:eastAsia="en-AU"/>
              </w:rPr>
            </w:pPr>
            <w:r w:rsidRPr="00D96C4B">
              <w:rPr>
                <w:rFonts w:eastAsiaTheme="minorEastAsia"/>
                <w:sz w:val="20"/>
                <w:lang w:eastAsia="en-AU"/>
              </w:rPr>
              <w:t xml:space="preserve"> </w:t>
            </w:r>
            <w:r w:rsidRPr="00D96C4B">
              <w:rPr>
                <w:rFonts w:eastAsiaTheme="minorEastAsia" w:cs="Calibri"/>
                <w:color w:val="000000"/>
                <w:sz w:val="20"/>
                <w:szCs w:val="22"/>
                <w:lang w:eastAsia="en-AU"/>
              </w:rPr>
              <w:t>50.7</w:t>
            </w:r>
          </w:p>
        </w:tc>
      </w:tr>
      <w:tr w:rsidR="00336793" w:rsidRPr="00D96C4B" w:rsidTr="00DF0B96">
        <w:tc>
          <w:tcPr>
            <w:tcW w:w="7127" w:type="dxa"/>
            <w:tcBorders>
              <w:top w:val="nil"/>
              <w:left w:val="nil"/>
              <w:right w:val="nil"/>
            </w:tcBorders>
          </w:tcPr>
          <w:p w:rsidR="00336793" w:rsidRPr="00D96C4B" w:rsidRDefault="00336793" w:rsidP="00DF0B96">
            <w:pPr>
              <w:pStyle w:val="Tabletext"/>
              <w:rPr>
                <w:rFonts w:eastAsiaTheme="minorEastAsia"/>
                <w:sz w:val="20"/>
                <w:lang w:eastAsia="en-AU"/>
              </w:rPr>
            </w:pPr>
            <w:r w:rsidRPr="00D96C4B">
              <w:rPr>
                <w:rFonts w:eastAsiaTheme="minorEastAsia"/>
                <w:sz w:val="20"/>
                <w:lang w:eastAsia="en-AU"/>
              </w:rPr>
              <w:t>Other comprehensive income for the year</w:t>
            </w:r>
          </w:p>
        </w:tc>
        <w:tc>
          <w:tcPr>
            <w:tcW w:w="1620" w:type="dxa"/>
            <w:tcBorders>
              <w:top w:val="nil"/>
              <w:left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 xml:space="preserve"> 330.6</w:t>
            </w:r>
          </w:p>
        </w:tc>
        <w:tc>
          <w:tcPr>
            <w:tcW w:w="1530" w:type="dxa"/>
            <w:tcBorders>
              <w:top w:val="nil"/>
              <w:left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2070" w:type="dxa"/>
            <w:tcBorders>
              <w:top w:val="nil"/>
              <w:left w:val="nil"/>
              <w:right w:val="nil"/>
            </w:tcBorders>
          </w:tcPr>
          <w:p w:rsidR="00336793" w:rsidRPr="00D96C4B" w:rsidRDefault="00336793" w:rsidP="00DF0B96">
            <w:pPr>
              <w:pStyle w:val="TableofFigures"/>
              <w:rPr>
                <w:rFonts w:eastAsiaTheme="minorEastAsia" w:cs="Calibri"/>
                <w:color w:val="000000"/>
                <w:sz w:val="20"/>
                <w:szCs w:val="22"/>
                <w:lang w:eastAsia="en-AU"/>
              </w:rPr>
            </w:pPr>
            <w:r w:rsidRPr="00D96C4B">
              <w:rPr>
                <w:rFonts w:eastAsiaTheme="minorEastAsia"/>
                <w:sz w:val="20"/>
                <w:lang w:eastAsia="en-AU"/>
              </w:rPr>
              <w:t>7 404.3</w:t>
            </w:r>
          </w:p>
        </w:tc>
        <w:tc>
          <w:tcPr>
            <w:tcW w:w="1107" w:type="dxa"/>
            <w:tcBorders>
              <w:top w:val="nil"/>
              <w:left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 xml:space="preserve"> 40.4</w:t>
            </w:r>
          </w:p>
        </w:tc>
        <w:tc>
          <w:tcPr>
            <w:tcW w:w="1116" w:type="dxa"/>
            <w:tcBorders>
              <w:top w:val="nil"/>
              <w:left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7 775.2</w:t>
            </w:r>
          </w:p>
        </w:tc>
      </w:tr>
      <w:tr w:rsidR="00336793" w:rsidRPr="00D96C4B" w:rsidTr="00DF0B96">
        <w:tc>
          <w:tcPr>
            <w:tcW w:w="7127" w:type="dxa"/>
            <w:tcBorders>
              <w:top w:val="nil"/>
              <w:left w:val="nil"/>
              <w:bottom w:val="single" w:sz="4" w:space="0" w:color="auto"/>
              <w:right w:val="nil"/>
            </w:tcBorders>
          </w:tcPr>
          <w:p w:rsidR="00336793" w:rsidRPr="00D96C4B" w:rsidRDefault="00336793" w:rsidP="00DF0B96">
            <w:pPr>
              <w:pStyle w:val="Tabletext"/>
              <w:rPr>
                <w:rFonts w:eastAsiaTheme="minorEastAsia"/>
                <w:sz w:val="20"/>
                <w:lang w:eastAsia="en-AU"/>
              </w:rPr>
            </w:pPr>
            <w:r w:rsidRPr="00D96C4B">
              <w:rPr>
                <w:rFonts w:eastAsiaTheme="minorEastAsia"/>
                <w:sz w:val="20"/>
                <w:lang w:eastAsia="en-AU"/>
              </w:rPr>
              <w:t>Transfer to accumulated surplus</w:t>
            </w:r>
            <w:r w:rsidRPr="00E96950">
              <w:rPr>
                <w:rFonts w:eastAsiaTheme="minorEastAsia"/>
                <w:sz w:val="20"/>
                <w:vertAlign w:val="superscript"/>
                <w:lang w:eastAsia="en-AU"/>
              </w:rPr>
              <w:t xml:space="preserve"> (</w:t>
            </w:r>
            <w:r w:rsidRPr="00D96C4B">
              <w:rPr>
                <w:rFonts w:eastAsiaTheme="minorEastAsia"/>
                <w:sz w:val="20"/>
                <w:vertAlign w:val="superscript"/>
                <w:lang w:eastAsia="en-AU"/>
              </w:rPr>
              <w:t>c)</w:t>
            </w:r>
          </w:p>
        </w:tc>
        <w:tc>
          <w:tcPr>
            <w:tcW w:w="1620" w:type="dxa"/>
            <w:tcBorders>
              <w:top w:val="nil"/>
              <w:left w:val="nil"/>
              <w:bottom w:val="single" w:sz="4" w:space="0" w:color="auto"/>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15 411.6</w:t>
            </w:r>
          </w:p>
        </w:tc>
        <w:tc>
          <w:tcPr>
            <w:tcW w:w="1530" w:type="dxa"/>
            <w:tcBorders>
              <w:top w:val="nil"/>
              <w:left w:val="nil"/>
              <w:bottom w:val="single" w:sz="4" w:space="0" w:color="auto"/>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2070" w:type="dxa"/>
            <w:tcBorders>
              <w:top w:val="nil"/>
              <w:left w:val="nil"/>
              <w:bottom w:val="single" w:sz="4" w:space="0" w:color="auto"/>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(15 411.6)</w:t>
            </w:r>
          </w:p>
        </w:tc>
        <w:tc>
          <w:tcPr>
            <w:tcW w:w="1107" w:type="dxa"/>
            <w:tcBorders>
              <w:top w:val="nil"/>
              <w:left w:val="nil"/>
              <w:bottom w:val="single" w:sz="4" w:space="0" w:color="auto"/>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1116" w:type="dxa"/>
            <w:tcBorders>
              <w:top w:val="nil"/>
              <w:left w:val="nil"/>
              <w:bottom w:val="single" w:sz="4" w:space="0" w:color="auto"/>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r>
      <w:tr w:rsidR="00336793" w:rsidRPr="00D96C4B" w:rsidTr="00DF0B96">
        <w:tc>
          <w:tcPr>
            <w:tcW w:w="7127" w:type="dxa"/>
            <w:tcBorders>
              <w:top w:val="single" w:sz="4" w:space="0" w:color="auto"/>
              <w:left w:val="nil"/>
              <w:bottom w:val="single" w:sz="12" w:space="0" w:color="auto"/>
              <w:right w:val="nil"/>
            </w:tcBorders>
          </w:tcPr>
          <w:p w:rsidR="00336793" w:rsidRPr="00D96C4B" w:rsidRDefault="00336793" w:rsidP="00DF0B96">
            <w:pPr>
              <w:pStyle w:val="Tabletext"/>
              <w:rPr>
                <w:rFonts w:eastAsiaTheme="minorEastAsia"/>
                <w:b/>
                <w:bCs/>
                <w:sz w:val="20"/>
                <w:lang w:eastAsia="en-AU"/>
              </w:rPr>
            </w:pPr>
            <w:r w:rsidRPr="00D96C4B">
              <w:rPr>
                <w:rFonts w:eastAsiaTheme="minorEastAsia"/>
                <w:b/>
                <w:bCs/>
                <w:sz w:val="20"/>
                <w:lang w:eastAsia="en-AU"/>
              </w:rPr>
              <w:t>Total equity as at 30 June 2015</w:t>
            </w:r>
          </w:p>
        </w:tc>
        <w:tc>
          <w:tcPr>
            <w:tcW w:w="1620" w:type="dxa"/>
            <w:tcBorders>
              <w:top w:val="single" w:sz="4" w:space="0" w:color="auto"/>
              <w:left w:val="nil"/>
              <w:bottom w:val="single" w:sz="12" w:space="0" w:color="auto"/>
              <w:right w:val="nil"/>
            </w:tcBorders>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61 228.8</w:t>
            </w:r>
          </w:p>
        </w:tc>
        <w:tc>
          <w:tcPr>
            <w:tcW w:w="1530" w:type="dxa"/>
            <w:tcBorders>
              <w:top w:val="single" w:sz="4" w:space="0" w:color="auto"/>
              <w:left w:val="nil"/>
              <w:bottom w:val="single" w:sz="12" w:space="0" w:color="auto"/>
              <w:right w:val="nil"/>
            </w:tcBorders>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 xml:space="preserve"> 50.0</w:t>
            </w:r>
          </w:p>
        </w:tc>
        <w:tc>
          <w:tcPr>
            <w:tcW w:w="2070" w:type="dxa"/>
            <w:tcBorders>
              <w:top w:val="single" w:sz="4" w:space="0" w:color="auto"/>
              <w:left w:val="nil"/>
              <w:bottom w:val="single" w:sz="12" w:space="0" w:color="auto"/>
              <w:right w:val="nil"/>
            </w:tcBorders>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77 429.5</w:t>
            </w:r>
          </w:p>
        </w:tc>
        <w:tc>
          <w:tcPr>
            <w:tcW w:w="1107" w:type="dxa"/>
            <w:tcBorders>
              <w:top w:val="single" w:sz="4" w:space="0" w:color="auto"/>
              <w:left w:val="nil"/>
              <w:bottom w:val="single" w:sz="12" w:space="0" w:color="auto"/>
              <w:right w:val="nil"/>
            </w:tcBorders>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1 200.9</w:t>
            </w:r>
          </w:p>
        </w:tc>
        <w:tc>
          <w:tcPr>
            <w:tcW w:w="1116" w:type="dxa"/>
            <w:tcBorders>
              <w:top w:val="single" w:sz="4" w:space="0" w:color="auto"/>
              <w:left w:val="nil"/>
              <w:bottom w:val="single" w:sz="12" w:space="0" w:color="auto"/>
              <w:right w:val="nil"/>
            </w:tcBorders>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139 909.2</w:t>
            </w:r>
          </w:p>
        </w:tc>
      </w:tr>
      <w:tr w:rsidR="00336793" w:rsidRPr="00D96C4B" w:rsidTr="00DF0B96">
        <w:tc>
          <w:tcPr>
            <w:tcW w:w="7127" w:type="dxa"/>
            <w:tcBorders>
              <w:top w:val="nil"/>
              <w:left w:val="nil"/>
              <w:bottom w:val="nil"/>
              <w:right w:val="nil"/>
            </w:tcBorders>
          </w:tcPr>
          <w:p w:rsidR="00336793" w:rsidRPr="00D96C4B" w:rsidRDefault="00336793" w:rsidP="00DF0B96">
            <w:pPr>
              <w:pStyle w:val="Tabletext"/>
              <w:rPr>
                <w:rFonts w:eastAsiaTheme="minorEastAsia"/>
                <w:b/>
                <w:bCs/>
                <w:sz w:val="20"/>
                <w:lang w:eastAsia="en-AU"/>
              </w:rPr>
            </w:pPr>
            <w:r w:rsidRPr="00D96C4B">
              <w:rPr>
                <w:rFonts w:eastAsiaTheme="minorEastAsia"/>
                <w:b/>
                <w:bCs/>
                <w:sz w:val="20"/>
                <w:lang w:eastAsia="en-AU"/>
              </w:rPr>
              <w:t>2014</w:t>
            </w:r>
          </w:p>
        </w:tc>
        <w:tc>
          <w:tcPr>
            <w:tcW w:w="1620" w:type="dxa"/>
            <w:tcBorders>
              <w:top w:val="nil"/>
              <w:left w:val="nil"/>
              <w:bottom w:val="nil"/>
              <w:right w:val="nil"/>
            </w:tcBorders>
          </w:tcPr>
          <w:p w:rsidR="00336793" w:rsidRPr="00D96C4B" w:rsidRDefault="00336793" w:rsidP="00DF0B96">
            <w:pPr>
              <w:pStyle w:val="TableofFigures"/>
              <w:rPr>
                <w:rFonts w:eastAsiaTheme="minorEastAsia"/>
                <w:b/>
                <w:bCs/>
                <w:sz w:val="20"/>
                <w:lang w:eastAsia="en-AU"/>
              </w:rPr>
            </w:pPr>
          </w:p>
        </w:tc>
        <w:tc>
          <w:tcPr>
            <w:tcW w:w="1530" w:type="dxa"/>
            <w:tcBorders>
              <w:top w:val="nil"/>
              <w:left w:val="nil"/>
              <w:bottom w:val="nil"/>
              <w:right w:val="nil"/>
            </w:tcBorders>
          </w:tcPr>
          <w:p w:rsidR="00336793" w:rsidRPr="00D96C4B" w:rsidRDefault="00336793" w:rsidP="00DF0B96">
            <w:pPr>
              <w:pStyle w:val="TableofFigures"/>
              <w:rPr>
                <w:rFonts w:eastAsiaTheme="minorEastAsia"/>
                <w:b/>
                <w:bCs/>
                <w:sz w:val="20"/>
                <w:lang w:eastAsia="en-AU"/>
              </w:rPr>
            </w:pPr>
          </w:p>
        </w:tc>
        <w:tc>
          <w:tcPr>
            <w:tcW w:w="2070" w:type="dxa"/>
            <w:tcBorders>
              <w:top w:val="nil"/>
              <w:left w:val="nil"/>
              <w:bottom w:val="nil"/>
              <w:right w:val="nil"/>
            </w:tcBorders>
          </w:tcPr>
          <w:p w:rsidR="00336793" w:rsidRPr="00D96C4B" w:rsidRDefault="00336793" w:rsidP="00DF0B96">
            <w:pPr>
              <w:pStyle w:val="TableofFigures"/>
              <w:rPr>
                <w:rFonts w:eastAsiaTheme="minorEastAsia"/>
                <w:b/>
                <w:bCs/>
                <w:sz w:val="20"/>
                <w:lang w:eastAsia="en-AU"/>
              </w:rPr>
            </w:pPr>
          </w:p>
        </w:tc>
        <w:tc>
          <w:tcPr>
            <w:tcW w:w="1107" w:type="dxa"/>
            <w:tcBorders>
              <w:top w:val="nil"/>
              <w:left w:val="nil"/>
              <w:bottom w:val="nil"/>
              <w:right w:val="nil"/>
            </w:tcBorders>
          </w:tcPr>
          <w:p w:rsidR="00336793" w:rsidRPr="00D96C4B" w:rsidRDefault="00336793" w:rsidP="00DF0B96">
            <w:pPr>
              <w:pStyle w:val="TableofFigures"/>
              <w:rPr>
                <w:rFonts w:eastAsiaTheme="minorEastAsia"/>
                <w:b/>
                <w:bCs/>
                <w:sz w:val="20"/>
                <w:lang w:eastAsia="en-AU"/>
              </w:rPr>
            </w:pPr>
          </w:p>
        </w:tc>
        <w:tc>
          <w:tcPr>
            <w:tcW w:w="1116" w:type="dxa"/>
            <w:tcBorders>
              <w:top w:val="nil"/>
              <w:left w:val="nil"/>
              <w:bottom w:val="nil"/>
              <w:right w:val="nil"/>
            </w:tcBorders>
          </w:tcPr>
          <w:p w:rsidR="00336793" w:rsidRPr="00D96C4B" w:rsidRDefault="00336793" w:rsidP="00DF0B96">
            <w:pPr>
              <w:pStyle w:val="TableofFigures"/>
              <w:rPr>
                <w:rFonts w:eastAsiaTheme="minorEastAsia"/>
                <w:b/>
                <w:bCs/>
                <w:sz w:val="20"/>
                <w:lang w:eastAsia="en-AU"/>
              </w:rPr>
            </w:pPr>
          </w:p>
        </w:tc>
      </w:tr>
      <w:tr w:rsidR="00336793" w:rsidRPr="00D96C4B" w:rsidTr="00DF0B96">
        <w:tc>
          <w:tcPr>
            <w:tcW w:w="7127" w:type="dxa"/>
            <w:tcBorders>
              <w:top w:val="nil"/>
              <w:left w:val="nil"/>
              <w:bottom w:val="nil"/>
              <w:right w:val="nil"/>
            </w:tcBorders>
          </w:tcPr>
          <w:p w:rsidR="00336793" w:rsidRPr="00D96C4B" w:rsidRDefault="00336793" w:rsidP="00DF0B96">
            <w:pPr>
              <w:pStyle w:val="Tabletext"/>
              <w:rPr>
                <w:rFonts w:eastAsiaTheme="minorEastAsia"/>
                <w:sz w:val="20"/>
                <w:vertAlign w:val="superscript"/>
                <w:lang w:eastAsia="en-AU"/>
              </w:rPr>
            </w:pPr>
            <w:r w:rsidRPr="00D96C4B">
              <w:rPr>
                <w:rFonts w:eastAsiaTheme="minorEastAsia"/>
                <w:sz w:val="20"/>
                <w:lang w:eastAsia="en-AU"/>
              </w:rPr>
              <w:t>Balance at 1 July 2013</w:t>
            </w:r>
            <w:r w:rsidRPr="00E96950">
              <w:rPr>
                <w:rFonts w:eastAsiaTheme="minorEastAsia"/>
                <w:sz w:val="20"/>
                <w:vertAlign w:val="superscript"/>
                <w:lang w:eastAsia="en-AU"/>
              </w:rPr>
              <w:t xml:space="preserve"> (</w:t>
            </w:r>
            <w:r w:rsidRPr="00D96C4B">
              <w:rPr>
                <w:rFonts w:eastAsiaTheme="minorEastAsia"/>
                <w:sz w:val="20"/>
                <w:vertAlign w:val="superscript"/>
                <w:lang w:eastAsia="en-AU"/>
              </w:rPr>
              <w:t>b)</w:t>
            </w:r>
          </w:p>
        </w:tc>
        <w:tc>
          <w:tcPr>
            <w:tcW w:w="162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42 802.2</w:t>
            </w:r>
          </w:p>
        </w:tc>
        <w:tc>
          <w:tcPr>
            <w:tcW w:w="153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 xml:space="preserve"> 50.0</w:t>
            </w:r>
          </w:p>
        </w:tc>
        <w:tc>
          <w:tcPr>
            <w:tcW w:w="207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80 775.7</w:t>
            </w:r>
          </w:p>
        </w:tc>
        <w:tc>
          <w:tcPr>
            <w:tcW w:w="1107"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1 557.6</w:t>
            </w:r>
          </w:p>
        </w:tc>
        <w:tc>
          <w:tcPr>
            <w:tcW w:w="1116"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125 185.7</w:t>
            </w:r>
          </w:p>
        </w:tc>
      </w:tr>
      <w:tr w:rsidR="00336793" w:rsidRPr="00D96C4B" w:rsidTr="00DF0B96">
        <w:tc>
          <w:tcPr>
            <w:tcW w:w="7127" w:type="dxa"/>
            <w:tcBorders>
              <w:top w:val="nil"/>
              <w:left w:val="nil"/>
              <w:bottom w:val="nil"/>
              <w:right w:val="nil"/>
            </w:tcBorders>
          </w:tcPr>
          <w:p w:rsidR="00336793" w:rsidRPr="00D96C4B" w:rsidRDefault="00336793" w:rsidP="00DF0B96">
            <w:pPr>
              <w:pStyle w:val="Tabletext"/>
              <w:rPr>
                <w:rFonts w:eastAsiaTheme="minorEastAsia"/>
                <w:sz w:val="20"/>
                <w:vertAlign w:val="superscript"/>
                <w:lang w:eastAsia="en-AU"/>
              </w:rPr>
            </w:pPr>
            <w:r w:rsidRPr="00D96C4B">
              <w:rPr>
                <w:rFonts w:eastAsiaTheme="minorEastAsia"/>
                <w:sz w:val="20"/>
                <w:lang w:eastAsia="en-AU"/>
              </w:rPr>
              <w:t>Net result for the year</w:t>
            </w:r>
            <w:r w:rsidRPr="00E96950">
              <w:rPr>
                <w:rFonts w:eastAsiaTheme="minorEastAsia"/>
                <w:sz w:val="20"/>
                <w:vertAlign w:val="superscript"/>
                <w:lang w:eastAsia="en-AU"/>
              </w:rPr>
              <w:t xml:space="preserve"> (</w:t>
            </w:r>
            <w:r w:rsidRPr="00D96C4B">
              <w:rPr>
                <w:rFonts w:eastAsiaTheme="minorEastAsia"/>
                <w:sz w:val="20"/>
                <w:vertAlign w:val="superscript"/>
                <w:lang w:eastAsia="en-AU"/>
              </w:rPr>
              <w:t>b)</w:t>
            </w:r>
          </w:p>
        </w:tc>
        <w:tc>
          <w:tcPr>
            <w:tcW w:w="162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1 651.9</w:t>
            </w:r>
          </w:p>
        </w:tc>
        <w:tc>
          <w:tcPr>
            <w:tcW w:w="153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207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1107"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1116"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1 651.9</w:t>
            </w:r>
          </w:p>
        </w:tc>
      </w:tr>
      <w:tr w:rsidR="00336793" w:rsidRPr="00D96C4B" w:rsidTr="00DF0B96">
        <w:tc>
          <w:tcPr>
            <w:tcW w:w="7127" w:type="dxa"/>
            <w:tcBorders>
              <w:top w:val="nil"/>
              <w:left w:val="nil"/>
              <w:bottom w:val="nil"/>
              <w:right w:val="nil"/>
            </w:tcBorders>
          </w:tcPr>
          <w:p w:rsidR="00336793" w:rsidRPr="00D96C4B" w:rsidRDefault="00336793" w:rsidP="00DF0B96">
            <w:pPr>
              <w:pStyle w:val="Tabletext"/>
              <w:rPr>
                <w:rFonts w:eastAsiaTheme="minorEastAsia"/>
                <w:sz w:val="20"/>
                <w:vertAlign w:val="superscript"/>
                <w:lang w:eastAsia="en-AU"/>
              </w:rPr>
            </w:pPr>
            <w:r w:rsidRPr="00D96C4B">
              <w:rPr>
                <w:rFonts w:eastAsiaTheme="minorEastAsia"/>
                <w:sz w:val="20"/>
                <w:lang w:eastAsia="en-AU"/>
              </w:rPr>
              <w:t>Other comprehensive income for the year</w:t>
            </w:r>
            <w:r w:rsidRPr="00E96950">
              <w:rPr>
                <w:rFonts w:eastAsiaTheme="minorEastAsia"/>
                <w:sz w:val="20"/>
                <w:vertAlign w:val="superscript"/>
                <w:lang w:eastAsia="en-AU"/>
              </w:rPr>
              <w:t xml:space="preserve"> (</w:t>
            </w:r>
            <w:r w:rsidRPr="00D96C4B">
              <w:rPr>
                <w:rFonts w:eastAsiaTheme="minorEastAsia"/>
                <w:sz w:val="20"/>
                <w:vertAlign w:val="superscript"/>
                <w:lang w:eastAsia="en-AU"/>
              </w:rPr>
              <w:t>b)</w:t>
            </w:r>
          </w:p>
        </w:tc>
        <w:tc>
          <w:tcPr>
            <w:tcW w:w="162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 xml:space="preserve"> 697.0</w:t>
            </w:r>
          </w:p>
        </w:tc>
        <w:tc>
          <w:tcPr>
            <w:tcW w:w="153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2070" w:type="dxa"/>
            <w:tcBorders>
              <w:top w:val="nil"/>
              <w:left w:val="nil"/>
              <w:bottom w:val="nil"/>
              <w:right w:val="nil"/>
            </w:tcBorders>
          </w:tcPr>
          <w:p w:rsidR="00336793" w:rsidRPr="00D96C4B" w:rsidRDefault="00336793" w:rsidP="00DF0B96">
            <w:pPr>
              <w:pStyle w:val="TableofFigures"/>
              <w:rPr>
                <w:rFonts w:eastAsiaTheme="minorEastAsia" w:cs="Calibri"/>
                <w:color w:val="000000"/>
                <w:sz w:val="20"/>
                <w:szCs w:val="22"/>
                <w:lang w:eastAsia="en-AU"/>
              </w:rPr>
            </w:pPr>
            <w:r w:rsidRPr="00D96C4B">
              <w:rPr>
                <w:rFonts w:eastAsiaTheme="minorEastAsia"/>
                <w:sz w:val="20"/>
                <w:lang w:eastAsia="en-AU"/>
              </w:rPr>
              <w:t>4 945.9</w:t>
            </w:r>
          </w:p>
        </w:tc>
        <w:tc>
          <w:tcPr>
            <w:tcW w:w="1107" w:type="dxa"/>
            <w:tcBorders>
              <w:top w:val="nil"/>
              <w:left w:val="nil"/>
              <w:bottom w:val="nil"/>
              <w:right w:val="nil"/>
            </w:tcBorders>
          </w:tcPr>
          <w:p w:rsidR="00336793" w:rsidRPr="00D96C4B"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D96C4B">
              <w:rPr>
                <w:rFonts w:eastAsiaTheme="minorEastAsia" w:cs="Calibri"/>
                <w:color w:val="000000"/>
                <w:sz w:val="20"/>
                <w:szCs w:val="22"/>
                <w:lang w:eastAsia="en-AU"/>
              </w:rPr>
              <w:t>397.1)</w:t>
            </w:r>
          </w:p>
        </w:tc>
        <w:tc>
          <w:tcPr>
            <w:tcW w:w="1116"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5 245.7</w:t>
            </w:r>
          </w:p>
        </w:tc>
      </w:tr>
      <w:tr w:rsidR="00336793" w:rsidRPr="00D96C4B" w:rsidTr="00DF0B96">
        <w:tc>
          <w:tcPr>
            <w:tcW w:w="7127" w:type="dxa"/>
            <w:tcBorders>
              <w:top w:val="nil"/>
              <w:left w:val="nil"/>
              <w:bottom w:val="nil"/>
              <w:right w:val="nil"/>
            </w:tcBorders>
          </w:tcPr>
          <w:p w:rsidR="00336793" w:rsidRPr="00D96C4B" w:rsidRDefault="00336793" w:rsidP="00DF0B96">
            <w:pPr>
              <w:pStyle w:val="Tabletext"/>
              <w:rPr>
                <w:rFonts w:eastAsiaTheme="minorEastAsia" w:cs="Calibri"/>
                <w:color w:val="000000"/>
                <w:sz w:val="20"/>
                <w:szCs w:val="22"/>
                <w:vertAlign w:val="superscript"/>
                <w:lang w:eastAsia="en-AU"/>
              </w:rPr>
            </w:pPr>
            <w:r w:rsidRPr="00D96C4B">
              <w:rPr>
                <w:rFonts w:eastAsiaTheme="minorEastAsia"/>
                <w:sz w:val="20"/>
                <w:lang w:eastAsia="en-AU"/>
              </w:rPr>
              <w:t>Transfer to accumulated surplus</w:t>
            </w:r>
            <w:r w:rsidRPr="00E96950">
              <w:rPr>
                <w:rFonts w:eastAsiaTheme="minorEastAsia"/>
                <w:sz w:val="20"/>
                <w:vertAlign w:val="superscript"/>
                <w:lang w:eastAsia="en-AU"/>
              </w:rPr>
              <w:t xml:space="preserve"> (</w:t>
            </w:r>
            <w:r w:rsidRPr="00D96C4B">
              <w:rPr>
                <w:rFonts w:eastAsiaTheme="minorEastAsia" w:cs="Calibri"/>
                <w:color w:val="000000"/>
                <w:sz w:val="20"/>
                <w:szCs w:val="22"/>
                <w:vertAlign w:val="superscript"/>
                <w:lang w:eastAsia="en-AU"/>
              </w:rPr>
              <w:t>c)</w:t>
            </w:r>
          </w:p>
        </w:tc>
        <w:tc>
          <w:tcPr>
            <w:tcW w:w="1620" w:type="dxa"/>
            <w:tcBorders>
              <w:top w:val="nil"/>
              <w:left w:val="nil"/>
              <w:bottom w:val="nil"/>
              <w:right w:val="nil"/>
            </w:tcBorders>
          </w:tcPr>
          <w:p w:rsidR="00336793" w:rsidRPr="00D96C4B" w:rsidRDefault="00336793" w:rsidP="00DF0B96">
            <w:pPr>
              <w:pStyle w:val="TableofFigures"/>
              <w:rPr>
                <w:rFonts w:eastAsiaTheme="minorEastAsia" w:cs="Calibri"/>
                <w:color w:val="000000"/>
                <w:sz w:val="20"/>
                <w:szCs w:val="22"/>
                <w:lang w:eastAsia="en-AU"/>
              </w:rPr>
            </w:pPr>
            <w:r w:rsidRPr="00D96C4B">
              <w:rPr>
                <w:rFonts w:eastAsiaTheme="minorEastAsia"/>
                <w:sz w:val="20"/>
                <w:lang w:eastAsia="en-AU"/>
              </w:rPr>
              <w:t xml:space="preserve"> </w:t>
            </w:r>
            <w:r w:rsidRPr="00D96C4B">
              <w:rPr>
                <w:rFonts w:eastAsiaTheme="minorEastAsia" w:cs="Calibri"/>
                <w:color w:val="000000"/>
                <w:sz w:val="20"/>
                <w:szCs w:val="22"/>
                <w:lang w:eastAsia="en-AU"/>
              </w:rPr>
              <w:t>284.8</w:t>
            </w:r>
          </w:p>
        </w:tc>
        <w:tc>
          <w:tcPr>
            <w:tcW w:w="1530"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2070" w:type="dxa"/>
            <w:tcBorders>
              <w:top w:val="nil"/>
              <w:left w:val="nil"/>
              <w:bottom w:val="nil"/>
              <w:right w:val="nil"/>
            </w:tcBorders>
          </w:tcPr>
          <w:p w:rsidR="00336793" w:rsidRPr="00D96C4B"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D96C4B">
              <w:rPr>
                <w:rFonts w:eastAsiaTheme="minorEastAsia" w:cs="Calibri"/>
                <w:color w:val="000000"/>
                <w:sz w:val="20"/>
                <w:szCs w:val="22"/>
                <w:lang w:eastAsia="en-AU"/>
              </w:rPr>
              <w:t>284.8)</w:t>
            </w:r>
          </w:p>
        </w:tc>
        <w:tc>
          <w:tcPr>
            <w:tcW w:w="1107"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c>
          <w:tcPr>
            <w:tcW w:w="1116" w:type="dxa"/>
            <w:tcBorders>
              <w:top w:val="nil"/>
              <w:left w:val="nil"/>
              <w:bottom w:val="nil"/>
              <w:right w:val="nil"/>
            </w:tcBorders>
          </w:tcPr>
          <w:p w:rsidR="00336793" w:rsidRPr="00D96C4B" w:rsidRDefault="00336793" w:rsidP="00DF0B96">
            <w:pPr>
              <w:pStyle w:val="TableofFigures"/>
              <w:rPr>
                <w:rFonts w:eastAsiaTheme="minorEastAsia"/>
                <w:sz w:val="20"/>
                <w:lang w:eastAsia="en-AU"/>
              </w:rPr>
            </w:pPr>
            <w:r w:rsidRPr="00D96C4B">
              <w:rPr>
                <w:rFonts w:eastAsiaTheme="minorEastAsia"/>
                <w:sz w:val="20"/>
                <w:lang w:eastAsia="en-AU"/>
              </w:rPr>
              <w:t>..</w:t>
            </w:r>
          </w:p>
        </w:tc>
      </w:tr>
      <w:tr w:rsidR="00336793" w:rsidRPr="00D96C4B" w:rsidTr="00DF0B96">
        <w:tc>
          <w:tcPr>
            <w:tcW w:w="7127" w:type="dxa"/>
            <w:tcBorders>
              <w:top w:val="single" w:sz="6" w:space="0" w:color="auto"/>
              <w:left w:val="nil"/>
              <w:bottom w:val="single" w:sz="12" w:space="0" w:color="000000"/>
              <w:right w:val="nil"/>
            </w:tcBorders>
            <w:shd w:val="clear" w:color="auto" w:fill="auto"/>
          </w:tcPr>
          <w:p w:rsidR="00336793" w:rsidRPr="00D96C4B" w:rsidRDefault="00336793" w:rsidP="00DF0B96">
            <w:pPr>
              <w:pStyle w:val="Tabletext"/>
              <w:rPr>
                <w:rFonts w:eastAsiaTheme="minorEastAsia"/>
                <w:b/>
                <w:bCs/>
                <w:sz w:val="20"/>
                <w:lang w:eastAsia="en-AU"/>
              </w:rPr>
            </w:pPr>
            <w:r w:rsidRPr="00D96C4B">
              <w:rPr>
                <w:rFonts w:eastAsiaTheme="minorEastAsia"/>
                <w:b/>
                <w:bCs/>
                <w:sz w:val="20"/>
                <w:lang w:eastAsia="en-AU"/>
              </w:rPr>
              <w:t>Total equity as at 30 June 2014</w:t>
            </w:r>
            <w:r w:rsidRPr="00E96950">
              <w:rPr>
                <w:rFonts w:eastAsiaTheme="minorEastAsia"/>
                <w:b/>
                <w:bCs/>
                <w:sz w:val="20"/>
                <w:vertAlign w:val="superscript"/>
                <w:lang w:eastAsia="en-AU"/>
              </w:rPr>
              <w:t xml:space="preserve"> (</w:t>
            </w:r>
            <w:r w:rsidRPr="00D96C4B">
              <w:rPr>
                <w:rFonts w:eastAsiaTheme="minorEastAsia"/>
                <w:b/>
                <w:bCs/>
                <w:sz w:val="20"/>
                <w:vertAlign w:val="superscript"/>
                <w:lang w:eastAsia="en-AU"/>
              </w:rPr>
              <w:t>b)</w:t>
            </w:r>
          </w:p>
        </w:tc>
        <w:tc>
          <w:tcPr>
            <w:tcW w:w="1620" w:type="dxa"/>
            <w:tcBorders>
              <w:top w:val="single" w:sz="6" w:space="0" w:color="auto"/>
              <w:left w:val="nil"/>
              <w:bottom w:val="single" w:sz="12" w:space="0" w:color="000000"/>
              <w:right w:val="nil"/>
            </w:tcBorders>
            <w:shd w:val="clear" w:color="auto" w:fill="auto"/>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45 435.9</w:t>
            </w:r>
          </w:p>
        </w:tc>
        <w:tc>
          <w:tcPr>
            <w:tcW w:w="1530" w:type="dxa"/>
            <w:tcBorders>
              <w:top w:val="single" w:sz="6" w:space="0" w:color="auto"/>
              <w:left w:val="nil"/>
              <w:bottom w:val="single" w:sz="12" w:space="0" w:color="000000"/>
              <w:right w:val="nil"/>
            </w:tcBorders>
            <w:shd w:val="clear" w:color="auto" w:fill="auto"/>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 xml:space="preserve"> 50.0</w:t>
            </w:r>
          </w:p>
        </w:tc>
        <w:tc>
          <w:tcPr>
            <w:tcW w:w="2070" w:type="dxa"/>
            <w:tcBorders>
              <w:top w:val="single" w:sz="6" w:space="0" w:color="auto"/>
              <w:left w:val="nil"/>
              <w:bottom w:val="single" w:sz="12" w:space="0" w:color="000000"/>
              <w:right w:val="nil"/>
            </w:tcBorders>
            <w:shd w:val="clear" w:color="auto" w:fill="auto"/>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85 436.7</w:t>
            </w:r>
          </w:p>
        </w:tc>
        <w:tc>
          <w:tcPr>
            <w:tcW w:w="1107" w:type="dxa"/>
            <w:tcBorders>
              <w:top w:val="single" w:sz="6" w:space="0" w:color="auto"/>
              <w:left w:val="nil"/>
              <w:bottom w:val="single" w:sz="12" w:space="0" w:color="000000"/>
              <w:right w:val="nil"/>
            </w:tcBorders>
            <w:shd w:val="clear" w:color="auto" w:fill="auto"/>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1 160.5</w:t>
            </w:r>
          </w:p>
        </w:tc>
        <w:tc>
          <w:tcPr>
            <w:tcW w:w="1116" w:type="dxa"/>
            <w:tcBorders>
              <w:top w:val="single" w:sz="6" w:space="0" w:color="auto"/>
              <w:left w:val="nil"/>
              <w:bottom w:val="single" w:sz="12" w:space="0" w:color="000000"/>
              <w:right w:val="nil"/>
            </w:tcBorders>
            <w:shd w:val="clear" w:color="auto" w:fill="auto"/>
          </w:tcPr>
          <w:p w:rsidR="00336793" w:rsidRPr="00D96C4B" w:rsidRDefault="00336793" w:rsidP="00DF0B96">
            <w:pPr>
              <w:pStyle w:val="TableofFigures"/>
              <w:rPr>
                <w:rFonts w:eastAsiaTheme="minorEastAsia"/>
                <w:b/>
                <w:bCs/>
                <w:sz w:val="20"/>
                <w:lang w:eastAsia="en-AU"/>
              </w:rPr>
            </w:pPr>
            <w:r w:rsidRPr="00D96C4B">
              <w:rPr>
                <w:rFonts w:eastAsiaTheme="minorEastAsia"/>
                <w:b/>
                <w:bCs/>
                <w:sz w:val="20"/>
                <w:lang w:eastAsia="en-AU"/>
              </w:rPr>
              <w:t>132 083.2</w:t>
            </w:r>
          </w:p>
        </w:tc>
      </w:tr>
    </w:tbl>
    <w:p w:rsidR="00336793" w:rsidRPr="00941F2A" w:rsidRDefault="00336793" w:rsidP="00DF0B96">
      <w:pPr>
        <w:pStyle w:val="4ptline"/>
      </w:pPr>
    </w:p>
    <w:tbl>
      <w:tblPr>
        <w:tblW w:w="14570" w:type="dxa"/>
        <w:tblInd w:w="28" w:type="dxa"/>
        <w:tblLayout w:type="fixed"/>
        <w:tblCellMar>
          <w:left w:w="45" w:type="dxa"/>
          <w:right w:w="45" w:type="dxa"/>
        </w:tblCellMar>
        <w:tblLook w:val="0000" w:firstRow="0" w:lastRow="0" w:firstColumn="0" w:lastColumn="0" w:noHBand="0" w:noVBand="0"/>
      </w:tblPr>
      <w:tblGrid>
        <w:gridCol w:w="5327"/>
        <w:gridCol w:w="1530"/>
        <w:gridCol w:w="1530"/>
        <w:gridCol w:w="2070"/>
        <w:gridCol w:w="1890"/>
        <w:gridCol w:w="1111"/>
        <w:gridCol w:w="1112"/>
      </w:tblGrid>
      <w:tr w:rsidR="00336793" w:rsidRPr="00941F2A" w:rsidTr="00DF0B96">
        <w:tc>
          <w:tcPr>
            <w:tcW w:w="5327" w:type="dxa"/>
            <w:tcBorders>
              <w:top w:val="single" w:sz="6" w:space="0" w:color="auto"/>
              <w:left w:val="single" w:sz="6" w:space="0" w:color="auto"/>
              <w:bottom w:val="single" w:sz="6" w:space="0" w:color="auto"/>
              <w:right w:val="nil"/>
            </w:tcBorders>
            <w:shd w:val="clear" w:color="000000" w:fill="000000"/>
          </w:tcPr>
          <w:p w:rsidR="00336793" w:rsidRPr="00941F2A" w:rsidRDefault="00336793" w:rsidP="00DF0B96">
            <w:pPr>
              <w:pStyle w:val="Tabletext"/>
              <w:rPr>
                <w:rFonts w:eastAsiaTheme="minorEastAsia"/>
                <w:i/>
                <w:sz w:val="20"/>
                <w:lang w:eastAsia="en-AU"/>
              </w:rPr>
            </w:pPr>
          </w:p>
          <w:p w:rsidR="00336793" w:rsidRPr="00941F2A" w:rsidRDefault="00336793" w:rsidP="00DF0B96">
            <w:pPr>
              <w:pStyle w:val="Tabletext"/>
              <w:rPr>
                <w:rFonts w:eastAsiaTheme="minorEastAsia"/>
                <w:i/>
                <w:sz w:val="20"/>
                <w:lang w:eastAsia="en-AU"/>
              </w:rPr>
            </w:pPr>
          </w:p>
          <w:p w:rsidR="00336793" w:rsidRPr="00941F2A" w:rsidRDefault="00336793" w:rsidP="00DF0B96">
            <w:pPr>
              <w:pStyle w:val="Tabletext"/>
              <w:rPr>
                <w:rFonts w:eastAsiaTheme="minorEastAsia"/>
                <w:i/>
                <w:sz w:val="20"/>
                <w:lang w:eastAsia="en-AU"/>
              </w:rPr>
            </w:pPr>
            <w:r w:rsidRPr="00941F2A">
              <w:rPr>
                <w:rFonts w:eastAsiaTheme="minorEastAsia"/>
                <w:i/>
                <w:sz w:val="20"/>
                <w:lang w:eastAsia="en-AU"/>
              </w:rPr>
              <w:t>General government sector</w:t>
            </w:r>
          </w:p>
        </w:tc>
        <w:tc>
          <w:tcPr>
            <w:tcW w:w="1530" w:type="dxa"/>
            <w:tcBorders>
              <w:top w:val="single" w:sz="6" w:space="0" w:color="auto"/>
              <w:left w:val="nil"/>
              <w:bottom w:val="single" w:sz="6" w:space="0" w:color="auto"/>
              <w:right w:val="nil"/>
            </w:tcBorders>
            <w:shd w:val="clear" w:color="000000" w:fill="000000"/>
          </w:tcPr>
          <w:p w:rsidR="00336793" w:rsidRPr="00941F2A" w:rsidRDefault="00336793" w:rsidP="00DF0B96">
            <w:pPr>
              <w:pStyle w:val="Tabletextheading"/>
              <w:rPr>
                <w:rFonts w:eastAsiaTheme="minorEastAsia"/>
                <w:color w:val="FFFFFF"/>
                <w:sz w:val="20"/>
                <w:lang w:eastAsia="en-AU"/>
              </w:rPr>
            </w:pPr>
          </w:p>
          <w:p w:rsidR="00336793" w:rsidRPr="00941F2A" w:rsidRDefault="00336793" w:rsidP="00DF0B96">
            <w:pPr>
              <w:pStyle w:val="Tabletextheading"/>
              <w:rPr>
                <w:rFonts w:eastAsiaTheme="minorEastAsia"/>
                <w:color w:val="FFFFFF"/>
                <w:sz w:val="20"/>
                <w:lang w:eastAsia="en-AU"/>
              </w:rPr>
            </w:pPr>
            <w:r w:rsidRPr="00941F2A">
              <w:rPr>
                <w:rFonts w:eastAsiaTheme="minorEastAsia"/>
                <w:color w:val="FFFFFF"/>
                <w:sz w:val="20"/>
                <w:lang w:eastAsia="en-AU"/>
              </w:rPr>
              <w:t>Accumulated surplus/(deficit)</w:t>
            </w:r>
          </w:p>
        </w:tc>
        <w:tc>
          <w:tcPr>
            <w:tcW w:w="1530" w:type="dxa"/>
            <w:tcBorders>
              <w:top w:val="single" w:sz="6" w:space="0" w:color="auto"/>
              <w:left w:val="nil"/>
              <w:bottom w:val="single" w:sz="6" w:space="0" w:color="auto"/>
              <w:right w:val="nil"/>
            </w:tcBorders>
            <w:shd w:val="clear" w:color="000000" w:fill="000000"/>
          </w:tcPr>
          <w:p w:rsidR="00336793" w:rsidRPr="00941F2A" w:rsidRDefault="00336793" w:rsidP="00DF0B96">
            <w:pPr>
              <w:pStyle w:val="Tabletextheading"/>
              <w:rPr>
                <w:rFonts w:eastAsiaTheme="minorEastAsia"/>
                <w:color w:val="FFFFFF"/>
                <w:sz w:val="20"/>
                <w:lang w:eastAsia="en-AU"/>
              </w:rPr>
            </w:pPr>
          </w:p>
          <w:p w:rsidR="00336793" w:rsidRPr="00941F2A" w:rsidRDefault="00336793" w:rsidP="00DF0B96">
            <w:pPr>
              <w:pStyle w:val="Tabletextheading"/>
              <w:rPr>
                <w:rFonts w:eastAsiaTheme="minorEastAsia"/>
                <w:color w:val="FFFFFF"/>
                <w:sz w:val="20"/>
                <w:lang w:eastAsia="en-AU"/>
              </w:rPr>
            </w:pPr>
            <w:r w:rsidRPr="00941F2A">
              <w:rPr>
                <w:rFonts w:eastAsiaTheme="minorEastAsia"/>
                <w:color w:val="FFFFFF"/>
                <w:sz w:val="20"/>
                <w:lang w:eastAsia="en-AU"/>
              </w:rPr>
              <w:t>Non</w:t>
            </w:r>
            <w:r>
              <w:rPr>
                <w:rFonts w:eastAsiaTheme="minorEastAsia"/>
                <w:color w:val="FFFFFF"/>
                <w:sz w:val="20"/>
                <w:lang w:eastAsia="en-AU"/>
              </w:rPr>
              <w:noBreakHyphen/>
            </w:r>
            <w:r w:rsidRPr="00941F2A">
              <w:rPr>
                <w:rFonts w:eastAsiaTheme="minorEastAsia"/>
                <w:color w:val="FFFFFF"/>
                <w:sz w:val="20"/>
                <w:lang w:eastAsia="en-AU"/>
              </w:rPr>
              <w:t>controlling Interest</w:t>
            </w:r>
          </w:p>
        </w:tc>
        <w:tc>
          <w:tcPr>
            <w:tcW w:w="2070" w:type="dxa"/>
            <w:tcBorders>
              <w:top w:val="single" w:sz="6" w:space="0" w:color="auto"/>
              <w:left w:val="nil"/>
              <w:bottom w:val="single" w:sz="6" w:space="0" w:color="auto"/>
              <w:right w:val="nil"/>
            </w:tcBorders>
            <w:shd w:val="clear" w:color="000000" w:fill="000000"/>
          </w:tcPr>
          <w:p w:rsidR="00336793" w:rsidRPr="00941F2A" w:rsidRDefault="00336793" w:rsidP="00DF0B96">
            <w:pPr>
              <w:pStyle w:val="Tabletextheading"/>
              <w:rPr>
                <w:rFonts w:eastAsiaTheme="minorEastAsia"/>
                <w:color w:val="FFFFFF"/>
                <w:sz w:val="20"/>
                <w:lang w:eastAsia="en-AU"/>
              </w:rPr>
            </w:pPr>
          </w:p>
          <w:p w:rsidR="00336793" w:rsidRPr="00941F2A" w:rsidRDefault="00336793" w:rsidP="00DF0B96">
            <w:pPr>
              <w:pStyle w:val="Tabletextheading"/>
              <w:rPr>
                <w:rFonts w:eastAsiaTheme="minorEastAsia" w:cs="Calibri"/>
                <w:iCs/>
                <w:color w:val="FFFFFF"/>
                <w:sz w:val="20"/>
                <w:szCs w:val="22"/>
                <w:lang w:eastAsia="en-AU"/>
              </w:rPr>
            </w:pPr>
            <w:r w:rsidRPr="00941F2A">
              <w:rPr>
                <w:rFonts w:eastAsiaTheme="minorEastAsia"/>
                <w:color w:val="FFFFFF"/>
                <w:sz w:val="20"/>
                <w:lang w:eastAsia="en-AU"/>
              </w:rPr>
              <w:t>Non</w:t>
            </w:r>
            <w:r>
              <w:rPr>
                <w:rFonts w:eastAsiaTheme="minorEastAsia"/>
                <w:color w:val="FFFFFF"/>
                <w:sz w:val="20"/>
                <w:lang w:eastAsia="en-AU"/>
              </w:rPr>
              <w:noBreakHyphen/>
            </w:r>
            <w:r w:rsidRPr="00941F2A">
              <w:rPr>
                <w:rFonts w:eastAsiaTheme="minorEastAsia"/>
                <w:color w:val="FFFFFF"/>
                <w:sz w:val="20"/>
                <w:lang w:eastAsia="en-AU"/>
              </w:rPr>
              <w:t>financial assets</w:t>
            </w:r>
          </w:p>
          <w:p w:rsidR="00336793" w:rsidRPr="00941F2A" w:rsidRDefault="00336793" w:rsidP="00DF0B96">
            <w:pPr>
              <w:pStyle w:val="Tabletextheading"/>
              <w:rPr>
                <w:rFonts w:eastAsiaTheme="minorEastAsia" w:cs="Calibri"/>
                <w:iCs/>
                <w:color w:val="FFFFFF"/>
                <w:sz w:val="20"/>
                <w:szCs w:val="22"/>
                <w:vertAlign w:val="superscript"/>
                <w:lang w:eastAsia="en-AU"/>
              </w:rPr>
            </w:pPr>
            <w:r w:rsidRPr="00941F2A">
              <w:rPr>
                <w:rFonts w:eastAsiaTheme="minorEastAsia"/>
                <w:color w:val="FFFFFF"/>
                <w:sz w:val="20"/>
                <w:lang w:eastAsia="en-AU"/>
              </w:rPr>
              <w:t xml:space="preserve"> revaluation surplus</w:t>
            </w:r>
            <w:r w:rsidRPr="001A4C93">
              <w:rPr>
                <w:rFonts w:eastAsiaTheme="minorEastAsia"/>
                <w:color w:val="FFFFFF"/>
                <w:sz w:val="20"/>
                <w:vertAlign w:val="superscript"/>
                <w:lang w:eastAsia="en-AU"/>
              </w:rPr>
              <w:t>(a</w:t>
            </w:r>
            <w:r w:rsidRPr="001A4C93">
              <w:rPr>
                <w:rFonts w:eastAsiaTheme="minorEastAsia" w:cs="Calibri"/>
                <w:iCs/>
                <w:color w:val="FFFFFF"/>
                <w:sz w:val="20"/>
                <w:szCs w:val="22"/>
                <w:vertAlign w:val="superscript"/>
                <w:lang w:eastAsia="en-AU"/>
              </w:rPr>
              <w:t>)</w:t>
            </w:r>
          </w:p>
        </w:tc>
        <w:tc>
          <w:tcPr>
            <w:tcW w:w="1890" w:type="dxa"/>
            <w:tcBorders>
              <w:top w:val="single" w:sz="6" w:space="0" w:color="auto"/>
              <w:left w:val="nil"/>
              <w:bottom w:val="single" w:sz="6" w:space="0" w:color="auto"/>
              <w:right w:val="nil"/>
            </w:tcBorders>
            <w:shd w:val="clear" w:color="000000" w:fill="000000"/>
          </w:tcPr>
          <w:p w:rsidR="00336793" w:rsidRPr="00941F2A" w:rsidRDefault="00336793" w:rsidP="00DF0B96">
            <w:pPr>
              <w:pStyle w:val="Tabletextheading"/>
              <w:rPr>
                <w:rFonts w:eastAsiaTheme="minorEastAsia"/>
                <w:color w:val="FFFFFF"/>
                <w:sz w:val="20"/>
                <w:lang w:eastAsia="en-AU"/>
              </w:rPr>
            </w:pPr>
            <w:r w:rsidRPr="00941F2A">
              <w:rPr>
                <w:rFonts w:eastAsiaTheme="minorEastAsia"/>
                <w:color w:val="FFFFFF"/>
                <w:sz w:val="20"/>
                <w:lang w:eastAsia="en-AU"/>
              </w:rPr>
              <w:t xml:space="preserve">Investment in other </w:t>
            </w:r>
          </w:p>
          <w:p w:rsidR="00336793" w:rsidRPr="00941F2A" w:rsidRDefault="00336793" w:rsidP="00DF0B96">
            <w:pPr>
              <w:pStyle w:val="Tabletextheading"/>
              <w:rPr>
                <w:rFonts w:eastAsiaTheme="minorEastAsia"/>
                <w:color w:val="FFFFFF"/>
                <w:sz w:val="20"/>
                <w:lang w:eastAsia="en-AU"/>
              </w:rPr>
            </w:pPr>
            <w:r w:rsidRPr="00941F2A">
              <w:rPr>
                <w:rFonts w:eastAsiaTheme="minorEastAsia"/>
                <w:color w:val="FFFFFF"/>
                <w:sz w:val="20"/>
                <w:lang w:eastAsia="en-AU"/>
              </w:rPr>
              <w:t xml:space="preserve">sector entities </w:t>
            </w:r>
          </w:p>
          <w:p w:rsidR="00336793" w:rsidRPr="00941F2A" w:rsidRDefault="00336793" w:rsidP="00DF0B96">
            <w:pPr>
              <w:pStyle w:val="Tabletextheading"/>
              <w:rPr>
                <w:rFonts w:eastAsiaTheme="minorEastAsia"/>
                <w:color w:val="FFFFFF"/>
                <w:sz w:val="20"/>
                <w:lang w:eastAsia="en-AU"/>
              </w:rPr>
            </w:pPr>
            <w:r w:rsidRPr="00941F2A">
              <w:rPr>
                <w:rFonts w:eastAsiaTheme="minorEastAsia"/>
                <w:color w:val="FFFFFF"/>
                <w:sz w:val="20"/>
                <w:lang w:eastAsia="en-AU"/>
              </w:rPr>
              <w:t>revaluation surplus</w:t>
            </w:r>
          </w:p>
        </w:tc>
        <w:tc>
          <w:tcPr>
            <w:tcW w:w="1111" w:type="dxa"/>
            <w:tcBorders>
              <w:top w:val="single" w:sz="6" w:space="0" w:color="auto"/>
              <w:left w:val="nil"/>
              <w:bottom w:val="single" w:sz="6" w:space="0" w:color="auto"/>
              <w:right w:val="nil"/>
            </w:tcBorders>
            <w:shd w:val="clear" w:color="000000" w:fill="000000"/>
          </w:tcPr>
          <w:p w:rsidR="00336793" w:rsidRPr="00941F2A" w:rsidRDefault="00336793" w:rsidP="00DF0B96">
            <w:pPr>
              <w:pStyle w:val="Tabletextheading"/>
              <w:rPr>
                <w:rFonts w:eastAsiaTheme="minorEastAsia"/>
                <w:color w:val="FFFFFF"/>
                <w:sz w:val="20"/>
                <w:lang w:eastAsia="en-AU"/>
              </w:rPr>
            </w:pPr>
          </w:p>
          <w:p w:rsidR="00336793" w:rsidRPr="00941F2A" w:rsidRDefault="00336793" w:rsidP="00DF0B96">
            <w:pPr>
              <w:pStyle w:val="Tabletextheading"/>
              <w:rPr>
                <w:rFonts w:eastAsiaTheme="minorEastAsia"/>
                <w:color w:val="FFFFFF"/>
                <w:sz w:val="20"/>
                <w:lang w:eastAsia="en-AU"/>
              </w:rPr>
            </w:pPr>
            <w:r w:rsidRPr="00941F2A">
              <w:rPr>
                <w:rFonts w:eastAsiaTheme="minorEastAsia"/>
                <w:color w:val="FFFFFF"/>
                <w:sz w:val="20"/>
                <w:lang w:eastAsia="en-AU"/>
              </w:rPr>
              <w:t xml:space="preserve">Other </w:t>
            </w:r>
          </w:p>
          <w:p w:rsidR="00336793" w:rsidRPr="00941F2A" w:rsidRDefault="00336793" w:rsidP="00DF0B96">
            <w:pPr>
              <w:pStyle w:val="Tabletextheading"/>
              <w:rPr>
                <w:rFonts w:eastAsiaTheme="minorEastAsia"/>
                <w:color w:val="FFFFFF"/>
                <w:sz w:val="20"/>
                <w:lang w:eastAsia="en-AU"/>
              </w:rPr>
            </w:pPr>
            <w:r w:rsidRPr="00941F2A">
              <w:rPr>
                <w:rFonts w:eastAsiaTheme="minorEastAsia"/>
                <w:color w:val="FFFFFF"/>
                <w:sz w:val="20"/>
                <w:lang w:eastAsia="en-AU"/>
              </w:rPr>
              <w:t>reserves</w:t>
            </w:r>
          </w:p>
        </w:tc>
        <w:tc>
          <w:tcPr>
            <w:tcW w:w="1112" w:type="dxa"/>
            <w:tcBorders>
              <w:top w:val="single" w:sz="6" w:space="0" w:color="auto"/>
              <w:left w:val="nil"/>
              <w:bottom w:val="single" w:sz="6" w:space="0" w:color="auto"/>
              <w:right w:val="single" w:sz="6" w:space="0" w:color="auto"/>
            </w:tcBorders>
            <w:shd w:val="clear" w:color="000000" w:fill="000000"/>
          </w:tcPr>
          <w:p w:rsidR="00336793" w:rsidRPr="00941F2A" w:rsidRDefault="00336793" w:rsidP="00DF0B96">
            <w:pPr>
              <w:pStyle w:val="Tabletextheading"/>
              <w:rPr>
                <w:rFonts w:eastAsiaTheme="minorEastAsia"/>
                <w:color w:val="FFFFFF"/>
                <w:sz w:val="20"/>
                <w:lang w:eastAsia="en-AU"/>
              </w:rPr>
            </w:pPr>
          </w:p>
          <w:p w:rsidR="00336793" w:rsidRPr="00941F2A" w:rsidRDefault="00336793" w:rsidP="00DF0B96">
            <w:pPr>
              <w:pStyle w:val="Tabletextheading"/>
              <w:rPr>
                <w:rFonts w:eastAsiaTheme="minorEastAsia"/>
                <w:color w:val="FFFFFF"/>
                <w:sz w:val="20"/>
                <w:lang w:eastAsia="en-AU"/>
              </w:rPr>
            </w:pPr>
          </w:p>
          <w:p w:rsidR="00336793" w:rsidRPr="00941F2A" w:rsidRDefault="00336793" w:rsidP="00DF0B96">
            <w:pPr>
              <w:pStyle w:val="Tabletextheading"/>
              <w:rPr>
                <w:rFonts w:eastAsiaTheme="minorEastAsia"/>
                <w:color w:val="FFFFFF"/>
                <w:sz w:val="20"/>
                <w:lang w:eastAsia="en-AU"/>
              </w:rPr>
            </w:pPr>
            <w:r w:rsidRPr="00941F2A">
              <w:rPr>
                <w:rFonts w:eastAsiaTheme="minorEastAsia"/>
                <w:color w:val="FFFFFF"/>
                <w:sz w:val="20"/>
                <w:lang w:eastAsia="en-AU"/>
              </w:rPr>
              <w:t>Total</w:t>
            </w:r>
          </w:p>
        </w:tc>
      </w:tr>
      <w:tr w:rsidR="00336793" w:rsidRPr="00941F2A" w:rsidTr="00DF0B96">
        <w:tc>
          <w:tcPr>
            <w:tcW w:w="5327" w:type="dxa"/>
            <w:tcBorders>
              <w:top w:val="single" w:sz="6" w:space="0" w:color="auto"/>
              <w:left w:val="nil"/>
              <w:bottom w:val="nil"/>
              <w:right w:val="nil"/>
            </w:tcBorders>
          </w:tcPr>
          <w:p w:rsidR="00336793" w:rsidRPr="00941F2A" w:rsidRDefault="00336793" w:rsidP="00DF0B96">
            <w:pPr>
              <w:pStyle w:val="Tabletext"/>
              <w:rPr>
                <w:rFonts w:eastAsiaTheme="minorEastAsia"/>
                <w:b/>
                <w:bCs/>
                <w:sz w:val="20"/>
                <w:lang w:eastAsia="en-AU"/>
              </w:rPr>
            </w:pPr>
            <w:r w:rsidRPr="00941F2A">
              <w:rPr>
                <w:rFonts w:eastAsiaTheme="minorEastAsia"/>
                <w:b/>
                <w:bCs/>
                <w:sz w:val="20"/>
                <w:lang w:eastAsia="en-AU"/>
              </w:rPr>
              <w:t>2015</w:t>
            </w:r>
          </w:p>
        </w:tc>
        <w:tc>
          <w:tcPr>
            <w:tcW w:w="1530"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w:t>
            </w:r>
          </w:p>
        </w:tc>
        <w:tc>
          <w:tcPr>
            <w:tcW w:w="1530"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w:t>
            </w:r>
          </w:p>
        </w:tc>
        <w:tc>
          <w:tcPr>
            <w:tcW w:w="2070"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w:t>
            </w:r>
          </w:p>
        </w:tc>
        <w:tc>
          <w:tcPr>
            <w:tcW w:w="1890"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w:t>
            </w:r>
          </w:p>
        </w:tc>
        <w:tc>
          <w:tcPr>
            <w:tcW w:w="1111"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w:t>
            </w:r>
          </w:p>
        </w:tc>
        <w:tc>
          <w:tcPr>
            <w:tcW w:w="1112"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w:t>
            </w:r>
          </w:p>
        </w:tc>
      </w:tr>
      <w:tr w:rsidR="00336793" w:rsidRPr="00941F2A" w:rsidTr="00DF0B96">
        <w:tc>
          <w:tcPr>
            <w:tcW w:w="5327" w:type="dxa"/>
            <w:tcBorders>
              <w:top w:val="nil"/>
              <w:left w:val="nil"/>
              <w:bottom w:val="nil"/>
              <w:right w:val="nil"/>
            </w:tcBorders>
          </w:tcPr>
          <w:p w:rsidR="00336793" w:rsidRPr="00941F2A" w:rsidRDefault="00336793" w:rsidP="00DF0B96">
            <w:pPr>
              <w:pStyle w:val="Tabletext"/>
              <w:rPr>
                <w:rFonts w:eastAsiaTheme="minorEastAsia"/>
                <w:sz w:val="20"/>
                <w:lang w:eastAsia="en-AU"/>
              </w:rPr>
            </w:pPr>
            <w:r w:rsidRPr="00941F2A">
              <w:rPr>
                <w:rFonts w:eastAsiaTheme="minorEastAsia"/>
                <w:sz w:val="20"/>
                <w:lang w:eastAsia="en-AU"/>
              </w:rPr>
              <w:t>Balance at 1 July 2014</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43 634.6</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50.0</w:t>
            </w:r>
          </w:p>
        </w:tc>
        <w:tc>
          <w:tcPr>
            <w:tcW w:w="207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41 965.2</w:t>
            </w:r>
          </w:p>
        </w:tc>
        <w:tc>
          <w:tcPr>
            <w:tcW w:w="189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42 187.3</w:t>
            </w:r>
          </w:p>
        </w:tc>
        <w:tc>
          <w:tcPr>
            <w:tcW w:w="1111"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640.3</w:t>
            </w:r>
          </w:p>
        </w:tc>
        <w:tc>
          <w:tcPr>
            <w:tcW w:w="1112"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128 477.4</w:t>
            </w:r>
          </w:p>
        </w:tc>
      </w:tr>
      <w:tr w:rsidR="00336793" w:rsidRPr="00941F2A" w:rsidTr="00DF0B96">
        <w:tc>
          <w:tcPr>
            <w:tcW w:w="5327" w:type="dxa"/>
            <w:tcBorders>
              <w:top w:val="nil"/>
              <w:left w:val="nil"/>
              <w:bottom w:val="nil"/>
              <w:right w:val="nil"/>
            </w:tcBorders>
          </w:tcPr>
          <w:p w:rsidR="00336793" w:rsidRPr="00941F2A" w:rsidRDefault="00336793" w:rsidP="00DF0B96">
            <w:pPr>
              <w:pStyle w:val="Tabletext"/>
              <w:rPr>
                <w:rFonts w:eastAsiaTheme="minorEastAsia"/>
                <w:sz w:val="20"/>
                <w:lang w:eastAsia="en-AU"/>
              </w:rPr>
            </w:pPr>
            <w:r w:rsidRPr="00941F2A">
              <w:rPr>
                <w:rFonts w:eastAsiaTheme="minorEastAsia"/>
                <w:sz w:val="20"/>
                <w:lang w:eastAsia="en-AU"/>
              </w:rPr>
              <w:t>Net result for the year</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748.8</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207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189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1111"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1112"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748.8</w:t>
            </w:r>
          </w:p>
        </w:tc>
      </w:tr>
      <w:tr w:rsidR="00336793" w:rsidRPr="00941F2A" w:rsidTr="00DF0B96">
        <w:tc>
          <w:tcPr>
            <w:tcW w:w="5327" w:type="dxa"/>
            <w:tcBorders>
              <w:top w:val="nil"/>
              <w:left w:val="nil"/>
              <w:right w:val="nil"/>
            </w:tcBorders>
          </w:tcPr>
          <w:p w:rsidR="00336793" w:rsidRPr="00941F2A" w:rsidRDefault="00336793" w:rsidP="00DF0B96">
            <w:pPr>
              <w:pStyle w:val="Tabletext"/>
              <w:rPr>
                <w:rFonts w:eastAsiaTheme="minorEastAsia"/>
                <w:sz w:val="20"/>
                <w:lang w:eastAsia="en-AU"/>
              </w:rPr>
            </w:pPr>
            <w:r w:rsidRPr="00941F2A">
              <w:rPr>
                <w:rFonts w:eastAsiaTheme="minorEastAsia"/>
                <w:sz w:val="20"/>
                <w:lang w:eastAsia="en-AU"/>
              </w:rPr>
              <w:t>Other comprehensive income for the year</w:t>
            </w:r>
          </w:p>
        </w:tc>
        <w:tc>
          <w:tcPr>
            <w:tcW w:w="1530" w:type="dxa"/>
            <w:tcBorders>
              <w:top w:val="nil"/>
              <w:left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270.4</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2070" w:type="dxa"/>
            <w:tcBorders>
              <w:top w:val="nil"/>
              <w:left w:val="nil"/>
              <w:bottom w:val="nil"/>
              <w:right w:val="nil"/>
            </w:tcBorders>
          </w:tcPr>
          <w:p w:rsidR="00336793" w:rsidRPr="00941F2A" w:rsidRDefault="00336793" w:rsidP="00DF0B96">
            <w:pPr>
              <w:pStyle w:val="TableofFigures"/>
              <w:rPr>
                <w:rFonts w:eastAsiaTheme="minorEastAsia" w:cs="Calibri"/>
                <w:color w:val="000000"/>
                <w:sz w:val="20"/>
                <w:szCs w:val="22"/>
                <w:lang w:eastAsia="en-AU"/>
              </w:rPr>
            </w:pPr>
            <w:r w:rsidRPr="00941F2A">
              <w:rPr>
                <w:rFonts w:eastAsiaTheme="minorEastAsia"/>
                <w:sz w:val="20"/>
                <w:lang w:eastAsia="en-AU"/>
              </w:rPr>
              <w:t>2 524.4</w:t>
            </w:r>
          </w:p>
        </w:tc>
        <w:tc>
          <w:tcPr>
            <w:tcW w:w="189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4 225.6</w:t>
            </w:r>
          </w:p>
        </w:tc>
        <w:tc>
          <w:tcPr>
            <w:tcW w:w="1111"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87.9</w:t>
            </w:r>
          </w:p>
        </w:tc>
        <w:tc>
          <w:tcPr>
            <w:tcW w:w="1112"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7 108.3</w:t>
            </w:r>
          </w:p>
        </w:tc>
      </w:tr>
      <w:tr w:rsidR="00336793" w:rsidRPr="00941F2A" w:rsidTr="00DF0B96">
        <w:tc>
          <w:tcPr>
            <w:tcW w:w="5327" w:type="dxa"/>
            <w:tcBorders>
              <w:top w:val="nil"/>
              <w:left w:val="nil"/>
              <w:bottom w:val="single" w:sz="4" w:space="0" w:color="auto"/>
              <w:right w:val="nil"/>
            </w:tcBorders>
          </w:tcPr>
          <w:p w:rsidR="00336793" w:rsidRPr="00941F2A" w:rsidRDefault="00336793" w:rsidP="00DF0B96">
            <w:pPr>
              <w:pStyle w:val="Tabletext"/>
              <w:rPr>
                <w:rFonts w:eastAsiaTheme="minorEastAsia"/>
                <w:sz w:val="20"/>
                <w:lang w:eastAsia="en-AU"/>
              </w:rPr>
            </w:pPr>
            <w:r w:rsidRPr="00941F2A">
              <w:rPr>
                <w:rFonts w:eastAsiaTheme="minorEastAsia"/>
                <w:sz w:val="20"/>
                <w:lang w:eastAsia="en-AU"/>
              </w:rPr>
              <w:t>Transfer to accumulated surplus</w:t>
            </w:r>
            <w:r w:rsidRPr="00E96950">
              <w:rPr>
                <w:rFonts w:eastAsiaTheme="minorEastAsia"/>
                <w:sz w:val="20"/>
                <w:vertAlign w:val="superscript"/>
                <w:lang w:eastAsia="en-AU"/>
              </w:rPr>
              <w:t xml:space="preserve"> (</w:t>
            </w:r>
            <w:r w:rsidRPr="00941F2A">
              <w:rPr>
                <w:rFonts w:eastAsiaTheme="minorEastAsia"/>
                <w:sz w:val="20"/>
                <w:vertAlign w:val="superscript"/>
                <w:lang w:eastAsia="en-AU"/>
              </w:rPr>
              <w:t>c)</w:t>
            </w:r>
          </w:p>
        </w:tc>
        <w:tc>
          <w:tcPr>
            <w:tcW w:w="1530" w:type="dxa"/>
            <w:tcBorders>
              <w:top w:val="nil"/>
              <w:left w:val="nil"/>
              <w:bottom w:val="single" w:sz="4" w:space="0" w:color="auto"/>
              <w:right w:val="nil"/>
            </w:tcBorders>
          </w:tcPr>
          <w:p w:rsidR="00336793" w:rsidRPr="00941F2A" w:rsidRDefault="00336793" w:rsidP="00DF0B96">
            <w:pPr>
              <w:pStyle w:val="TableofFigures"/>
              <w:rPr>
                <w:rFonts w:eastAsiaTheme="minorEastAsia" w:cs="Calibri"/>
                <w:color w:val="000000"/>
                <w:sz w:val="20"/>
                <w:szCs w:val="22"/>
                <w:lang w:eastAsia="en-AU"/>
              </w:rPr>
            </w:pPr>
            <w:r w:rsidRPr="00941F2A">
              <w:rPr>
                <w:rFonts w:eastAsiaTheme="minorEastAsia"/>
                <w:sz w:val="20"/>
                <w:lang w:eastAsia="en-AU"/>
              </w:rPr>
              <w:t>1 134.7</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2070" w:type="dxa"/>
            <w:tcBorders>
              <w:top w:val="nil"/>
              <w:left w:val="nil"/>
              <w:bottom w:val="nil"/>
              <w:right w:val="nil"/>
            </w:tcBorders>
          </w:tcPr>
          <w:p w:rsidR="00336793" w:rsidRPr="00941F2A" w:rsidRDefault="00336793" w:rsidP="00DF0B96">
            <w:pPr>
              <w:pStyle w:val="TableofFigures"/>
              <w:rPr>
                <w:rFonts w:eastAsiaTheme="minorEastAsia" w:cs="Calibri"/>
                <w:color w:val="000000"/>
                <w:sz w:val="20"/>
                <w:szCs w:val="22"/>
                <w:lang w:eastAsia="en-AU"/>
              </w:rPr>
            </w:pPr>
            <w:r w:rsidRPr="00941F2A">
              <w:rPr>
                <w:rFonts w:eastAsiaTheme="minorEastAsia"/>
                <w:sz w:val="20"/>
                <w:lang w:eastAsia="en-AU"/>
              </w:rPr>
              <w:t xml:space="preserve">(1 </w:t>
            </w:r>
            <w:r w:rsidRPr="00941F2A">
              <w:rPr>
                <w:rFonts w:eastAsiaTheme="minorEastAsia" w:cs="Calibri"/>
                <w:color w:val="000000"/>
                <w:sz w:val="20"/>
                <w:szCs w:val="22"/>
                <w:lang w:eastAsia="en-AU"/>
              </w:rPr>
              <w:t>134.7)</w:t>
            </w:r>
          </w:p>
        </w:tc>
        <w:tc>
          <w:tcPr>
            <w:tcW w:w="189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1111"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1112"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0"/>
                <w:lang w:eastAsia="en-AU"/>
              </w:rPr>
              <w:t>..</w:t>
            </w:r>
          </w:p>
        </w:tc>
      </w:tr>
      <w:tr w:rsidR="00336793" w:rsidRPr="00941F2A" w:rsidTr="00DF0B96">
        <w:tc>
          <w:tcPr>
            <w:tcW w:w="5327" w:type="dxa"/>
            <w:tcBorders>
              <w:top w:val="single" w:sz="4" w:space="0" w:color="auto"/>
              <w:left w:val="nil"/>
              <w:bottom w:val="single" w:sz="12" w:space="0" w:color="auto"/>
              <w:right w:val="nil"/>
            </w:tcBorders>
          </w:tcPr>
          <w:p w:rsidR="00336793" w:rsidRPr="00941F2A" w:rsidRDefault="00336793" w:rsidP="00DF0B96">
            <w:pPr>
              <w:pStyle w:val="Tabletext"/>
              <w:rPr>
                <w:rFonts w:eastAsiaTheme="minorEastAsia"/>
                <w:b/>
                <w:bCs/>
                <w:sz w:val="20"/>
                <w:lang w:eastAsia="en-AU"/>
              </w:rPr>
            </w:pPr>
            <w:r w:rsidRPr="00941F2A">
              <w:rPr>
                <w:rFonts w:eastAsiaTheme="minorEastAsia"/>
                <w:b/>
                <w:bCs/>
                <w:sz w:val="20"/>
                <w:lang w:eastAsia="en-AU"/>
              </w:rPr>
              <w:t>Total equity as at 30 June 2015</w:t>
            </w:r>
          </w:p>
        </w:tc>
        <w:tc>
          <w:tcPr>
            <w:tcW w:w="1530" w:type="dxa"/>
            <w:tcBorders>
              <w:top w:val="single" w:sz="4" w:space="0" w:color="auto"/>
              <w:left w:val="nil"/>
              <w:bottom w:val="single" w:sz="12" w:space="0" w:color="auto"/>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45 788.5</w:t>
            </w:r>
          </w:p>
        </w:tc>
        <w:tc>
          <w:tcPr>
            <w:tcW w:w="1530"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50.0</w:t>
            </w:r>
          </w:p>
        </w:tc>
        <w:tc>
          <w:tcPr>
            <w:tcW w:w="2070"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43 354.8</w:t>
            </w:r>
          </w:p>
        </w:tc>
        <w:tc>
          <w:tcPr>
            <w:tcW w:w="1890"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46 413.0</w:t>
            </w:r>
          </w:p>
        </w:tc>
        <w:tc>
          <w:tcPr>
            <w:tcW w:w="1111"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728.2</w:t>
            </w:r>
          </w:p>
        </w:tc>
        <w:tc>
          <w:tcPr>
            <w:tcW w:w="1112"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136 334.5</w:t>
            </w:r>
          </w:p>
        </w:tc>
      </w:tr>
      <w:tr w:rsidR="00336793" w:rsidRPr="00941F2A" w:rsidTr="00DF0B96">
        <w:tc>
          <w:tcPr>
            <w:tcW w:w="5327" w:type="dxa"/>
            <w:tcBorders>
              <w:top w:val="nil"/>
              <w:left w:val="nil"/>
              <w:bottom w:val="nil"/>
              <w:right w:val="nil"/>
            </w:tcBorders>
          </w:tcPr>
          <w:p w:rsidR="00336793" w:rsidRPr="00941F2A" w:rsidRDefault="00336793" w:rsidP="00DF0B96">
            <w:pPr>
              <w:pStyle w:val="Tabletext"/>
              <w:rPr>
                <w:rFonts w:eastAsiaTheme="minorEastAsia"/>
                <w:b/>
                <w:bCs/>
                <w:sz w:val="20"/>
                <w:lang w:eastAsia="en-AU"/>
              </w:rPr>
            </w:pPr>
            <w:r w:rsidRPr="00941F2A">
              <w:rPr>
                <w:rFonts w:eastAsiaTheme="minorEastAsia"/>
                <w:b/>
                <w:bCs/>
                <w:sz w:val="20"/>
                <w:lang w:eastAsia="en-AU"/>
              </w:rPr>
              <w:t>2014</w:t>
            </w:r>
          </w:p>
        </w:tc>
        <w:tc>
          <w:tcPr>
            <w:tcW w:w="1530" w:type="dxa"/>
            <w:tcBorders>
              <w:top w:val="nil"/>
              <w:left w:val="nil"/>
              <w:bottom w:val="nil"/>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w:t>
            </w:r>
          </w:p>
        </w:tc>
        <w:tc>
          <w:tcPr>
            <w:tcW w:w="1530" w:type="dxa"/>
            <w:tcBorders>
              <w:top w:val="nil"/>
              <w:left w:val="nil"/>
              <w:bottom w:val="nil"/>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w:t>
            </w:r>
          </w:p>
        </w:tc>
        <w:tc>
          <w:tcPr>
            <w:tcW w:w="2070" w:type="dxa"/>
            <w:tcBorders>
              <w:top w:val="nil"/>
              <w:left w:val="nil"/>
              <w:bottom w:val="nil"/>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w:t>
            </w:r>
          </w:p>
        </w:tc>
        <w:tc>
          <w:tcPr>
            <w:tcW w:w="1890" w:type="dxa"/>
            <w:tcBorders>
              <w:top w:val="nil"/>
              <w:left w:val="nil"/>
              <w:bottom w:val="nil"/>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w:t>
            </w:r>
          </w:p>
        </w:tc>
        <w:tc>
          <w:tcPr>
            <w:tcW w:w="1111" w:type="dxa"/>
            <w:tcBorders>
              <w:top w:val="nil"/>
              <w:left w:val="nil"/>
              <w:bottom w:val="nil"/>
              <w:right w:val="nil"/>
            </w:tcBorders>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w:t>
            </w:r>
          </w:p>
        </w:tc>
        <w:tc>
          <w:tcPr>
            <w:tcW w:w="1112" w:type="dxa"/>
            <w:tcBorders>
              <w:top w:val="nil"/>
              <w:left w:val="nil"/>
              <w:bottom w:val="nil"/>
              <w:right w:val="nil"/>
            </w:tcBorders>
          </w:tcPr>
          <w:p w:rsidR="00336793" w:rsidRPr="00941F2A" w:rsidRDefault="00336793" w:rsidP="00DF0B96">
            <w:pPr>
              <w:pStyle w:val="TableofFigures"/>
              <w:rPr>
                <w:rFonts w:eastAsiaTheme="minorEastAsia"/>
                <w:b/>
                <w:bCs/>
                <w:sz w:val="20"/>
                <w:lang w:eastAsia="en-AU"/>
              </w:rPr>
            </w:pPr>
          </w:p>
        </w:tc>
      </w:tr>
      <w:tr w:rsidR="00336793" w:rsidRPr="00941F2A" w:rsidTr="00DF0B96">
        <w:tc>
          <w:tcPr>
            <w:tcW w:w="5327" w:type="dxa"/>
            <w:tcBorders>
              <w:top w:val="nil"/>
              <w:left w:val="nil"/>
              <w:bottom w:val="nil"/>
              <w:right w:val="nil"/>
            </w:tcBorders>
          </w:tcPr>
          <w:p w:rsidR="00336793" w:rsidRPr="00941F2A" w:rsidRDefault="00336793" w:rsidP="00DF0B96">
            <w:pPr>
              <w:pStyle w:val="Tabletext"/>
              <w:rPr>
                <w:rFonts w:eastAsiaTheme="minorEastAsia"/>
                <w:sz w:val="20"/>
                <w:vertAlign w:val="superscript"/>
                <w:lang w:eastAsia="en-AU"/>
              </w:rPr>
            </w:pPr>
            <w:r w:rsidRPr="00941F2A">
              <w:rPr>
                <w:rFonts w:eastAsiaTheme="minorEastAsia"/>
                <w:sz w:val="20"/>
                <w:lang w:eastAsia="en-AU"/>
              </w:rPr>
              <w:t>Balance at 1 July 2013</w:t>
            </w:r>
            <w:r w:rsidRPr="00E96950">
              <w:rPr>
                <w:rFonts w:eastAsiaTheme="minorEastAsia"/>
                <w:sz w:val="20"/>
                <w:vertAlign w:val="superscript"/>
                <w:lang w:eastAsia="en-AU"/>
              </w:rPr>
              <w:t xml:space="preserve"> (</w:t>
            </w:r>
            <w:r w:rsidRPr="00941F2A">
              <w:rPr>
                <w:rFonts w:eastAsiaTheme="minorEastAsia"/>
                <w:sz w:val="20"/>
                <w:vertAlign w:val="superscript"/>
                <w:lang w:eastAsia="en-AU"/>
              </w:rPr>
              <w:t>b)</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42 411.9</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50.0</w:t>
            </w:r>
          </w:p>
        </w:tc>
        <w:tc>
          <w:tcPr>
            <w:tcW w:w="207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40 286.8</w:t>
            </w:r>
          </w:p>
        </w:tc>
        <w:tc>
          <w:tcPr>
            <w:tcW w:w="189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38 373.5</w:t>
            </w:r>
          </w:p>
        </w:tc>
        <w:tc>
          <w:tcPr>
            <w:tcW w:w="1111"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613.9</w:t>
            </w:r>
          </w:p>
        </w:tc>
        <w:tc>
          <w:tcPr>
            <w:tcW w:w="1112"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121 736.2</w:t>
            </w:r>
          </w:p>
        </w:tc>
      </w:tr>
      <w:tr w:rsidR="00336793" w:rsidRPr="00941F2A" w:rsidTr="00DF0B96">
        <w:tc>
          <w:tcPr>
            <w:tcW w:w="5327" w:type="dxa"/>
            <w:tcBorders>
              <w:top w:val="nil"/>
              <w:left w:val="nil"/>
              <w:bottom w:val="nil"/>
              <w:right w:val="nil"/>
            </w:tcBorders>
          </w:tcPr>
          <w:p w:rsidR="00336793" w:rsidRPr="00941F2A" w:rsidRDefault="00336793" w:rsidP="00DF0B96">
            <w:pPr>
              <w:pStyle w:val="Tabletext"/>
              <w:rPr>
                <w:rFonts w:eastAsiaTheme="minorEastAsia"/>
                <w:sz w:val="20"/>
                <w:vertAlign w:val="superscript"/>
                <w:lang w:eastAsia="en-AU"/>
              </w:rPr>
            </w:pPr>
            <w:r w:rsidRPr="00941F2A">
              <w:rPr>
                <w:rFonts w:eastAsiaTheme="minorEastAsia"/>
                <w:sz w:val="20"/>
                <w:lang w:eastAsia="en-AU"/>
              </w:rPr>
              <w:t>Net result for the year</w:t>
            </w:r>
            <w:r w:rsidRPr="00E96950">
              <w:rPr>
                <w:rFonts w:eastAsiaTheme="minorEastAsia"/>
                <w:sz w:val="20"/>
                <w:vertAlign w:val="superscript"/>
                <w:lang w:eastAsia="en-AU"/>
              </w:rPr>
              <w:t xml:space="preserve"> (</w:t>
            </w:r>
            <w:r w:rsidRPr="00941F2A">
              <w:rPr>
                <w:rFonts w:eastAsiaTheme="minorEastAsia"/>
                <w:sz w:val="20"/>
                <w:vertAlign w:val="superscript"/>
                <w:lang w:eastAsia="en-AU"/>
              </w:rPr>
              <w:t>b)</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765.7</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207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189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1111"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1112"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765.7</w:t>
            </w:r>
          </w:p>
        </w:tc>
      </w:tr>
      <w:tr w:rsidR="00336793" w:rsidRPr="00941F2A" w:rsidTr="00DF0B96">
        <w:tc>
          <w:tcPr>
            <w:tcW w:w="5327" w:type="dxa"/>
            <w:tcBorders>
              <w:top w:val="nil"/>
              <w:left w:val="nil"/>
              <w:bottom w:val="nil"/>
              <w:right w:val="nil"/>
            </w:tcBorders>
          </w:tcPr>
          <w:p w:rsidR="00336793" w:rsidRPr="00941F2A" w:rsidRDefault="00336793" w:rsidP="00DF0B96">
            <w:pPr>
              <w:pStyle w:val="Tabletext"/>
              <w:rPr>
                <w:rFonts w:eastAsiaTheme="minorEastAsia"/>
                <w:sz w:val="20"/>
                <w:vertAlign w:val="superscript"/>
                <w:lang w:eastAsia="en-AU"/>
              </w:rPr>
            </w:pPr>
            <w:r w:rsidRPr="00941F2A">
              <w:rPr>
                <w:rFonts w:eastAsiaTheme="minorEastAsia"/>
                <w:sz w:val="20"/>
                <w:lang w:eastAsia="en-AU"/>
              </w:rPr>
              <w:t>Other comprehensive income for the year</w:t>
            </w:r>
            <w:r w:rsidRPr="00E96950">
              <w:rPr>
                <w:rFonts w:eastAsiaTheme="minorEastAsia"/>
                <w:sz w:val="20"/>
                <w:vertAlign w:val="superscript"/>
                <w:lang w:eastAsia="en-AU"/>
              </w:rPr>
              <w:t xml:space="preserve"> (</w:t>
            </w:r>
            <w:r w:rsidRPr="00941F2A">
              <w:rPr>
                <w:rFonts w:eastAsiaTheme="minorEastAsia"/>
                <w:sz w:val="20"/>
                <w:vertAlign w:val="superscript"/>
                <w:lang w:eastAsia="en-AU"/>
              </w:rPr>
              <w:t>b)</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172.3</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2070" w:type="dxa"/>
            <w:tcBorders>
              <w:top w:val="nil"/>
              <w:left w:val="nil"/>
              <w:bottom w:val="nil"/>
              <w:right w:val="nil"/>
            </w:tcBorders>
          </w:tcPr>
          <w:p w:rsidR="00336793" w:rsidRPr="00941F2A" w:rsidRDefault="00336793" w:rsidP="00DF0B96">
            <w:pPr>
              <w:pStyle w:val="TableofFigures"/>
              <w:rPr>
                <w:rFonts w:eastAsiaTheme="minorEastAsia" w:cs="Calibri"/>
                <w:color w:val="000000"/>
                <w:sz w:val="20"/>
                <w:szCs w:val="22"/>
                <w:lang w:eastAsia="en-AU"/>
              </w:rPr>
            </w:pPr>
            <w:r w:rsidRPr="00941F2A">
              <w:rPr>
                <w:rFonts w:eastAsiaTheme="minorEastAsia"/>
                <w:sz w:val="20"/>
                <w:lang w:eastAsia="en-AU"/>
              </w:rPr>
              <w:t>1 963.2</w:t>
            </w:r>
          </w:p>
        </w:tc>
        <w:tc>
          <w:tcPr>
            <w:tcW w:w="189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3 813.8</w:t>
            </w:r>
          </w:p>
        </w:tc>
        <w:tc>
          <w:tcPr>
            <w:tcW w:w="1111"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 xml:space="preserve"> 26.4</w:t>
            </w:r>
          </w:p>
        </w:tc>
        <w:tc>
          <w:tcPr>
            <w:tcW w:w="1112"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5 975.7</w:t>
            </w:r>
          </w:p>
        </w:tc>
      </w:tr>
      <w:tr w:rsidR="00336793" w:rsidRPr="00941F2A" w:rsidTr="00DF0B96">
        <w:tc>
          <w:tcPr>
            <w:tcW w:w="5327" w:type="dxa"/>
            <w:tcBorders>
              <w:top w:val="nil"/>
              <w:left w:val="nil"/>
              <w:bottom w:val="nil"/>
              <w:right w:val="nil"/>
            </w:tcBorders>
          </w:tcPr>
          <w:p w:rsidR="00336793" w:rsidRPr="00941F2A" w:rsidRDefault="00336793" w:rsidP="00DF0B96">
            <w:pPr>
              <w:pStyle w:val="Tabletext"/>
              <w:rPr>
                <w:rFonts w:eastAsiaTheme="minorEastAsia" w:cs="Calibri"/>
                <w:color w:val="000000"/>
                <w:sz w:val="20"/>
                <w:szCs w:val="22"/>
                <w:vertAlign w:val="superscript"/>
                <w:lang w:eastAsia="en-AU"/>
              </w:rPr>
            </w:pPr>
            <w:r w:rsidRPr="00941F2A">
              <w:rPr>
                <w:rFonts w:eastAsiaTheme="minorEastAsia"/>
                <w:sz w:val="20"/>
                <w:lang w:eastAsia="en-AU"/>
              </w:rPr>
              <w:t>Transfer to accumulated surplus</w:t>
            </w:r>
            <w:r w:rsidRPr="00E96950">
              <w:rPr>
                <w:rFonts w:eastAsiaTheme="minorEastAsia"/>
                <w:sz w:val="20"/>
                <w:vertAlign w:val="superscript"/>
                <w:lang w:eastAsia="en-AU"/>
              </w:rPr>
              <w:t xml:space="preserve"> (</w:t>
            </w:r>
            <w:r w:rsidRPr="00941F2A">
              <w:rPr>
                <w:rFonts w:eastAsiaTheme="minorEastAsia" w:cs="Calibri"/>
                <w:color w:val="000000"/>
                <w:sz w:val="20"/>
                <w:szCs w:val="22"/>
                <w:vertAlign w:val="superscript"/>
                <w:lang w:eastAsia="en-AU"/>
              </w:rPr>
              <w:t>c)</w:t>
            </w:r>
          </w:p>
        </w:tc>
        <w:tc>
          <w:tcPr>
            <w:tcW w:w="1530" w:type="dxa"/>
            <w:tcBorders>
              <w:top w:val="nil"/>
              <w:left w:val="nil"/>
              <w:bottom w:val="nil"/>
              <w:right w:val="nil"/>
            </w:tcBorders>
          </w:tcPr>
          <w:p w:rsidR="00336793" w:rsidRPr="00941F2A" w:rsidRDefault="00336793" w:rsidP="00DF0B96">
            <w:pPr>
              <w:pStyle w:val="TableofFigures"/>
              <w:rPr>
                <w:rFonts w:eastAsiaTheme="minorEastAsia" w:cs="Calibri"/>
                <w:color w:val="000000"/>
                <w:sz w:val="20"/>
                <w:szCs w:val="22"/>
                <w:lang w:eastAsia="en-AU"/>
              </w:rPr>
            </w:pPr>
            <w:r w:rsidRPr="00941F2A">
              <w:rPr>
                <w:rFonts w:eastAsiaTheme="minorEastAsia"/>
                <w:sz w:val="20"/>
                <w:lang w:eastAsia="en-AU"/>
              </w:rPr>
              <w:t xml:space="preserve"> </w:t>
            </w:r>
            <w:r w:rsidRPr="00941F2A">
              <w:rPr>
                <w:rFonts w:eastAsiaTheme="minorEastAsia" w:cs="Calibri"/>
                <w:color w:val="000000"/>
                <w:sz w:val="20"/>
                <w:szCs w:val="22"/>
                <w:lang w:eastAsia="en-AU"/>
              </w:rPr>
              <w:t>284.8</w:t>
            </w:r>
          </w:p>
        </w:tc>
        <w:tc>
          <w:tcPr>
            <w:tcW w:w="153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2070"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941F2A">
              <w:rPr>
                <w:rFonts w:eastAsiaTheme="minorEastAsia" w:cs="Calibri"/>
                <w:color w:val="000000"/>
                <w:sz w:val="20"/>
                <w:szCs w:val="22"/>
                <w:lang w:eastAsia="en-AU"/>
              </w:rPr>
              <w:t>284.8)</w:t>
            </w:r>
          </w:p>
        </w:tc>
        <w:tc>
          <w:tcPr>
            <w:tcW w:w="1890"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1111"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c>
          <w:tcPr>
            <w:tcW w:w="1112" w:type="dxa"/>
            <w:tcBorders>
              <w:top w:val="nil"/>
              <w:left w:val="nil"/>
              <w:bottom w:val="nil"/>
              <w:right w:val="nil"/>
            </w:tcBorders>
          </w:tcPr>
          <w:p w:rsidR="00336793" w:rsidRPr="00941F2A" w:rsidRDefault="00336793" w:rsidP="00DF0B96">
            <w:pPr>
              <w:pStyle w:val="TableofFigures"/>
              <w:rPr>
                <w:rFonts w:eastAsiaTheme="minorEastAsia"/>
                <w:sz w:val="20"/>
                <w:lang w:eastAsia="en-AU"/>
              </w:rPr>
            </w:pPr>
            <w:r w:rsidRPr="00941F2A">
              <w:rPr>
                <w:rFonts w:eastAsiaTheme="minorEastAsia"/>
                <w:sz w:val="20"/>
                <w:lang w:eastAsia="en-AU"/>
              </w:rPr>
              <w:t>..</w:t>
            </w:r>
          </w:p>
        </w:tc>
      </w:tr>
      <w:tr w:rsidR="00336793" w:rsidRPr="00941F2A" w:rsidTr="00DF0B96">
        <w:tc>
          <w:tcPr>
            <w:tcW w:w="5327"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text"/>
              <w:rPr>
                <w:rFonts w:eastAsiaTheme="minorEastAsia"/>
                <w:b/>
                <w:bCs/>
                <w:sz w:val="20"/>
                <w:lang w:eastAsia="en-AU"/>
              </w:rPr>
            </w:pPr>
            <w:r w:rsidRPr="00941F2A">
              <w:rPr>
                <w:rFonts w:eastAsiaTheme="minorEastAsia"/>
                <w:b/>
                <w:bCs/>
                <w:sz w:val="20"/>
                <w:lang w:eastAsia="en-AU"/>
              </w:rPr>
              <w:t>Total equity as at 30 June 2014</w:t>
            </w:r>
            <w:r w:rsidRPr="00E96950">
              <w:rPr>
                <w:rFonts w:eastAsiaTheme="minorEastAsia"/>
                <w:b/>
                <w:bCs/>
                <w:sz w:val="20"/>
                <w:vertAlign w:val="superscript"/>
                <w:lang w:eastAsia="en-AU"/>
              </w:rPr>
              <w:t xml:space="preserve"> (</w:t>
            </w:r>
            <w:r w:rsidRPr="00941F2A">
              <w:rPr>
                <w:rFonts w:eastAsiaTheme="minorEastAsia"/>
                <w:b/>
                <w:bCs/>
                <w:sz w:val="20"/>
                <w:vertAlign w:val="superscript"/>
                <w:lang w:eastAsia="en-AU"/>
              </w:rPr>
              <w:t>b)</w:t>
            </w:r>
          </w:p>
        </w:tc>
        <w:tc>
          <w:tcPr>
            <w:tcW w:w="1530"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43 634.6</w:t>
            </w:r>
          </w:p>
        </w:tc>
        <w:tc>
          <w:tcPr>
            <w:tcW w:w="1530"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50.0</w:t>
            </w:r>
          </w:p>
        </w:tc>
        <w:tc>
          <w:tcPr>
            <w:tcW w:w="2070"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41 965.2</w:t>
            </w:r>
          </w:p>
        </w:tc>
        <w:tc>
          <w:tcPr>
            <w:tcW w:w="1890"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42 187.3</w:t>
            </w:r>
          </w:p>
        </w:tc>
        <w:tc>
          <w:tcPr>
            <w:tcW w:w="1111"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 xml:space="preserve"> 640.3</w:t>
            </w:r>
          </w:p>
        </w:tc>
        <w:tc>
          <w:tcPr>
            <w:tcW w:w="1112"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0"/>
                <w:lang w:eastAsia="en-AU"/>
              </w:rPr>
            </w:pPr>
            <w:r w:rsidRPr="00941F2A">
              <w:rPr>
                <w:rFonts w:eastAsiaTheme="minorEastAsia"/>
                <w:b/>
                <w:bCs/>
                <w:sz w:val="20"/>
                <w:lang w:eastAsia="en-AU"/>
              </w:rPr>
              <w:t>128 477.4</w:t>
            </w:r>
          </w:p>
        </w:tc>
      </w:tr>
    </w:tbl>
    <w:p w:rsidR="00336793" w:rsidRDefault="00336793" w:rsidP="00DF0B96">
      <w:pPr>
        <w:pStyle w:val="Source"/>
      </w:pPr>
      <w:r>
        <w:t>The accompanying notes form part of these financial statements</w:t>
      </w:r>
    </w:p>
    <w:p w:rsidR="00336793" w:rsidRDefault="00336793" w:rsidP="00DF0B96">
      <w:pPr>
        <w:pStyle w:val="Notes"/>
      </w:pPr>
      <w:r>
        <w:t>Notes:</w:t>
      </w:r>
    </w:p>
    <w:p w:rsidR="00336793" w:rsidRDefault="00336793" w:rsidP="00DF0B96">
      <w:pPr>
        <w:pStyle w:val="Notes"/>
      </w:pPr>
      <w:r>
        <w:t>(a)</w:t>
      </w:r>
      <w:r>
        <w:tab/>
        <w:t>Non</w:t>
      </w:r>
      <w:r>
        <w:noBreakHyphen/>
        <w:t>financial assets revaluation surplus relates to revaluation of land, buildings, infrastructure, plant and equipment.</w:t>
      </w:r>
    </w:p>
    <w:p w:rsidR="00336793" w:rsidRDefault="00336793" w:rsidP="00DF0B96">
      <w:pPr>
        <w:pStyle w:val="Notes"/>
      </w:pPr>
      <w:r>
        <w:t>(b)</w:t>
      </w:r>
      <w:r>
        <w:tab/>
        <w:t>June 2014 comparative figures have been restated. See Note 37.</w:t>
      </w:r>
    </w:p>
    <w:p w:rsidR="00336793" w:rsidRDefault="00336793" w:rsidP="00DF0B96">
      <w:pPr>
        <w:pStyle w:val="Notes"/>
        <w:sectPr w:rsidR="00336793" w:rsidSect="00DF0B96">
          <w:headerReference w:type="even" r:id="rId36"/>
          <w:headerReference w:type="default" r:id="rId37"/>
          <w:footerReference w:type="even" r:id="rId38"/>
          <w:footerReference w:type="default" r:id="rId39"/>
          <w:pgSz w:w="16838" w:h="11906" w:orient="landscape" w:code="9"/>
          <w:pgMar w:top="1152" w:right="1152" w:bottom="1152" w:left="1152" w:header="720" w:footer="720" w:gutter="0"/>
          <w:cols w:space="708"/>
          <w:docGrid w:linePitch="360"/>
        </w:sectPr>
      </w:pPr>
      <w:r>
        <w:t>(c)</w:t>
      </w:r>
      <w:r>
        <w:tab/>
        <w:t>Transfer of reserves to accumulated surplus for ceased departments as part of the announced machinery of government changes effective from 1 January 2015. See Note 42.</w:t>
      </w:r>
    </w:p>
    <w:p w:rsidR="00336793" w:rsidRPr="002D292F" w:rsidRDefault="00336793" w:rsidP="00DF0B96">
      <w:pPr>
        <w:pStyle w:val="Heading1"/>
      </w:pPr>
      <w:bookmarkStart w:id="30" w:name="_Toc433984476"/>
      <w:r w:rsidRPr="002D292F">
        <w:lastRenderedPageBreak/>
        <w:t>Notes to the financial statements</w:t>
      </w:r>
      <w:bookmarkEnd w:id="30"/>
    </w:p>
    <w:p w:rsidR="0092044D" w:rsidRDefault="00336793">
      <w:pPr>
        <w:pStyle w:val="TOC4"/>
        <w:rPr>
          <w:rFonts w:asciiTheme="minorHAnsi" w:eastAsiaTheme="minorEastAsia" w:hAnsiTheme="minorHAnsi" w:cstheme="minorBidi"/>
          <w:szCs w:val="22"/>
          <w:lang w:eastAsia="en-AU"/>
        </w:rPr>
      </w:pPr>
      <w:r w:rsidRPr="002D292F">
        <w:fldChar w:fldCharType="begin"/>
      </w:r>
      <w:r w:rsidRPr="002D292F">
        <w:instrText xml:space="preserve"> TOC \h \z \t "Heading 2 Notes,4" </w:instrText>
      </w:r>
      <w:r w:rsidRPr="002D292F">
        <w:fldChar w:fldCharType="separate"/>
      </w:r>
      <w:hyperlink w:anchor="_Toc433984484" w:history="1">
        <w:r w:rsidR="0092044D" w:rsidRPr="004D3C94">
          <w:rPr>
            <w:rStyle w:val="Hyperlink"/>
          </w:rPr>
          <w:t>Note 1:</w:t>
        </w:r>
        <w:r w:rsidR="0092044D">
          <w:rPr>
            <w:rFonts w:asciiTheme="minorHAnsi" w:eastAsiaTheme="minorEastAsia" w:hAnsiTheme="minorHAnsi" w:cstheme="minorBidi"/>
            <w:szCs w:val="22"/>
            <w:lang w:eastAsia="en-AU"/>
          </w:rPr>
          <w:tab/>
        </w:r>
        <w:r w:rsidR="0092044D" w:rsidRPr="004D3C94">
          <w:rPr>
            <w:rStyle w:val="Hyperlink"/>
          </w:rPr>
          <w:t>Summary of significant accounting policies</w:t>
        </w:r>
        <w:r w:rsidR="0092044D">
          <w:rPr>
            <w:webHidden/>
          </w:rPr>
          <w:tab/>
        </w:r>
        <w:r w:rsidR="0092044D">
          <w:rPr>
            <w:webHidden/>
          </w:rPr>
          <w:fldChar w:fldCharType="begin"/>
        </w:r>
        <w:r w:rsidR="0092044D">
          <w:rPr>
            <w:webHidden/>
          </w:rPr>
          <w:instrText xml:space="preserve"> PAGEREF _Toc433984484 \h </w:instrText>
        </w:r>
        <w:r w:rsidR="0092044D">
          <w:rPr>
            <w:webHidden/>
          </w:rPr>
        </w:r>
        <w:r w:rsidR="0092044D">
          <w:rPr>
            <w:webHidden/>
          </w:rPr>
          <w:fldChar w:fldCharType="separate"/>
        </w:r>
        <w:r w:rsidR="0092044D">
          <w:rPr>
            <w:webHidden/>
          </w:rPr>
          <w:t>31</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85" w:history="1">
        <w:r w:rsidR="0092044D" w:rsidRPr="004D3C94">
          <w:rPr>
            <w:rStyle w:val="Hyperlink"/>
          </w:rPr>
          <w:t>Note 2:</w:t>
        </w:r>
        <w:r w:rsidR="0092044D">
          <w:rPr>
            <w:rFonts w:asciiTheme="minorHAnsi" w:eastAsiaTheme="minorEastAsia" w:hAnsiTheme="minorHAnsi" w:cstheme="minorBidi"/>
            <w:szCs w:val="22"/>
            <w:lang w:eastAsia="en-AU"/>
          </w:rPr>
          <w:tab/>
        </w:r>
        <w:r w:rsidR="0092044D" w:rsidRPr="004D3C94">
          <w:rPr>
            <w:rStyle w:val="Hyperlink"/>
          </w:rPr>
          <w:t>Disaggregated information</w:t>
        </w:r>
        <w:r w:rsidR="0092044D">
          <w:rPr>
            <w:webHidden/>
          </w:rPr>
          <w:tab/>
        </w:r>
        <w:r w:rsidR="0092044D">
          <w:rPr>
            <w:webHidden/>
          </w:rPr>
          <w:fldChar w:fldCharType="begin"/>
        </w:r>
        <w:r w:rsidR="0092044D">
          <w:rPr>
            <w:webHidden/>
          </w:rPr>
          <w:instrText xml:space="preserve"> PAGEREF _Toc433984485 \h </w:instrText>
        </w:r>
        <w:r w:rsidR="0092044D">
          <w:rPr>
            <w:webHidden/>
          </w:rPr>
        </w:r>
        <w:r w:rsidR="0092044D">
          <w:rPr>
            <w:webHidden/>
          </w:rPr>
          <w:fldChar w:fldCharType="separate"/>
        </w:r>
        <w:r w:rsidR="0092044D">
          <w:rPr>
            <w:webHidden/>
          </w:rPr>
          <w:t>58</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86" w:history="1">
        <w:r w:rsidR="0092044D" w:rsidRPr="004D3C94">
          <w:rPr>
            <w:rStyle w:val="Hyperlink"/>
          </w:rPr>
          <w:t>Note 3:</w:t>
        </w:r>
        <w:r w:rsidR="0092044D">
          <w:rPr>
            <w:rFonts w:asciiTheme="minorHAnsi" w:eastAsiaTheme="minorEastAsia" w:hAnsiTheme="minorHAnsi" w:cstheme="minorBidi"/>
            <w:szCs w:val="22"/>
            <w:lang w:eastAsia="en-AU"/>
          </w:rPr>
          <w:tab/>
        </w:r>
        <w:r w:rsidR="0092044D" w:rsidRPr="004D3C94">
          <w:rPr>
            <w:rStyle w:val="Hyperlink"/>
          </w:rPr>
          <w:t>Taxation revenue</w:t>
        </w:r>
        <w:r w:rsidR="0092044D">
          <w:rPr>
            <w:webHidden/>
          </w:rPr>
          <w:tab/>
        </w:r>
        <w:r w:rsidR="0092044D">
          <w:rPr>
            <w:webHidden/>
          </w:rPr>
          <w:fldChar w:fldCharType="begin"/>
        </w:r>
        <w:r w:rsidR="0092044D">
          <w:rPr>
            <w:webHidden/>
          </w:rPr>
          <w:instrText xml:space="preserve"> PAGEREF _Toc433984486 \h </w:instrText>
        </w:r>
        <w:r w:rsidR="0092044D">
          <w:rPr>
            <w:webHidden/>
          </w:rPr>
        </w:r>
        <w:r w:rsidR="0092044D">
          <w:rPr>
            <w:webHidden/>
          </w:rPr>
          <w:fldChar w:fldCharType="separate"/>
        </w:r>
        <w:r w:rsidR="0092044D">
          <w:rPr>
            <w:webHidden/>
          </w:rPr>
          <w:t>66</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87" w:history="1">
        <w:r w:rsidR="0092044D" w:rsidRPr="004D3C94">
          <w:rPr>
            <w:rStyle w:val="Hyperlink"/>
          </w:rPr>
          <w:t>Note 4:</w:t>
        </w:r>
        <w:r w:rsidR="0092044D">
          <w:rPr>
            <w:rFonts w:asciiTheme="minorHAnsi" w:eastAsiaTheme="minorEastAsia" w:hAnsiTheme="minorHAnsi" w:cstheme="minorBidi"/>
            <w:szCs w:val="22"/>
            <w:lang w:eastAsia="en-AU"/>
          </w:rPr>
          <w:tab/>
        </w:r>
        <w:r w:rsidR="0092044D" w:rsidRPr="004D3C94">
          <w:rPr>
            <w:rStyle w:val="Hyperlink"/>
          </w:rPr>
          <w:t>Dividends and income tax equivalent and rate equivalent revenue</w:t>
        </w:r>
        <w:r w:rsidR="0092044D">
          <w:rPr>
            <w:webHidden/>
          </w:rPr>
          <w:tab/>
        </w:r>
        <w:r w:rsidR="0092044D">
          <w:rPr>
            <w:webHidden/>
          </w:rPr>
          <w:fldChar w:fldCharType="begin"/>
        </w:r>
        <w:r w:rsidR="0092044D">
          <w:rPr>
            <w:webHidden/>
          </w:rPr>
          <w:instrText xml:space="preserve"> PAGEREF _Toc433984487 \h </w:instrText>
        </w:r>
        <w:r w:rsidR="0092044D">
          <w:rPr>
            <w:webHidden/>
          </w:rPr>
        </w:r>
        <w:r w:rsidR="0092044D">
          <w:rPr>
            <w:webHidden/>
          </w:rPr>
          <w:fldChar w:fldCharType="separate"/>
        </w:r>
        <w:r w:rsidR="0092044D">
          <w:rPr>
            <w:webHidden/>
          </w:rPr>
          <w:t>67</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88" w:history="1">
        <w:r w:rsidR="0092044D" w:rsidRPr="004D3C94">
          <w:rPr>
            <w:rStyle w:val="Hyperlink"/>
          </w:rPr>
          <w:t>Note 5:</w:t>
        </w:r>
        <w:r w:rsidR="0092044D">
          <w:rPr>
            <w:rFonts w:asciiTheme="minorHAnsi" w:eastAsiaTheme="minorEastAsia" w:hAnsiTheme="minorHAnsi" w:cstheme="minorBidi"/>
            <w:szCs w:val="22"/>
            <w:lang w:eastAsia="en-AU"/>
          </w:rPr>
          <w:tab/>
        </w:r>
        <w:r w:rsidR="0092044D" w:rsidRPr="004D3C94">
          <w:rPr>
            <w:rStyle w:val="Hyperlink"/>
          </w:rPr>
          <w:t>Sales of goods and services</w:t>
        </w:r>
        <w:r w:rsidR="0092044D">
          <w:rPr>
            <w:webHidden/>
          </w:rPr>
          <w:tab/>
        </w:r>
        <w:r w:rsidR="0092044D">
          <w:rPr>
            <w:webHidden/>
          </w:rPr>
          <w:fldChar w:fldCharType="begin"/>
        </w:r>
        <w:r w:rsidR="0092044D">
          <w:rPr>
            <w:webHidden/>
          </w:rPr>
          <w:instrText xml:space="preserve"> PAGEREF _Toc433984488 \h </w:instrText>
        </w:r>
        <w:r w:rsidR="0092044D">
          <w:rPr>
            <w:webHidden/>
          </w:rPr>
        </w:r>
        <w:r w:rsidR="0092044D">
          <w:rPr>
            <w:webHidden/>
          </w:rPr>
          <w:fldChar w:fldCharType="separate"/>
        </w:r>
        <w:r w:rsidR="0092044D">
          <w:rPr>
            <w:webHidden/>
          </w:rPr>
          <w:t>68</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89" w:history="1">
        <w:r w:rsidR="0092044D" w:rsidRPr="004D3C94">
          <w:rPr>
            <w:rStyle w:val="Hyperlink"/>
          </w:rPr>
          <w:t>Note 6:</w:t>
        </w:r>
        <w:r w:rsidR="0092044D">
          <w:rPr>
            <w:rFonts w:asciiTheme="minorHAnsi" w:eastAsiaTheme="minorEastAsia" w:hAnsiTheme="minorHAnsi" w:cstheme="minorBidi"/>
            <w:szCs w:val="22"/>
            <w:lang w:eastAsia="en-AU"/>
          </w:rPr>
          <w:tab/>
        </w:r>
        <w:r w:rsidR="0092044D" w:rsidRPr="004D3C94">
          <w:rPr>
            <w:rStyle w:val="Hyperlink"/>
          </w:rPr>
          <w:t>Grant revenue</w:t>
        </w:r>
        <w:r w:rsidR="0092044D">
          <w:rPr>
            <w:webHidden/>
          </w:rPr>
          <w:tab/>
        </w:r>
        <w:r w:rsidR="0092044D">
          <w:rPr>
            <w:webHidden/>
          </w:rPr>
          <w:fldChar w:fldCharType="begin"/>
        </w:r>
        <w:r w:rsidR="0092044D">
          <w:rPr>
            <w:webHidden/>
          </w:rPr>
          <w:instrText xml:space="preserve"> PAGEREF _Toc433984489 \h </w:instrText>
        </w:r>
        <w:r w:rsidR="0092044D">
          <w:rPr>
            <w:webHidden/>
          </w:rPr>
        </w:r>
        <w:r w:rsidR="0092044D">
          <w:rPr>
            <w:webHidden/>
          </w:rPr>
          <w:fldChar w:fldCharType="separate"/>
        </w:r>
        <w:r w:rsidR="0092044D">
          <w:rPr>
            <w:webHidden/>
          </w:rPr>
          <w:t>68</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90" w:history="1">
        <w:r w:rsidR="0092044D" w:rsidRPr="004D3C94">
          <w:rPr>
            <w:rStyle w:val="Hyperlink"/>
          </w:rPr>
          <w:t>Note 7:</w:t>
        </w:r>
        <w:r w:rsidR="0092044D">
          <w:rPr>
            <w:rFonts w:asciiTheme="minorHAnsi" w:eastAsiaTheme="minorEastAsia" w:hAnsiTheme="minorHAnsi" w:cstheme="minorBidi"/>
            <w:szCs w:val="22"/>
            <w:lang w:eastAsia="en-AU"/>
          </w:rPr>
          <w:tab/>
        </w:r>
        <w:r w:rsidR="0092044D" w:rsidRPr="004D3C94">
          <w:rPr>
            <w:rStyle w:val="Hyperlink"/>
          </w:rPr>
          <w:t>Other revenue</w:t>
        </w:r>
        <w:r w:rsidR="0092044D">
          <w:rPr>
            <w:webHidden/>
          </w:rPr>
          <w:tab/>
        </w:r>
        <w:r w:rsidR="0092044D">
          <w:rPr>
            <w:webHidden/>
          </w:rPr>
          <w:fldChar w:fldCharType="begin"/>
        </w:r>
        <w:r w:rsidR="0092044D">
          <w:rPr>
            <w:webHidden/>
          </w:rPr>
          <w:instrText xml:space="preserve"> PAGEREF _Toc433984490 \h </w:instrText>
        </w:r>
        <w:r w:rsidR="0092044D">
          <w:rPr>
            <w:webHidden/>
          </w:rPr>
        </w:r>
        <w:r w:rsidR="0092044D">
          <w:rPr>
            <w:webHidden/>
          </w:rPr>
          <w:fldChar w:fldCharType="separate"/>
        </w:r>
        <w:r w:rsidR="0092044D">
          <w:rPr>
            <w:webHidden/>
          </w:rPr>
          <w:t>68</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91" w:history="1">
        <w:r w:rsidR="0092044D" w:rsidRPr="004D3C94">
          <w:rPr>
            <w:rStyle w:val="Hyperlink"/>
          </w:rPr>
          <w:t>Note 8:</w:t>
        </w:r>
        <w:r w:rsidR="0092044D">
          <w:rPr>
            <w:rFonts w:asciiTheme="minorHAnsi" w:eastAsiaTheme="minorEastAsia" w:hAnsiTheme="minorHAnsi" w:cstheme="minorBidi"/>
            <w:szCs w:val="22"/>
            <w:lang w:eastAsia="en-AU"/>
          </w:rPr>
          <w:tab/>
        </w:r>
        <w:r w:rsidR="0092044D" w:rsidRPr="004D3C94">
          <w:rPr>
            <w:rStyle w:val="Hyperlink"/>
          </w:rPr>
          <w:t>Superannuation</w:t>
        </w:r>
        <w:r w:rsidR="0092044D">
          <w:rPr>
            <w:webHidden/>
          </w:rPr>
          <w:tab/>
        </w:r>
        <w:r w:rsidR="0092044D">
          <w:rPr>
            <w:webHidden/>
          </w:rPr>
          <w:fldChar w:fldCharType="begin"/>
        </w:r>
        <w:r w:rsidR="0092044D">
          <w:rPr>
            <w:webHidden/>
          </w:rPr>
          <w:instrText xml:space="preserve"> PAGEREF _Toc433984491 \h </w:instrText>
        </w:r>
        <w:r w:rsidR="0092044D">
          <w:rPr>
            <w:webHidden/>
          </w:rPr>
        </w:r>
        <w:r w:rsidR="0092044D">
          <w:rPr>
            <w:webHidden/>
          </w:rPr>
          <w:fldChar w:fldCharType="separate"/>
        </w:r>
        <w:r w:rsidR="0092044D">
          <w:rPr>
            <w:webHidden/>
          </w:rPr>
          <w:t>69</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92" w:history="1">
        <w:r w:rsidR="0092044D" w:rsidRPr="004D3C94">
          <w:rPr>
            <w:rStyle w:val="Hyperlink"/>
          </w:rPr>
          <w:t>Note 9:</w:t>
        </w:r>
        <w:r w:rsidR="0092044D">
          <w:rPr>
            <w:rFonts w:asciiTheme="minorHAnsi" w:eastAsiaTheme="minorEastAsia" w:hAnsiTheme="minorHAnsi" w:cstheme="minorBidi"/>
            <w:szCs w:val="22"/>
            <w:lang w:eastAsia="en-AU"/>
          </w:rPr>
          <w:tab/>
        </w:r>
        <w:r w:rsidR="0092044D" w:rsidRPr="004D3C94">
          <w:rPr>
            <w:rStyle w:val="Hyperlink"/>
          </w:rPr>
          <w:t>Depreciation</w:t>
        </w:r>
        <w:r w:rsidR="0092044D">
          <w:rPr>
            <w:webHidden/>
          </w:rPr>
          <w:tab/>
        </w:r>
        <w:r w:rsidR="0092044D">
          <w:rPr>
            <w:webHidden/>
          </w:rPr>
          <w:fldChar w:fldCharType="begin"/>
        </w:r>
        <w:r w:rsidR="0092044D">
          <w:rPr>
            <w:webHidden/>
          </w:rPr>
          <w:instrText xml:space="preserve"> PAGEREF _Toc433984492 \h </w:instrText>
        </w:r>
        <w:r w:rsidR="0092044D">
          <w:rPr>
            <w:webHidden/>
          </w:rPr>
        </w:r>
        <w:r w:rsidR="0092044D">
          <w:rPr>
            <w:webHidden/>
          </w:rPr>
          <w:fldChar w:fldCharType="separate"/>
        </w:r>
        <w:r w:rsidR="0092044D">
          <w:rPr>
            <w:webHidden/>
          </w:rPr>
          <w:t>74</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93" w:history="1">
        <w:r w:rsidR="0092044D" w:rsidRPr="004D3C94">
          <w:rPr>
            <w:rStyle w:val="Hyperlink"/>
          </w:rPr>
          <w:t>Note 10:</w:t>
        </w:r>
        <w:r w:rsidR="0092044D">
          <w:rPr>
            <w:rFonts w:asciiTheme="minorHAnsi" w:eastAsiaTheme="minorEastAsia" w:hAnsiTheme="minorHAnsi" w:cstheme="minorBidi"/>
            <w:szCs w:val="22"/>
            <w:lang w:eastAsia="en-AU"/>
          </w:rPr>
          <w:tab/>
        </w:r>
        <w:r w:rsidR="0092044D" w:rsidRPr="004D3C94">
          <w:rPr>
            <w:rStyle w:val="Hyperlink"/>
          </w:rPr>
          <w:t>Interest expense</w:t>
        </w:r>
        <w:r w:rsidR="0092044D">
          <w:rPr>
            <w:webHidden/>
          </w:rPr>
          <w:tab/>
        </w:r>
        <w:r w:rsidR="0092044D">
          <w:rPr>
            <w:webHidden/>
          </w:rPr>
          <w:fldChar w:fldCharType="begin"/>
        </w:r>
        <w:r w:rsidR="0092044D">
          <w:rPr>
            <w:webHidden/>
          </w:rPr>
          <w:instrText xml:space="preserve"> PAGEREF _Toc433984493 \h </w:instrText>
        </w:r>
        <w:r w:rsidR="0092044D">
          <w:rPr>
            <w:webHidden/>
          </w:rPr>
        </w:r>
        <w:r w:rsidR="0092044D">
          <w:rPr>
            <w:webHidden/>
          </w:rPr>
          <w:fldChar w:fldCharType="separate"/>
        </w:r>
        <w:r w:rsidR="0092044D">
          <w:rPr>
            <w:webHidden/>
          </w:rPr>
          <w:t>74</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94" w:history="1">
        <w:r w:rsidR="0092044D" w:rsidRPr="004D3C94">
          <w:rPr>
            <w:rStyle w:val="Hyperlink"/>
          </w:rPr>
          <w:t>Note 11:</w:t>
        </w:r>
        <w:r w:rsidR="0092044D">
          <w:rPr>
            <w:rFonts w:asciiTheme="minorHAnsi" w:eastAsiaTheme="minorEastAsia" w:hAnsiTheme="minorHAnsi" w:cstheme="minorBidi"/>
            <w:szCs w:val="22"/>
            <w:lang w:eastAsia="en-AU"/>
          </w:rPr>
          <w:tab/>
        </w:r>
        <w:r w:rsidR="0092044D" w:rsidRPr="004D3C94">
          <w:rPr>
            <w:rStyle w:val="Hyperlink"/>
          </w:rPr>
          <w:t>Grant expense</w:t>
        </w:r>
        <w:r w:rsidR="0092044D">
          <w:rPr>
            <w:webHidden/>
          </w:rPr>
          <w:tab/>
        </w:r>
        <w:r w:rsidR="0092044D">
          <w:rPr>
            <w:webHidden/>
          </w:rPr>
          <w:fldChar w:fldCharType="begin"/>
        </w:r>
        <w:r w:rsidR="0092044D">
          <w:rPr>
            <w:webHidden/>
          </w:rPr>
          <w:instrText xml:space="preserve"> PAGEREF _Toc433984494 \h </w:instrText>
        </w:r>
        <w:r w:rsidR="0092044D">
          <w:rPr>
            <w:webHidden/>
          </w:rPr>
        </w:r>
        <w:r w:rsidR="0092044D">
          <w:rPr>
            <w:webHidden/>
          </w:rPr>
          <w:fldChar w:fldCharType="separate"/>
        </w:r>
        <w:r w:rsidR="0092044D">
          <w:rPr>
            <w:webHidden/>
          </w:rPr>
          <w:t>74</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95" w:history="1">
        <w:r w:rsidR="0092044D" w:rsidRPr="004D3C94">
          <w:rPr>
            <w:rStyle w:val="Hyperlink"/>
          </w:rPr>
          <w:t>Note 12:</w:t>
        </w:r>
        <w:r w:rsidR="0092044D">
          <w:rPr>
            <w:rFonts w:asciiTheme="minorHAnsi" w:eastAsiaTheme="minorEastAsia" w:hAnsiTheme="minorHAnsi" w:cstheme="minorBidi"/>
            <w:szCs w:val="22"/>
            <w:lang w:eastAsia="en-AU"/>
          </w:rPr>
          <w:tab/>
        </w:r>
        <w:r w:rsidR="0092044D" w:rsidRPr="004D3C94">
          <w:rPr>
            <w:rStyle w:val="Hyperlink"/>
          </w:rPr>
          <w:t>Other operating expenses</w:t>
        </w:r>
        <w:r w:rsidR="0092044D">
          <w:rPr>
            <w:webHidden/>
          </w:rPr>
          <w:tab/>
        </w:r>
        <w:r w:rsidR="0092044D">
          <w:rPr>
            <w:webHidden/>
          </w:rPr>
          <w:fldChar w:fldCharType="begin"/>
        </w:r>
        <w:r w:rsidR="0092044D">
          <w:rPr>
            <w:webHidden/>
          </w:rPr>
          <w:instrText xml:space="preserve"> PAGEREF _Toc433984495 \h </w:instrText>
        </w:r>
        <w:r w:rsidR="0092044D">
          <w:rPr>
            <w:webHidden/>
          </w:rPr>
        </w:r>
        <w:r w:rsidR="0092044D">
          <w:rPr>
            <w:webHidden/>
          </w:rPr>
          <w:fldChar w:fldCharType="separate"/>
        </w:r>
        <w:r w:rsidR="0092044D">
          <w:rPr>
            <w:webHidden/>
          </w:rPr>
          <w:t>75</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96" w:history="1">
        <w:r w:rsidR="0092044D" w:rsidRPr="004D3C94">
          <w:rPr>
            <w:rStyle w:val="Hyperlink"/>
          </w:rPr>
          <w:t>Note 13:</w:t>
        </w:r>
        <w:r w:rsidR="0092044D">
          <w:rPr>
            <w:rFonts w:asciiTheme="minorHAnsi" w:eastAsiaTheme="minorEastAsia" w:hAnsiTheme="minorHAnsi" w:cstheme="minorBidi"/>
            <w:szCs w:val="22"/>
            <w:lang w:eastAsia="en-AU"/>
          </w:rPr>
          <w:tab/>
        </w:r>
        <w:r w:rsidR="0092044D" w:rsidRPr="004D3C94">
          <w:rPr>
            <w:rStyle w:val="Hyperlink"/>
          </w:rPr>
          <w:t>Expenses by government purpose and by department</w:t>
        </w:r>
        <w:r w:rsidR="0092044D">
          <w:rPr>
            <w:webHidden/>
          </w:rPr>
          <w:tab/>
        </w:r>
        <w:r w:rsidR="0092044D">
          <w:rPr>
            <w:webHidden/>
          </w:rPr>
          <w:fldChar w:fldCharType="begin"/>
        </w:r>
        <w:r w:rsidR="0092044D">
          <w:rPr>
            <w:webHidden/>
          </w:rPr>
          <w:instrText xml:space="preserve"> PAGEREF _Toc433984496 \h </w:instrText>
        </w:r>
        <w:r w:rsidR="0092044D">
          <w:rPr>
            <w:webHidden/>
          </w:rPr>
        </w:r>
        <w:r w:rsidR="0092044D">
          <w:rPr>
            <w:webHidden/>
          </w:rPr>
          <w:fldChar w:fldCharType="separate"/>
        </w:r>
        <w:r w:rsidR="0092044D">
          <w:rPr>
            <w:webHidden/>
          </w:rPr>
          <w:t>75</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97" w:history="1">
        <w:r w:rsidR="0092044D" w:rsidRPr="004D3C94">
          <w:rPr>
            <w:rStyle w:val="Hyperlink"/>
          </w:rPr>
          <w:t>Note 14:</w:t>
        </w:r>
        <w:r w:rsidR="0092044D">
          <w:rPr>
            <w:rFonts w:asciiTheme="minorHAnsi" w:eastAsiaTheme="minorEastAsia" w:hAnsiTheme="minorHAnsi" w:cstheme="minorBidi"/>
            <w:szCs w:val="22"/>
            <w:lang w:eastAsia="en-AU"/>
          </w:rPr>
          <w:tab/>
        </w:r>
        <w:r w:rsidR="0092044D" w:rsidRPr="004D3C94">
          <w:rPr>
            <w:rStyle w:val="Hyperlink"/>
          </w:rPr>
          <w:t>Net gain/(loss) on disposal of non</w:t>
        </w:r>
        <w:r w:rsidR="0092044D" w:rsidRPr="004D3C94">
          <w:rPr>
            <w:rStyle w:val="Hyperlink"/>
          </w:rPr>
          <w:noBreakHyphen/>
          <w:t>financial assets</w:t>
        </w:r>
        <w:r w:rsidR="0092044D">
          <w:rPr>
            <w:webHidden/>
          </w:rPr>
          <w:tab/>
        </w:r>
        <w:r w:rsidR="0092044D">
          <w:rPr>
            <w:webHidden/>
          </w:rPr>
          <w:fldChar w:fldCharType="begin"/>
        </w:r>
        <w:r w:rsidR="0092044D">
          <w:rPr>
            <w:webHidden/>
          </w:rPr>
          <w:instrText xml:space="preserve"> PAGEREF _Toc433984497 \h </w:instrText>
        </w:r>
        <w:r w:rsidR="0092044D">
          <w:rPr>
            <w:webHidden/>
          </w:rPr>
        </w:r>
        <w:r w:rsidR="0092044D">
          <w:rPr>
            <w:webHidden/>
          </w:rPr>
          <w:fldChar w:fldCharType="separate"/>
        </w:r>
        <w:r w:rsidR="0092044D">
          <w:rPr>
            <w:webHidden/>
          </w:rPr>
          <w:t>76</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98" w:history="1">
        <w:r w:rsidR="0092044D" w:rsidRPr="004D3C94">
          <w:rPr>
            <w:rStyle w:val="Hyperlink"/>
          </w:rPr>
          <w:t>Note 15:</w:t>
        </w:r>
        <w:r w:rsidR="0092044D">
          <w:rPr>
            <w:rFonts w:asciiTheme="minorHAnsi" w:eastAsiaTheme="minorEastAsia" w:hAnsiTheme="minorHAnsi" w:cstheme="minorBidi"/>
            <w:szCs w:val="22"/>
            <w:lang w:eastAsia="en-AU"/>
          </w:rPr>
          <w:tab/>
        </w:r>
        <w:r w:rsidR="0092044D" w:rsidRPr="004D3C94">
          <w:rPr>
            <w:rStyle w:val="Hyperlink"/>
          </w:rPr>
          <w:t>Other gains/(losses) from other economic flows</w:t>
        </w:r>
        <w:r w:rsidR="0092044D">
          <w:rPr>
            <w:webHidden/>
          </w:rPr>
          <w:tab/>
        </w:r>
        <w:r w:rsidR="0092044D">
          <w:rPr>
            <w:webHidden/>
          </w:rPr>
          <w:fldChar w:fldCharType="begin"/>
        </w:r>
        <w:r w:rsidR="0092044D">
          <w:rPr>
            <w:webHidden/>
          </w:rPr>
          <w:instrText xml:space="preserve"> PAGEREF _Toc433984498 \h </w:instrText>
        </w:r>
        <w:r w:rsidR="0092044D">
          <w:rPr>
            <w:webHidden/>
          </w:rPr>
        </w:r>
        <w:r w:rsidR="0092044D">
          <w:rPr>
            <w:webHidden/>
          </w:rPr>
          <w:fldChar w:fldCharType="separate"/>
        </w:r>
        <w:r w:rsidR="0092044D">
          <w:rPr>
            <w:webHidden/>
          </w:rPr>
          <w:t>77</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499" w:history="1">
        <w:r w:rsidR="0092044D" w:rsidRPr="004D3C94">
          <w:rPr>
            <w:rStyle w:val="Hyperlink"/>
          </w:rPr>
          <w:t>Note 16:</w:t>
        </w:r>
        <w:r w:rsidR="0092044D">
          <w:rPr>
            <w:rFonts w:asciiTheme="minorHAnsi" w:eastAsiaTheme="minorEastAsia" w:hAnsiTheme="minorHAnsi" w:cstheme="minorBidi"/>
            <w:szCs w:val="22"/>
            <w:lang w:eastAsia="en-AU"/>
          </w:rPr>
          <w:tab/>
        </w:r>
        <w:r w:rsidR="0092044D" w:rsidRPr="004D3C94">
          <w:rPr>
            <w:rStyle w:val="Hyperlink"/>
          </w:rPr>
          <w:t>Advances paid and investments, loans and placements</w:t>
        </w:r>
        <w:r w:rsidR="0092044D">
          <w:rPr>
            <w:webHidden/>
          </w:rPr>
          <w:tab/>
        </w:r>
        <w:r w:rsidR="0092044D">
          <w:rPr>
            <w:webHidden/>
          </w:rPr>
          <w:fldChar w:fldCharType="begin"/>
        </w:r>
        <w:r w:rsidR="0092044D">
          <w:rPr>
            <w:webHidden/>
          </w:rPr>
          <w:instrText xml:space="preserve"> PAGEREF _Toc433984499 \h </w:instrText>
        </w:r>
        <w:r w:rsidR="0092044D">
          <w:rPr>
            <w:webHidden/>
          </w:rPr>
        </w:r>
        <w:r w:rsidR="0092044D">
          <w:rPr>
            <w:webHidden/>
          </w:rPr>
          <w:fldChar w:fldCharType="separate"/>
        </w:r>
        <w:r w:rsidR="0092044D">
          <w:rPr>
            <w:webHidden/>
          </w:rPr>
          <w:t>77</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00" w:history="1">
        <w:r w:rsidR="0092044D" w:rsidRPr="004D3C94">
          <w:rPr>
            <w:rStyle w:val="Hyperlink"/>
          </w:rPr>
          <w:t>Note 17:</w:t>
        </w:r>
        <w:r w:rsidR="0092044D">
          <w:rPr>
            <w:rFonts w:asciiTheme="minorHAnsi" w:eastAsiaTheme="minorEastAsia" w:hAnsiTheme="minorHAnsi" w:cstheme="minorBidi"/>
            <w:szCs w:val="22"/>
            <w:lang w:eastAsia="en-AU"/>
          </w:rPr>
          <w:tab/>
        </w:r>
        <w:r w:rsidR="0092044D" w:rsidRPr="004D3C94">
          <w:rPr>
            <w:rStyle w:val="Hyperlink"/>
          </w:rPr>
          <w:t>Receivables</w:t>
        </w:r>
        <w:r w:rsidR="0092044D">
          <w:rPr>
            <w:webHidden/>
          </w:rPr>
          <w:tab/>
        </w:r>
        <w:r w:rsidR="0092044D">
          <w:rPr>
            <w:webHidden/>
          </w:rPr>
          <w:fldChar w:fldCharType="begin"/>
        </w:r>
        <w:r w:rsidR="0092044D">
          <w:rPr>
            <w:webHidden/>
          </w:rPr>
          <w:instrText xml:space="preserve"> PAGEREF _Toc433984500 \h </w:instrText>
        </w:r>
        <w:r w:rsidR="0092044D">
          <w:rPr>
            <w:webHidden/>
          </w:rPr>
        </w:r>
        <w:r w:rsidR="0092044D">
          <w:rPr>
            <w:webHidden/>
          </w:rPr>
          <w:fldChar w:fldCharType="separate"/>
        </w:r>
        <w:r w:rsidR="0092044D">
          <w:rPr>
            <w:webHidden/>
          </w:rPr>
          <w:t>78</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01" w:history="1">
        <w:r w:rsidR="0092044D" w:rsidRPr="004D3C94">
          <w:rPr>
            <w:rStyle w:val="Hyperlink"/>
          </w:rPr>
          <w:t>Note 18:</w:t>
        </w:r>
        <w:r w:rsidR="0092044D">
          <w:rPr>
            <w:rFonts w:asciiTheme="minorHAnsi" w:eastAsiaTheme="minorEastAsia" w:hAnsiTheme="minorHAnsi" w:cstheme="minorBidi"/>
            <w:szCs w:val="22"/>
            <w:lang w:eastAsia="en-AU"/>
          </w:rPr>
          <w:tab/>
        </w:r>
        <w:r w:rsidR="0092044D" w:rsidRPr="004D3C94">
          <w:rPr>
            <w:rStyle w:val="Hyperlink"/>
          </w:rPr>
          <w:t>Joint ventures</w:t>
        </w:r>
        <w:r w:rsidR="0092044D">
          <w:rPr>
            <w:webHidden/>
          </w:rPr>
          <w:tab/>
        </w:r>
        <w:r w:rsidR="0092044D">
          <w:rPr>
            <w:webHidden/>
          </w:rPr>
          <w:fldChar w:fldCharType="begin"/>
        </w:r>
        <w:r w:rsidR="0092044D">
          <w:rPr>
            <w:webHidden/>
          </w:rPr>
          <w:instrText xml:space="preserve"> PAGEREF _Toc433984501 \h </w:instrText>
        </w:r>
        <w:r w:rsidR="0092044D">
          <w:rPr>
            <w:webHidden/>
          </w:rPr>
        </w:r>
        <w:r w:rsidR="0092044D">
          <w:rPr>
            <w:webHidden/>
          </w:rPr>
          <w:fldChar w:fldCharType="separate"/>
        </w:r>
        <w:r w:rsidR="0092044D">
          <w:rPr>
            <w:webHidden/>
          </w:rPr>
          <w:t>80</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02" w:history="1">
        <w:r w:rsidR="0092044D" w:rsidRPr="004D3C94">
          <w:rPr>
            <w:rStyle w:val="Hyperlink"/>
          </w:rPr>
          <w:t>Note 19:</w:t>
        </w:r>
        <w:r w:rsidR="0092044D">
          <w:rPr>
            <w:rFonts w:asciiTheme="minorHAnsi" w:eastAsiaTheme="minorEastAsia" w:hAnsiTheme="minorHAnsi" w:cstheme="minorBidi"/>
            <w:szCs w:val="22"/>
            <w:lang w:eastAsia="en-AU"/>
          </w:rPr>
          <w:tab/>
        </w:r>
        <w:r w:rsidR="0092044D" w:rsidRPr="004D3C94">
          <w:rPr>
            <w:rStyle w:val="Hyperlink"/>
          </w:rPr>
          <w:t>Investments in other sector entities</w:t>
        </w:r>
        <w:r w:rsidR="0092044D">
          <w:rPr>
            <w:webHidden/>
          </w:rPr>
          <w:tab/>
        </w:r>
        <w:r w:rsidR="0092044D">
          <w:rPr>
            <w:webHidden/>
          </w:rPr>
          <w:fldChar w:fldCharType="begin"/>
        </w:r>
        <w:r w:rsidR="0092044D">
          <w:rPr>
            <w:webHidden/>
          </w:rPr>
          <w:instrText xml:space="preserve"> PAGEREF _Toc433984502 \h </w:instrText>
        </w:r>
        <w:r w:rsidR="0092044D">
          <w:rPr>
            <w:webHidden/>
          </w:rPr>
        </w:r>
        <w:r w:rsidR="0092044D">
          <w:rPr>
            <w:webHidden/>
          </w:rPr>
          <w:fldChar w:fldCharType="separate"/>
        </w:r>
        <w:r w:rsidR="0092044D">
          <w:rPr>
            <w:webHidden/>
          </w:rPr>
          <w:t>84</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03" w:history="1">
        <w:r w:rsidR="0092044D" w:rsidRPr="004D3C94">
          <w:rPr>
            <w:rStyle w:val="Hyperlink"/>
          </w:rPr>
          <w:t>Note 20:</w:t>
        </w:r>
        <w:r w:rsidR="0092044D">
          <w:rPr>
            <w:rFonts w:asciiTheme="minorHAnsi" w:eastAsiaTheme="minorEastAsia" w:hAnsiTheme="minorHAnsi" w:cstheme="minorBidi"/>
            <w:szCs w:val="22"/>
            <w:lang w:eastAsia="en-AU"/>
          </w:rPr>
          <w:tab/>
        </w:r>
        <w:r w:rsidR="0092044D" w:rsidRPr="004D3C94">
          <w:rPr>
            <w:rStyle w:val="Hyperlink"/>
          </w:rPr>
          <w:t>Inventories</w:t>
        </w:r>
        <w:r w:rsidR="0092044D">
          <w:rPr>
            <w:webHidden/>
          </w:rPr>
          <w:tab/>
        </w:r>
        <w:r w:rsidR="0092044D">
          <w:rPr>
            <w:webHidden/>
          </w:rPr>
          <w:fldChar w:fldCharType="begin"/>
        </w:r>
        <w:r w:rsidR="0092044D">
          <w:rPr>
            <w:webHidden/>
          </w:rPr>
          <w:instrText xml:space="preserve"> PAGEREF _Toc433984503 \h </w:instrText>
        </w:r>
        <w:r w:rsidR="0092044D">
          <w:rPr>
            <w:webHidden/>
          </w:rPr>
        </w:r>
        <w:r w:rsidR="0092044D">
          <w:rPr>
            <w:webHidden/>
          </w:rPr>
          <w:fldChar w:fldCharType="separate"/>
        </w:r>
        <w:r w:rsidR="0092044D">
          <w:rPr>
            <w:webHidden/>
          </w:rPr>
          <w:t>84</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04" w:history="1">
        <w:r w:rsidR="0092044D" w:rsidRPr="004D3C94">
          <w:rPr>
            <w:rStyle w:val="Hyperlink"/>
          </w:rPr>
          <w:t>Note 21:</w:t>
        </w:r>
        <w:r w:rsidR="0092044D">
          <w:rPr>
            <w:rFonts w:asciiTheme="minorHAnsi" w:eastAsiaTheme="minorEastAsia" w:hAnsiTheme="minorHAnsi" w:cstheme="minorBidi"/>
            <w:szCs w:val="22"/>
            <w:lang w:eastAsia="en-AU"/>
          </w:rPr>
          <w:tab/>
        </w:r>
        <w:r w:rsidR="0092044D" w:rsidRPr="004D3C94">
          <w:rPr>
            <w:rStyle w:val="Hyperlink"/>
          </w:rPr>
          <w:t>Non</w:t>
        </w:r>
        <w:r w:rsidR="0092044D" w:rsidRPr="004D3C94">
          <w:rPr>
            <w:rStyle w:val="Hyperlink"/>
          </w:rPr>
          <w:noBreakHyphen/>
          <w:t>financial assets held for sale</w:t>
        </w:r>
        <w:r w:rsidR="0092044D">
          <w:rPr>
            <w:webHidden/>
          </w:rPr>
          <w:tab/>
        </w:r>
        <w:r w:rsidR="0092044D">
          <w:rPr>
            <w:webHidden/>
          </w:rPr>
          <w:fldChar w:fldCharType="begin"/>
        </w:r>
        <w:r w:rsidR="0092044D">
          <w:rPr>
            <w:webHidden/>
          </w:rPr>
          <w:instrText xml:space="preserve"> PAGEREF _Toc433984504 \h </w:instrText>
        </w:r>
        <w:r w:rsidR="0092044D">
          <w:rPr>
            <w:webHidden/>
          </w:rPr>
        </w:r>
        <w:r w:rsidR="0092044D">
          <w:rPr>
            <w:webHidden/>
          </w:rPr>
          <w:fldChar w:fldCharType="separate"/>
        </w:r>
        <w:r w:rsidR="0092044D">
          <w:rPr>
            <w:webHidden/>
          </w:rPr>
          <w:t>85</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05" w:history="1">
        <w:r w:rsidR="0092044D" w:rsidRPr="004D3C94">
          <w:rPr>
            <w:rStyle w:val="Hyperlink"/>
          </w:rPr>
          <w:t>Note 22:</w:t>
        </w:r>
        <w:r w:rsidR="0092044D">
          <w:rPr>
            <w:rFonts w:asciiTheme="minorHAnsi" w:eastAsiaTheme="minorEastAsia" w:hAnsiTheme="minorHAnsi" w:cstheme="minorBidi"/>
            <w:szCs w:val="22"/>
            <w:lang w:eastAsia="en-AU"/>
          </w:rPr>
          <w:tab/>
        </w:r>
        <w:r w:rsidR="0092044D" w:rsidRPr="004D3C94">
          <w:rPr>
            <w:rStyle w:val="Hyperlink"/>
          </w:rPr>
          <w:t>Land, buildings, infrastructure, plant and equipment</w:t>
        </w:r>
        <w:r w:rsidR="0092044D">
          <w:rPr>
            <w:webHidden/>
          </w:rPr>
          <w:tab/>
        </w:r>
        <w:r w:rsidR="0092044D">
          <w:rPr>
            <w:webHidden/>
          </w:rPr>
          <w:fldChar w:fldCharType="begin"/>
        </w:r>
        <w:r w:rsidR="0092044D">
          <w:rPr>
            <w:webHidden/>
          </w:rPr>
          <w:instrText xml:space="preserve"> PAGEREF _Toc433984505 \h </w:instrText>
        </w:r>
        <w:r w:rsidR="0092044D">
          <w:rPr>
            <w:webHidden/>
          </w:rPr>
        </w:r>
        <w:r w:rsidR="0092044D">
          <w:rPr>
            <w:webHidden/>
          </w:rPr>
          <w:fldChar w:fldCharType="separate"/>
        </w:r>
        <w:r w:rsidR="0092044D">
          <w:rPr>
            <w:webHidden/>
          </w:rPr>
          <w:t>87</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06" w:history="1">
        <w:r w:rsidR="0092044D" w:rsidRPr="004D3C94">
          <w:rPr>
            <w:rStyle w:val="Hyperlink"/>
          </w:rPr>
          <w:t>Note 23:</w:t>
        </w:r>
        <w:r w:rsidR="0092044D">
          <w:rPr>
            <w:rFonts w:asciiTheme="minorHAnsi" w:eastAsiaTheme="minorEastAsia" w:hAnsiTheme="minorHAnsi" w:cstheme="minorBidi"/>
            <w:szCs w:val="22"/>
            <w:lang w:eastAsia="en-AU"/>
          </w:rPr>
          <w:tab/>
        </w:r>
        <w:r w:rsidR="0092044D" w:rsidRPr="004D3C94">
          <w:rPr>
            <w:rStyle w:val="Hyperlink"/>
          </w:rPr>
          <w:t>Other non</w:t>
        </w:r>
        <w:r w:rsidR="0092044D" w:rsidRPr="004D3C94">
          <w:rPr>
            <w:rStyle w:val="Hyperlink"/>
          </w:rPr>
          <w:noBreakHyphen/>
          <w:t>financial assets</w:t>
        </w:r>
        <w:r w:rsidR="0092044D">
          <w:rPr>
            <w:webHidden/>
          </w:rPr>
          <w:tab/>
        </w:r>
        <w:r w:rsidR="0092044D">
          <w:rPr>
            <w:webHidden/>
          </w:rPr>
          <w:fldChar w:fldCharType="begin"/>
        </w:r>
        <w:r w:rsidR="0092044D">
          <w:rPr>
            <w:webHidden/>
          </w:rPr>
          <w:instrText xml:space="preserve"> PAGEREF _Toc433984506 \h </w:instrText>
        </w:r>
        <w:r w:rsidR="0092044D">
          <w:rPr>
            <w:webHidden/>
          </w:rPr>
        </w:r>
        <w:r w:rsidR="0092044D">
          <w:rPr>
            <w:webHidden/>
          </w:rPr>
          <w:fldChar w:fldCharType="separate"/>
        </w:r>
        <w:r w:rsidR="0092044D">
          <w:rPr>
            <w:webHidden/>
          </w:rPr>
          <w:t>98</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07" w:history="1">
        <w:r w:rsidR="0092044D" w:rsidRPr="004D3C94">
          <w:rPr>
            <w:rStyle w:val="Hyperlink"/>
          </w:rPr>
          <w:t>Note 24:</w:t>
        </w:r>
        <w:r w:rsidR="0092044D">
          <w:rPr>
            <w:rFonts w:asciiTheme="minorHAnsi" w:eastAsiaTheme="minorEastAsia" w:hAnsiTheme="minorHAnsi" w:cstheme="minorBidi"/>
            <w:szCs w:val="22"/>
            <w:lang w:eastAsia="en-AU"/>
          </w:rPr>
          <w:tab/>
        </w:r>
        <w:r w:rsidR="0092044D" w:rsidRPr="004D3C94">
          <w:rPr>
            <w:rStyle w:val="Hyperlink"/>
          </w:rPr>
          <w:t>Assets classified by government purpose classification and department</w:t>
        </w:r>
        <w:r w:rsidR="0092044D">
          <w:rPr>
            <w:webHidden/>
          </w:rPr>
          <w:tab/>
        </w:r>
        <w:r w:rsidR="0092044D">
          <w:rPr>
            <w:webHidden/>
          </w:rPr>
          <w:fldChar w:fldCharType="begin"/>
        </w:r>
        <w:r w:rsidR="0092044D">
          <w:rPr>
            <w:webHidden/>
          </w:rPr>
          <w:instrText xml:space="preserve"> PAGEREF _Toc433984507 \h </w:instrText>
        </w:r>
        <w:r w:rsidR="0092044D">
          <w:rPr>
            <w:webHidden/>
          </w:rPr>
        </w:r>
        <w:r w:rsidR="0092044D">
          <w:rPr>
            <w:webHidden/>
          </w:rPr>
          <w:fldChar w:fldCharType="separate"/>
        </w:r>
        <w:r w:rsidR="0092044D">
          <w:rPr>
            <w:webHidden/>
          </w:rPr>
          <w:t>100</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08" w:history="1">
        <w:r w:rsidR="0092044D" w:rsidRPr="004D3C94">
          <w:rPr>
            <w:rStyle w:val="Hyperlink"/>
          </w:rPr>
          <w:t>Note 25:</w:t>
        </w:r>
        <w:r w:rsidR="0092044D">
          <w:rPr>
            <w:rFonts w:asciiTheme="minorHAnsi" w:eastAsiaTheme="minorEastAsia" w:hAnsiTheme="minorHAnsi" w:cstheme="minorBidi"/>
            <w:szCs w:val="22"/>
            <w:lang w:eastAsia="en-AU"/>
          </w:rPr>
          <w:tab/>
        </w:r>
        <w:r w:rsidR="0092044D" w:rsidRPr="004D3C94">
          <w:rPr>
            <w:rStyle w:val="Hyperlink"/>
          </w:rPr>
          <w:t>Payables</w:t>
        </w:r>
        <w:r w:rsidR="0092044D">
          <w:rPr>
            <w:webHidden/>
          </w:rPr>
          <w:tab/>
        </w:r>
        <w:r w:rsidR="0092044D">
          <w:rPr>
            <w:webHidden/>
          </w:rPr>
          <w:fldChar w:fldCharType="begin"/>
        </w:r>
        <w:r w:rsidR="0092044D">
          <w:rPr>
            <w:webHidden/>
          </w:rPr>
          <w:instrText xml:space="preserve"> PAGEREF _Toc433984508 \h </w:instrText>
        </w:r>
        <w:r w:rsidR="0092044D">
          <w:rPr>
            <w:webHidden/>
          </w:rPr>
        </w:r>
        <w:r w:rsidR="0092044D">
          <w:rPr>
            <w:webHidden/>
          </w:rPr>
          <w:fldChar w:fldCharType="separate"/>
        </w:r>
        <w:r w:rsidR="0092044D">
          <w:rPr>
            <w:webHidden/>
          </w:rPr>
          <w:t>102</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09" w:history="1">
        <w:r w:rsidR="0092044D" w:rsidRPr="004D3C94">
          <w:rPr>
            <w:rStyle w:val="Hyperlink"/>
          </w:rPr>
          <w:t>Note 26:</w:t>
        </w:r>
        <w:r w:rsidR="0092044D">
          <w:rPr>
            <w:rFonts w:asciiTheme="minorHAnsi" w:eastAsiaTheme="minorEastAsia" w:hAnsiTheme="minorHAnsi" w:cstheme="minorBidi"/>
            <w:szCs w:val="22"/>
            <w:lang w:eastAsia="en-AU"/>
          </w:rPr>
          <w:tab/>
        </w:r>
        <w:r w:rsidR="0092044D" w:rsidRPr="004D3C94">
          <w:rPr>
            <w:rStyle w:val="Hyperlink"/>
          </w:rPr>
          <w:t>Borrowings</w:t>
        </w:r>
        <w:r w:rsidR="0092044D">
          <w:rPr>
            <w:webHidden/>
          </w:rPr>
          <w:tab/>
        </w:r>
        <w:r w:rsidR="0092044D">
          <w:rPr>
            <w:webHidden/>
          </w:rPr>
          <w:fldChar w:fldCharType="begin"/>
        </w:r>
        <w:r w:rsidR="0092044D">
          <w:rPr>
            <w:webHidden/>
          </w:rPr>
          <w:instrText xml:space="preserve"> PAGEREF _Toc433984509 \h </w:instrText>
        </w:r>
        <w:r w:rsidR="0092044D">
          <w:rPr>
            <w:webHidden/>
          </w:rPr>
        </w:r>
        <w:r w:rsidR="0092044D">
          <w:rPr>
            <w:webHidden/>
          </w:rPr>
          <w:fldChar w:fldCharType="separate"/>
        </w:r>
        <w:r w:rsidR="0092044D">
          <w:rPr>
            <w:webHidden/>
          </w:rPr>
          <w:t>102</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10" w:history="1">
        <w:r w:rsidR="0092044D" w:rsidRPr="004D3C94">
          <w:rPr>
            <w:rStyle w:val="Hyperlink"/>
          </w:rPr>
          <w:t>Note 27:</w:t>
        </w:r>
        <w:r w:rsidR="0092044D">
          <w:rPr>
            <w:rFonts w:asciiTheme="minorHAnsi" w:eastAsiaTheme="minorEastAsia" w:hAnsiTheme="minorHAnsi" w:cstheme="minorBidi"/>
            <w:szCs w:val="22"/>
            <w:lang w:eastAsia="en-AU"/>
          </w:rPr>
          <w:tab/>
        </w:r>
        <w:r w:rsidR="0092044D" w:rsidRPr="004D3C94">
          <w:rPr>
            <w:rStyle w:val="Hyperlink"/>
          </w:rPr>
          <w:t>Employee benefits and on</w:t>
        </w:r>
        <w:r w:rsidR="0092044D" w:rsidRPr="004D3C94">
          <w:rPr>
            <w:rStyle w:val="Hyperlink"/>
          </w:rPr>
          <w:noBreakHyphen/>
          <w:t>costs</w:t>
        </w:r>
        <w:r w:rsidR="0092044D">
          <w:rPr>
            <w:webHidden/>
          </w:rPr>
          <w:tab/>
        </w:r>
        <w:r w:rsidR="0092044D">
          <w:rPr>
            <w:webHidden/>
          </w:rPr>
          <w:fldChar w:fldCharType="begin"/>
        </w:r>
        <w:r w:rsidR="0092044D">
          <w:rPr>
            <w:webHidden/>
          </w:rPr>
          <w:instrText xml:space="preserve"> PAGEREF _Toc433984510 \h </w:instrText>
        </w:r>
        <w:r w:rsidR="0092044D">
          <w:rPr>
            <w:webHidden/>
          </w:rPr>
        </w:r>
        <w:r w:rsidR="0092044D">
          <w:rPr>
            <w:webHidden/>
          </w:rPr>
          <w:fldChar w:fldCharType="separate"/>
        </w:r>
        <w:r w:rsidR="0092044D">
          <w:rPr>
            <w:webHidden/>
          </w:rPr>
          <w:t>103</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11" w:history="1">
        <w:r w:rsidR="0092044D" w:rsidRPr="004D3C94">
          <w:rPr>
            <w:rStyle w:val="Hyperlink"/>
          </w:rPr>
          <w:t>Note 28:</w:t>
        </w:r>
        <w:r w:rsidR="0092044D">
          <w:rPr>
            <w:rFonts w:asciiTheme="minorHAnsi" w:eastAsiaTheme="minorEastAsia" w:hAnsiTheme="minorHAnsi" w:cstheme="minorBidi"/>
            <w:szCs w:val="22"/>
            <w:lang w:eastAsia="en-AU"/>
          </w:rPr>
          <w:tab/>
        </w:r>
        <w:r w:rsidR="0092044D" w:rsidRPr="004D3C94">
          <w:rPr>
            <w:rStyle w:val="Hyperlink"/>
          </w:rPr>
          <w:t>Other provisions</w:t>
        </w:r>
        <w:r w:rsidR="0092044D">
          <w:rPr>
            <w:webHidden/>
          </w:rPr>
          <w:tab/>
        </w:r>
        <w:r w:rsidR="0092044D">
          <w:rPr>
            <w:webHidden/>
          </w:rPr>
          <w:fldChar w:fldCharType="begin"/>
        </w:r>
        <w:r w:rsidR="0092044D">
          <w:rPr>
            <w:webHidden/>
          </w:rPr>
          <w:instrText xml:space="preserve"> PAGEREF _Toc433984511 \h </w:instrText>
        </w:r>
        <w:r w:rsidR="0092044D">
          <w:rPr>
            <w:webHidden/>
          </w:rPr>
        </w:r>
        <w:r w:rsidR="0092044D">
          <w:rPr>
            <w:webHidden/>
          </w:rPr>
          <w:fldChar w:fldCharType="separate"/>
        </w:r>
        <w:r w:rsidR="0092044D">
          <w:rPr>
            <w:webHidden/>
          </w:rPr>
          <w:t>104</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12" w:history="1">
        <w:r w:rsidR="0092044D" w:rsidRPr="004D3C94">
          <w:rPr>
            <w:rStyle w:val="Hyperlink"/>
          </w:rPr>
          <w:t>Note 29:</w:t>
        </w:r>
        <w:r w:rsidR="0092044D">
          <w:rPr>
            <w:rFonts w:asciiTheme="minorHAnsi" w:eastAsiaTheme="minorEastAsia" w:hAnsiTheme="minorHAnsi" w:cstheme="minorBidi"/>
            <w:szCs w:val="22"/>
            <w:lang w:eastAsia="en-AU"/>
          </w:rPr>
          <w:tab/>
        </w:r>
        <w:r w:rsidR="0092044D" w:rsidRPr="004D3C94">
          <w:rPr>
            <w:rStyle w:val="Hyperlink"/>
          </w:rPr>
          <w:t>Reserves, accumulated surplus/(deficit) and non</w:t>
        </w:r>
        <w:r w:rsidR="0092044D" w:rsidRPr="004D3C94">
          <w:rPr>
            <w:rStyle w:val="Hyperlink"/>
          </w:rPr>
          <w:noBreakHyphen/>
          <w:t>controlling interests</w:t>
        </w:r>
        <w:r w:rsidR="0092044D">
          <w:rPr>
            <w:webHidden/>
          </w:rPr>
          <w:tab/>
        </w:r>
        <w:r w:rsidR="0092044D">
          <w:rPr>
            <w:webHidden/>
          </w:rPr>
          <w:fldChar w:fldCharType="begin"/>
        </w:r>
        <w:r w:rsidR="0092044D">
          <w:rPr>
            <w:webHidden/>
          </w:rPr>
          <w:instrText xml:space="preserve"> PAGEREF _Toc433984512 \h </w:instrText>
        </w:r>
        <w:r w:rsidR="0092044D">
          <w:rPr>
            <w:webHidden/>
          </w:rPr>
        </w:r>
        <w:r w:rsidR="0092044D">
          <w:rPr>
            <w:webHidden/>
          </w:rPr>
          <w:fldChar w:fldCharType="separate"/>
        </w:r>
        <w:r w:rsidR="0092044D">
          <w:rPr>
            <w:webHidden/>
          </w:rPr>
          <w:t>106</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13" w:history="1">
        <w:r w:rsidR="0092044D" w:rsidRPr="004D3C94">
          <w:rPr>
            <w:rStyle w:val="Hyperlink"/>
          </w:rPr>
          <w:t>Note 30:</w:t>
        </w:r>
        <w:r w:rsidR="0092044D">
          <w:rPr>
            <w:rFonts w:asciiTheme="minorHAnsi" w:eastAsiaTheme="minorEastAsia" w:hAnsiTheme="minorHAnsi" w:cstheme="minorBidi"/>
            <w:szCs w:val="22"/>
            <w:lang w:eastAsia="en-AU"/>
          </w:rPr>
          <w:tab/>
        </w:r>
        <w:r w:rsidR="0092044D" w:rsidRPr="004D3C94">
          <w:rPr>
            <w:rStyle w:val="Hyperlink"/>
          </w:rPr>
          <w:t>Cash flow information</w:t>
        </w:r>
        <w:r w:rsidR="0092044D">
          <w:rPr>
            <w:webHidden/>
          </w:rPr>
          <w:tab/>
        </w:r>
        <w:r w:rsidR="0092044D">
          <w:rPr>
            <w:webHidden/>
          </w:rPr>
          <w:fldChar w:fldCharType="begin"/>
        </w:r>
        <w:r w:rsidR="0092044D">
          <w:rPr>
            <w:webHidden/>
          </w:rPr>
          <w:instrText xml:space="preserve"> PAGEREF _Toc433984513 \h </w:instrText>
        </w:r>
        <w:r w:rsidR="0092044D">
          <w:rPr>
            <w:webHidden/>
          </w:rPr>
        </w:r>
        <w:r w:rsidR="0092044D">
          <w:rPr>
            <w:webHidden/>
          </w:rPr>
          <w:fldChar w:fldCharType="separate"/>
        </w:r>
        <w:r w:rsidR="0092044D">
          <w:rPr>
            <w:webHidden/>
          </w:rPr>
          <w:t>109</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14" w:history="1">
        <w:r w:rsidR="0092044D" w:rsidRPr="004D3C94">
          <w:rPr>
            <w:rStyle w:val="Hyperlink"/>
          </w:rPr>
          <w:t>Note 31:</w:t>
        </w:r>
        <w:r w:rsidR="0092044D">
          <w:rPr>
            <w:rFonts w:asciiTheme="minorHAnsi" w:eastAsiaTheme="minorEastAsia" w:hAnsiTheme="minorHAnsi" w:cstheme="minorBidi"/>
            <w:szCs w:val="22"/>
            <w:lang w:eastAsia="en-AU"/>
          </w:rPr>
          <w:tab/>
        </w:r>
        <w:r w:rsidR="0092044D" w:rsidRPr="004D3C94">
          <w:rPr>
            <w:rStyle w:val="Hyperlink"/>
          </w:rPr>
          <w:t>Reconciliations</w:t>
        </w:r>
        <w:r w:rsidR="0092044D">
          <w:rPr>
            <w:webHidden/>
          </w:rPr>
          <w:tab/>
        </w:r>
        <w:r w:rsidR="0092044D">
          <w:rPr>
            <w:webHidden/>
          </w:rPr>
          <w:fldChar w:fldCharType="begin"/>
        </w:r>
        <w:r w:rsidR="0092044D">
          <w:rPr>
            <w:webHidden/>
          </w:rPr>
          <w:instrText xml:space="preserve"> PAGEREF _Toc433984514 \h </w:instrText>
        </w:r>
        <w:r w:rsidR="0092044D">
          <w:rPr>
            <w:webHidden/>
          </w:rPr>
        </w:r>
        <w:r w:rsidR="0092044D">
          <w:rPr>
            <w:webHidden/>
          </w:rPr>
          <w:fldChar w:fldCharType="separate"/>
        </w:r>
        <w:r w:rsidR="0092044D">
          <w:rPr>
            <w:webHidden/>
          </w:rPr>
          <w:t>110</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15" w:history="1">
        <w:r w:rsidR="0092044D" w:rsidRPr="004D3C94">
          <w:rPr>
            <w:rStyle w:val="Hyperlink"/>
          </w:rPr>
          <w:t>Note 32:</w:t>
        </w:r>
        <w:r w:rsidR="0092044D">
          <w:rPr>
            <w:rFonts w:asciiTheme="minorHAnsi" w:eastAsiaTheme="minorEastAsia" w:hAnsiTheme="minorHAnsi" w:cstheme="minorBidi"/>
            <w:szCs w:val="22"/>
            <w:lang w:eastAsia="en-AU"/>
          </w:rPr>
          <w:tab/>
        </w:r>
        <w:r w:rsidR="0092044D" w:rsidRPr="004D3C94">
          <w:rPr>
            <w:rStyle w:val="Hyperlink"/>
          </w:rPr>
          <w:t>Explanations of material variances between budget and actual outcomes</w:t>
        </w:r>
        <w:r w:rsidR="0092044D">
          <w:rPr>
            <w:webHidden/>
          </w:rPr>
          <w:tab/>
        </w:r>
        <w:r w:rsidR="0092044D">
          <w:rPr>
            <w:webHidden/>
          </w:rPr>
          <w:fldChar w:fldCharType="begin"/>
        </w:r>
        <w:r w:rsidR="0092044D">
          <w:rPr>
            <w:webHidden/>
          </w:rPr>
          <w:instrText xml:space="preserve"> PAGEREF _Toc433984515 \h </w:instrText>
        </w:r>
        <w:r w:rsidR="0092044D">
          <w:rPr>
            <w:webHidden/>
          </w:rPr>
        </w:r>
        <w:r w:rsidR="0092044D">
          <w:rPr>
            <w:webHidden/>
          </w:rPr>
          <w:fldChar w:fldCharType="separate"/>
        </w:r>
        <w:r w:rsidR="0092044D">
          <w:rPr>
            <w:webHidden/>
          </w:rPr>
          <w:t>114</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16" w:history="1">
        <w:r w:rsidR="0092044D" w:rsidRPr="004D3C94">
          <w:rPr>
            <w:rStyle w:val="Hyperlink"/>
          </w:rPr>
          <w:t>Note 33:</w:t>
        </w:r>
        <w:r w:rsidR="0092044D">
          <w:rPr>
            <w:rFonts w:asciiTheme="minorHAnsi" w:eastAsiaTheme="minorEastAsia" w:hAnsiTheme="minorHAnsi" w:cstheme="minorBidi"/>
            <w:szCs w:val="22"/>
            <w:lang w:eastAsia="en-AU"/>
          </w:rPr>
          <w:tab/>
        </w:r>
        <w:r w:rsidR="0092044D" w:rsidRPr="004D3C94">
          <w:rPr>
            <w:rStyle w:val="Hyperlink"/>
          </w:rPr>
          <w:t>Financial instruments</w:t>
        </w:r>
        <w:r w:rsidR="0092044D">
          <w:rPr>
            <w:webHidden/>
          </w:rPr>
          <w:tab/>
        </w:r>
        <w:r w:rsidR="0092044D">
          <w:rPr>
            <w:webHidden/>
          </w:rPr>
          <w:fldChar w:fldCharType="begin"/>
        </w:r>
        <w:r w:rsidR="0092044D">
          <w:rPr>
            <w:webHidden/>
          </w:rPr>
          <w:instrText xml:space="preserve"> PAGEREF _Toc433984516 \h </w:instrText>
        </w:r>
        <w:r w:rsidR="0092044D">
          <w:rPr>
            <w:webHidden/>
          </w:rPr>
        </w:r>
        <w:r w:rsidR="0092044D">
          <w:rPr>
            <w:webHidden/>
          </w:rPr>
          <w:fldChar w:fldCharType="separate"/>
        </w:r>
        <w:r w:rsidR="0092044D">
          <w:rPr>
            <w:webHidden/>
          </w:rPr>
          <w:t>123</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17" w:history="1">
        <w:r w:rsidR="0092044D" w:rsidRPr="004D3C94">
          <w:rPr>
            <w:rStyle w:val="Hyperlink"/>
          </w:rPr>
          <w:t>Note 34:</w:t>
        </w:r>
        <w:r w:rsidR="0092044D">
          <w:rPr>
            <w:rFonts w:asciiTheme="minorHAnsi" w:eastAsiaTheme="minorEastAsia" w:hAnsiTheme="minorHAnsi" w:cstheme="minorBidi"/>
            <w:szCs w:val="22"/>
            <w:lang w:eastAsia="en-AU"/>
          </w:rPr>
          <w:tab/>
        </w:r>
        <w:r w:rsidR="0092044D" w:rsidRPr="004D3C94">
          <w:rPr>
            <w:rStyle w:val="Hyperlink"/>
          </w:rPr>
          <w:t>Commitments</w:t>
        </w:r>
        <w:r w:rsidR="0092044D">
          <w:rPr>
            <w:webHidden/>
          </w:rPr>
          <w:tab/>
        </w:r>
        <w:r w:rsidR="0092044D">
          <w:rPr>
            <w:webHidden/>
          </w:rPr>
          <w:fldChar w:fldCharType="begin"/>
        </w:r>
        <w:r w:rsidR="0092044D">
          <w:rPr>
            <w:webHidden/>
          </w:rPr>
          <w:instrText xml:space="preserve"> PAGEREF _Toc433984517 \h </w:instrText>
        </w:r>
        <w:r w:rsidR="0092044D">
          <w:rPr>
            <w:webHidden/>
          </w:rPr>
        </w:r>
        <w:r w:rsidR="0092044D">
          <w:rPr>
            <w:webHidden/>
          </w:rPr>
          <w:fldChar w:fldCharType="separate"/>
        </w:r>
        <w:r w:rsidR="0092044D">
          <w:rPr>
            <w:webHidden/>
          </w:rPr>
          <w:t>145</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18" w:history="1">
        <w:r w:rsidR="0092044D" w:rsidRPr="004D3C94">
          <w:rPr>
            <w:rStyle w:val="Hyperlink"/>
          </w:rPr>
          <w:t>Note 35:</w:t>
        </w:r>
        <w:r w:rsidR="0092044D">
          <w:rPr>
            <w:rFonts w:asciiTheme="minorHAnsi" w:eastAsiaTheme="minorEastAsia" w:hAnsiTheme="minorHAnsi" w:cstheme="minorBidi"/>
            <w:szCs w:val="22"/>
            <w:lang w:eastAsia="en-AU"/>
          </w:rPr>
          <w:tab/>
        </w:r>
        <w:r w:rsidR="0092044D" w:rsidRPr="004D3C94">
          <w:rPr>
            <w:rStyle w:val="Hyperlink"/>
          </w:rPr>
          <w:t>Contingent assets and contingent liabilities (State of Victoria)</w:t>
        </w:r>
        <w:r w:rsidR="0092044D">
          <w:rPr>
            <w:webHidden/>
          </w:rPr>
          <w:tab/>
        </w:r>
        <w:r w:rsidR="0092044D">
          <w:rPr>
            <w:webHidden/>
          </w:rPr>
          <w:fldChar w:fldCharType="begin"/>
        </w:r>
        <w:r w:rsidR="0092044D">
          <w:rPr>
            <w:webHidden/>
          </w:rPr>
          <w:instrText xml:space="preserve"> PAGEREF _Toc433984518 \h </w:instrText>
        </w:r>
        <w:r w:rsidR="0092044D">
          <w:rPr>
            <w:webHidden/>
          </w:rPr>
        </w:r>
        <w:r w:rsidR="0092044D">
          <w:rPr>
            <w:webHidden/>
          </w:rPr>
          <w:fldChar w:fldCharType="separate"/>
        </w:r>
        <w:r w:rsidR="0092044D">
          <w:rPr>
            <w:webHidden/>
          </w:rPr>
          <w:t>149</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19" w:history="1">
        <w:r w:rsidR="0092044D" w:rsidRPr="004D3C94">
          <w:rPr>
            <w:rStyle w:val="Hyperlink"/>
          </w:rPr>
          <w:t>Note 36:</w:t>
        </w:r>
        <w:r w:rsidR="0092044D">
          <w:rPr>
            <w:rFonts w:asciiTheme="minorHAnsi" w:eastAsiaTheme="minorEastAsia" w:hAnsiTheme="minorHAnsi" w:cstheme="minorBidi"/>
            <w:szCs w:val="22"/>
            <w:lang w:eastAsia="en-AU"/>
          </w:rPr>
          <w:tab/>
        </w:r>
        <w:r w:rsidR="0092044D" w:rsidRPr="004D3C94">
          <w:rPr>
            <w:rStyle w:val="Hyperlink"/>
          </w:rPr>
          <w:t>Funds under management</w:t>
        </w:r>
        <w:r w:rsidR="0092044D">
          <w:rPr>
            <w:webHidden/>
          </w:rPr>
          <w:tab/>
        </w:r>
        <w:r w:rsidR="0092044D">
          <w:rPr>
            <w:webHidden/>
          </w:rPr>
          <w:fldChar w:fldCharType="begin"/>
        </w:r>
        <w:r w:rsidR="0092044D">
          <w:rPr>
            <w:webHidden/>
          </w:rPr>
          <w:instrText xml:space="preserve"> PAGEREF _Toc433984519 \h </w:instrText>
        </w:r>
        <w:r w:rsidR="0092044D">
          <w:rPr>
            <w:webHidden/>
          </w:rPr>
        </w:r>
        <w:r w:rsidR="0092044D">
          <w:rPr>
            <w:webHidden/>
          </w:rPr>
          <w:fldChar w:fldCharType="separate"/>
        </w:r>
        <w:r w:rsidR="0092044D">
          <w:rPr>
            <w:webHidden/>
          </w:rPr>
          <w:t>155</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20" w:history="1">
        <w:r w:rsidR="0092044D" w:rsidRPr="004D3C94">
          <w:rPr>
            <w:rStyle w:val="Hyperlink"/>
          </w:rPr>
          <w:t>Note 37:</w:t>
        </w:r>
        <w:r w:rsidR="0092044D">
          <w:rPr>
            <w:rFonts w:asciiTheme="minorHAnsi" w:eastAsiaTheme="minorEastAsia" w:hAnsiTheme="minorHAnsi" w:cstheme="minorBidi"/>
            <w:szCs w:val="22"/>
            <w:lang w:eastAsia="en-AU"/>
          </w:rPr>
          <w:tab/>
        </w:r>
        <w:r w:rsidR="0092044D" w:rsidRPr="004D3C94">
          <w:rPr>
            <w:rStyle w:val="Hyperlink"/>
          </w:rPr>
          <w:t>Restatement of 2013</w:t>
        </w:r>
        <w:r w:rsidR="0092044D" w:rsidRPr="004D3C94">
          <w:rPr>
            <w:rStyle w:val="Hyperlink"/>
          </w:rPr>
          <w:noBreakHyphen/>
          <w:t>14 balances and impact on 2014</w:t>
        </w:r>
        <w:r w:rsidR="0092044D" w:rsidRPr="004D3C94">
          <w:rPr>
            <w:rStyle w:val="Hyperlink"/>
          </w:rPr>
          <w:noBreakHyphen/>
          <w:t>15 balances</w:t>
        </w:r>
        <w:r w:rsidR="0092044D">
          <w:rPr>
            <w:webHidden/>
          </w:rPr>
          <w:tab/>
        </w:r>
        <w:r w:rsidR="0092044D">
          <w:rPr>
            <w:webHidden/>
          </w:rPr>
          <w:fldChar w:fldCharType="begin"/>
        </w:r>
        <w:r w:rsidR="0092044D">
          <w:rPr>
            <w:webHidden/>
          </w:rPr>
          <w:instrText xml:space="preserve"> PAGEREF _Toc433984520 \h </w:instrText>
        </w:r>
        <w:r w:rsidR="0092044D">
          <w:rPr>
            <w:webHidden/>
          </w:rPr>
        </w:r>
        <w:r w:rsidR="0092044D">
          <w:rPr>
            <w:webHidden/>
          </w:rPr>
          <w:fldChar w:fldCharType="separate"/>
        </w:r>
        <w:r w:rsidR="0092044D">
          <w:rPr>
            <w:webHidden/>
          </w:rPr>
          <w:t>156</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21" w:history="1">
        <w:r w:rsidR="0092044D" w:rsidRPr="004D3C94">
          <w:rPr>
            <w:rStyle w:val="Hyperlink"/>
          </w:rPr>
          <w:t>Note 38:</w:t>
        </w:r>
        <w:r w:rsidR="0092044D">
          <w:rPr>
            <w:rFonts w:asciiTheme="minorHAnsi" w:eastAsiaTheme="minorEastAsia" w:hAnsiTheme="minorHAnsi" w:cstheme="minorBidi"/>
            <w:szCs w:val="22"/>
            <w:lang w:eastAsia="en-AU"/>
          </w:rPr>
          <w:tab/>
        </w:r>
        <w:r w:rsidR="0092044D" w:rsidRPr="004D3C94">
          <w:rPr>
            <w:rStyle w:val="Hyperlink"/>
          </w:rPr>
          <w:t>Subsequent events</w:t>
        </w:r>
        <w:r w:rsidR="0092044D">
          <w:rPr>
            <w:webHidden/>
          </w:rPr>
          <w:tab/>
        </w:r>
        <w:r w:rsidR="0092044D">
          <w:rPr>
            <w:webHidden/>
          </w:rPr>
          <w:fldChar w:fldCharType="begin"/>
        </w:r>
        <w:r w:rsidR="0092044D">
          <w:rPr>
            <w:webHidden/>
          </w:rPr>
          <w:instrText xml:space="preserve"> PAGEREF _Toc433984521 \h </w:instrText>
        </w:r>
        <w:r w:rsidR="0092044D">
          <w:rPr>
            <w:webHidden/>
          </w:rPr>
        </w:r>
        <w:r w:rsidR="0092044D">
          <w:rPr>
            <w:webHidden/>
          </w:rPr>
          <w:fldChar w:fldCharType="separate"/>
        </w:r>
        <w:r w:rsidR="0092044D">
          <w:rPr>
            <w:webHidden/>
          </w:rPr>
          <w:t>162</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22" w:history="1">
        <w:r w:rsidR="0092044D" w:rsidRPr="004D3C94">
          <w:rPr>
            <w:rStyle w:val="Hyperlink"/>
          </w:rPr>
          <w:t>Note 39:</w:t>
        </w:r>
        <w:r w:rsidR="0092044D">
          <w:rPr>
            <w:rFonts w:asciiTheme="minorHAnsi" w:eastAsiaTheme="minorEastAsia" w:hAnsiTheme="minorHAnsi" w:cstheme="minorBidi"/>
            <w:szCs w:val="22"/>
            <w:lang w:eastAsia="en-AU"/>
          </w:rPr>
          <w:tab/>
        </w:r>
        <w:r w:rsidR="0092044D" w:rsidRPr="004D3C94">
          <w:rPr>
            <w:rStyle w:val="Hyperlink"/>
          </w:rPr>
          <w:t>Public account disclosure</w:t>
        </w:r>
        <w:r w:rsidR="0092044D">
          <w:rPr>
            <w:webHidden/>
          </w:rPr>
          <w:tab/>
        </w:r>
        <w:r w:rsidR="0092044D">
          <w:rPr>
            <w:webHidden/>
          </w:rPr>
          <w:fldChar w:fldCharType="begin"/>
        </w:r>
        <w:r w:rsidR="0092044D">
          <w:rPr>
            <w:webHidden/>
          </w:rPr>
          <w:instrText xml:space="preserve"> PAGEREF _Toc433984522 \h </w:instrText>
        </w:r>
        <w:r w:rsidR="0092044D">
          <w:rPr>
            <w:webHidden/>
          </w:rPr>
        </w:r>
        <w:r w:rsidR="0092044D">
          <w:rPr>
            <w:webHidden/>
          </w:rPr>
          <w:fldChar w:fldCharType="separate"/>
        </w:r>
        <w:r w:rsidR="0092044D">
          <w:rPr>
            <w:webHidden/>
          </w:rPr>
          <w:t>163</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23" w:history="1">
        <w:r w:rsidR="0092044D" w:rsidRPr="004D3C94">
          <w:rPr>
            <w:rStyle w:val="Hyperlink"/>
          </w:rPr>
          <w:t>Note 40:</w:t>
        </w:r>
        <w:r w:rsidR="0092044D">
          <w:rPr>
            <w:rFonts w:asciiTheme="minorHAnsi" w:eastAsiaTheme="minorEastAsia" w:hAnsiTheme="minorHAnsi" w:cstheme="minorBidi"/>
            <w:szCs w:val="22"/>
            <w:lang w:eastAsia="en-AU"/>
          </w:rPr>
          <w:tab/>
        </w:r>
        <w:r w:rsidR="0092044D" w:rsidRPr="004D3C94">
          <w:rPr>
            <w:rStyle w:val="Hyperlink"/>
          </w:rPr>
          <w:t>Glossary of technical terms</w:t>
        </w:r>
        <w:r w:rsidR="0092044D">
          <w:rPr>
            <w:webHidden/>
          </w:rPr>
          <w:tab/>
        </w:r>
        <w:r w:rsidR="0092044D">
          <w:rPr>
            <w:webHidden/>
          </w:rPr>
          <w:fldChar w:fldCharType="begin"/>
        </w:r>
        <w:r w:rsidR="0092044D">
          <w:rPr>
            <w:webHidden/>
          </w:rPr>
          <w:instrText xml:space="preserve"> PAGEREF _Toc433984523 \h </w:instrText>
        </w:r>
        <w:r w:rsidR="0092044D">
          <w:rPr>
            <w:webHidden/>
          </w:rPr>
        </w:r>
        <w:r w:rsidR="0092044D">
          <w:rPr>
            <w:webHidden/>
          </w:rPr>
          <w:fldChar w:fldCharType="separate"/>
        </w:r>
        <w:r w:rsidR="0092044D">
          <w:rPr>
            <w:webHidden/>
          </w:rPr>
          <w:t>193</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24" w:history="1">
        <w:r w:rsidR="0092044D" w:rsidRPr="004D3C94">
          <w:rPr>
            <w:rStyle w:val="Hyperlink"/>
            <w:bCs/>
          </w:rPr>
          <w:t>Note 41:</w:t>
        </w:r>
        <w:r w:rsidR="0092044D">
          <w:rPr>
            <w:rFonts w:asciiTheme="minorHAnsi" w:eastAsiaTheme="minorEastAsia" w:hAnsiTheme="minorHAnsi" w:cstheme="minorBidi"/>
            <w:szCs w:val="22"/>
            <w:lang w:eastAsia="en-AU"/>
          </w:rPr>
          <w:tab/>
        </w:r>
        <w:r w:rsidR="0092044D" w:rsidRPr="004D3C94">
          <w:rPr>
            <w:rStyle w:val="Hyperlink"/>
            <w:bCs/>
          </w:rPr>
          <w:t>Government purpose classification</w:t>
        </w:r>
        <w:r w:rsidR="0092044D">
          <w:rPr>
            <w:webHidden/>
          </w:rPr>
          <w:tab/>
        </w:r>
        <w:r w:rsidR="0092044D">
          <w:rPr>
            <w:webHidden/>
          </w:rPr>
          <w:fldChar w:fldCharType="begin"/>
        </w:r>
        <w:r w:rsidR="0092044D">
          <w:rPr>
            <w:webHidden/>
          </w:rPr>
          <w:instrText xml:space="preserve"> PAGEREF _Toc433984524 \h </w:instrText>
        </w:r>
        <w:r w:rsidR="0092044D">
          <w:rPr>
            <w:webHidden/>
          </w:rPr>
        </w:r>
        <w:r w:rsidR="0092044D">
          <w:rPr>
            <w:webHidden/>
          </w:rPr>
          <w:fldChar w:fldCharType="separate"/>
        </w:r>
        <w:r w:rsidR="0092044D">
          <w:rPr>
            <w:webHidden/>
          </w:rPr>
          <w:t>198</w:t>
        </w:r>
        <w:r w:rsidR="0092044D">
          <w:rPr>
            <w:webHidden/>
          </w:rPr>
          <w:fldChar w:fldCharType="end"/>
        </w:r>
      </w:hyperlink>
    </w:p>
    <w:p w:rsidR="0092044D" w:rsidRDefault="00CB3C3B">
      <w:pPr>
        <w:pStyle w:val="TOC4"/>
        <w:rPr>
          <w:rFonts w:asciiTheme="minorHAnsi" w:eastAsiaTheme="minorEastAsia" w:hAnsiTheme="minorHAnsi" w:cstheme="minorBidi"/>
          <w:szCs w:val="22"/>
          <w:lang w:eastAsia="en-AU"/>
        </w:rPr>
      </w:pPr>
      <w:hyperlink w:anchor="_Toc433984525" w:history="1">
        <w:r w:rsidR="0092044D" w:rsidRPr="004D3C94">
          <w:rPr>
            <w:rStyle w:val="Hyperlink"/>
          </w:rPr>
          <w:t>Note 42:</w:t>
        </w:r>
        <w:r w:rsidR="0092044D">
          <w:rPr>
            <w:rFonts w:asciiTheme="minorHAnsi" w:eastAsiaTheme="minorEastAsia" w:hAnsiTheme="minorHAnsi" w:cstheme="minorBidi"/>
            <w:szCs w:val="22"/>
            <w:lang w:eastAsia="en-AU"/>
          </w:rPr>
          <w:tab/>
        </w:r>
        <w:r w:rsidR="0092044D" w:rsidRPr="004D3C94">
          <w:rPr>
            <w:rStyle w:val="Hyperlink"/>
          </w:rPr>
          <w:t>Controlled entities</w:t>
        </w:r>
        <w:r w:rsidR="0092044D">
          <w:rPr>
            <w:webHidden/>
          </w:rPr>
          <w:tab/>
        </w:r>
        <w:r w:rsidR="0092044D">
          <w:rPr>
            <w:webHidden/>
          </w:rPr>
          <w:fldChar w:fldCharType="begin"/>
        </w:r>
        <w:r w:rsidR="0092044D">
          <w:rPr>
            <w:webHidden/>
          </w:rPr>
          <w:instrText xml:space="preserve"> PAGEREF _Toc433984525 \h </w:instrText>
        </w:r>
        <w:r w:rsidR="0092044D">
          <w:rPr>
            <w:webHidden/>
          </w:rPr>
        </w:r>
        <w:r w:rsidR="0092044D">
          <w:rPr>
            <w:webHidden/>
          </w:rPr>
          <w:fldChar w:fldCharType="separate"/>
        </w:r>
        <w:r w:rsidR="0092044D">
          <w:rPr>
            <w:webHidden/>
          </w:rPr>
          <w:t>200</w:t>
        </w:r>
        <w:r w:rsidR="0092044D">
          <w:rPr>
            <w:webHidden/>
          </w:rPr>
          <w:fldChar w:fldCharType="end"/>
        </w:r>
      </w:hyperlink>
    </w:p>
    <w:p w:rsidR="00336793" w:rsidRDefault="00336793" w:rsidP="00DF0B96">
      <w:r w:rsidRPr="002D292F">
        <w:fldChar w:fldCharType="end"/>
      </w:r>
    </w:p>
    <w:p w:rsidR="00336793" w:rsidRDefault="00336793">
      <w:pPr>
        <w:spacing w:after="0"/>
      </w:pPr>
      <w:r>
        <w:br w:type="page"/>
      </w:r>
    </w:p>
    <w:p w:rsidR="00336793" w:rsidRDefault="00336793" w:rsidP="00DF0B96">
      <w:pPr>
        <w:pStyle w:val="Heading2Notes"/>
      </w:pPr>
      <w:bookmarkStart w:id="31" w:name="_Toc433984484"/>
      <w:r>
        <w:lastRenderedPageBreak/>
        <w:t>Note 1:</w:t>
      </w:r>
      <w:r>
        <w:tab/>
        <w:t>Summary of significant accounting policies</w:t>
      </w:r>
      <w:bookmarkEnd w:id="31"/>
    </w:p>
    <w:p w:rsidR="00336793" w:rsidRPr="006A75A2" w:rsidRDefault="00336793" w:rsidP="00DF0B96">
      <w:r w:rsidRPr="006A75A2">
        <w:t>This Annual Financial Report presents the audited general purpose consolidated financial statements of the State of Victoria (the State) and the Victorian general gover</w:t>
      </w:r>
      <w:r>
        <w:t xml:space="preserve">nment sector for the year ended </w:t>
      </w:r>
      <w:r w:rsidRPr="00AE5AF8">
        <w:t>30 June 2015</w:t>
      </w:r>
      <w:r w:rsidRPr="006A75A2">
        <w:t>. The report provides users with information about the Government</w:t>
      </w:r>
      <w:r>
        <w:t>’</w:t>
      </w:r>
      <w:r w:rsidRPr="006A75A2">
        <w:t>s stewardship of the resources entrusted to it.</w:t>
      </w:r>
    </w:p>
    <w:p w:rsidR="00336793" w:rsidRPr="006A75A2" w:rsidRDefault="00336793" w:rsidP="00DF0B96">
      <w:pPr>
        <w:pStyle w:val="Heading3Numbering"/>
        <w:rPr>
          <w:kern w:val="0"/>
        </w:rPr>
      </w:pPr>
      <w:r w:rsidRPr="006A75A2">
        <w:rPr>
          <w:kern w:val="0"/>
        </w:rPr>
        <w:t>Statement of compliance</w:t>
      </w:r>
    </w:p>
    <w:p w:rsidR="00336793" w:rsidRPr="006A75A2" w:rsidRDefault="00336793" w:rsidP="00DF0B96">
      <w:r w:rsidRPr="006A75A2">
        <w:t>These general purpose financial statements have been prepared in the manner and form</w:t>
      </w:r>
      <w:r>
        <w:t xml:space="preserve"> determined by the Treasurer</w:t>
      </w:r>
      <w:r w:rsidRPr="006A75A2">
        <w:t xml:space="preserve"> in accordance with the </w:t>
      </w:r>
      <w:r w:rsidRPr="00AF41EA">
        <w:rPr>
          <w:i/>
        </w:rPr>
        <w:t xml:space="preserve">Financial Management </w:t>
      </w:r>
      <w:r>
        <w:rPr>
          <w:i/>
        </w:rPr>
        <w:t>Act </w:t>
      </w:r>
      <w:r w:rsidRPr="00AF41EA">
        <w:rPr>
          <w:i/>
        </w:rPr>
        <w:t>1994</w:t>
      </w:r>
      <w:r w:rsidRPr="006A75A2">
        <w:t xml:space="preserve"> and applicable Australian Accounting Standards (AASs)</w:t>
      </w:r>
      <w:r>
        <w:t>, which include Interpretations</w:t>
      </w:r>
      <w:r w:rsidRPr="006A75A2">
        <w:t xml:space="preserve"> issued by the Australian Accounting Standards Board (AASB). In particular, they are presented in a manner consistent with the requirements of </w:t>
      </w:r>
      <w:r w:rsidRPr="00AF41EA">
        <w:t xml:space="preserve">AASB 1049 </w:t>
      </w:r>
      <w:r w:rsidRPr="00AF41EA">
        <w:rPr>
          <w:i/>
        </w:rPr>
        <w:t>Whole of Government and General Government Sector Financial Reporting</w:t>
      </w:r>
      <w:r w:rsidRPr="006A75A2">
        <w:t xml:space="preserve">. </w:t>
      </w:r>
    </w:p>
    <w:p w:rsidR="00336793" w:rsidRPr="006A75A2" w:rsidRDefault="00336793" w:rsidP="00DF0B96">
      <w:r w:rsidRPr="006A75A2">
        <w:t>Where appropriate, those AASs paragraphs applicable to not</w:t>
      </w:r>
      <w:r>
        <w:noBreakHyphen/>
      </w:r>
      <w:r w:rsidRPr="006A75A2">
        <w:t>for</w:t>
      </w:r>
      <w:r>
        <w:noBreakHyphen/>
      </w:r>
      <w:r w:rsidRPr="006A75A2">
        <w:t>profit entities have been applied.</w:t>
      </w:r>
    </w:p>
    <w:p w:rsidR="00336793" w:rsidRPr="006A75A2" w:rsidRDefault="00336793" w:rsidP="00DF0B96">
      <w:r w:rsidRPr="006A75A2">
        <w:t>Accounting policies are selected and applied in a manner which ensures that the resulting financial information satisfies the concepts of relevance and reliability, thereby ensuring that the substance of the underlying transactions or other events is reported.</w:t>
      </w:r>
    </w:p>
    <w:p w:rsidR="00336793" w:rsidRPr="006A75A2" w:rsidRDefault="00336793" w:rsidP="00DF0B96">
      <w:r>
        <w:t>Except where noted in Note 1(F), t</w:t>
      </w:r>
      <w:r w:rsidRPr="006A75A2">
        <w:t xml:space="preserve">he accounting policies applied are also consistent with those applied for </w:t>
      </w:r>
      <w:r w:rsidRPr="00AF41EA">
        <w:t xml:space="preserve">the </w:t>
      </w:r>
      <w:r w:rsidRPr="00D06373">
        <w:rPr>
          <w:i/>
        </w:rPr>
        <w:t>2014</w:t>
      </w:r>
      <w:r>
        <w:rPr>
          <w:i/>
        </w:rPr>
        <w:noBreakHyphen/>
      </w:r>
      <w:r w:rsidRPr="00D06373">
        <w:rPr>
          <w:i/>
        </w:rPr>
        <w:t>15 Budget</w:t>
      </w:r>
      <w:r w:rsidRPr="006A75A2">
        <w:t>, subject to the latter report being prospective in nature and requiring application of estimation techniques to future amounts.</w:t>
      </w:r>
    </w:p>
    <w:p w:rsidR="00336793" w:rsidRPr="006A75A2" w:rsidRDefault="00336793" w:rsidP="00DF0B96">
      <w:r w:rsidRPr="006A75A2">
        <w:t xml:space="preserve">The Government Finance Statistics (GFS) information included in this report is based on the GFS manual published by the Australian Bureau of Statistics (ABS) (refer to </w:t>
      </w:r>
      <w:r w:rsidRPr="00B3771F">
        <w:t>Note 1(E)).</w:t>
      </w:r>
      <w:r w:rsidRPr="006A75A2">
        <w:t xml:space="preserve"> </w:t>
      </w:r>
    </w:p>
    <w:p w:rsidR="00336793" w:rsidRPr="006A75A2" w:rsidRDefault="00336793" w:rsidP="00DF0B96">
      <w:r w:rsidRPr="006A75A2">
        <w:t xml:space="preserve">To gain a better understanding of the terminology and key aggregates used in these financial statements, a glossary of terms can be found in </w:t>
      </w:r>
      <w:r w:rsidRPr="00B3771F">
        <w:t xml:space="preserve">Note 40 </w:t>
      </w:r>
      <w:r w:rsidRPr="00AF41EA">
        <w:rPr>
          <w:i/>
        </w:rPr>
        <w:t>Glossary of technical terms</w:t>
      </w:r>
      <w:r w:rsidRPr="006A75A2">
        <w:t xml:space="preserve"> and </w:t>
      </w:r>
      <w:r w:rsidRPr="00B3771F">
        <w:t xml:space="preserve">Note 41 </w:t>
      </w:r>
      <w:r w:rsidRPr="00AF41EA">
        <w:rPr>
          <w:i/>
        </w:rPr>
        <w:t>Government purpose classification</w:t>
      </w:r>
      <w:r w:rsidRPr="00AF41EA">
        <w:t>.</w:t>
      </w:r>
    </w:p>
    <w:p w:rsidR="00336793" w:rsidRPr="006A75A2" w:rsidRDefault="00336793" w:rsidP="00DF0B96">
      <w:r w:rsidRPr="006A75A2">
        <w:t xml:space="preserve">The annual financial statements were authorised for issue by </w:t>
      </w:r>
      <w:r w:rsidRPr="00982F70">
        <w:t>the Treasurer of Victoria</w:t>
      </w:r>
      <w:r w:rsidRPr="006A75A2">
        <w:t xml:space="preserve"> on </w:t>
      </w:r>
      <w:r w:rsidRPr="007B4EA3">
        <w:t>28 October 2015</w:t>
      </w:r>
      <w:r w:rsidRPr="006A75A2">
        <w:t>.</w:t>
      </w:r>
    </w:p>
    <w:p w:rsidR="00336793" w:rsidRPr="006A75A2" w:rsidRDefault="00336793" w:rsidP="00DF0B96">
      <w:pPr>
        <w:pStyle w:val="Heading3Numbering"/>
        <w:rPr>
          <w:kern w:val="0"/>
        </w:rPr>
      </w:pPr>
      <w:r w:rsidRPr="006A75A2">
        <w:rPr>
          <w:kern w:val="0"/>
        </w:rPr>
        <w:t>Basis of accounting, preparation and measurement</w:t>
      </w:r>
    </w:p>
    <w:p w:rsidR="00336793" w:rsidRPr="006A75A2" w:rsidRDefault="00336793" w:rsidP="00DF0B96">
      <w:r w:rsidRPr="006A75A2">
        <w:t>The accrual basis of accounting has been applied in preparing these financial statements, whereby assets, liabilities, equity, income and expenses are recognised in the reporting period to which they relate, regardless of when cash is received or paid.</w:t>
      </w:r>
    </w:p>
    <w:p w:rsidR="00336793" w:rsidRPr="006A75A2" w:rsidRDefault="00336793" w:rsidP="00DF0B96">
      <w:r w:rsidRPr="006A75A2">
        <w:t>Judgements, estimates and assumptions are required to be made about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rsidR="00336793" w:rsidRDefault="00336793" w:rsidP="00DF0B96">
      <w:r w:rsidRPr="00462456">
        <w:rPr>
          <w:color w:val="000000"/>
        </w:rPr>
        <w:t>In 2013</w:t>
      </w:r>
      <w:r>
        <w:rPr>
          <w:color w:val="000000"/>
        </w:rPr>
        <w:noBreakHyphen/>
      </w:r>
      <w:r w:rsidRPr="00462456">
        <w:rPr>
          <w:color w:val="000000"/>
        </w:rPr>
        <w:t>14 the State received $1.5</w:t>
      </w:r>
      <w:r>
        <w:rPr>
          <w:color w:val="000000"/>
        </w:rPr>
        <w:t> billion</w:t>
      </w:r>
      <w:r w:rsidRPr="00462456">
        <w:rPr>
          <w:color w:val="000000"/>
        </w:rPr>
        <w:t xml:space="preserve"> from the Commonwealth Government as a contribution towards the former East West Link project. This was recorded as income from transactions</w:t>
      </w:r>
      <w:r>
        <w:rPr>
          <w:color w:val="000000"/>
        </w:rPr>
        <w:t xml:space="preserve"> in the year. </w:t>
      </w:r>
      <w:r w:rsidRPr="00462456">
        <w:rPr>
          <w:color w:val="000000"/>
        </w:rPr>
        <w:t>Following the election in November 2014, the new Victorian Government confirmed that the East West Link project would not proceed and that it would not return the $1.5</w:t>
      </w:r>
      <w:r>
        <w:rPr>
          <w:color w:val="000000"/>
        </w:rPr>
        <w:t> billion</w:t>
      </w:r>
      <w:r w:rsidRPr="00462456">
        <w:rPr>
          <w:color w:val="000000"/>
        </w:rPr>
        <w:t xml:space="preserve"> to the Commonwealth Government</w:t>
      </w:r>
      <w:r>
        <w:rPr>
          <w:color w:val="000000"/>
        </w:rPr>
        <w:t xml:space="preserve">. </w:t>
      </w:r>
      <w:r w:rsidRPr="00462456">
        <w:rPr>
          <w:color w:val="000000"/>
        </w:rPr>
        <w:t xml:space="preserve">The </w:t>
      </w:r>
      <w:r>
        <w:rPr>
          <w:color w:val="000000"/>
        </w:rPr>
        <w:t xml:space="preserve">State </w:t>
      </w:r>
      <w:r w:rsidRPr="00462456">
        <w:rPr>
          <w:color w:val="000000"/>
        </w:rPr>
        <w:t>subsequently sought independent legal and accounting advice on the appropriate accounting treatment for this transaction in the 2014</w:t>
      </w:r>
      <w:r>
        <w:rPr>
          <w:color w:val="000000"/>
        </w:rPr>
        <w:noBreakHyphen/>
      </w:r>
      <w:r w:rsidRPr="00462456">
        <w:rPr>
          <w:color w:val="000000"/>
        </w:rPr>
        <w:t xml:space="preserve">15 financial year. This advice has concluded that </w:t>
      </w:r>
      <w:r w:rsidRPr="009765E8">
        <w:rPr>
          <w:color w:val="000000"/>
        </w:rPr>
        <w:t xml:space="preserve">the State is not required to recognise a liability under Australian Accounting Standards AASB 1004 </w:t>
      </w:r>
      <w:r w:rsidRPr="003B1A55">
        <w:rPr>
          <w:i/>
        </w:rPr>
        <w:t>Contributions</w:t>
      </w:r>
      <w:r w:rsidRPr="009765E8">
        <w:rPr>
          <w:color w:val="000000"/>
        </w:rPr>
        <w:t xml:space="preserve"> and AASB 137 </w:t>
      </w:r>
      <w:r w:rsidRPr="00B033C1">
        <w:rPr>
          <w:i/>
          <w:color w:val="000000"/>
        </w:rPr>
        <w:t>Provisions, Contingent Liabilities and Contingent Assets</w:t>
      </w:r>
      <w:r w:rsidRPr="00B033C1">
        <w:rPr>
          <w:color w:val="000000"/>
        </w:rPr>
        <w:t xml:space="preserve"> </w:t>
      </w:r>
      <w:r>
        <w:rPr>
          <w:color w:val="000000"/>
        </w:rPr>
        <w:t>as</w:t>
      </w:r>
      <w:r w:rsidRPr="009765E8">
        <w:rPr>
          <w:color w:val="000000"/>
        </w:rPr>
        <w:t xml:space="preserve"> there is no present obligation on the State to return the funding previously received for the project. On this basis, no liability or expense has been r</w:t>
      </w:r>
      <w:r>
        <w:rPr>
          <w:color w:val="000000"/>
        </w:rPr>
        <w:t xml:space="preserve">ecognised by </w:t>
      </w:r>
      <w:r w:rsidRPr="00462456">
        <w:rPr>
          <w:color w:val="000000"/>
        </w:rPr>
        <w:t xml:space="preserve">the </w:t>
      </w:r>
      <w:r>
        <w:rPr>
          <w:color w:val="000000"/>
        </w:rPr>
        <w:t>State in</w:t>
      </w:r>
      <w:r w:rsidRPr="00462456">
        <w:rPr>
          <w:color w:val="000000"/>
        </w:rPr>
        <w:t xml:space="preserve"> relation to this transaction.</w:t>
      </w:r>
    </w:p>
    <w:p w:rsidR="00336793" w:rsidRDefault="00336793" w:rsidP="00DF0B96"/>
    <w:p w:rsidR="00336793" w:rsidRPr="00B6735E" w:rsidRDefault="00336793" w:rsidP="00DF0B96">
      <w:pPr>
        <w:pStyle w:val="Heading2NotesContd"/>
        <w:rPr>
          <w:i/>
        </w:rPr>
      </w:pPr>
      <w:r>
        <w:lastRenderedPageBreak/>
        <w:t>Note 1:</w:t>
      </w:r>
      <w:r>
        <w:tab/>
        <w:t xml:space="preserve">Summary of significant accounting policies </w:t>
      </w:r>
      <w:r w:rsidRPr="00B6735E">
        <w:rPr>
          <w:i/>
        </w:rPr>
        <w:t>(continued)</w:t>
      </w:r>
    </w:p>
    <w:p w:rsidR="00336793" w:rsidRPr="006A75A2" w:rsidRDefault="00336793" w:rsidP="00DF0B96">
      <w:r w:rsidRPr="006A75A2">
        <w:t>Revisions to accounting estimates are recognised in the period in which the estimate is revised and also in future periods that are affected by the revision. Judgements and assumptions made by management in applying AASs that have significant effects on the financial statements and estimates relate to:</w:t>
      </w:r>
    </w:p>
    <w:p w:rsidR="00336793" w:rsidRPr="006A75A2" w:rsidRDefault="00336793" w:rsidP="00DF0B96">
      <w:pPr>
        <w:pStyle w:val="BulletText"/>
      </w:pPr>
      <w:r w:rsidRPr="006A75A2">
        <w:t xml:space="preserve">the fair value of land, buildings, infrastructure, plant and equipment (refer to </w:t>
      </w:r>
      <w:r w:rsidRPr="00B3771F">
        <w:t>Note 1(M));</w:t>
      </w:r>
    </w:p>
    <w:p w:rsidR="00336793" w:rsidRPr="006A75A2" w:rsidRDefault="00336793" w:rsidP="00DF0B96">
      <w:pPr>
        <w:pStyle w:val="BulletText"/>
      </w:pPr>
      <w:r w:rsidRPr="006A75A2">
        <w:t xml:space="preserve">superannuation expense and liability (refer to </w:t>
      </w:r>
      <w:r w:rsidRPr="00B3771F">
        <w:t>Note 1</w:t>
      </w:r>
      <w:r>
        <w:t>(H), Note 1</w:t>
      </w:r>
      <w:r w:rsidRPr="00B3771F">
        <w:t>(N)</w:t>
      </w:r>
      <w:r w:rsidRPr="006A75A2">
        <w:t xml:space="preserve"> and </w:t>
      </w:r>
      <w:r w:rsidRPr="00B3771F">
        <w:t xml:space="preserve">Note 8 </w:t>
      </w:r>
      <w:r w:rsidRPr="00625D4E">
        <w:rPr>
          <w:i/>
        </w:rPr>
        <w:t>Superannuation</w:t>
      </w:r>
      <w:r w:rsidRPr="006A75A2">
        <w:t>);</w:t>
      </w:r>
    </w:p>
    <w:p w:rsidR="00336793" w:rsidRPr="006A75A2" w:rsidRDefault="00336793" w:rsidP="00DF0B96">
      <w:pPr>
        <w:pStyle w:val="BulletText"/>
      </w:pPr>
      <w:r w:rsidRPr="006A75A2">
        <w:t xml:space="preserve">actuarial assumptions for employee benefit provisions based on likely tenure of existing staff, patterns of leave claims, future salary movements and future discount rates (refer to </w:t>
      </w:r>
      <w:r w:rsidRPr="00B3771F">
        <w:t>Note 1(N)</w:t>
      </w:r>
      <w:r w:rsidRPr="006A75A2">
        <w:t>);</w:t>
      </w:r>
    </w:p>
    <w:p w:rsidR="00336793" w:rsidRDefault="00336793" w:rsidP="00DF0B96">
      <w:pPr>
        <w:pStyle w:val="BulletText"/>
      </w:pPr>
      <w:r w:rsidRPr="006A75A2">
        <w:t xml:space="preserve">provisions for outstanding insurance claims (refer to </w:t>
      </w:r>
      <w:r w:rsidRPr="00B3771F">
        <w:t>Note 1(N)</w:t>
      </w:r>
      <w:r w:rsidRPr="006A75A2">
        <w:t xml:space="preserve"> and </w:t>
      </w:r>
      <w:r w:rsidRPr="00B3771F">
        <w:t xml:space="preserve">Note 28 </w:t>
      </w:r>
      <w:r w:rsidRPr="00625D4E">
        <w:rPr>
          <w:i/>
        </w:rPr>
        <w:t>Other provisions</w:t>
      </w:r>
      <w:r>
        <w:t>); and</w:t>
      </w:r>
    </w:p>
    <w:p w:rsidR="00336793" w:rsidRPr="0033315E" w:rsidRDefault="00336793" w:rsidP="00DF0B96">
      <w:pPr>
        <w:pStyle w:val="BulletText"/>
      </w:pPr>
      <w:r w:rsidRPr="006A75A2">
        <w:t xml:space="preserve">equities and managed investment schemes classified at level 3 of the fair value hierarchy (refer to </w:t>
      </w:r>
      <w:r>
        <w:t>Note 33(m</w:t>
      </w:r>
      <w:r w:rsidRPr="00B3771F">
        <w:t>)</w:t>
      </w:r>
      <w:r w:rsidRPr="006A75A2">
        <w:t>).</w:t>
      </w:r>
    </w:p>
    <w:p w:rsidR="00336793" w:rsidRPr="006A75A2" w:rsidRDefault="00336793" w:rsidP="00DF0B96">
      <w:r w:rsidRPr="006A75A2">
        <w:t xml:space="preserve">These financial statements are in Australian dollars, and historical cost convention is used except for: </w:t>
      </w:r>
    </w:p>
    <w:p w:rsidR="00336793" w:rsidRPr="006A75A2" w:rsidRDefault="00336793" w:rsidP="00DF0B96">
      <w:pPr>
        <w:pStyle w:val="BulletText"/>
        <w:spacing w:after="100"/>
      </w:pPr>
      <w:r w:rsidRPr="006A75A2">
        <w:t xml:space="preserve">general </w:t>
      </w:r>
      <w:r w:rsidRPr="00D06373">
        <w:t>government</w:t>
      </w:r>
      <w:r w:rsidRPr="006A75A2">
        <w:t xml:space="preserve"> sector investments in other sector entities which are measured at net asset value;</w:t>
      </w:r>
    </w:p>
    <w:p w:rsidR="00336793" w:rsidRPr="006A75A2" w:rsidRDefault="00336793" w:rsidP="00DF0B96">
      <w:pPr>
        <w:pStyle w:val="BulletText"/>
        <w:spacing w:after="100"/>
      </w:pPr>
      <w:r w:rsidRPr="006A75A2">
        <w:t>non</w:t>
      </w:r>
      <w:r>
        <w:noBreakHyphen/>
      </w:r>
      <w:r w:rsidRPr="006A75A2">
        <w:t>financial physical assets which, subsequent to acquisition, are measured at a revalued amount being their fair value at the date of revaluation less any subsequent accumulated depreciation and subsequent impairment losses. Revaluations are made with sufficient regularity to ensure that the carrying amounts do not materially differ from their fair value;</w:t>
      </w:r>
    </w:p>
    <w:p w:rsidR="00336793" w:rsidRPr="006A75A2" w:rsidRDefault="00336793" w:rsidP="00DF0B96">
      <w:pPr>
        <w:pStyle w:val="BulletText"/>
        <w:spacing w:after="100"/>
      </w:pPr>
      <w:r w:rsidRPr="006A75A2">
        <w:t>productive trees in commercial native forests, which are measured at their fair value less costs to sell;</w:t>
      </w:r>
    </w:p>
    <w:p w:rsidR="00336793" w:rsidRPr="006A75A2" w:rsidRDefault="00336793" w:rsidP="00DF0B96">
      <w:pPr>
        <w:pStyle w:val="BulletText"/>
        <w:spacing w:after="100"/>
      </w:pPr>
      <w:r w:rsidRPr="006A75A2">
        <w:t xml:space="preserve">derivative financial instruments, managed investment schemes, certain debt securities and investment properties after initial recognition, which are measured at fair value with changes reflected in the consolidated comprehensive operating statement (fair value through profit and loss); </w:t>
      </w:r>
    </w:p>
    <w:p w:rsidR="00336793" w:rsidRPr="006A75A2" w:rsidRDefault="00336793" w:rsidP="00DF0B96">
      <w:pPr>
        <w:pStyle w:val="BulletText"/>
        <w:spacing w:after="100"/>
      </w:pPr>
      <w:r w:rsidRPr="006A75A2">
        <w:t>certain liabilities, most notably unfunded superannuation and insurance claim provisions, which are subject to an actuarial assessment; and</w:t>
      </w:r>
    </w:p>
    <w:p w:rsidR="00336793" w:rsidRPr="006A75A2" w:rsidRDefault="00336793" w:rsidP="00DF0B96">
      <w:pPr>
        <w:pStyle w:val="BulletText"/>
        <w:spacing w:after="100"/>
      </w:pPr>
      <w:r w:rsidRPr="006A75A2">
        <w:t>available</w:t>
      </w:r>
      <w:r>
        <w:noBreakHyphen/>
      </w:r>
      <w:r w:rsidRPr="006A75A2">
        <w:t>for</w:t>
      </w:r>
      <w:r>
        <w:noBreakHyphen/>
      </w:r>
      <w:r w:rsidRPr="006A75A2">
        <w:t xml:space="preserve">sale investments which are measured at fair value with movements reflected in </w:t>
      </w:r>
      <w:r>
        <w:t>‘</w:t>
      </w:r>
      <w:r w:rsidRPr="006A75A2">
        <w:t>Other economic flows – other comprehensive income</w:t>
      </w:r>
      <w:r>
        <w:t>’</w:t>
      </w:r>
      <w:r w:rsidRPr="006A75A2">
        <w:t>.</w:t>
      </w:r>
    </w:p>
    <w:p w:rsidR="00336793" w:rsidRPr="006A75A2" w:rsidRDefault="00336793" w:rsidP="00DF0B96">
      <w:pPr>
        <w:pStyle w:val="Heading3Numbering"/>
        <w:rPr>
          <w:kern w:val="0"/>
        </w:rPr>
      </w:pPr>
      <w:r w:rsidRPr="006A75A2">
        <w:rPr>
          <w:kern w:val="0"/>
        </w:rPr>
        <w:t>Reporting entity</w:t>
      </w:r>
    </w:p>
    <w:p w:rsidR="00336793" w:rsidRPr="006A75A2" w:rsidRDefault="00336793" w:rsidP="00DF0B96">
      <w:r w:rsidRPr="006A75A2">
        <w:t>The State of Victoria reporting entity, includes government departments, public non</w:t>
      </w:r>
      <w:r>
        <w:noBreakHyphen/>
      </w:r>
      <w:r w:rsidRPr="006A75A2">
        <w:t>financial corporations (PNFCs), public financial corporati</w:t>
      </w:r>
      <w:r>
        <w:t>ons (PFCs) and other government</w:t>
      </w:r>
      <w:r>
        <w:noBreakHyphen/>
      </w:r>
      <w:r w:rsidRPr="006A75A2">
        <w:t xml:space="preserve">controlled entities (refer to </w:t>
      </w:r>
      <w:r w:rsidRPr="00B3771F">
        <w:t xml:space="preserve">Note 42 </w:t>
      </w:r>
      <w:r w:rsidRPr="00625D4E">
        <w:rPr>
          <w:i/>
        </w:rPr>
        <w:t>Controlled entities</w:t>
      </w:r>
      <w:r w:rsidRPr="006A75A2">
        <w:t>). The State and most of its subsidiary entities are not</w:t>
      </w:r>
      <w:r>
        <w:noBreakHyphen/>
      </w:r>
      <w:r w:rsidRPr="006A75A2">
        <w:t>for</w:t>
      </w:r>
      <w:r>
        <w:noBreakHyphen/>
      </w:r>
      <w:r w:rsidRPr="006A75A2">
        <w:t xml:space="preserve">profit entities. These entities are classified into sectors according to the System of National Accounts described below. </w:t>
      </w:r>
    </w:p>
    <w:p w:rsidR="00336793" w:rsidRPr="006A75A2" w:rsidRDefault="00336793" w:rsidP="00DF0B96">
      <w:pPr>
        <w:pStyle w:val="Heading4"/>
      </w:pPr>
      <w:r w:rsidRPr="006A75A2">
        <w:t>System of National Accounts</w:t>
      </w:r>
    </w:p>
    <w:p w:rsidR="00336793" w:rsidRPr="006A75A2" w:rsidRDefault="00336793" w:rsidP="00DF0B96">
      <w:pPr>
        <w:pStyle w:val="Heading5"/>
      </w:pPr>
      <w:r w:rsidRPr="006A75A2">
        <w:t>(i)</w:t>
      </w:r>
      <w:r w:rsidRPr="006A75A2">
        <w:tab/>
        <w:t>General government</w:t>
      </w:r>
    </w:p>
    <w:p w:rsidR="00336793" w:rsidRPr="006A75A2" w:rsidRDefault="00336793" w:rsidP="00DF0B96">
      <w:r w:rsidRPr="006A75A2">
        <w:t xml:space="preserve">The Victorian general government sector includes all government departments, offices and other bodies engaged in providing services free of charge or at prices significantly below their cost of production. The general government sector is not a separate entity but represents a sector within the State of Victoria reporting entity, and is reported in accordance </w:t>
      </w:r>
      <w:r w:rsidRPr="00625D4E">
        <w:t>with AASB 1049</w:t>
      </w:r>
      <w:r w:rsidRPr="006A75A2">
        <w:t>.</w:t>
      </w:r>
    </w:p>
    <w:p w:rsidR="00336793" w:rsidRPr="006A75A2" w:rsidRDefault="00336793" w:rsidP="00DF0B96">
      <w:r w:rsidRPr="006A75A2">
        <w:t>The primary function of entities within the general government sector is to provide public services (outputs), which are mainly non</w:t>
      </w:r>
      <w:r>
        <w:noBreakHyphen/>
      </w:r>
      <w:r w:rsidRPr="006A75A2">
        <w:t>market in nature for the collective consumption of the community, and involve the transfer or redistribution of revenue</w:t>
      </w:r>
      <w:r>
        <w:t>,</w:t>
      </w:r>
      <w:r w:rsidRPr="006A75A2">
        <w:t xml:space="preserve"> which is financed mainly through taxes and other compulsory levies. </w:t>
      </w:r>
    </w:p>
    <w:p w:rsidR="00336793" w:rsidRPr="006A75A2" w:rsidRDefault="00336793" w:rsidP="00DF0B96">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pPr>
        <w:pStyle w:val="Heading5"/>
      </w:pPr>
      <w:r w:rsidRPr="006A75A2">
        <w:t>(ii)</w:t>
      </w:r>
      <w:r w:rsidRPr="006A75A2">
        <w:tab/>
        <w:t>Public non</w:t>
      </w:r>
      <w:r>
        <w:noBreakHyphen/>
      </w:r>
      <w:r w:rsidRPr="006A75A2">
        <w:t>financial corporations</w:t>
      </w:r>
    </w:p>
    <w:p w:rsidR="00336793" w:rsidRPr="006A75A2" w:rsidRDefault="00336793" w:rsidP="00DF0B96">
      <w:r w:rsidRPr="006A75A2">
        <w:t>The primary function of entities in the government PNFC sector is to provide goods and services in a competitive market that is non</w:t>
      </w:r>
      <w:r>
        <w:noBreakHyphen/>
      </w:r>
      <w:r w:rsidRPr="006A75A2">
        <w:t>regulatory and non</w:t>
      </w:r>
      <w:r>
        <w:noBreakHyphen/>
      </w:r>
      <w:r w:rsidRPr="006A75A2">
        <w:t xml:space="preserve">financial in nature. Such entities are financed mainly through sales to the consumer of these goods and services. </w:t>
      </w:r>
    </w:p>
    <w:p w:rsidR="00336793" w:rsidRPr="006A75A2" w:rsidRDefault="00336793" w:rsidP="00DF0B96">
      <w:pPr>
        <w:pStyle w:val="Heading5"/>
      </w:pPr>
      <w:r w:rsidRPr="006A75A2">
        <w:t>(iii)</w:t>
      </w:r>
      <w:r w:rsidRPr="006A75A2">
        <w:tab/>
        <w:t>Public financial corporations</w:t>
      </w:r>
    </w:p>
    <w:p w:rsidR="00336793" w:rsidRPr="006A75A2" w:rsidRDefault="00336793" w:rsidP="00DF0B96">
      <w:r w:rsidRPr="006A75A2">
        <w:t>The government</w:t>
      </w:r>
      <w:r>
        <w:noBreakHyphen/>
      </w:r>
      <w:r w:rsidRPr="006A75A2">
        <w:t>controlled PFC sector comprises entities engaged primarily in providing financial intermediation services or auxiliary financial services and which have one or more of the following characteristics:</w:t>
      </w:r>
    </w:p>
    <w:p w:rsidR="00336793" w:rsidRPr="006A75A2" w:rsidRDefault="00336793" w:rsidP="00DF0B96">
      <w:pPr>
        <w:pStyle w:val="BulletText"/>
      </w:pPr>
      <w:r w:rsidRPr="006A75A2">
        <w:t>they perform a central borrowing function;</w:t>
      </w:r>
    </w:p>
    <w:p w:rsidR="00336793" w:rsidRPr="006A75A2" w:rsidRDefault="00336793" w:rsidP="00DF0B96">
      <w:pPr>
        <w:pStyle w:val="BulletText"/>
      </w:pPr>
      <w:r w:rsidRPr="006A75A2">
        <w:t>they provide insurance services;</w:t>
      </w:r>
    </w:p>
    <w:p w:rsidR="00336793" w:rsidRPr="006A75A2" w:rsidRDefault="00336793" w:rsidP="00DF0B96">
      <w:pPr>
        <w:pStyle w:val="BulletText"/>
      </w:pPr>
      <w:r w:rsidRPr="006A75A2">
        <w:t>they accept call, term or savings deposits; or</w:t>
      </w:r>
    </w:p>
    <w:p w:rsidR="00336793" w:rsidRPr="006A75A2" w:rsidRDefault="00336793" w:rsidP="00DF0B96">
      <w:pPr>
        <w:pStyle w:val="BulletText"/>
      </w:pPr>
      <w:r w:rsidRPr="006A75A2">
        <w:t>they have the ability to incur liabilities and acquire financial assets in the market on their own account.</w:t>
      </w:r>
    </w:p>
    <w:p w:rsidR="00336793" w:rsidRPr="006A75A2" w:rsidRDefault="00336793" w:rsidP="00DF0B96">
      <w:r w:rsidRPr="006A75A2">
        <w:t xml:space="preserve">Disaggregated information about these sectors is presented in </w:t>
      </w:r>
      <w:r w:rsidRPr="00B3771F">
        <w:t xml:space="preserve">Note 2 </w:t>
      </w:r>
      <w:r w:rsidRPr="00625D4E">
        <w:rPr>
          <w:i/>
        </w:rPr>
        <w:t>Disaggregated information</w:t>
      </w:r>
      <w:r w:rsidRPr="006A75A2">
        <w:t>. This information is provided because there are differences between general government activities and those of the public sector entities in the PNFC and the PFC sectors. Disclosing this information assists users of the financial statements to determine the effects of differing activities on the financial position of the State. It also assists users to identify the resources used in providing a range of goods and services, and the extent to which the State has recovered the costs of those resources from revenues attributable to those activities.</w:t>
      </w:r>
    </w:p>
    <w:p w:rsidR="00336793" w:rsidRPr="006A75A2" w:rsidRDefault="00336793" w:rsidP="00DF0B96">
      <w:pPr>
        <w:pStyle w:val="Heading3Numbering"/>
        <w:rPr>
          <w:kern w:val="0"/>
        </w:rPr>
      </w:pPr>
      <w:r w:rsidRPr="006A75A2">
        <w:rPr>
          <w:kern w:val="0"/>
        </w:rPr>
        <w:t>Basis of consolidation</w:t>
      </w:r>
    </w:p>
    <w:p w:rsidR="00336793" w:rsidRPr="006A75A2" w:rsidRDefault="00336793" w:rsidP="00DF0B96">
      <w:r w:rsidRPr="006A75A2">
        <w:t xml:space="preserve">In accordance </w:t>
      </w:r>
      <w:r w:rsidRPr="00625D4E">
        <w:t>with AASB 1049 and AASB 10</w:t>
      </w:r>
      <w:r w:rsidRPr="00625D4E">
        <w:rPr>
          <w:i/>
        </w:rPr>
        <w:t xml:space="preserve"> Consolidated Financial Statements</w:t>
      </w:r>
      <w:r w:rsidRPr="006A75A2">
        <w:t>:</w:t>
      </w:r>
    </w:p>
    <w:p w:rsidR="00336793" w:rsidRPr="006A75A2" w:rsidRDefault="00336793" w:rsidP="00DF0B96">
      <w:pPr>
        <w:pStyle w:val="BulletText"/>
      </w:pPr>
      <w:r w:rsidRPr="006A75A2">
        <w:t>The consolidated financial stat</w:t>
      </w:r>
      <w:r>
        <w:t>ements of the State incorporate</w:t>
      </w:r>
      <w:r w:rsidRPr="006A75A2">
        <w:t xml:space="preserve"> assets and liabilities of all reporting entities that are controlled by the State as at </w:t>
      </w:r>
      <w:r w:rsidRPr="00AE5AF8">
        <w:t>30 June 2015</w:t>
      </w:r>
      <w:r w:rsidRPr="006A75A2">
        <w:t xml:space="preserve"> and the revenue and expenses of entities controlled by the State for the part of the reporting period in which control existed.</w:t>
      </w:r>
      <w:r>
        <w:t xml:space="preserve"> In accordance with the new ‘control’ criteria in AASB 10 effective from 2014</w:t>
      </w:r>
      <w:r>
        <w:noBreakHyphen/>
        <w:t xml:space="preserve">15, the State has reviewed the existing arrangements to determine if there are any additional entities that need to be consolidated into the State. </w:t>
      </w:r>
      <w:r w:rsidRPr="005C336B">
        <w:t>The State has concluded that there has been no significant change arising from the new control criteria on the State</w:t>
      </w:r>
      <w:r>
        <w:t>’</w:t>
      </w:r>
      <w:r w:rsidRPr="005C336B">
        <w:t>s consolidated group.</w:t>
      </w:r>
    </w:p>
    <w:p w:rsidR="00336793" w:rsidRPr="006A75A2" w:rsidRDefault="00336793" w:rsidP="00DF0B96">
      <w:pPr>
        <w:pStyle w:val="BulletText"/>
      </w:pPr>
      <w:r w:rsidRPr="006A75A2">
        <w:t>The consolidated financial statements of the Victorian general government sector incorpora</w:t>
      </w:r>
      <w:r>
        <w:t>te</w:t>
      </w:r>
      <w:r w:rsidRPr="006A75A2">
        <w:t xml:space="preserve"> assets and liabilities, revenue and expenses of entities classified as general government. Entities in the PNFC and PFC sectors are not consolidated into the financial statements of the general government sector, but are accounted for as equity investments measured at the Government</w:t>
      </w:r>
      <w:r>
        <w:t>’</w:t>
      </w:r>
      <w:r w:rsidRPr="006A75A2">
        <w:t>s proportional share of the carrying amount of net assets of the PNFC and PFC sector entities before consolidation eliminations. Where the carrying amount of the entity</w:t>
      </w:r>
      <w:r>
        <w:t>’</w:t>
      </w:r>
      <w:r w:rsidRPr="006A75A2">
        <w:t xml:space="preserve">s net assets before consolidation eliminations of an entity within the sectors is less than zero, the amount is not included at the general government sector, but the net liabilities will be consolidated at the State level. Any change in the carrying amount of the investment from period to period is accounted for as if the change in carrying amount is a change in fair value and accounted for in a manner consistent with </w:t>
      </w:r>
      <w:r w:rsidRPr="00625D4E">
        <w:t xml:space="preserve">AASB 139 </w:t>
      </w:r>
      <w:r w:rsidRPr="00625D4E">
        <w:rPr>
          <w:i/>
        </w:rPr>
        <w:t>Financial Instruments: Recognition and Measurement</w:t>
      </w:r>
      <w:r w:rsidRPr="006A75A2">
        <w:t xml:space="preserve">. </w:t>
      </w:r>
    </w:p>
    <w:p w:rsidR="00336793" w:rsidRPr="006A75A2" w:rsidRDefault="00336793" w:rsidP="00DF0B96">
      <w:pPr>
        <w:pStyle w:val="BulletText"/>
        <w:numPr>
          <w:ilvl w:val="0"/>
          <w:numId w:val="0"/>
        </w:numPr>
      </w:pPr>
      <w:r w:rsidRPr="006A75A2">
        <w:t xml:space="preserve">Entities which are not controlled by the State, including local government authorities, universities and denominated hospitals, are not consolidated into the financial statements for the State. </w:t>
      </w:r>
    </w:p>
    <w:p w:rsidR="00336793" w:rsidRPr="006A75A2" w:rsidRDefault="00336793" w:rsidP="00DF0B96">
      <w:r w:rsidRPr="006A75A2">
        <w:t>Where entities adopt dissimilar accounting policies and their effect is considered material, adjustments are made to ensure consistent policies are adopted in these financial statements.</w:t>
      </w:r>
    </w:p>
    <w:p w:rsidR="00336793" w:rsidRPr="003E7F2E" w:rsidRDefault="00336793" w:rsidP="00DF0B96">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r w:rsidRPr="006A75A2">
        <w:t>In preparing consolidated financial statements for reporting the State and the Victorian general government sector, all material transactions and balances between consolidated government controlled entities are eliminated.</w:t>
      </w:r>
    </w:p>
    <w:p w:rsidR="00336793" w:rsidRPr="006A75A2" w:rsidRDefault="00336793" w:rsidP="00DF0B96">
      <w:r w:rsidRPr="006A75A2">
        <w:t xml:space="preserve">Although certain entities prepare their audited financial statements on a calendar year basis, their information on transactions and balances supplied for consolidation purposes reflect adjusted audited figures that relate to the following financial year ending </w:t>
      </w:r>
      <w:r>
        <w:t>30 June</w:t>
      </w:r>
      <w:r w:rsidRPr="006A75A2">
        <w:t>.</w:t>
      </w:r>
    </w:p>
    <w:p w:rsidR="00336793" w:rsidRPr="006A75A2" w:rsidRDefault="00336793" w:rsidP="00DF0B96">
      <w:r w:rsidRPr="006A75A2">
        <w:t xml:space="preserve">Consistent with the requirements of </w:t>
      </w:r>
      <w:r w:rsidRPr="003B1A55">
        <w:t>AASB 1004</w:t>
      </w:r>
      <w:r w:rsidRPr="006A75A2">
        <w:t>, contributions by owners (that is, contributed capital and its repayment) are treated as equity transactions and, therefore, do not form part of the revenues and expenses of the relevant sectors of government.</w:t>
      </w:r>
    </w:p>
    <w:p w:rsidR="00336793" w:rsidRPr="006A75A2" w:rsidRDefault="00336793" w:rsidP="00DF0B96">
      <w:r w:rsidRPr="006A75A2">
        <w:t xml:space="preserve">Significant entities consolidated by the State are shown in </w:t>
      </w:r>
      <w:r w:rsidRPr="00B3771F">
        <w:t xml:space="preserve">Note 42 </w:t>
      </w:r>
      <w:r w:rsidRPr="003B1A55">
        <w:rPr>
          <w:i/>
        </w:rPr>
        <w:t>Controlled entities</w:t>
      </w:r>
      <w:r w:rsidRPr="006A75A2">
        <w:t>.</w:t>
      </w:r>
    </w:p>
    <w:p w:rsidR="00336793" w:rsidRPr="006A75A2" w:rsidRDefault="00336793" w:rsidP="00DF0B96">
      <w:pPr>
        <w:pStyle w:val="Heading4"/>
      </w:pPr>
      <w:r w:rsidRPr="006A75A2">
        <w:t>Funds held in trust</w:t>
      </w:r>
    </w:p>
    <w:p w:rsidR="00336793" w:rsidRPr="006A75A2" w:rsidRDefault="00336793" w:rsidP="00DF0B96">
      <w:r w:rsidRPr="006A75A2">
        <w:t xml:space="preserve">The State has responsibility for transactions and balances relating to trust funds held on behalf of third parties external to the State, such as the </w:t>
      </w:r>
      <w:r>
        <w:t>funds managed by the Senior Master of the Supreme Court on behalf of people with a legal disability</w:t>
      </w:r>
      <w:r w:rsidRPr="006A75A2">
        <w:t>. The funds managed on behalf of third parties are not recognised in these financial statements as they are managed on a fiduciary and custodial basis, and therefore are not controlled by th</w:t>
      </w:r>
      <w:r>
        <w:t>e State. Funds under management</w:t>
      </w:r>
      <w:r w:rsidRPr="006A75A2">
        <w:t xml:space="preserve"> are reported in </w:t>
      </w:r>
      <w:r w:rsidRPr="00B3771F">
        <w:t xml:space="preserve">Note 36 </w:t>
      </w:r>
      <w:r w:rsidRPr="003B1A55">
        <w:rPr>
          <w:i/>
        </w:rPr>
        <w:t>Funds under management</w:t>
      </w:r>
      <w:r w:rsidRPr="006A75A2">
        <w:t xml:space="preserve"> and within </w:t>
      </w:r>
      <w:r w:rsidRPr="00B3771F">
        <w:t xml:space="preserve">Note 39 </w:t>
      </w:r>
      <w:r>
        <w:rPr>
          <w:i/>
        </w:rPr>
        <w:t>Public a</w:t>
      </w:r>
      <w:r w:rsidRPr="003B1A55">
        <w:rPr>
          <w:i/>
        </w:rPr>
        <w:t>ccount disclosure</w:t>
      </w:r>
      <w:r w:rsidRPr="006A75A2">
        <w:t>.</w:t>
      </w:r>
    </w:p>
    <w:p w:rsidR="00336793" w:rsidRPr="006A75A2" w:rsidRDefault="00336793" w:rsidP="00DF0B96">
      <w:pPr>
        <w:pStyle w:val="Heading3Numbering"/>
        <w:rPr>
          <w:kern w:val="0"/>
        </w:rPr>
      </w:pPr>
      <w:r w:rsidRPr="006A75A2">
        <w:rPr>
          <w:kern w:val="0"/>
        </w:rPr>
        <w:t>Scope and presentation of financial statements</w:t>
      </w:r>
    </w:p>
    <w:p w:rsidR="00336793" w:rsidRPr="006A75A2" w:rsidRDefault="00336793" w:rsidP="00DF0B96">
      <w:pPr>
        <w:pStyle w:val="Heading4"/>
      </w:pPr>
      <w:r w:rsidRPr="006A75A2">
        <w:t>Consolidated comprehensive operating statement</w:t>
      </w:r>
    </w:p>
    <w:p w:rsidR="00336793" w:rsidRPr="006A75A2" w:rsidRDefault="00336793" w:rsidP="00DF0B96">
      <w:r w:rsidRPr="006A75A2">
        <w:t xml:space="preserve">Revenues and expenses in the consolidated comprehensive operating statement are classified according to whether or not they arise from </w:t>
      </w:r>
      <w:r>
        <w:t>‘</w:t>
      </w:r>
      <w:r w:rsidRPr="006A75A2">
        <w:t>Transactions</w:t>
      </w:r>
      <w:r>
        <w:t>’</w:t>
      </w:r>
      <w:r w:rsidRPr="006A75A2">
        <w:t xml:space="preserve"> or </w:t>
      </w:r>
      <w:r>
        <w:t>‘</w:t>
      </w:r>
      <w:r w:rsidRPr="006A75A2">
        <w:t>Other economic flows</w:t>
      </w:r>
      <w:r>
        <w:t>’</w:t>
      </w:r>
      <w:r w:rsidRPr="006A75A2">
        <w:t>. This classification is consistent with that required under AASB 1049.</w:t>
      </w:r>
    </w:p>
    <w:p w:rsidR="00336793" w:rsidRPr="006A75A2" w:rsidRDefault="00336793" w:rsidP="00DF0B96">
      <w:r>
        <w:t>‘</w:t>
      </w:r>
      <w:r w:rsidRPr="006A75A2">
        <w:t>Transactions</w:t>
      </w:r>
      <w:r>
        <w:t>’</w:t>
      </w:r>
      <w:r w:rsidRPr="006A75A2">
        <w:t xml:space="preserve"> and </w:t>
      </w:r>
      <w:r>
        <w:t>‘</w:t>
      </w:r>
      <w:r w:rsidRPr="006A75A2">
        <w:t>Other economic flows</w:t>
      </w:r>
      <w:r>
        <w:t>’</w:t>
      </w:r>
      <w:r w:rsidRPr="006A75A2">
        <w:t xml:space="preserve"> are defined in </w:t>
      </w:r>
      <w:r w:rsidRPr="006A75A2">
        <w:rPr>
          <w:i/>
        </w:rPr>
        <w:t>Australian System of Government Finance Statistics: Concepts, Sources and Methods 2005</w:t>
      </w:r>
      <w:r w:rsidRPr="006A75A2">
        <w:t xml:space="preserve"> and </w:t>
      </w:r>
      <w:r w:rsidRPr="006A75A2">
        <w:rPr>
          <w:i/>
        </w:rPr>
        <w:t>Amendments to Australian System o</w:t>
      </w:r>
      <w:r>
        <w:rPr>
          <w:i/>
        </w:rPr>
        <w:t>f Government Finance Statistics</w:t>
      </w:r>
      <w:r w:rsidRPr="006A75A2">
        <w:t xml:space="preserve"> </w:t>
      </w:r>
      <w:r w:rsidRPr="003B1A55">
        <w:t xml:space="preserve">(ABS Catalogue </w:t>
      </w:r>
      <w:r>
        <w:t>No. </w:t>
      </w:r>
      <w:r w:rsidRPr="003B1A55">
        <w:t>5514.0) (the GFS Manual).</w:t>
      </w:r>
    </w:p>
    <w:p w:rsidR="00336793" w:rsidRDefault="00336793" w:rsidP="00DF0B96">
      <w:r>
        <w:t>‘</w:t>
      </w:r>
      <w:r w:rsidRPr="006A75A2">
        <w:t>Transactions</w:t>
      </w:r>
      <w:r>
        <w:t>’</w:t>
      </w:r>
      <w:r w:rsidRPr="006A75A2">
        <w:t xml:space="preserve"> 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w:t>
      </w:r>
      <w:r>
        <w:t>‘</w:t>
      </w:r>
      <w:r w:rsidRPr="006A75A2">
        <w:t>Transactions</w:t>
      </w:r>
      <w:r>
        <w:t>’</w:t>
      </w:r>
      <w:r w:rsidRPr="006A75A2">
        <w:t xml:space="preserve"> can be cash or in kind (e.g. assets provided/given free of charge or for nominal consideration).</w:t>
      </w:r>
    </w:p>
    <w:p w:rsidR="00336793" w:rsidRPr="006A75A2" w:rsidRDefault="00336793" w:rsidP="00DF0B96">
      <w:r w:rsidRPr="006A75A2">
        <w:t>The net result is equivalent to profit or loss d</w:t>
      </w:r>
      <w:r>
        <w:t>erived in accordance with AASs.</w:t>
      </w:r>
    </w:p>
    <w:p w:rsidR="00336793" w:rsidRPr="006A75A2" w:rsidRDefault="00336793" w:rsidP="00DF0B96">
      <w:r>
        <w:t>‘</w:t>
      </w:r>
      <w:r w:rsidRPr="006A75A2">
        <w:t>Other economic flows</w:t>
      </w:r>
      <w:r>
        <w:t>’</w:t>
      </w:r>
      <w:r w:rsidRPr="006A75A2">
        <w:t xml:space="preserve"> are changes arising from market remeasurements. They include:</w:t>
      </w:r>
    </w:p>
    <w:p w:rsidR="00336793" w:rsidRPr="006A75A2" w:rsidRDefault="00336793" w:rsidP="00DF0B96">
      <w:pPr>
        <w:pStyle w:val="BulletText"/>
      </w:pPr>
      <w:r w:rsidRPr="006A75A2">
        <w:t>gains and losses from disposals</w:t>
      </w:r>
      <w:r>
        <w:t xml:space="preserve"> of non</w:t>
      </w:r>
      <w:r>
        <w:noBreakHyphen/>
        <w:t>financial physical assets</w:t>
      </w:r>
      <w:r w:rsidRPr="006A75A2">
        <w:t>;</w:t>
      </w:r>
    </w:p>
    <w:p w:rsidR="00336793" w:rsidRPr="006A75A2" w:rsidRDefault="00336793" w:rsidP="00DF0B96">
      <w:pPr>
        <w:pStyle w:val="BulletText"/>
      </w:pPr>
      <w:r w:rsidRPr="006A75A2">
        <w:t>revaluations and impairments of non</w:t>
      </w:r>
      <w:r>
        <w:noBreakHyphen/>
      </w:r>
      <w:r w:rsidRPr="006A75A2">
        <w:t xml:space="preserve">financial physical and intangible assets; </w:t>
      </w:r>
    </w:p>
    <w:p w:rsidR="00336793" w:rsidRPr="006A75A2" w:rsidRDefault="00336793" w:rsidP="00DF0B96">
      <w:pPr>
        <w:pStyle w:val="BulletText"/>
      </w:pPr>
      <w:r w:rsidRPr="006A75A2">
        <w:t xml:space="preserve">remeasurement arising from defined benefit superannuation plans; </w:t>
      </w:r>
    </w:p>
    <w:p w:rsidR="00336793" w:rsidRPr="006A75A2" w:rsidRDefault="00336793" w:rsidP="00DF0B96">
      <w:pPr>
        <w:pStyle w:val="BulletText"/>
      </w:pPr>
      <w:r w:rsidRPr="006A75A2">
        <w:t xml:space="preserve">fair value changes of financial instruments and agricultural assets; and </w:t>
      </w:r>
    </w:p>
    <w:p w:rsidR="00336793" w:rsidRDefault="00336793" w:rsidP="00DF0B96">
      <w:pPr>
        <w:pStyle w:val="BulletText"/>
      </w:pPr>
      <w:r w:rsidRPr="006A75A2">
        <w:t>depletion of natural assets (non</w:t>
      </w:r>
      <w:r>
        <w:noBreakHyphen/>
      </w:r>
      <w:r w:rsidRPr="006A75A2">
        <w:t>produ</w:t>
      </w:r>
      <w:r>
        <w:t>ced) from their use or removal.</w:t>
      </w:r>
    </w:p>
    <w:p w:rsidR="00336793" w:rsidRDefault="00336793">
      <w:pPr>
        <w:spacing w:after="0"/>
      </w:pPr>
      <w:r>
        <w:br w:type="page"/>
      </w:r>
    </w:p>
    <w:p w:rsidR="00336793" w:rsidRPr="003E7F2E" w:rsidRDefault="00336793" w:rsidP="00DF0B96">
      <w:pPr>
        <w:pStyle w:val="Heading2NotesContd"/>
        <w:rPr>
          <w:i/>
          <w:kern w:val="0"/>
        </w:rPr>
      </w:pPr>
      <w:r w:rsidRPr="006A75A2">
        <w:rPr>
          <w:kern w:val="0"/>
        </w:rPr>
        <w:lastRenderedPageBreak/>
        <w:t>Note 1:</w:t>
      </w:r>
      <w:r w:rsidRPr="006A75A2">
        <w:rPr>
          <w:kern w:val="0"/>
        </w:rPr>
        <w:tab/>
        <w:t>Summary of significant accounting policies</w:t>
      </w:r>
      <w:r w:rsidRPr="006A75A2">
        <w:rPr>
          <w:i/>
          <w:kern w:val="0"/>
        </w:rPr>
        <w:t xml:space="preserve"> (continued)</w:t>
      </w:r>
    </w:p>
    <w:p w:rsidR="00336793" w:rsidRPr="006A75A2" w:rsidRDefault="00336793" w:rsidP="00DF0B96">
      <w:pPr>
        <w:pStyle w:val="BulletText"/>
        <w:numPr>
          <w:ilvl w:val="0"/>
          <w:numId w:val="0"/>
        </w:numPr>
      </w:pPr>
      <w:r w:rsidRPr="006A75A2">
        <w:t xml:space="preserve">Note 31 </w:t>
      </w:r>
      <w:r w:rsidRPr="009A3AD7">
        <w:rPr>
          <w:i/>
        </w:rPr>
        <w:t>Reconciliations</w:t>
      </w:r>
      <w:r w:rsidRPr="006A75A2">
        <w:t xml:space="preserve"> identifies and reconciles unconverged differences between GFS and the AASs.</w:t>
      </w:r>
    </w:p>
    <w:p w:rsidR="00336793" w:rsidRPr="006A75A2" w:rsidRDefault="00336793" w:rsidP="00DF0B96">
      <w:r w:rsidRPr="006A75A2">
        <w:t>Key fiscal aggregates presented in the statement are:</w:t>
      </w:r>
    </w:p>
    <w:p w:rsidR="00336793" w:rsidRPr="006A75A2" w:rsidRDefault="00336793" w:rsidP="00DF0B96">
      <w:pPr>
        <w:pStyle w:val="BulletText"/>
      </w:pPr>
      <w:r w:rsidRPr="006A75A2">
        <w:t>net result from transactions – net operating balance;</w:t>
      </w:r>
    </w:p>
    <w:p w:rsidR="00336793" w:rsidRDefault="00336793" w:rsidP="00DF0B96">
      <w:pPr>
        <w:pStyle w:val="BulletText"/>
      </w:pPr>
      <w:r w:rsidRPr="006A75A2">
        <w:t>comprehensive result – total change in net worth; and</w:t>
      </w:r>
    </w:p>
    <w:p w:rsidR="00336793" w:rsidRDefault="00336793" w:rsidP="00DF0B96">
      <w:pPr>
        <w:pStyle w:val="BulletText"/>
      </w:pPr>
      <w:r w:rsidRPr="006A75A2">
        <w:t>net lending/(borrowing).</w:t>
      </w:r>
    </w:p>
    <w:p w:rsidR="00336793" w:rsidRPr="006A75A2" w:rsidRDefault="00336793" w:rsidP="00DF0B96">
      <w:pPr>
        <w:pStyle w:val="Heading4"/>
      </w:pPr>
      <w:r w:rsidRPr="006A75A2">
        <w:t>Consolidated balance sheet</w:t>
      </w:r>
    </w:p>
    <w:p w:rsidR="00336793" w:rsidRPr="006A75A2" w:rsidRDefault="00336793" w:rsidP="00DF0B96">
      <w:r w:rsidRPr="006A75A2">
        <w:t xml:space="preserve">Assets and liabilities are presented in a manner consistent with the </w:t>
      </w:r>
      <w:r w:rsidRPr="003B1A55">
        <w:t xml:space="preserve">GFS Manual and the </w:t>
      </w:r>
      <w:r w:rsidRPr="003B1A55">
        <w:rPr>
          <w:i/>
        </w:rPr>
        <w:t>Uniform Presentation Framework 2008</w:t>
      </w:r>
      <w:r w:rsidRPr="003B1A55">
        <w:t>.</w:t>
      </w:r>
    </w:p>
    <w:p w:rsidR="00336793" w:rsidRDefault="00336793" w:rsidP="00DF0B96">
      <w:r w:rsidRPr="004F664F">
        <w:t>Current and non</w:t>
      </w:r>
      <w:r>
        <w:noBreakHyphen/>
        <w:t xml:space="preserve">current assets and liabilities </w:t>
      </w:r>
      <w:r w:rsidRPr="004F664F">
        <w:t>are disclosed in the notes, where relevant. In general, non</w:t>
      </w:r>
      <w:r>
        <w:noBreakHyphen/>
      </w:r>
      <w:r w:rsidRPr="004F664F">
        <w:t xml:space="preserve">current assets or liabilities are expected to be recovered or settled more than 12 months after the reporting period, except for the provisions of employee benefits, which are classified as </w:t>
      </w:r>
      <w:r w:rsidRPr="00EE08B4">
        <w:t xml:space="preserve">current </w:t>
      </w:r>
      <w:r w:rsidRPr="004F664F">
        <w:t xml:space="preserve">liabilities if the </w:t>
      </w:r>
      <w:r>
        <w:t>State</w:t>
      </w:r>
      <w:r w:rsidRPr="004F664F">
        <w:t xml:space="preserve"> does not have the unconditional right to defer the settlement of the liabilities within 12 months after the end of the reporting period.</w:t>
      </w:r>
    </w:p>
    <w:p w:rsidR="00336793" w:rsidRPr="006A75A2" w:rsidRDefault="00336793" w:rsidP="00DF0B96">
      <w:r w:rsidRPr="006A75A2">
        <w:t>Key fiscal aggregates presented are:</w:t>
      </w:r>
    </w:p>
    <w:p w:rsidR="00336793" w:rsidRPr="006A75A2" w:rsidRDefault="00336793" w:rsidP="00DF0B96">
      <w:pPr>
        <w:pStyle w:val="BulletText"/>
      </w:pPr>
      <w:r w:rsidRPr="006A75A2">
        <w:t>net financial worth;</w:t>
      </w:r>
    </w:p>
    <w:p w:rsidR="00336793" w:rsidRPr="006A75A2" w:rsidRDefault="00336793" w:rsidP="00DF0B96">
      <w:pPr>
        <w:pStyle w:val="BulletText"/>
      </w:pPr>
      <w:r w:rsidRPr="006A75A2">
        <w:t>net financial liabilities; and</w:t>
      </w:r>
    </w:p>
    <w:p w:rsidR="00336793" w:rsidRPr="006A75A2" w:rsidRDefault="00336793" w:rsidP="00DF0B96">
      <w:pPr>
        <w:pStyle w:val="BulletText"/>
      </w:pPr>
      <w:r w:rsidRPr="006A75A2">
        <w:t>net debt.</w:t>
      </w:r>
    </w:p>
    <w:p w:rsidR="00336793" w:rsidRPr="006A75A2" w:rsidRDefault="00336793" w:rsidP="00DF0B96">
      <w:pPr>
        <w:pStyle w:val="Heading4"/>
      </w:pPr>
      <w:r w:rsidRPr="006A75A2">
        <w:t>Consolidated cash flow statement</w:t>
      </w:r>
    </w:p>
    <w:p w:rsidR="00336793" w:rsidRPr="006A75A2" w:rsidRDefault="00336793" w:rsidP="00DF0B96">
      <w:r w:rsidRPr="006A75A2">
        <w:t xml:space="preserve">Cash flows are classified according to whether they arise from operating activities, investing activities, or financing activities. This classification is consistent with the requirements under </w:t>
      </w:r>
      <w:r w:rsidRPr="003B1A55">
        <w:t xml:space="preserve">AASB 107 </w:t>
      </w:r>
      <w:r w:rsidRPr="003B1A55">
        <w:rPr>
          <w:i/>
        </w:rPr>
        <w:t>Statement of Cash Flows</w:t>
      </w:r>
      <w:r w:rsidRPr="003B1A55">
        <w:t>.</w:t>
      </w:r>
    </w:p>
    <w:p w:rsidR="00336793" w:rsidRPr="006A75A2" w:rsidRDefault="00336793" w:rsidP="00DF0B96">
      <w:r w:rsidRPr="006A75A2">
        <w:t>Investing activities are split between investment for liquidity management purposes and for policy purposes.</w:t>
      </w:r>
    </w:p>
    <w:p w:rsidR="00336793" w:rsidRPr="006A75A2" w:rsidRDefault="00336793" w:rsidP="00DF0B96">
      <w:r w:rsidRPr="006A75A2">
        <w:t>For cash flow statement presentation purposes, cash and cash equivalents include bank overdrafts, which are included as current borrowings on the balance sheet.</w:t>
      </w:r>
    </w:p>
    <w:p w:rsidR="00336793" w:rsidRPr="006A75A2" w:rsidRDefault="00336793" w:rsidP="00DF0B96">
      <w:r w:rsidRPr="006A75A2">
        <w:t>The key fiscal aggregate presented is the cash surplus/(deficit).</w:t>
      </w:r>
    </w:p>
    <w:p w:rsidR="00336793" w:rsidRPr="006A75A2" w:rsidRDefault="00336793" w:rsidP="00DF0B96">
      <w:pPr>
        <w:pStyle w:val="Heading4"/>
      </w:pPr>
      <w:r w:rsidRPr="006A75A2">
        <w:t>Consolidated statement of changes in equity</w:t>
      </w:r>
    </w:p>
    <w:p w:rsidR="00336793" w:rsidRPr="006A75A2" w:rsidRDefault="00336793" w:rsidP="00DF0B96">
      <w:r w:rsidRPr="006A75A2">
        <w:t>The statement of changes in equity presents reconciliations of non</w:t>
      </w:r>
      <w:r>
        <w:noBreakHyphen/>
      </w:r>
      <w:r w:rsidRPr="006A75A2">
        <w:t xml:space="preserve">owner and owner changes in equity from opening balances at the beginning of the reporting period to the closing balances at the end of the reporting period. It also shows separately changes due to amounts recognised in </w:t>
      </w:r>
      <w:r>
        <w:t>‘</w:t>
      </w:r>
      <w:r w:rsidRPr="006A75A2">
        <w:t>Comprehensive result</w:t>
      </w:r>
      <w:r>
        <w:t>’</w:t>
      </w:r>
      <w:r w:rsidRPr="006A75A2">
        <w:t xml:space="preserve"> and amounts related to </w:t>
      </w:r>
      <w:r>
        <w:t>‘</w:t>
      </w:r>
      <w:r w:rsidRPr="006A75A2">
        <w:t>Transactions with owners in their capacity as owners</w:t>
      </w:r>
      <w:r>
        <w:t>’</w:t>
      </w:r>
      <w:r w:rsidRPr="006A75A2">
        <w:t>.</w:t>
      </w:r>
    </w:p>
    <w:p w:rsidR="00336793" w:rsidRPr="006A75A2" w:rsidRDefault="00336793" w:rsidP="00DF0B96">
      <w:pPr>
        <w:pStyle w:val="Heading4"/>
      </w:pPr>
      <w:r w:rsidRPr="006A75A2">
        <w:t>Rounding</w:t>
      </w:r>
    </w:p>
    <w:p w:rsidR="00336793" w:rsidRPr="006A75A2" w:rsidRDefault="00336793" w:rsidP="00DF0B96">
      <w:r w:rsidRPr="006A75A2">
        <w:t>All amounts in the financial statements have b</w:t>
      </w:r>
      <w:r>
        <w:t>een rounded to the nearest $100 </w:t>
      </w:r>
      <w:r w:rsidRPr="006A75A2">
        <w:t xml:space="preserve">000 except in </w:t>
      </w:r>
      <w:r>
        <w:t>Note </w:t>
      </w:r>
      <w:r w:rsidRPr="00B3771F">
        <w:t>39</w:t>
      </w:r>
      <w:r w:rsidRPr="006A75A2">
        <w:t xml:space="preserve"> which is rounded to the nearest $1 000. </w:t>
      </w:r>
    </w:p>
    <w:p w:rsidR="00336793" w:rsidRPr="006A75A2" w:rsidRDefault="00336793" w:rsidP="00DF0B96">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pPr>
        <w:pStyle w:val="Heading3Numbering"/>
        <w:rPr>
          <w:kern w:val="0"/>
        </w:rPr>
      </w:pPr>
      <w:r w:rsidRPr="006A75A2">
        <w:rPr>
          <w:kern w:val="0"/>
        </w:rPr>
        <w:t>Changes in accounting policies</w:t>
      </w:r>
    </w:p>
    <w:p w:rsidR="00336793" w:rsidRDefault="00336793" w:rsidP="00DF0B96">
      <w:pPr>
        <w:pStyle w:val="Heading4"/>
      </w:pPr>
      <w:r>
        <w:t>Superannuation</w:t>
      </w:r>
    </w:p>
    <w:p w:rsidR="00336793" w:rsidRDefault="00336793" w:rsidP="00DF0B96">
      <w:r>
        <w:t>Revised AASB 119 </w:t>
      </w:r>
      <w:r w:rsidRPr="0083684E">
        <w:rPr>
          <w:i/>
        </w:rPr>
        <w:t>Employee Benefits</w:t>
      </w:r>
      <w:r>
        <w:t xml:space="preserve"> was applicable for the first time in the 2013</w:t>
      </w:r>
      <w:r>
        <w:noBreakHyphen/>
        <w:t xml:space="preserve">14 financial year. This revised standard requires an entity to make a reliable estimate of the ultimate cost to the entity of the defined benefit schemes in estimating the net defined benefit superannuation liability. </w:t>
      </w:r>
    </w:p>
    <w:p w:rsidR="00336793" w:rsidRDefault="00336793" w:rsidP="00DF0B96">
      <w:r>
        <w:t>The State previously used a ‘net tax’ approach in estimating the net defined benefit superannuation liability with the expected tax payable on contributions being offset by the tax credits expected to be generated from superannuation plan assets. This approach was adopted due to the fact that the investment income on these assets is largely tax exempt and franking credits received on the investment income are expected to be available to offset the taxes payable on contributions, which in turn reduces the ultimate cost of funding the State’s defined benefit schemes.</w:t>
      </w:r>
    </w:p>
    <w:p w:rsidR="00336793" w:rsidRDefault="00336793" w:rsidP="00DF0B96">
      <w:r>
        <w:t>However, under the revised standard, the State notes that there are differing views regarding the treatment of expected franking credits from superannuation plan assets. Following a review of broader industry practice, including that of other jurisdictions, the State has changed its accounting policy such that the calculation of the tax liability no longer allows for the fact that taxes payable will ultimately be offset by franking credits. This change in policy will better facilitate inter</w:t>
      </w:r>
      <w:r>
        <w:noBreakHyphen/>
        <w:t>jurisdictional comparisons. Future franking credits and other tax offsets will be incorporated as part of the return on assets each year and recognised accordingly as they arise.</w:t>
      </w:r>
    </w:p>
    <w:p w:rsidR="00336793" w:rsidRDefault="00336793" w:rsidP="00DF0B96">
      <w:r w:rsidRPr="00EE08B4">
        <w:t>This change in accounting policy has been applied retrospectively, resulting in adjustments t</w:t>
      </w:r>
      <w:r>
        <w:t>o the 2013</w:t>
      </w:r>
      <w:r>
        <w:noBreakHyphen/>
        <w:t>14 comparative information</w:t>
      </w:r>
      <w:r w:rsidRPr="00EE08B4">
        <w:t xml:space="preserve">. </w:t>
      </w:r>
      <w:r>
        <w:t>Please</w:t>
      </w:r>
      <w:r w:rsidRPr="00EE08B4">
        <w:t xml:space="preserve"> refer to </w:t>
      </w:r>
      <w:r w:rsidRPr="00B3771F">
        <w:t>Note 37</w:t>
      </w:r>
      <w:r w:rsidRPr="00B3771F">
        <w:rPr>
          <w:i/>
        </w:rPr>
        <w:t xml:space="preserve"> </w:t>
      </w:r>
      <w:r w:rsidRPr="003B1A55">
        <w:rPr>
          <w:i/>
        </w:rPr>
        <w:t>Restatement of 2013</w:t>
      </w:r>
      <w:r>
        <w:rPr>
          <w:i/>
        </w:rPr>
        <w:noBreakHyphen/>
        <w:t>14 balances and impact on 2014</w:t>
      </w:r>
      <w:r>
        <w:rPr>
          <w:i/>
        </w:rPr>
        <w:noBreakHyphen/>
        <w:t>15 balances</w:t>
      </w:r>
      <w:r w:rsidRPr="00EE08B4">
        <w:t xml:space="preserve"> for the detailed adjustments, including the </w:t>
      </w:r>
      <w:r>
        <w:t>financial</w:t>
      </w:r>
      <w:r w:rsidRPr="00EE08B4">
        <w:t xml:space="preserve"> </w:t>
      </w:r>
      <w:r>
        <w:t>impact</w:t>
      </w:r>
      <w:r w:rsidRPr="00EE08B4">
        <w:t xml:space="preserve"> of this change</w:t>
      </w:r>
      <w:r>
        <w:t xml:space="preserve"> for the 2014</w:t>
      </w:r>
      <w:r>
        <w:noBreakHyphen/>
        <w:t>15 reporting period</w:t>
      </w:r>
      <w:r w:rsidRPr="00EE08B4">
        <w:t>.</w:t>
      </w:r>
    </w:p>
    <w:p w:rsidR="00336793" w:rsidRDefault="00336793" w:rsidP="00DF0B96">
      <w:pPr>
        <w:pStyle w:val="Heading4"/>
      </w:pPr>
      <w:r>
        <w:t>Valuation of school building assets</w:t>
      </w:r>
    </w:p>
    <w:p w:rsidR="00336793" w:rsidRDefault="00336793" w:rsidP="00DF0B96">
      <w:r>
        <w:t>During the financial year, the State made a change in its accounting policy for the valuation of school building assets. The State previously adjusted for economic obsolescence in the valuation of its school building assets where floor space was assessed to be permanently in excess of teaching requirements by reference to long</w:t>
      </w:r>
      <w:r>
        <w:noBreakHyphen/>
        <w:t xml:space="preserve">term enrolment data. Noting the lack of specific and definitive guidance in the application of the concept of economic obsolescence required by the relevant Australian Accounting Standard AASB 13 </w:t>
      </w:r>
      <w:r>
        <w:rPr>
          <w:i/>
        </w:rPr>
        <w:t>Fair Value M</w:t>
      </w:r>
      <w:r w:rsidRPr="0083684E">
        <w:rPr>
          <w:i/>
        </w:rPr>
        <w:t>easurement</w:t>
      </w:r>
      <w:r>
        <w:t>, the State no longer includes an adjustment for economic obsolescence in measuring the fair value of its school assets that are still in use in providing core services or ancillary community use. This records school building assets at current replacement cost.</w:t>
      </w:r>
    </w:p>
    <w:p w:rsidR="00336793" w:rsidRDefault="00336793" w:rsidP="00DF0B96">
      <w:r w:rsidRPr="00EE08B4">
        <w:t>This change in accounting policy has been applied retrospectively,</w:t>
      </w:r>
      <w:r>
        <w:t xml:space="preserve"> resulting in adjustments to the 2013</w:t>
      </w:r>
      <w:r>
        <w:noBreakHyphen/>
        <w:t>14 comparative information.</w:t>
      </w:r>
      <w:r w:rsidRPr="00EE08B4">
        <w:t xml:space="preserve"> </w:t>
      </w:r>
      <w:r>
        <w:t xml:space="preserve">Please refer to </w:t>
      </w:r>
      <w:r w:rsidRPr="00B3771F">
        <w:t xml:space="preserve">Note 37 </w:t>
      </w:r>
      <w:r>
        <w:t>for the detailed adjustments, including the financial impact of this change for the 2014</w:t>
      </w:r>
      <w:r>
        <w:noBreakHyphen/>
        <w:t>15 reporting period</w:t>
      </w:r>
      <w:r w:rsidRPr="00EE08B4">
        <w:t>.</w:t>
      </w:r>
    </w:p>
    <w:p w:rsidR="00336793" w:rsidRPr="006A75A2" w:rsidRDefault="00336793" w:rsidP="00DF0B96">
      <w:pPr>
        <w:pStyle w:val="Heading3Numbering"/>
        <w:rPr>
          <w:kern w:val="0"/>
        </w:rPr>
      </w:pPr>
      <w:r w:rsidRPr="006A75A2">
        <w:rPr>
          <w:kern w:val="0"/>
        </w:rPr>
        <w:t>Revenue from transactions</w:t>
      </w:r>
    </w:p>
    <w:p w:rsidR="00336793" w:rsidRDefault="00336793" w:rsidP="00DF0B96">
      <w:r w:rsidRPr="006A75A2">
        <w:t>Revenue from transactions is recognised to the extent that it is probable that the economic benefits will flow to the entity and the revenue can be reliably measured at fair value.</w:t>
      </w:r>
    </w:p>
    <w:p w:rsidR="00336793" w:rsidRPr="006A75A2" w:rsidRDefault="00336793" w:rsidP="00DF0B96">
      <w:pPr>
        <w:pStyle w:val="Heading4"/>
        <w:spacing w:before="200"/>
      </w:pPr>
      <w:r w:rsidRPr="006A75A2">
        <w:t>Taxation revenue</w:t>
      </w:r>
    </w:p>
    <w:p w:rsidR="00336793" w:rsidRPr="006A75A2" w:rsidRDefault="00336793" w:rsidP="00DF0B96">
      <w:r w:rsidRPr="006A75A2">
        <w:t>State taxation revenue is recognised upon the earlier of either the receipt by the State of a taxpayer</w:t>
      </w:r>
      <w:r>
        <w:t>’</w:t>
      </w:r>
      <w:r w:rsidRPr="006A75A2">
        <w:t>s self</w:t>
      </w:r>
      <w:r>
        <w:noBreakHyphen/>
      </w:r>
      <w:r w:rsidRPr="006A75A2">
        <w:t>assessment or the time when the taxpayer</w:t>
      </w:r>
      <w:r>
        <w:t>’</w:t>
      </w:r>
      <w:r w:rsidRPr="006A75A2">
        <w:t>s obligation to pay arises, pursuant to the issue of an assessment.</w:t>
      </w:r>
    </w:p>
    <w:p w:rsidR="00336793" w:rsidRDefault="00336793">
      <w:pPr>
        <w:spacing w:after="0"/>
      </w:pPr>
      <w:r>
        <w:br w:type="page"/>
      </w:r>
    </w:p>
    <w:p w:rsidR="00336793" w:rsidRPr="006C1A74" w:rsidRDefault="00336793" w:rsidP="00DB1F98">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r w:rsidRPr="006A75A2">
        <w:t>Upfront concession fees, such as those for toll roads and gambling licence fees, are recognised progressively over the term of the applicable concession.</w:t>
      </w:r>
    </w:p>
    <w:p w:rsidR="00336793" w:rsidRPr="006A75A2" w:rsidRDefault="00336793" w:rsidP="00DF0B96">
      <w:pPr>
        <w:pStyle w:val="Heading4"/>
      </w:pPr>
      <w:r w:rsidRPr="006A75A2">
        <w:t>Interest revenue</w:t>
      </w:r>
    </w:p>
    <w:p w:rsidR="00336793" w:rsidRPr="006A75A2" w:rsidRDefault="00336793" w:rsidP="00DF0B96">
      <w:r w:rsidRPr="006A75A2">
        <w:t xml:space="preserve">Interest revenue includes interest received on bank term deposits and other investments and the unwinding over time of the discount on financial assets. Interest revenue is recognised using the effective interest method which allocates the interest over the relevant period. </w:t>
      </w:r>
    </w:p>
    <w:p w:rsidR="00336793" w:rsidRPr="006A75A2" w:rsidRDefault="00336793" w:rsidP="00DF0B96">
      <w:r w:rsidRPr="006A75A2">
        <w:t>Net realised and unrealised gains and losses on the revaluation of investments do not form part of revenue from transactions, but are reported either as part of revenue from other economic flows in the net result or as unrealised gains or losses taken direct to equity, forming part of the total change in net worth in the comprehensive result.</w:t>
      </w:r>
    </w:p>
    <w:p w:rsidR="00336793" w:rsidRPr="006A75A2" w:rsidRDefault="00336793" w:rsidP="00DF0B96">
      <w:pPr>
        <w:pStyle w:val="Heading4"/>
      </w:pPr>
      <w:r w:rsidRPr="006A75A2">
        <w:t>Dividends and income tax equivalent and rate equivalent revenue</w:t>
      </w:r>
    </w:p>
    <w:p w:rsidR="00336793" w:rsidRPr="006A75A2" w:rsidRDefault="00336793" w:rsidP="00DF0B96">
      <w:r w:rsidRPr="006A75A2">
        <w:t>General government sector dividends, income tax equivalent and rate equivalent revenue, represents revenue received from other sectors of government. Such revenue for the general government sector is recognised when the right to receive the payment is established, and is eliminated on consolidation into the financial statements of the State.</w:t>
      </w:r>
    </w:p>
    <w:p w:rsidR="00336793" w:rsidRPr="006A75A2" w:rsidRDefault="00336793" w:rsidP="00DF0B96">
      <w:r w:rsidRPr="006A75A2">
        <w:t>Dividends earned from non</w:t>
      </w:r>
      <w:r>
        <w:noBreakHyphen/>
      </w:r>
      <w:r w:rsidRPr="006A75A2">
        <w:t>state sources are also reflected in the financial statements.</w:t>
      </w:r>
    </w:p>
    <w:p w:rsidR="00336793" w:rsidRPr="006A75A2" w:rsidRDefault="00336793" w:rsidP="00DF0B96">
      <w:pPr>
        <w:pStyle w:val="Heading4"/>
      </w:pPr>
      <w:r w:rsidRPr="006A75A2">
        <w:t>Sales of goods and services</w:t>
      </w:r>
    </w:p>
    <w:p w:rsidR="00336793" w:rsidRPr="006A75A2" w:rsidRDefault="00336793" w:rsidP="00DF0B96">
      <w:pPr>
        <w:pStyle w:val="Heading5"/>
      </w:pPr>
      <w:r w:rsidRPr="006A75A2">
        <w:t>Revenue from supply of services</w:t>
      </w:r>
    </w:p>
    <w:p w:rsidR="00336793" w:rsidRPr="006A75A2" w:rsidRDefault="00336793" w:rsidP="00DF0B96">
      <w:r w:rsidRPr="006A75A2">
        <w:t>Revenue from the supply of services is recognised by reference to the stage of completion of the services being performed. The revenue is recognised when:</w:t>
      </w:r>
    </w:p>
    <w:p w:rsidR="00336793" w:rsidRPr="006A75A2" w:rsidRDefault="00336793" w:rsidP="00DF0B96">
      <w:pPr>
        <w:pStyle w:val="BulletText"/>
      </w:pPr>
      <w:r w:rsidRPr="006A75A2">
        <w:t>the amount of the revenue, stage of completion and transaction costs incurred can be reliably measured; and</w:t>
      </w:r>
    </w:p>
    <w:p w:rsidR="00336793" w:rsidRPr="006A75A2" w:rsidRDefault="00336793" w:rsidP="00DF0B96">
      <w:pPr>
        <w:pStyle w:val="BulletText"/>
      </w:pPr>
      <w:r w:rsidRPr="006A75A2">
        <w:t>it is probable that the economic benefits associated with the transaction will flow to the entity.</w:t>
      </w:r>
    </w:p>
    <w:p w:rsidR="00336793" w:rsidRDefault="00336793" w:rsidP="00DF0B96">
      <w:pPr>
        <w:pStyle w:val="BulletText"/>
        <w:numPr>
          <w:ilvl w:val="0"/>
          <w:numId w:val="0"/>
        </w:numPr>
      </w:pPr>
      <w:r w:rsidRPr="006A75A2">
        <w:t>Under the stage of completion method, revenue is recognised by reference to labour hours supplied or to labour hours supplied as a percentage of total services to be performed in each annual reporting period.</w:t>
      </w:r>
    </w:p>
    <w:p w:rsidR="00336793" w:rsidRPr="006A75A2" w:rsidRDefault="00336793" w:rsidP="00DF0B96">
      <w:pPr>
        <w:pStyle w:val="Heading5"/>
      </w:pPr>
      <w:r w:rsidRPr="006A75A2">
        <w:t>Revenue from the sale of goods</w:t>
      </w:r>
    </w:p>
    <w:p w:rsidR="00336793" w:rsidRPr="006A75A2" w:rsidRDefault="00336793" w:rsidP="00DF0B96">
      <w:r w:rsidRPr="006A75A2">
        <w:t>Revenue from the sale of goods is recognised when:</w:t>
      </w:r>
    </w:p>
    <w:p w:rsidR="00336793" w:rsidRPr="006A75A2" w:rsidRDefault="00336793" w:rsidP="00DF0B96">
      <w:pPr>
        <w:pStyle w:val="BulletText"/>
      </w:pPr>
      <w:r w:rsidRPr="006A75A2">
        <w:t>the State no longer has any of the significant risks and rewards of ownership of the goods transferred to the buyer;</w:t>
      </w:r>
    </w:p>
    <w:p w:rsidR="00336793" w:rsidRPr="006A75A2" w:rsidRDefault="00336793" w:rsidP="00DF0B96">
      <w:pPr>
        <w:pStyle w:val="BulletText"/>
      </w:pPr>
      <w:r w:rsidRPr="006A75A2">
        <w:t>the State no longer has continuing managerial involvement to the degree usually associated with ownership, nor effective control over the goods sold;</w:t>
      </w:r>
    </w:p>
    <w:p w:rsidR="00336793" w:rsidRPr="006A75A2" w:rsidRDefault="00336793" w:rsidP="00DF0B96">
      <w:pPr>
        <w:pStyle w:val="BulletText"/>
      </w:pPr>
      <w:r w:rsidRPr="006A75A2">
        <w:t>the amount of revenue, and the costs incurred or to be incurred in respect of the transactions, can be reliably measured; and</w:t>
      </w:r>
    </w:p>
    <w:p w:rsidR="00336793" w:rsidRPr="006A75A2" w:rsidRDefault="00336793" w:rsidP="00DF0B96">
      <w:pPr>
        <w:pStyle w:val="BulletText"/>
      </w:pPr>
      <w:r w:rsidRPr="006A75A2">
        <w:t>it is probable that the economic benefits associated with the transaction will flow to the State.</w:t>
      </w:r>
    </w:p>
    <w:p w:rsidR="00336793" w:rsidRDefault="00336793" w:rsidP="00DF0B96">
      <w:pPr>
        <w:rPr>
          <w:rFonts w:ascii="Calibri" w:hAnsi="Calibri"/>
          <w:i/>
          <w:sz w:val="26"/>
          <w:szCs w:val="22"/>
        </w:rPr>
      </w:pPr>
      <w:r w:rsidRPr="006A75A2">
        <w:t>Sale of goods and services includes regulatory fees which are recognised at the time the regulatory fee is billed.</w:t>
      </w:r>
    </w:p>
    <w:p w:rsidR="00336793" w:rsidRDefault="00336793">
      <w:pPr>
        <w:spacing w:after="0"/>
        <w:rPr>
          <w:rFonts w:ascii="Calibri" w:hAnsi="Calibri"/>
          <w:i/>
          <w:sz w:val="26"/>
          <w:szCs w:val="22"/>
        </w:rPr>
      </w:pPr>
      <w:r>
        <w:br w:type="page"/>
      </w:r>
    </w:p>
    <w:p w:rsidR="00336793" w:rsidRPr="006A75A2" w:rsidRDefault="00336793" w:rsidP="00DF0B96">
      <w:pPr>
        <w:pStyle w:val="Heading2NotesContd"/>
        <w:rPr>
          <w:kern w:val="0"/>
        </w:rPr>
      </w:pPr>
      <w:r w:rsidRPr="006A75A2">
        <w:rPr>
          <w:kern w:val="0"/>
        </w:rPr>
        <w:lastRenderedPageBreak/>
        <w:t>Note 1:</w:t>
      </w:r>
      <w:r w:rsidRPr="006A75A2">
        <w:rPr>
          <w:kern w:val="0"/>
        </w:rPr>
        <w:tab/>
        <w:t>Summary of significant accounting policies</w:t>
      </w:r>
      <w:r w:rsidRPr="006A75A2">
        <w:rPr>
          <w:i/>
          <w:kern w:val="0"/>
        </w:rPr>
        <w:t xml:space="preserve"> (continued)</w:t>
      </w:r>
    </w:p>
    <w:p w:rsidR="00336793" w:rsidRPr="006A75A2" w:rsidRDefault="00336793" w:rsidP="00DF0B96">
      <w:pPr>
        <w:pStyle w:val="Heading4"/>
      </w:pPr>
      <w:r>
        <w:t>Grant revenue</w:t>
      </w:r>
    </w:p>
    <w:p w:rsidR="00336793" w:rsidRPr="006A75A2" w:rsidRDefault="00336793" w:rsidP="00DF0B96">
      <w:r w:rsidRPr="006A75A2">
        <w:t>Revenue from grants is recognised when the State obtains control over the contribution.</w:t>
      </w:r>
    </w:p>
    <w:p w:rsidR="00336793" w:rsidRDefault="00336793" w:rsidP="00DF0B96">
      <w:r w:rsidRPr="006A75A2">
        <w:t xml:space="preserve">Grants mainly comprise contributions provided by the Commonwealth to assist the State in meeting general or specific service delivery obligations, primarily for the purpose of aiding in the financing of the operations of the recipient, capital purposes and/or for on passing to other recipients. Grants also include grants from other jurisdictions. </w:t>
      </w:r>
    </w:p>
    <w:p w:rsidR="00336793" w:rsidRPr="006A75A2" w:rsidRDefault="00336793" w:rsidP="00DF0B96">
      <w:pPr>
        <w:pStyle w:val="Heading4"/>
      </w:pPr>
      <w:r w:rsidRPr="006A75A2">
        <w:t>Other revenue</w:t>
      </w:r>
    </w:p>
    <w:p w:rsidR="00336793" w:rsidRPr="006A75A2" w:rsidRDefault="00336793" w:rsidP="00DF0B96">
      <w:r w:rsidRPr="006A75A2">
        <w:t>Other revenue includes non</w:t>
      </w:r>
      <w:r>
        <w:noBreakHyphen/>
      </w:r>
      <w:r w:rsidRPr="006A75A2">
        <w:t>property rental, fines, assets received free of charge, royalties, donations and other miscellaneous non</w:t>
      </w:r>
      <w:r>
        <w:noBreakHyphen/>
      </w:r>
      <w:r w:rsidRPr="006A75A2">
        <w:t>operating revenue.</w:t>
      </w:r>
    </w:p>
    <w:p w:rsidR="00336793" w:rsidRDefault="00336793" w:rsidP="00DF0B96">
      <w:r w:rsidRPr="006A75A2">
        <w:t>Contributions of resources received free of charge or for nominal consideration are recognised at fair value when the State obtains control over them, irrespective of whether these contributions are subject to restrictions or conditions over their use. Contributions in the form of services are only recognised when a fair value can be reliably determined and the services would have been purchased if not received as a donation.</w:t>
      </w:r>
    </w:p>
    <w:p w:rsidR="00336793" w:rsidRPr="006A75A2" w:rsidRDefault="00336793" w:rsidP="00DF0B96">
      <w:pPr>
        <w:pStyle w:val="Heading3Numbering"/>
        <w:rPr>
          <w:kern w:val="0"/>
        </w:rPr>
      </w:pPr>
      <w:r w:rsidRPr="006A75A2">
        <w:rPr>
          <w:kern w:val="0"/>
        </w:rPr>
        <w:t>Expenses from transactions</w:t>
      </w:r>
    </w:p>
    <w:p w:rsidR="00336793" w:rsidRPr="006A75A2" w:rsidRDefault="00336793" w:rsidP="00DF0B96">
      <w:r w:rsidRPr="006A75A2">
        <w:t>Expenses from transactions are recognised as they are incurred, and reported in the financial year to which they relate.</w:t>
      </w:r>
    </w:p>
    <w:p w:rsidR="00336793" w:rsidRPr="006A75A2" w:rsidRDefault="00336793" w:rsidP="00DF0B96">
      <w:pPr>
        <w:pStyle w:val="Heading4"/>
      </w:pPr>
      <w:r w:rsidRPr="006A75A2">
        <w:t>Employee expenses</w:t>
      </w:r>
    </w:p>
    <w:p w:rsidR="00336793" w:rsidRPr="006A75A2" w:rsidRDefault="00336793" w:rsidP="00DF0B96">
      <w:r w:rsidRPr="006A75A2">
        <w:t xml:space="preserve">Refer to </w:t>
      </w:r>
      <w:r w:rsidRPr="00B3771F">
        <w:t>Note 1(N)</w:t>
      </w:r>
      <w:r w:rsidRPr="006A75A2">
        <w:t xml:space="preserve">. </w:t>
      </w:r>
    </w:p>
    <w:p w:rsidR="00336793" w:rsidRPr="006A75A2" w:rsidRDefault="00336793" w:rsidP="00DF0B96">
      <w:pPr>
        <w:pStyle w:val="Heading4"/>
      </w:pPr>
      <w:r w:rsidRPr="006A75A2">
        <w:t xml:space="preserve">Superannuation interest expense and other superannuation expenses </w:t>
      </w:r>
    </w:p>
    <w:p w:rsidR="00336793" w:rsidRPr="006A75A2" w:rsidRDefault="00336793" w:rsidP="00DF0B96">
      <w:r w:rsidRPr="006A75A2">
        <w:t>The superannuation expense from transactions is determined on the following basis:</w:t>
      </w:r>
    </w:p>
    <w:p w:rsidR="00336793" w:rsidRPr="006A75A2" w:rsidRDefault="00336793" w:rsidP="00DF0B96">
      <w:pPr>
        <w:pStyle w:val="BulletText"/>
      </w:pPr>
      <w:r>
        <w:t>for</w:t>
      </w:r>
      <w:r w:rsidRPr="006A75A2">
        <w:t xml:space="preserve"> defined contribution (i.e. accumulation) superannuatio</w:t>
      </w:r>
      <w:r>
        <w:t xml:space="preserve">n plans, the associated expense reflects </w:t>
      </w:r>
      <w:r w:rsidRPr="006A75A2">
        <w:t>the employer contributions that are paid or payable in respect of employees who are members of these plans during the reporting period; and</w:t>
      </w:r>
    </w:p>
    <w:p w:rsidR="00336793" w:rsidRDefault="00336793" w:rsidP="00DF0B96">
      <w:pPr>
        <w:pStyle w:val="BulletText"/>
      </w:pPr>
      <w:r w:rsidRPr="006A75A2">
        <w:t xml:space="preserve">for defined benefit plans, the superannuation expense reflects the employer financed component of defined benefits that </w:t>
      </w:r>
      <w:r>
        <w:t>is</w:t>
      </w:r>
      <w:r w:rsidRPr="006A75A2">
        <w:t xml:space="preserve"> expected to accrue over the reporting period (i.e. service cost), along with the superannuation interest expense.</w:t>
      </w:r>
    </w:p>
    <w:p w:rsidR="00336793" w:rsidRPr="006A75A2" w:rsidRDefault="00336793" w:rsidP="00DF0B96">
      <w:pPr>
        <w:pStyle w:val="Heading4"/>
      </w:pPr>
      <w:r w:rsidRPr="006A75A2">
        <w:t>Depreciation</w:t>
      </w:r>
    </w:p>
    <w:p w:rsidR="00336793" w:rsidRPr="006A75A2" w:rsidRDefault="00336793" w:rsidP="00DF0B96">
      <w:r w:rsidRPr="006A75A2">
        <w:t>All infrastructure assets, buildings, plant and equipment and other non</w:t>
      </w:r>
      <w:r>
        <w:noBreakHyphen/>
      </w:r>
      <w:r w:rsidRPr="006A75A2">
        <w:t>financial physical assets (excluding items under operating leases, assets held for sale, land and investment properties) that have finite useful lives are depreciated. Depreciation is generally calculated on a straight line basis, at rates that allocate the asset</w:t>
      </w:r>
      <w:r>
        <w:t>’</w:t>
      </w:r>
      <w:r w:rsidRPr="006A75A2">
        <w:t xml:space="preserve">s value, less any estimated residual value, over its estimated useful life. Refer to </w:t>
      </w:r>
      <w:r w:rsidRPr="00B3771F">
        <w:t>Note 1(M)</w:t>
      </w:r>
      <w:r w:rsidRPr="006A75A2">
        <w:t xml:space="preserve"> for the depreciation policy for leasehold improvements. </w:t>
      </w:r>
    </w:p>
    <w:p w:rsidR="00336793" w:rsidRPr="006A75A2" w:rsidRDefault="00336793" w:rsidP="00DF0B96">
      <w:pPr>
        <w:rPr>
          <w:rFonts w:ascii="Calibri" w:hAnsi="Calibri"/>
          <w:b/>
          <w:i/>
          <w:sz w:val="26"/>
          <w:szCs w:val="22"/>
        </w:rPr>
      </w:pPr>
      <w:r w:rsidRPr="006A75A2">
        <w:t>The estimated useful lives, residual values and depreciation method are reviewed at the end of each annual reporting period, and adjustments made where appropriate.</w:t>
      </w:r>
    </w:p>
    <w:p w:rsidR="00336793" w:rsidRDefault="00336793">
      <w:pPr>
        <w:spacing w:after="0"/>
      </w:pPr>
      <w:r>
        <w:br w:type="page"/>
      </w:r>
    </w:p>
    <w:p w:rsidR="00336793" w:rsidRPr="006A75A2" w:rsidRDefault="00336793" w:rsidP="00DF0B96">
      <w:pPr>
        <w:pStyle w:val="Heading2NotesContd"/>
        <w:rPr>
          <w:kern w:val="0"/>
        </w:rPr>
      </w:pPr>
      <w:r w:rsidRPr="006A75A2">
        <w:rPr>
          <w:kern w:val="0"/>
        </w:rPr>
        <w:lastRenderedPageBreak/>
        <w:t>Note 1:</w:t>
      </w:r>
      <w:r w:rsidRPr="006A75A2">
        <w:rPr>
          <w:kern w:val="0"/>
        </w:rPr>
        <w:tab/>
        <w:t>Summary of significant accounting policies</w:t>
      </w:r>
      <w:r w:rsidRPr="006A75A2">
        <w:rPr>
          <w:i/>
          <w:kern w:val="0"/>
        </w:rPr>
        <w:t xml:space="preserve"> (continued)</w:t>
      </w:r>
    </w:p>
    <w:p w:rsidR="00336793" w:rsidRPr="006A75A2" w:rsidRDefault="00336793" w:rsidP="00DF0B96">
      <w:r w:rsidRPr="006A75A2">
        <w:t>The following are typical estimated useful lives for the different asset classes for current and prior years.</w:t>
      </w:r>
    </w:p>
    <w:tbl>
      <w:tblPr>
        <w:tblStyle w:val="TableGrid"/>
        <w:tblW w:w="9648" w:type="dxa"/>
        <w:tblInd w:w="29" w:type="dxa"/>
        <w:tblLayout w:type="fixed"/>
        <w:tblCellMar>
          <w:left w:w="29" w:type="dxa"/>
          <w:right w:w="29" w:type="dxa"/>
        </w:tblCellMar>
        <w:tblLook w:val="04A0" w:firstRow="1" w:lastRow="0" w:firstColumn="1" w:lastColumn="0" w:noHBand="0" w:noVBand="1"/>
      </w:tblPr>
      <w:tblGrid>
        <w:gridCol w:w="5776"/>
        <w:gridCol w:w="3872"/>
      </w:tblGrid>
      <w:tr w:rsidR="00336793" w:rsidRPr="006A75A2" w:rsidTr="00DF0B96">
        <w:trPr>
          <w:cantSplit/>
        </w:trPr>
        <w:tc>
          <w:tcPr>
            <w:tcW w:w="5774" w:type="dxa"/>
            <w:tcBorders>
              <w:left w:val="single" w:sz="4" w:space="0" w:color="auto"/>
              <w:bottom w:val="single" w:sz="4" w:space="0" w:color="auto"/>
            </w:tcBorders>
            <w:shd w:val="clear" w:color="auto" w:fill="000000"/>
          </w:tcPr>
          <w:p w:rsidR="00336793" w:rsidRPr="006A75A2" w:rsidRDefault="00336793" w:rsidP="00DF0B96">
            <w:pPr>
              <w:pStyle w:val="TabletextheadingLeft"/>
              <w:spacing w:before="20" w:after="20"/>
            </w:pPr>
            <w:r w:rsidRPr="006A75A2">
              <w:t xml:space="preserve">Asset </w:t>
            </w:r>
          </w:p>
        </w:tc>
        <w:tc>
          <w:tcPr>
            <w:tcW w:w="3874" w:type="dxa"/>
            <w:tcBorders>
              <w:bottom w:val="single" w:sz="4" w:space="0" w:color="auto"/>
              <w:right w:val="single" w:sz="4" w:space="0" w:color="auto"/>
            </w:tcBorders>
            <w:shd w:val="clear" w:color="auto" w:fill="000000"/>
          </w:tcPr>
          <w:p w:rsidR="00336793" w:rsidRPr="006A75A2" w:rsidRDefault="00336793" w:rsidP="00DF0B96">
            <w:pPr>
              <w:pStyle w:val="TabletextheadingLeft"/>
              <w:spacing w:before="20" w:after="20"/>
            </w:pPr>
            <w:r w:rsidRPr="006A75A2">
              <w:t>Useful life</w:t>
            </w:r>
          </w:p>
        </w:tc>
      </w:tr>
      <w:tr w:rsidR="00336793" w:rsidRPr="006A75A2" w:rsidTr="00DF0B96">
        <w:trPr>
          <w:cantSplit/>
        </w:trPr>
        <w:tc>
          <w:tcPr>
            <w:tcW w:w="5774" w:type="dxa"/>
            <w:tcBorders>
              <w:top w:val="single" w:sz="4" w:space="0" w:color="auto"/>
            </w:tcBorders>
          </w:tcPr>
          <w:p w:rsidR="00336793" w:rsidRPr="006A75A2" w:rsidRDefault="00336793" w:rsidP="00DF0B96">
            <w:pPr>
              <w:pStyle w:val="Tabletext"/>
              <w:spacing w:before="20" w:after="20"/>
            </w:pPr>
            <w:r w:rsidRPr="006A75A2">
              <w:t>Buildings</w:t>
            </w:r>
          </w:p>
        </w:tc>
        <w:tc>
          <w:tcPr>
            <w:tcW w:w="3874" w:type="dxa"/>
            <w:tcBorders>
              <w:top w:val="single" w:sz="4" w:space="0" w:color="auto"/>
            </w:tcBorders>
          </w:tcPr>
          <w:p w:rsidR="00336793" w:rsidRPr="006A75A2" w:rsidRDefault="00336793" w:rsidP="00DF0B96">
            <w:pPr>
              <w:pStyle w:val="Tabletext"/>
              <w:spacing w:before="20" w:after="20"/>
            </w:pPr>
            <w:r w:rsidRPr="006A75A2">
              <w:t>20 to 100 years</w:t>
            </w:r>
          </w:p>
        </w:tc>
      </w:tr>
      <w:tr w:rsidR="00336793" w:rsidRPr="006A75A2" w:rsidTr="00DF0B96">
        <w:trPr>
          <w:cantSplit/>
        </w:trPr>
        <w:tc>
          <w:tcPr>
            <w:tcW w:w="5774" w:type="dxa"/>
          </w:tcPr>
          <w:p w:rsidR="00336793" w:rsidRPr="006A75A2" w:rsidRDefault="00336793" w:rsidP="00DF0B96">
            <w:pPr>
              <w:pStyle w:val="Tabletext"/>
              <w:spacing w:before="20" w:after="20"/>
            </w:pPr>
            <w:r w:rsidRPr="006A75A2">
              <w:t>Leasehold buildings</w:t>
            </w:r>
          </w:p>
        </w:tc>
        <w:tc>
          <w:tcPr>
            <w:tcW w:w="3874" w:type="dxa"/>
          </w:tcPr>
          <w:p w:rsidR="00336793" w:rsidRPr="006A75A2" w:rsidRDefault="00336793" w:rsidP="00DF0B96">
            <w:pPr>
              <w:pStyle w:val="Tabletext"/>
              <w:spacing w:before="20" w:after="20"/>
            </w:pPr>
            <w:r w:rsidRPr="006A75A2">
              <w:t>2 to 60 years</w:t>
            </w:r>
          </w:p>
        </w:tc>
      </w:tr>
      <w:tr w:rsidR="00336793" w:rsidRPr="006A75A2" w:rsidTr="00DF0B96">
        <w:trPr>
          <w:cantSplit/>
        </w:trPr>
        <w:tc>
          <w:tcPr>
            <w:tcW w:w="5774" w:type="dxa"/>
          </w:tcPr>
          <w:p w:rsidR="00336793" w:rsidRPr="006A75A2" w:rsidRDefault="00336793" w:rsidP="00DF0B96">
            <w:pPr>
              <w:pStyle w:val="Tabletext"/>
              <w:spacing w:before="20" w:after="20"/>
            </w:pPr>
            <w:r w:rsidRPr="006A75A2">
              <w:t>Infrastructure systems:</w:t>
            </w:r>
          </w:p>
        </w:tc>
        <w:tc>
          <w:tcPr>
            <w:tcW w:w="3874" w:type="dxa"/>
          </w:tcPr>
          <w:p w:rsidR="00336793" w:rsidRPr="006A75A2" w:rsidRDefault="00336793" w:rsidP="00DF0B96">
            <w:pPr>
              <w:pStyle w:val="Tabletext"/>
              <w:spacing w:before="20" w:after="20"/>
            </w:pPr>
          </w:p>
        </w:tc>
      </w:tr>
      <w:tr w:rsidR="00336793" w:rsidRPr="006A75A2" w:rsidTr="00DF0B96">
        <w:trPr>
          <w:cantSplit/>
        </w:trPr>
        <w:tc>
          <w:tcPr>
            <w:tcW w:w="5778" w:type="dxa"/>
          </w:tcPr>
          <w:p w:rsidR="00336793" w:rsidRPr="006A75A2" w:rsidRDefault="00336793" w:rsidP="00DF0B96">
            <w:pPr>
              <w:pStyle w:val="Tabletext"/>
              <w:spacing w:before="20" w:after="20"/>
              <w:ind w:left="259" w:hanging="243"/>
            </w:pPr>
            <w:r>
              <w:t>–</w:t>
            </w:r>
            <w:r>
              <w:tab/>
            </w:r>
            <w:r w:rsidRPr="006A75A2">
              <w:t>water infrastructure – storage facilities</w:t>
            </w:r>
          </w:p>
        </w:tc>
        <w:tc>
          <w:tcPr>
            <w:tcW w:w="3870" w:type="dxa"/>
          </w:tcPr>
          <w:p w:rsidR="00336793" w:rsidRPr="006A75A2" w:rsidRDefault="00336793" w:rsidP="00DF0B96">
            <w:pPr>
              <w:pStyle w:val="Tabletext"/>
              <w:spacing w:before="20" w:after="20"/>
            </w:pPr>
            <w:r w:rsidRPr="006A75A2">
              <w:t>25 to 300 years</w:t>
            </w:r>
          </w:p>
        </w:tc>
      </w:tr>
      <w:tr w:rsidR="00336793" w:rsidRPr="006A75A2" w:rsidTr="00DF0B96">
        <w:trPr>
          <w:cantSplit/>
        </w:trPr>
        <w:tc>
          <w:tcPr>
            <w:tcW w:w="5778" w:type="dxa"/>
          </w:tcPr>
          <w:p w:rsidR="00336793" w:rsidRPr="006A75A2" w:rsidRDefault="00336793" w:rsidP="00DF0B96">
            <w:pPr>
              <w:pStyle w:val="Tabletext"/>
              <w:spacing w:before="20" w:after="20"/>
              <w:ind w:left="259" w:hanging="243"/>
            </w:pPr>
            <w:r w:rsidRPr="006A75A2">
              <w:t>–</w:t>
            </w:r>
            <w:r>
              <w:tab/>
            </w:r>
            <w:r w:rsidRPr="006A75A2">
              <w:t>water infrastructure – other</w:t>
            </w:r>
          </w:p>
        </w:tc>
        <w:tc>
          <w:tcPr>
            <w:tcW w:w="3870" w:type="dxa"/>
          </w:tcPr>
          <w:p w:rsidR="00336793" w:rsidRPr="006A75A2" w:rsidRDefault="00336793" w:rsidP="00DF0B96">
            <w:pPr>
              <w:pStyle w:val="Tabletext"/>
              <w:spacing w:before="20" w:after="20"/>
            </w:pPr>
            <w:r w:rsidRPr="006A75A2">
              <w:t>25 to 100 years</w:t>
            </w:r>
          </w:p>
        </w:tc>
      </w:tr>
      <w:tr w:rsidR="00336793" w:rsidRPr="006A75A2" w:rsidTr="00DF0B96">
        <w:trPr>
          <w:cantSplit/>
        </w:trPr>
        <w:tc>
          <w:tcPr>
            <w:tcW w:w="5778" w:type="dxa"/>
          </w:tcPr>
          <w:p w:rsidR="00336793" w:rsidRPr="006A75A2" w:rsidRDefault="00336793" w:rsidP="00DF0B96">
            <w:pPr>
              <w:pStyle w:val="Tabletext"/>
              <w:spacing w:before="20" w:after="20"/>
              <w:ind w:left="259" w:hanging="243"/>
            </w:pPr>
            <w:r w:rsidRPr="006A75A2">
              <w:t>–</w:t>
            </w:r>
            <w:r>
              <w:tab/>
            </w:r>
            <w:r w:rsidRPr="006A75A2">
              <w:t>rail infrastructure</w:t>
            </w:r>
          </w:p>
        </w:tc>
        <w:tc>
          <w:tcPr>
            <w:tcW w:w="3870" w:type="dxa"/>
          </w:tcPr>
          <w:p w:rsidR="00336793" w:rsidRPr="006A75A2" w:rsidRDefault="00336793" w:rsidP="00DF0B96">
            <w:pPr>
              <w:pStyle w:val="Tabletext"/>
              <w:spacing w:before="20" w:after="20"/>
            </w:pPr>
            <w:r w:rsidRPr="006A75A2">
              <w:t>2 to 50 years</w:t>
            </w:r>
          </w:p>
        </w:tc>
      </w:tr>
      <w:tr w:rsidR="00336793" w:rsidRPr="006A75A2" w:rsidTr="00DF0B96">
        <w:trPr>
          <w:cantSplit/>
        </w:trPr>
        <w:tc>
          <w:tcPr>
            <w:tcW w:w="5778" w:type="dxa"/>
          </w:tcPr>
          <w:p w:rsidR="00336793" w:rsidRPr="006A75A2" w:rsidRDefault="00336793" w:rsidP="00DF0B96">
            <w:pPr>
              <w:pStyle w:val="Tabletext"/>
              <w:spacing w:before="20" w:after="20"/>
              <w:ind w:left="259" w:hanging="243"/>
            </w:pPr>
            <w:r w:rsidRPr="006A75A2">
              <w:t>–</w:t>
            </w:r>
            <w:r>
              <w:tab/>
            </w:r>
            <w:r w:rsidRPr="006A75A2">
              <w:t>other infrastructure</w:t>
            </w:r>
          </w:p>
        </w:tc>
        <w:tc>
          <w:tcPr>
            <w:tcW w:w="3870" w:type="dxa"/>
          </w:tcPr>
          <w:p w:rsidR="00336793" w:rsidRPr="006A75A2" w:rsidRDefault="00336793" w:rsidP="00DF0B96">
            <w:pPr>
              <w:pStyle w:val="Tabletext"/>
              <w:spacing w:before="20" w:after="20"/>
            </w:pPr>
            <w:r w:rsidRPr="006A75A2">
              <w:t>10 to 32 years</w:t>
            </w:r>
          </w:p>
        </w:tc>
      </w:tr>
      <w:tr w:rsidR="00336793" w:rsidRPr="006A75A2" w:rsidTr="00DF0B96">
        <w:trPr>
          <w:cantSplit/>
        </w:trPr>
        <w:tc>
          <w:tcPr>
            <w:tcW w:w="5774" w:type="dxa"/>
          </w:tcPr>
          <w:p w:rsidR="00336793" w:rsidRPr="006A75A2" w:rsidRDefault="00336793" w:rsidP="00DF0B96">
            <w:pPr>
              <w:pStyle w:val="Tabletext"/>
              <w:spacing w:before="20" w:after="20"/>
            </w:pPr>
            <w:r w:rsidRPr="006A75A2">
              <w:t>Plant, equipment and vehicle (incl. leased assets)</w:t>
            </w:r>
          </w:p>
        </w:tc>
        <w:tc>
          <w:tcPr>
            <w:tcW w:w="3874" w:type="dxa"/>
          </w:tcPr>
          <w:p w:rsidR="00336793" w:rsidRPr="006A75A2" w:rsidRDefault="00336793" w:rsidP="00DF0B96">
            <w:pPr>
              <w:pStyle w:val="Tabletext"/>
              <w:spacing w:before="20" w:after="20"/>
            </w:pPr>
            <w:r w:rsidRPr="006A75A2">
              <w:t>3 to 10 years</w:t>
            </w:r>
          </w:p>
        </w:tc>
      </w:tr>
      <w:tr w:rsidR="00336793" w:rsidRPr="006A75A2" w:rsidTr="00DF0B96">
        <w:trPr>
          <w:cantSplit/>
        </w:trPr>
        <w:tc>
          <w:tcPr>
            <w:tcW w:w="5774" w:type="dxa"/>
          </w:tcPr>
          <w:p w:rsidR="00336793" w:rsidRPr="006A75A2" w:rsidRDefault="00336793" w:rsidP="00DF0B96">
            <w:pPr>
              <w:pStyle w:val="Tabletext"/>
              <w:spacing w:before="20" w:after="20"/>
            </w:pPr>
            <w:r w:rsidRPr="006A75A2">
              <w:t>Road and road networks (incl. bridges)</w:t>
            </w:r>
          </w:p>
        </w:tc>
        <w:tc>
          <w:tcPr>
            <w:tcW w:w="3874" w:type="dxa"/>
          </w:tcPr>
          <w:p w:rsidR="00336793" w:rsidRPr="006A75A2" w:rsidRDefault="00336793" w:rsidP="00DF0B96">
            <w:pPr>
              <w:pStyle w:val="Tabletext"/>
              <w:spacing w:before="20" w:after="20"/>
            </w:pPr>
            <w:r w:rsidRPr="006A75A2">
              <w:t>60 to 90 years</w:t>
            </w:r>
          </w:p>
        </w:tc>
      </w:tr>
      <w:tr w:rsidR="00336793" w:rsidRPr="006A75A2" w:rsidTr="00DF0B96">
        <w:trPr>
          <w:cantSplit/>
        </w:trPr>
        <w:tc>
          <w:tcPr>
            <w:tcW w:w="5774" w:type="dxa"/>
          </w:tcPr>
          <w:p w:rsidR="00336793" w:rsidRPr="006A75A2" w:rsidRDefault="00336793" w:rsidP="00DF0B96">
            <w:pPr>
              <w:pStyle w:val="Tabletext"/>
              <w:spacing w:before="20" w:after="20"/>
            </w:pPr>
            <w:r w:rsidRPr="006A75A2">
              <w:t>Cultural assets (with finite useful lives)</w:t>
            </w:r>
          </w:p>
        </w:tc>
        <w:tc>
          <w:tcPr>
            <w:tcW w:w="3874" w:type="dxa"/>
          </w:tcPr>
          <w:p w:rsidR="00336793" w:rsidRPr="006A75A2" w:rsidRDefault="00336793" w:rsidP="00DF0B96">
            <w:pPr>
              <w:pStyle w:val="Tabletext"/>
              <w:spacing w:before="20" w:after="20"/>
            </w:pPr>
            <w:r w:rsidRPr="006A75A2">
              <w:t>100 years</w:t>
            </w:r>
          </w:p>
        </w:tc>
      </w:tr>
      <w:tr w:rsidR="00336793" w:rsidRPr="006A75A2" w:rsidTr="00DF0B96">
        <w:trPr>
          <w:cantSplit/>
        </w:trPr>
        <w:tc>
          <w:tcPr>
            <w:tcW w:w="5774" w:type="dxa"/>
          </w:tcPr>
          <w:p w:rsidR="00336793" w:rsidRPr="006A75A2" w:rsidRDefault="00336793" w:rsidP="00DF0B96">
            <w:pPr>
              <w:pStyle w:val="Tabletext"/>
              <w:spacing w:before="20" w:after="20"/>
            </w:pPr>
            <w:r w:rsidRPr="006A75A2">
              <w:t>Intangible produced assets:</w:t>
            </w:r>
          </w:p>
        </w:tc>
        <w:tc>
          <w:tcPr>
            <w:tcW w:w="3874" w:type="dxa"/>
          </w:tcPr>
          <w:p w:rsidR="00336793" w:rsidRPr="006A75A2" w:rsidRDefault="00336793" w:rsidP="00DF0B96">
            <w:pPr>
              <w:pStyle w:val="Tabletext"/>
              <w:spacing w:before="20" w:after="20"/>
            </w:pPr>
          </w:p>
        </w:tc>
      </w:tr>
      <w:tr w:rsidR="00336793" w:rsidRPr="006A75A2" w:rsidTr="00DF0B96">
        <w:trPr>
          <w:cantSplit/>
        </w:trPr>
        <w:tc>
          <w:tcPr>
            <w:tcW w:w="5774" w:type="dxa"/>
            <w:tcBorders>
              <w:bottom w:val="single" w:sz="12" w:space="0" w:color="auto"/>
            </w:tcBorders>
          </w:tcPr>
          <w:p w:rsidR="00336793" w:rsidRPr="006A75A2" w:rsidRDefault="00336793" w:rsidP="00DF0B96">
            <w:pPr>
              <w:pStyle w:val="Tabletext"/>
              <w:spacing w:before="20" w:after="20"/>
              <w:ind w:left="259" w:hanging="243"/>
            </w:pPr>
            <w:r w:rsidRPr="006A75A2">
              <w:t>–</w:t>
            </w:r>
            <w:r>
              <w:tab/>
            </w:r>
            <w:r w:rsidRPr="006A75A2">
              <w:t>capitalised software development costs</w:t>
            </w:r>
          </w:p>
        </w:tc>
        <w:tc>
          <w:tcPr>
            <w:tcW w:w="3874" w:type="dxa"/>
            <w:tcBorders>
              <w:bottom w:val="single" w:sz="12" w:space="0" w:color="auto"/>
            </w:tcBorders>
          </w:tcPr>
          <w:p w:rsidR="00336793" w:rsidRPr="006A75A2" w:rsidRDefault="00336793" w:rsidP="00DF0B96">
            <w:pPr>
              <w:pStyle w:val="Tabletext"/>
              <w:spacing w:before="20" w:after="20"/>
            </w:pPr>
            <w:r w:rsidRPr="006A75A2">
              <w:t>3 to 5 years</w:t>
            </w:r>
          </w:p>
        </w:tc>
      </w:tr>
    </w:tbl>
    <w:p w:rsidR="00336793" w:rsidRPr="006A75A2" w:rsidRDefault="00336793" w:rsidP="00DF0B96"/>
    <w:p w:rsidR="00336793" w:rsidRPr="006A75A2" w:rsidRDefault="00336793" w:rsidP="00DF0B96">
      <w:r w:rsidRPr="006A75A2">
        <w:t>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w:t>
      </w:r>
    </w:p>
    <w:p w:rsidR="00336793" w:rsidRPr="006A75A2" w:rsidRDefault="00336793" w:rsidP="00DF0B96">
      <w:r w:rsidRPr="006A75A2">
        <w:t>Intangible produced assets with finite useful lives are depreciated as an expense from transactions on a systematic (typically straight line) basis over the asset</w:t>
      </w:r>
      <w:r>
        <w:t>’</w:t>
      </w:r>
      <w:r w:rsidRPr="006A75A2">
        <w:t xml:space="preserve">s useful life. Depreciation begins when the asset is available for use, that is, when it is in the location and condition necessary for it to be capable of operating in the manner intended by management. </w:t>
      </w:r>
    </w:p>
    <w:p w:rsidR="00336793" w:rsidRPr="006A75A2" w:rsidRDefault="00336793" w:rsidP="00DF0B96">
      <w:r w:rsidRPr="006A75A2">
        <w:t xml:space="preserve">All intangible assets are tested for impairment whenever there is an indication that the asset may be impaired (refer to </w:t>
      </w:r>
      <w:r w:rsidRPr="00B3771F">
        <w:t>Note 1(I)</w:t>
      </w:r>
      <w:r w:rsidRPr="006A75A2">
        <w:t>).</w:t>
      </w:r>
    </w:p>
    <w:p w:rsidR="00336793" w:rsidRPr="006A75A2" w:rsidRDefault="00336793" w:rsidP="00DF0B96">
      <w:r w:rsidRPr="006A75A2">
        <w:t>The consumption of intangible non</w:t>
      </w:r>
      <w:r>
        <w:noBreakHyphen/>
      </w:r>
      <w:r w:rsidRPr="006A75A2">
        <w:t xml:space="preserve">produced assets with finite useful lives is not classified as a transaction, but as amortisation and included in the net result as an other economic flow. </w:t>
      </w:r>
    </w:p>
    <w:p w:rsidR="00336793" w:rsidRPr="006A75A2" w:rsidRDefault="00336793" w:rsidP="00DF0B96">
      <w:r w:rsidRPr="006A75A2">
        <w:t>Intangible assets with indefinite useful lives are not depreciated or amortised, but are tested annually for impairment.</w:t>
      </w:r>
    </w:p>
    <w:p w:rsidR="00336793" w:rsidRPr="006A75A2" w:rsidRDefault="00336793" w:rsidP="00DF0B96">
      <w:pPr>
        <w:pStyle w:val="Heading4"/>
      </w:pPr>
      <w:r w:rsidRPr="006A75A2">
        <w:t>Interest expense</w:t>
      </w:r>
    </w:p>
    <w:p w:rsidR="00336793" w:rsidRPr="006A75A2" w:rsidRDefault="00336793" w:rsidP="00DF0B96">
      <w:r w:rsidRPr="006A75A2">
        <w:t>Interest expense represents costs incurred in connection with borrowings. It includes interest on advances, loans, overdrafts, bonds and bills, deposits, interest components of finance lease repayments, and amortisation of discounts or premiums in relation to borrowings.</w:t>
      </w:r>
    </w:p>
    <w:p w:rsidR="00336793" w:rsidRPr="006A75A2" w:rsidRDefault="00336793" w:rsidP="00DF0B96">
      <w:r w:rsidRPr="006A75A2">
        <w:t xml:space="preserve">Refer to </w:t>
      </w:r>
      <w:r w:rsidRPr="00B3771F">
        <w:t xml:space="preserve">Note 10 </w:t>
      </w:r>
      <w:r>
        <w:rPr>
          <w:i/>
        </w:rPr>
        <w:t>Interest e</w:t>
      </w:r>
      <w:r w:rsidRPr="003B1A55">
        <w:rPr>
          <w:i/>
        </w:rPr>
        <w:t>xpense</w:t>
      </w:r>
      <w:r w:rsidRPr="006A75A2">
        <w:t>.</w:t>
      </w:r>
    </w:p>
    <w:p w:rsidR="00336793" w:rsidRPr="006A75A2" w:rsidRDefault="00336793" w:rsidP="00DF0B96">
      <w:pPr>
        <w:pStyle w:val="Heading4"/>
      </w:pPr>
      <w:r w:rsidRPr="006A75A2">
        <w:t xml:space="preserve">Grant </w:t>
      </w:r>
      <w:r>
        <w:t>expense</w:t>
      </w:r>
    </w:p>
    <w:p w:rsidR="00336793" w:rsidRDefault="00336793" w:rsidP="00DF0B96">
      <w:r w:rsidRPr="006A75A2">
        <w:t>Grants and other transfers to third parties are recognised as an expense in the reporting period in which they are paid or payable. They include transactions such as: grants, subsidies, personal benefit payments made to individuals; other transfer payments made to local government, non</w:t>
      </w:r>
      <w:r>
        <w:noBreakHyphen/>
      </w:r>
      <w:r w:rsidRPr="006A75A2">
        <w:t>government schools and community groups; and for the general government sector, grants and transfer payments to PNFCs and PFCs.</w:t>
      </w:r>
    </w:p>
    <w:p w:rsidR="00336793" w:rsidRPr="006A75A2" w:rsidRDefault="00336793" w:rsidP="00DF0B96">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pPr>
        <w:pStyle w:val="Heading4"/>
      </w:pPr>
      <w:r w:rsidRPr="006A75A2">
        <w:t>Other operating expenses</w:t>
      </w:r>
    </w:p>
    <w:p w:rsidR="00336793" w:rsidRPr="006A75A2" w:rsidRDefault="00336793" w:rsidP="00DF0B96">
      <w:r w:rsidRPr="006A75A2">
        <w:t>Other operating expenses generally represent the day</w:t>
      </w:r>
      <w:r>
        <w:noBreakHyphen/>
      </w:r>
      <w:r w:rsidRPr="006A75A2">
        <w:t>to</w:t>
      </w:r>
      <w:r>
        <w:noBreakHyphen/>
      </w:r>
      <w:r w:rsidRPr="006A75A2">
        <w:t xml:space="preserve">day running costs incurred in normal operations and includes: </w:t>
      </w:r>
    </w:p>
    <w:p w:rsidR="00336793" w:rsidRPr="006A75A2" w:rsidRDefault="00336793" w:rsidP="00DF0B96">
      <w:pPr>
        <w:pStyle w:val="BulletText"/>
        <w:spacing w:after="80"/>
      </w:pPr>
      <w:r w:rsidRPr="006A75A2">
        <w:t>supplies and services costs which are recognised as an expense in the reporting period in which they are incurred. The carrying amounts of any inventories held for distribution are expensed when distributed; and</w:t>
      </w:r>
    </w:p>
    <w:p w:rsidR="00336793" w:rsidRPr="00D06373" w:rsidRDefault="00336793" w:rsidP="00DF0B96">
      <w:pPr>
        <w:pStyle w:val="BulletText"/>
        <w:spacing w:after="80"/>
        <w:rPr>
          <w:rFonts w:ascii="Calibri" w:hAnsi="Calibri"/>
          <w:b/>
          <w:i/>
          <w:sz w:val="26"/>
          <w:szCs w:val="22"/>
        </w:rPr>
      </w:pPr>
      <w:r w:rsidRPr="006A75A2">
        <w:t>bad and doubtful debts.</w:t>
      </w:r>
    </w:p>
    <w:p w:rsidR="00336793" w:rsidRPr="006A75A2" w:rsidRDefault="00336793" w:rsidP="00DF0B96">
      <w:pPr>
        <w:pStyle w:val="Heading3Numbering"/>
        <w:rPr>
          <w:kern w:val="0"/>
        </w:rPr>
      </w:pPr>
      <w:r w:rsidRPr="006A75A2">
        <w:rPr>
          <w:kern w:val="0"/>
        </w:rPr>
        <w:t>Other economic flows</w:t>
      </w:r>
    </w:p>
    <w:p w:rsidR="00336793" w:rsidRPr="006A75A2" w:rsidRDefault="00336793" w:rsidP="00DF0B96">
      <w:pPr>
        <w:rPr>
          <w:i/>
        </w:rPr>
      </w:pPr>
      <w:r w:rsidRPr="006A75A2">
        <w:t xml:space="preserve">Other economic flows are changes in the volume or value of an asset or liability that do not result from transactions. </w:t>
      </w:r>
    </w:p>
    <w:p w:rsidR="00336793" w:rsidRPr="006A75A2" w:rsidRDefault="00336793" w:rsidP="00DF0B96">
      <w:pPr>
        <w:pStyle w:val="Heading4"/>
      </w:pPr>
      <w:r w:rsidRPr="006A75A2">
        <w:t>Other economic flows included in net result</w:t>
      </w:r>
    </w:p>
    <w:p w:rsidR="00336793" w:rsidRPr="006A75A2" w:rsidRDefault="00336793" w:rsidP="00DF0B96">
      <w:pPr>
        <w:pStyle w:val="Heading5"/>
      </w:pPr>
      <w:r w:rsidRPr="006A75A2">
        <w:t>Net gain/(loss) on disposal of non</w:t>
      </w:r>
      <w:r>
        <w:noBreakHyphen/>
      </w:r>
      <w:r w:rsidRPr="006A75A2">
        <w:t>financial assets</w:t>
      </w:r>
    </w:p>
    <w:p w:rsidR="00336793" w:rsidRPr="006A75A2" w:rsidRDefault="00336793" w:rsidP="00DF0B96">
      <w:r w:rsidRPr="006A75A2">
        <w:t>Any gain or loss on the disposal of non</w:t>
      </w:r>
      <w:r>
        <w:noBreakHyphen/>
      </w:r>
      <w:r w:rsidRPr="006A75A2">
        <w:t>financial assets is recognised at the date of disposal and is determined after deducting from the proceeds the carrying value of the asset at that time.</w:t>
      </w:r>
    </w:p>
    <w:p w:rsidR="00336793" w:rsidRPr="006A75A2" w:rsidRDefault="00336793" w:rsidP="00DF0B96">
      <w:pPr>
        <w:pStyle w:val="Heading5"/>
      </w:pPr>
      <w:r w:rsidRPr="006A75A2">
        <w:t>Net gain/(loss) on financial assets or liabilities at fair value</w:t>
      </w:r>
    </w:p>
    <w:p w:rsidR="00336793" w:rsidRPr="006A75A2" w:rsidRDefault="00336793" w:rsidP="00DF0B96">
      <w:pPr>
        <w:pStyle w:val="Heading5a"/>
      </w:pPr>
      <w:r w:rsidRPr="006A75A2">
        <w:t>Net gain/(loss) on financial instruments</w:t>
      </w:r>
    </w:p>
    <w:p w:rsidR="00336793" w:rsidRPr="006A75A2" w:rsidRDefault="00336793" w:rsidP="00DF0B96">
      <w:r w:rsidRPr="006A75A2">
        <w:t>Net gain/(loss) on financial instruments includes:</w:t>
      </w:r>
    </w:p>
    <w:p w:rsidR="00336793" w:rsidRPr="006A75A2" w:rsidRDefault="00336793" w:rsidP="00DF0B96">
      <w:pPr>
        <w:pStyle w:val="BulletText"/>
        <w:spacing w:after="80"/>
      </w:pPr>
      <w:r w:rsidRPr="006A75A2">
        <w:t>realised and unrealised gains and losses from revaluations of financial instruments at fair value through profit or loss;</w:t>
      </w:r>
    </w:p>
    <w:p w:rsidR="00336793" w:rsidRPr="006A75A2" w:rsidRDefault="00336793" w:rsidP="00DF0B96">
      <w:pPr>
        <w:pStyle w:val="BulletText"/>
        <w:spacing w:after="80"/>
      </w:pPr>
      <w:r w:rsidRPr="006A75A2">
        <w:t xml:space="preserve">impairment and reversal of impairment for financial instruments at amortised cost; and </w:t>
      </w:r>
    </w:p>
    <w:p w:rsidR="00336793" w:rsidRPr="006A75A2" w:rsidRDefault="00336793" w:rsidP="00DF0B96">
      <w:pPr>
        <w:pStyle w:val="BulletText"/>
        <w:spacing w:after="80"/>
      </w:pPr>
      <w:r w:rsidRPr="006A75A2">
        <w:t xml:space="preserve">disposal of financial assets and derecognition of financial liabilities. </w:t>
      </w:r>
    </w:p>
    <w:p w:rsidR="00336793" w:rsidRPr="006A75A2" w:rsidRDefault="00336793" w:rsidP="00DF0B96">
      <w:pPr>
        <w:pStyle w:val="Heading5a"/>
      </w:pPr>
      <w:r w:rsidRPr="006A75A2">
        <w:t>Revaluations of financial instruments at fair value through profit or loss</w:t>
      </w:r>
    </w:p>
    <w:p w:rsidR="00336793" w:rsidRPr="006A75A2" w:rsidRDefault="00336793" w:rsidP="00DF0B96">
      <w:r w:rsidRPr="006A75A2">
        <w:t xml:space="preserve">Refer to </w:t>
      </w:r>
      <w:r w:rsidRPr="00B3771F">
        <w:t>Note 1(K)</w:t>
      </w:r>
      <w:r w:rsidRPr="006A75A2">
        <w:t>.</w:t>
      </w:r>
    </w:p>
    <w:p w:rsidR="00336793" w:rsidRPr="006A75A2" w:rsidRDefault="00336793" w:rsidP="00DF0B96">
      <w:pPr>
        <w:pStyle w:val="Heading5"/>
      </w:pPr>
      <w:r w:rsidRPr="006A75A2">
        <w:t>Other gains/(losses) from other economic flows</w:t>
      </w:r>
    </w:p>
    <w:p w:rsidR="00336793" w:rsidRPr="006A75A2" w:rsidRDefault="00336793" w:rsidP="00DF0B96">
      <w:r w:rsidRPr="006A75A2">
        <w:t xml:space="preserve">Other gains/(losses) from other economic flows include the gains or losses from: </w:t>
      </w:r>
    </w:p>
    <w:p w:rsidR="00336793" w:rsidRPr="006A75A2" w:rsidRDefault="00336793" w:rsidP="00DF0B96">
      <w:pPr>
        <w:pStyle w:val="BulletText"/>
        <w:spacing w:after="80"/>
      </w:pPr>
      <w:r w:rsidRPr="006A75A2">
        <w:t>the revaluation of the present value of the long service leave liability due to changes in the bond interest rates; and</w:t>
      </w:r>
    </w:p>
    <w:p w:rsidR="00336793" w:rsidRPr="006A75A2" w:rsidRDefault="00336793" w:rsidP="00DF0B96">
      <w:pPr>
        <w:pStyle w:val="BulletText"/>
        <w:spacing w:after="80"/>
      </w:pPr>
      <w:r w:rsidRPr="006A75A2">
        <w:t>valuation changes associated with the indemnity for the electricity supply arrang</w:t>
      </w:r>
      <w:r>
        <w:t>ements to the aluminium smelter</w:t>
      </w:r>
      <w:r w:rsidRPr="006A75A2">
        <w:t xml:space="preserve"> at Portland</w:t>
      </w:r>
      <w:r>
        <w:t>.</w:t>
      </w:r>
      <w:r w:rsidRPr="006A75A2">
        <w:t xml:space="preserve"> </w:t>
      </w:r>
    </w:p>
    <w:p w:rsidR="00336793" w:rsidRPr="006A75A2" w:rsidRDefault="00336793" w:rsidP="00DF0B96">
      <w:pPr>
        <w:pStyle w:val="Heading5"/>
      </w:pPr>
      <w:r w:rsidRPr="006A75A2">
        <w:t>Impairment of non</w:t>
      </w:r>
      <w:r>
        <w:noBreakHyphen/>
      </w:r>
      <w:r w:rsidRPr="006A75A2">
        <w:t>financial assets</w:t>
      </w:r>
    </w:p>
    <w:p w:rsidR="00336793" w:rsidRPr="006A75A2" w:rsidRDefault="00336793" w:rsidP="00DF0B96">
      <w:r w:rsidRPr="006A75A2">
        <w:t xml:space="preserve">Goodwill and intangible assets with indefinite useful lives (and intangible assets not yet available for use) are tested annually for impairment (as described below) and whenever there is an indication that the asset may be impaired. </w:t>
      </w:r>
    </w:p>
    <w:p w:rsidR="00336793" w:rsidRPr="006A75A2" w:rsidRDefault="00336793" w:rsidP="00DF0B96">
      <w:r w:rsidRPr="006A75A2">
        <w:t>All other assets are assessed annually for indications of impairment, except for:</w:t>
      </w:r>
    </w:p>
    <w:p w:rsidR="00336793" w:rsidRPr="006A75A2" w:rsidRDefault="00336793" w:rsidP="00DF0B96">
      <w:pPr>
        <w:pStyle w:val="BulletText"/>
        <w:spacing w:after="80"/>
      </w:pPr>
      <w:r w:rsidRPr="006A75A2">
        <w:t xml:space="preserve">inventories (refer </w:t>
      </w:r>
      <w:r w:rsidRPr="00B3771F">
        <w:t>Note 1(M)</w:t>
      </w:r>
      <w:r w:rsidRPr="006A75A2">
        <w:t>);</w:t>
      </w:r>
    </w:p>
    <w:p w:rsidR="00336793" w:rsidRPr="006A75A2" w:rsidRDefault="00336793" w:rsidP="00DF0B96">
      <w:pPr>
        <w:pStyle w:val="BulletText"/>
        <w:spacing w:after="80"/>
      </w:pPr>
      <w:r w:rsidRPr="006A75A2">
        <w:t>non</w:t>
      </w:r>
      <w:r>
        <w:noBreakHyphen/>
      </w:r>
      <w:r w:rsidRPr="006A75A2">
        <w:t xml:space="preserve">financial physical assets held for sale (refer </w:t>
      </w:r>
      <w:r w:rsidRPr="00B3771F">
        <w:t>Note 1(M)</w:t>
      </w:r>
      <w:r w:rsidRPr="006A75A2">
        <w:t>);</w:t>
      </w:r>
    </w:p>
    <w:p w:rsidR="00336793" w:rsidRDefault="00336793" w:rsidP="00DF0B96">
      <w:pPr>
        <w:pStyle w:val="BulletText"/>
        <w:spacing w:after="80"/>
      </w:pPr>
      <w:r w:rsidRPr="006A75A2">
        <w:t>certain bio</w:t>
      </w:r>
      <w:r w:rsidRPr="008D5BFA">
        <w:t>l</w:t>
      </w:r>
      <w:r w:rsidRPr="006A75A2">
        <w:t xml:space="preserve">ogical assets related to agricultural activity (refer </w:t>
      </w:r>
      <w:r w:rsidRPr="00B3771F">
        <w:t>Note 1(M));</w:t>
      </w:r>
    </w:p>
    <w:p w:rsidR="00336793" w:rsidRPr="006A75A2" w:rsidRDefault="00336793" w:rsidP="00DF0B96">
      <w:pPr>
        <w:pStyle w:val="BulletText"/>
        <w:spacing w:after="80"/>
      </w:pPr>
      <w:r w:rsidRPr="006A75A2">
        <w:t xml:space="preserve">investment properties that are measured at fair value (refer </w:t>
      </w:r>
      <w:r w:rsidRPr="00B3771F">
        <w:t>Note 1(M));</w:t>
      </w:r>
      <w:r w:rsidRPr="006A75A2">
        <w:t xml:space="preserve"> and</w:t>
      </w:r>
    </w:p>
    <w:p w:rsidR="00336793" w:rsidRPr="006A75A2" w:rsidRDefault="00336793" w:rsidP="00DF0B96">
      <w:pPr>
        <w:pStyle w:val="BulletText"/>
        <w:spacing w:after="80"/>
      </w:pPr>
      <w:r w:rsidRPr="006A75A2">
        <w:t xml:space="preserve">assets arising from construction contracts (refer </w:t>
      </w:r>
      <w:r w:rsidRPr="00B3771F">
        <w:t>Note 1(M)</w:t>
      </w:r>
      <w:r w:rsidRPr="006A75A2">
        <w:t>).</w:t>
      </w:r>
    </w:p>
    <w:p w:rsidR="00336793" w:rsidRPr="006A75A2" w:rsidRDefault="00336793" w:rsidP="00DF0B96">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r w:rsidRPr="006A75A2">
        <w:t>If there is an indication of impairment, the assets concerned are tested as to whether their carrying value exceeds their recoverable amount. Where an asset</w:t>
      </w:r>
      <w:r>
        <w:t>’</w:t>
      </w:r>
      <w:r w:rsidRPr="006A75A2">
        <w:t>s carrying value exceeds its recoverable amount, the difference is written off as an other economic flow, except to the extent that the write down can be debited to an asset revaluation surplus amount applicable to that class of asset.</w:t>
      </w:r>
    </w:p>
    <w:p w:rsidR="00336793" w:rsidRPr="006A75A2" w:rsidRDefault="00336793" w:rsidP="00DF0B96">
      <w:r w:rsidRPr="006A75A2">
        <w:t>If there is an indication that there has been a change in the estimate of an asset</w:t>
      </w:r>
      <w:r>
        <w:t>’</w:t>
      </w:r>
      <w:r w:rsidRPr="006A75A2">
        <w:t xml:space="preserve">s recoverable amount since the last impairment loss was recognised, the carrying amount </w:t>
      </w:r>
      <w:r>
        <w:t>would</w:t>
      </w:r>
      <w:r w:rsidRPr="006A75A2">
        <w:t xml:space="preserve"> be increased to its recoverable amount. This reversal of the impairment loss occurs only to the extent that the asset</w:t>
      </w:r>
      <w:r>
        <w:t>’</w:t>
      </w:r>
      <w:r w:rsidRPr="006A75A2">
        <w:t xml:space="preserve">s carrying amount does not exceed the carrying amount that would have been determined, net of depreciation or amortisation, if no impairment loss had been recognised in prior years. </w:t>
      </w:r>
    </w:p>
    <w:p w:rsidR="00336793" w:rsidRPr="006A75A2" w:rsidRDefault="00336793" w:rsidP="00DF0B96">
      <w:r w:rsidRPr="006A75A2">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rsidR="00336793" w:rsidRPr="006A75A2" w:rsidRDefault="00336793" w:rsidP="00DF0B96">
      <w:r w:rsidRPr="006A75A2">
        <w:t xml:space="preserve">Refer to </w:t>
      </w:r>
      <w:r w:rsidRPr="00B3771F">
        <w:t>Note 1(M)</w:t>
      </w:r>
      <w:r w:rsidRPr="006A75A2">
        <w:t xml:space="preserve"> in relation to the recognition and measurement of non</w:t>
      </w:r>
      <w:r>
        <w:noBreakHyphen/>
      </w:r>
      <w:r w:rsidRPr="006A75A2">
        <w:t>financial physical assets.</w:t>
      </w:r>
    </w:p>
    <w:p w:rsidR="00336793" w:rsidRPr="006A75A2" w:rsidRDefault="00336793" w:rsidP="00DF0B96">
      <w:pPr>
        <w:pStyle w:val="Heading4"/>
      </w:pPr>
      <w:r w:rsidRPr="006A75A2">
        <w:t>Other economic flows – other comprehensive income</w:t>
      </w:r>
    </w:p>
    <w:p w:rsidR="00336793" w:rsidRPr="006A75A2" w:rsidRDefault="00336793" w:rsidP="00DF0B96">
      <w:pPr>
        <w:pStyle w:val="Heading5"/>
      </w:pPr>
      <w:r w:rsidRPr="006A75A2">
        <w:t>Remeasurements of the net superannuation liability</w:t>
      </w:r>
    </w:p>
    <w:p w:rsidR="00336793" w:rsidRPr="006A75A2" w:rsidRDefault="00336793" w:rsidP="00DF0B96">
      <w:pPr>
        <w:autoSpaceDE w:val="0"/>
        <w:autoSpaceDN w:val="0"/>
        <w:adjustRightInd w:val="0"/>
        <w:rPr>
          <w:rFonts w:cs="Garamond"/>
          <w:szCs w:val="24"/>
        </w:rPr>
      </w:pPr>
      <w:r w:rsidRPr="006A75A2">
        <w:rPr>
          <w:rFonts w:cs="Garamond"/>
          <w:szCs w:val="24"/>
        </w:rPr>
        <w:t>Remeasurements of the net superannuation liability comprise:</w:t>
      </w:r>
    </w:p>
    <w:p w:rsidR="00336793" w:rsidRPr="006A75A2" w:rsidRDefault="00336793" w:rsidP="00DF0B96">
      <w:pPr>
        <w:pStyle w:val="BulletText"/>
      </w:pPr>
      <w:r w:rsidRPr="006A75A2">
        <w:t xml:space="preserve">actuarial gains and losses which reflect the change in the defined benefit obligation that has arisen due to differences between actual outcomes and the assumptions used to calculate the superannuation expense from transactions; and </w:t>
      </w:r>
    </w:p>
    <w:p w:rsidR="00336793" w:rsidRPr="006A75A2" w:rsidRDefault="00336793" w:rsidP="00DF0B96">
      <w:pPr>
        <w:pStyle w:val="BulletText"/>
      </w:pPr>
      <w:r w:rsidRPr="006A75A2">
        <w:t>the return on plan assets, excluding amounts included in the net superannuation interest expense.</w:t>
      </w:r>
    </w:p>
    <w:p w:rsidR="00336793" w:rsidRPr="006A75A2" w:rsidRDefault="00336793" w:rsidP="00DF0B96">
      <w:r w:rsidRPr="006A75A2">
        <w:t>The effect of any change in actuarial assumptions during the period is also included and the associated net actuarial gains or losses are fully recognised, as other comprehensive income, in the period in which they occur.</w:t>
      </w:r>
    </w:p>
    <w:p w:rsidR="00336793" w:rsidRPr="006A75A2" w:rsidRDefault="00336793" w:rsidP="00DF0B96">
      <w:pPr>
        <w:pStyle w:val="Heading3Numbering"/>
        <w:tabs>
          <w:tab w:val="clear" w:pos="720"/>
          <w:tab w:val="num" w:pos="360"/>
        </w:tabs>
        <w:ind w:left="0" w:firstLine="0"/>
        <w:rPr>
          <w:kern w:val="0"/>
        </w:rPr>
      </w:pPr>
      <w:r w:rsidRPr="006A75A2">
        <w:rPr>
          <w:kern w:val="0"/>
        </w:rPr>
        <w:t xml:space="preserve">Measurement of fair values </w:t>
      </w:r>
    </w:p>
    <w:p w:rsidR="00336793" w:rsidRPr="006A75A2" w:rsidRDefault="00336793" w:rsidP="00DF0B96">
      <w:r w:rsidRPr="006A75A2">
        <w:t xml:space="preserve">In accordance </w:t>
      </w:r>
      <w:r w:rsidRPr="003B1A55">
        <w:t xml:space="preserve">with AASB 13 </w:t>
      </w:r>
      <w:r w:rsidRPr="003B1A55">
        <w:rPr>
          <w:i/>
        </w:rPr>
        <w:t>Fair Value Measurement</w:t>
      </w:r>
      <w:r w:rsidRPr="006A75A2">
        <w:rPr>
          <w:i/>
        </w:rPr>
        <w:t xml:space="preserve">, </w:t>
      </w:r>
      <w:r w:rsidRPr="006A75A2">
        <w:t>the State determines the policies and procedures for both financial and non</w:t>
      </w:r>
      <w:r>
        <w:noBreakHyphen/>
      </w:r>
      <w:r w:rsidRPr="006A75A2">
        <w:t>financial assets and liabilities that are measured at fair value, including:</w:t>
      </w:r>
    </w:p>
    <w:p w:rsidR="00336793" w:rsidRPr="006A75A2" w:rsidRDefault="00336793" w:rsidP="00DF0B96">
      <w:pPr>
        <w:pStyle w:val="BulletText"/>
      </w:pPr>
      <w:r w:rsidRPr="006A75A2">
        <w:t xml:space="preserve">financial assets and liabilities at fair value through profit and loss (refer to </w:t>
      </w:r>
      <w:r>
        <w:t>Note 1(K</w:t>
      </w:r>
      <w:r w:rsidRPr="00B3771F">
        <w:t>)</w:t>
      </w:r>
      <w:r w:rsidRPr="006A75A2">
        <w:t>);</w:t>
      </w:r>
    </w:p>
    <w:p w:rsidR="00336793" w:rsidRPr="006A75A2" w:rsidRDefault="00336793" w:rsidP="00DF0B96">
      <w:pPr>
        <w:pStyle w:val="BulletText"/>
      </w:pPr>
      <w:r w:rsidRPr="006A75A2">
        <w:t>available</w:t>
      </w:r>
      <w:r>
        <w:noBreakHyphen/>
      </w:r>
      <w:r w:rsidRPr="006A75A2">
        <w:t>for</w:t>
      </w:r>
      <w:r>
        <w:noBreakHyphen/>
      </w:r>
      <w:r w:rsidRPr="006A75A2">
        <w:t xml:space="preserve">sale financial assets (refer to </w:t>
      </w:r>
      <w:r>
        <w:t>Note 1</w:t>
      </w:r>
      <w:r w:rsidRPr="00B3771F">
        <w:t>(K)</w:t>
      </w:r>
      <w:r w:rsidRPr="006A75A2">
        <w:t>);</w:t>
      </w:r>
    </w:p>
    <w:p w:rsidR="00336793" w:rsidRPr="006A75A2" w:rsidRDefault="00336793" w:rsidP="00DF0B96">
      <w:pPr>
        <w:pStyle w:val="BulletText"/>
      </w:pPr>
      <w:r w:rsidRPr="006A75A2">
        <w:t xml:space="preserve">land, buildings, infrastructure, plant and equipment (refer to </w:t>
      </w:r>
      <w:r>
        <w:t>Note 1</w:t>
      </w:r>
      <w:r w:rsidRPr="00B3771F">
        <w:t>(M)</w:t>
      </w:r>
      <w:r w:rsidRPr="006A75A2">
        <w:t>);</w:t>
      </w:r>
    </w:p>
    <w:p w:rsidR="00336793" w:rsidRPr="006A75A2" w:rsidRDefault="00336793" w:rsidP="00DF0B96">
      <w:pPr>
        <w:pStyle w:val="BulletText"/>
      </w:pPr>
      <w:r w:rsidRPr="006A75A2">
        <w:t xml:space="preserve">investment properties (refer to </w:t>
      </w:r>
      <w:r>
        <w:t>Note 1</w:t>
      </w:r>
      <w:r w:rsidRPr="00B3771F">
        <w:t>(M)</w:t>
      </w:r>
      <w:r w:rsidRPr="006A75A2">
        <w:t xml:space="preserve">); and </w:t>
      </w:r>
    </w:p>
    <w:p w:rsidR="00336793" w:rsidRPr="006A75A2" w:rsidRDefault="00336793" w:rsidP="00DF0B96">
      <w:pPr>
        <w:pStyle w:val="BulletText"/>
      </w:pPr>
      <w:r w:rsidRPr="006A75A2">
        <w:t xml:space="preserve">biological assets (refer to </w:t>
      </w:r>
      <w:r>
        <w:t>Note 1</w:t>
      </w:r>
      <w:r w:rsidRPr="00B3771F">
        <w:t>(M)</w:t>
      </w:r>
      <w:r w:rsidRPr="006A75A2">
        <w:t xml:space="preserve">). </w:t>
      </w:r>
    </w:p>
    <w:p w:rsidR="00336793" w:rsidRDefault="00336793" w:rsidP="00DF0B96"/>
    <w:p w:rsidR="00336793" w:rsidRDefault="00336793">
      <w:pPr>
        <w:spacing w:after="0"/>
        <w:rPr>
          <w:rFonts w:ascii="Calibri" w:hAnsi="Calibri"/>
          <w:b/>
          <w:kern w:val="28"/>
          <w:sz w:val="28"/>
          <w:szCs w:val="22"/>
        </w:rPr>
      </w:pPr>
      <w:r>
        <w:br w:type="page"/>
      </w:r>
    </w:p>
    <w:p w:rsidR="00336793" w:rsidRPr="006A75A2" w:rsidRDefault="00336793" w:rsidP="00DF0B96">
      <w:pPr>
        <w:pStyle w:val="Heading2NotesContd"/>
        <w:rPr>
          <w:i/>
        </w:rPr>
      </w:pPr>
      <w:r w:rsidRPr="006A75A2">
        <w:lastRenderedPageBreak/>
        <w:t>Note 1:</w:t>
      </w:r>
      <w:r w:rsidRPr="006A75A2">
        <w:tab/>
        <w:t xml:space="preserve">Summary of significant accounting policies </w:t>
      </w:r>
      <w:r w:rsidRPr="006A75A2">
        <w:rPr>
          <w:i/>
        </w:rPr>
        <w:t>(continued)</w:t>
      </w:r>
    </w:p>
    <w:p w:rsidR="00336793" w:rsidRPr="006A75A2" w:rsidRDefault="00336793" w:rsidP="00DF0B96">
      <w:r w:rsidRPr="006A75A2">
        <w:t>For the purpose of fair value disclosures, the State has determined classes of assets and liabilities on the basis of the nature, characteristics and risks of the asset or liability and the level of the fair value hierarchy, based on the lowest level input that is significant to the fair value measurement as a whole:</w:t>
      </w:r>
    </w:p>
    <w:p w:rsidR="00336793" w:rsidRPr="006A75A2" w:rsidRDefault="00336793" w:rsidP="00DF0B96">
      <w:pPr>
        <w:pStyle w:val="BulletText"/>
      </w:pPr>
      <w:r w:rsidRPr="006A75A2">
        <w:t>Level 1 – Quoted (unadjusted) market prices in active markets for identical assets or liabilities;</w:t>
      </w:r>
    </w:p>
    <w:p w:rsidR="00336793" w:rsidRPr="006A75A2" w:rsidRDefault="00336793" w:rsidP="00DF0B96">
      <w:pPr>
        <w:pStyle w:val="BulletText"/>
      </w:pPr>
      <w:r w:rsidRPr="006A75A2">
        <w:t>Level 2 – Valuation techniques for which the lowest level input that is significant to the fair value measurement is directly or indirectly observable; and</w:t>
      </w:r>
    </w:p>
    <w:p w:rsidR="00336793" w:rsidRPr="006A75A2" w:rsidRDefault="00336793" w:rsidP="00DF0B96">
      <w:pPr>
        <w:pStyle w:val="BulletText"/>
      </w:pPr>
      <w:r w:rsidRPr="006A75A2">
        <w:t>Level 3 – Valuation techniques for which the lowest level input that is significant to the fair value measurement is unobservable.</w:t>
      </w:r>
    </w:p>
    <w:p w:rsidR="00336793" w:rsidRPr="006A75A2" w:rsidRDefault="00336793" w:rsidP="00DF0B96">
      <w:r w:rsidRPr="006A75A2">
        <w:t>In addition, the State determines whether transfers have occurred between levels in the hierarchy by reassessing categorisation (based on the lowest level input that is significant to the fair value measurement as a whole) at the end of each reporting period.</w:t>
      </w:r>
    </w:p>
    <w:p w:rsidR="00336793" w:rsidRPr="006A75A2" w:rsidRDefault="00336793" w:rsidP="00DF0B96">
      <w:pPr>
        <w:pStyle w:val="Heading3Numbering"/>
        <w:rPr>
          <w:kern w:val="0"/>
        </w:rPr>
      </w:pPr>
      <w:r w:rsidRPr="006A75A2">
        <w:rPr>
          <w:kern w:val="0"/>
        </w:rPr>
        <w:t>Financial instruments</w:t>
      </w:r>
    </w:p>
    <w:p w:rsidR="00336793" w:rsidRPr="006A75A2" w:rsidRDefault="00336793" w:rsidP="00DF0B96">
      <w:r w:rsidRPr="006A75A2">
        <w:t>Financial instruments arise out of contractual agreements that give rise to a financial asset of one entity and a financial liability or equity instrument of another entity. Due to the nature of the State</w:t>
      </w:r>
      <w:r>
        <w:t>’</w:t>
      </w:r>
      <w:r w:rsidRPr="006A75A2">
        <w:t xml:space="preserve">s activities, certain financial assets and financial liabilities arise under statute rather than a contract. Such financial assets and financial liabilities do not meet the definition of financial instruments in </w:t>
      </w:r>
      <w:r w:rsidRPr="003B1A55">
        <w:t xml:space="preserve">AASB 132 </w:t>
      </w:r>
      <w:r w:rsidRPr="003B1A55">
        <w:rPr>
          <w:i/>
        </w:rPr>
        <w:t>Financial Instruments: Presentation</w:t>
      </w:r>
      <w:r w:rsidRPr="003B1A55">
        <w:t>. For example, statutory receivables arising from taxes, fines a</w:t>
      </w:r>
      <w:r w:rsidRPr="006A75A2">
        <w:t>nd penalties do not meet the definition of financial instruments as they do not arise under contract. However, guarantees issued on behalf of the State are financial instruments because although authorised under statute, the terms and conditions for each financial guarantee may vary and are subject to an agreement.</w:t>
      </w:r>
    </w:p>
    <w:p w:rsidR="00336793" w:rsidRPr="006A75A2" w:rsidRDefault="00336793" w:rsidP="00DF0B96">
      <w:r w:rsidRPr="006A75A2">
        <w:t xml:space="preserve">Where relevant, for note disclosure purposes, a distinction has been made between those financial assets and financial liabilities that meet the definition of financial instruments in accordance with </w:t>
      </w:r>
      <w:r w:rsidRPr="00B3771F">
        <w:t>AASB 132</w:t>
      </w:r>
      <w:r w:rsidRPr="006A75A2">
        <w:t xml:space="preserve"> and those that do not.</w:t>
      </w:r>
    </w:p>
    <w:p w:rsidR="00336793" w:rsidRPr="006A75A2" w:rsidRDefault="00336793" w:rsidP="00DF0B96">
      <w:r w:rsidRPr="006A75A2">
        <w:t>The following refers to financial instruments unless otherwise stated.</w:t>
      </w:r>
    </w:p>
    <w:p w:rsidR="00336793" w:rsidRPr="006A75A2" w:rsidRDefault="00336793" w:rsidP="00DF0B96">
      <w:pPr>
        <w:pStyle w:val="Heading4"/>
      </w:pPr>
      <w:r w:rsidRPr="006A75A2">
        <w:t>Categories of non</w:t>
      </w:r>
      <w:r>
        <w:noBreakHyphen/>
      </w:r>
      <w:r w:rsidRPr="006A75A2">
        <w:t>derivative financial instruments</w:t>
      </w:r>
    </w:p>
    <w:p w:rsidR="00336793" w:rsidRPr="006A75A2" w:rsidRDefault="00336793" w:rsidP="00DF0B96">
      <w:pPr>
        <w:pStyle w:val="Heading5"/>
      </w:pPr>
      <w:r w:rsidRPr="006A75A2">
        <w:t xml:space="preserve">Loans and receivables </w:t>
      </w:r>
    </w:p>
    <w:p w:rsidR="00336793" w:rsidRPr="006A75A2" w:rsidRDefault="00336793" w:rsidP="00DF0B96">
      <w:r w:rsidRPr="006A75A2">
        <w:t>Loans and receivables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less any impairment.</w:t>
      </w:r>
    </w:p>
    <w:p w:rsidR="00336793" w:rsidRPr="006A75A2" w:rsidRDefault="00336793" w:rsidP="00DF0B96">
      <w:r w:rsidRPr="006A75A2">
        <w:t>Loans and receivables category includes cash and deposits, term deposits with maturity greater than three months, trade receivables, loans and other receivables, but not statutory receivables.</w:t>
      </w:r>
    </w:p>
    <w:p w:rsidR="00336793" w:rsidRPr="006A75A2" w:rsidRDefault="00336793" w:rsidP="00DF0B96">
      <w:pPr>
        <w:pStyle w:val="Heading5"/>
      </w:pPr>
      <w:r w:rsidRPr="006A75A2">
        <w:t>Available</w:t>
      </w:r>
      <w:r>
        <w:noBreakHyphen/>
      </w:r>
      <w:r w:rsidRPr="006A75A2">
        <w:t>for</w:t>
      </w:r>
      <w:r>
        <w:noBreakHyphen/>
      </w:r>
      <w:r w:rsidRPr="006A75A2">
        <w:t>sale financial assets</w:t>
      </w:r>
    </w:p>
    <w:p w:rsidR="00336793" w:rsidRPr="009A3AD7" w:rsidRDefault="00336793" w:rsidP="00DF0B96">
      <w:pPr>
        <w:rPr>
          <w:i/>
        </w:rPr>
      </w:pPr>
      <w:r w:rsidRPr="006A75A2">
        <w:t>Available</w:t>
      </w:r>
      <w:r>
        <w:noBreakHyphen/>
      </w:r>
      <w:r w:rsidRPr="006A75A2">
        <w:t>for</w:t>
      </w:r>
      <w:r>
        <w:noBreakHyphen/>
      </w:r>
      <w:r w:rsidRPr="006A75A2">
        <w:t>sale financial instrument assets are those designated as available</w:t>
      </w:r>
      <w:r>
        <w:noBreakHyphen/>
      </w:r>
      <w:r w:rsidRPr="006A75A2">
        <w:t>for</w:t>
      </w:r>
      <w:r>
        <w:noBreakHyphen/>
      </w:r>
      <w:r w:rsidRPr="006A75A2">
        <w:t>sale or not classified in any other category of financial instrument asset. Available</w:t>
      </w:r>
      <w:r>
        <w:noBreakHyphen/>
      </w:r>
      <w:r w:rsidRPr="006A75A2">
        <w:t>for</w:t>
      </w:r>
      <w:r>
        <w:noBreakHyphen/>
      </w:r>
      <w:r w:rsidRPr="006A75A2">
        <w:t>sale category includes certain equity investments and those debt securities that are designated as available</w:t>
      </w:r>
      <w:r>
        <w:noBreakHyphen/>
      </w:r>
      <w:r w:rsidRPr="006A75A2">
        <w:t>for</w:t>
      </w:r>
      <w:r>
        <w:noBreakHyphen/>
      </w:r>
      <w:r w:rsidRPr="006A75A2">
        <w:t>sale.</w:t>
      </w:r>
    </w:p>
    <w:p w:rsidR="00336793" w:rsidRPr="006A75A2" w:rsidRDefault="00336793" w:rsidP="00DF0B96">
      <w:r w:rsidRPr="006A75A2">
        <w:t xml:space="preserve">Such assets are initially recognised at fair value. Subsequent to initial recognition, they are measured at fair value with gains and losses arising from changes in fair value, recognised in </w:t>
      </w:r>
      <w:r>
        <w:t>‘</w:t>
      </w:r>
      <w:r w:rsidRPr="006A75A2">
        <w:t>Other economic flows – other comprehensive income</w:t>
      </w:r>
      <w:r>
        <w:t>’</w:t>
      </w:r>
      <w:r w:rsidRPr="006A75A2">
        <w:t xml:space="preserve"> until the investment is disposed. Movements resulting from impairment and foreign currency changes are recognised in the net result as other economic flows. On disposal, the cumulative gain or loss previously recognised in </w:t>
      </w:r>
      <w:r>
        <w:t>‘</w:t>
      </w:r>
      <w:r w:rsidRPr="006A75A2">
        <w:t>Other economic flows – other comprehensive income</w:t>
      </w:r>
      <w:r>
        <w:t>’</w:t>
      </w:r>
      <w:r w:rsidRPr="006A75A2">
        <w:t xml:space="preserve"> is transferred to other economic flows in the net result. </w:t>
      </w:r>
    </w:p>
    <w:p w:rsidR="00336793" w:rsidRPr="006A75A2" w:rsidRDefault="00336793" w:rsidP="00DF0B96">
      <w:r w:rsidRPr="006A75A2">
        <w:t xml:space="preserve">Fair value is determined in the manner described in </w:t>
      </w:r>
      <w:r w:rsidRPr="00B3771F">
        <w:t xml:space="preserve">Note 33 </w:t>
      </w:r>
      <w:r w:rsidRPr="003B1A55">
        <w:rPr>
          <w:i/>
        </w:rPr>
        <w:t>Financial instruments</w:t>
      </w:r>
      <w:r w:rsidRPr="006A75A2">
        <w:t>.</w:t>
      </w:r>
    </w:p>
    <w:p w:rsidR="00336793" w:rsidRPr="006A75A2" w:rsidRDefault="00336793" w:rsidP="00DF0B96">
      <w:pPr>
        <w:pStyle w:val="Heading2NotesContd"/>
        <w:rPr>
          <w:i/>
        </w:rPr>
      </w:pPr>
      <w:r w:rsidRPr="006A75A2">
        <w:lastRenderedPageBreak/>
        <w:t>Note 1:</w:t>
      </w:r>
      <w:r w:rsidRPr="006A75A2">
        <w:tab/>
        <w:t xml:space="preserve">Summary of significant accounting policies </w:t>
      </w:r>
      <w:r w:rsidRPr="006A75A2">
        <w:rPr>
          <w:i/>
        </w:rPr>
        <w:t>(continued)</w:t>
      </w:r>
    </w:p>
    <w:p w:rsidR="00336793" w:rsidRPr="006A75A2" w:rsidRDefault="00336793" w:rsidP="00DF0B96">
      <w:pPr>
        <w:pStyle w:val="Heading5"/>
      </w:pPr>
      <w:r w:rsidRPr="006A75A2">
        <w:t>Held to maturity financial assets</w:t>
      </w:r>
    </w:p>
    <w:p w:rsidR="00336793" w:rsidRPr="006A75A2" w:rsidRDefault="00336793" w:rsidP="00DF0B96">
      <w:r w:rsidRPr="006A75A2">
        <w:t>If the State has the intent and ability to hold nominated investments to maturity, then such financial assets may be classified as held to maturity. The held to maturity category includes certain term deposits and debt securities for which the State intends to hold to maturity.</w:t>
      </w:r>
      <w:r>
        <w:t xml:space="preserve"> </w:t>
      </w:r>
      <w:r w:rsidRPr="006A75A2">
        <w:t xml:space="preserve">Held to maturity financial assets are recognised initially at fair value plus any directly attributable transaction costs. Subsequent to initial recognition held to maturity financial assets are measured at amortised cost using the effective interest method, less any impairment losses. </w:t>
      </w:r>
    </w:p>
    <w:p w:rsidR="00336793" w:rsidRPr="006A75A2" w:rsidRDefault="00336793" w:rsidP="00DF0B96">
      <w:r w:rsidRPr="006A75A2">
        <w:t>The State makes limited use of this classification because any sale or reclassification of more than an insignificant amount of held to maturity investments not close to their maturity, would result in the whole category being reclassified as available</w:t>
      </w:r>
      <w:r>
        <w:noBreakHyphen/>
      </w:r>
      <w:r w:rsidRPr="006A75A2">
        <w:t>for</w:t>
      </w:r>
      <w:r>
        <w:noBreakHyphen/>
      </w:r>
      <w:r w:rsidRPr="006A75A2">
        <w:t xml:space="preserve">sale. The State would also be prevented from classifying investment securities as held to maturity for the current and the </w:t>
      </w:r>
      <w:r>
        <w:t xml:space="preserve">following two financial years. </w:t>
      </w:r>
    </w:p>
    <w:p w:rsidR="00336793" w:rsidRPr="006A75A2" w:rsidRDefault="00336793" w:rsidP="00DF0B96">
      <w:pPr>
        <w:pStyle w:val="Heading5"/>
      </w:pPr>
      <w:r w:rsidRPr="006A75A2">
        <w:t>Financial assets and liabilities at fair value through profit and loss</w:t>
      </w:r>
    </w:p>
    <w:p w:rsidR="00336793" w:rsidRPr="006A75A2" w:rsidRDefault="00336793" w:rsidP="00DF0B96">
      <w:r w:rsidRPr="006A75A2">
        <w:t xml:space="preserve">Financial assets are categorised as fair value through profit or loss at trade date if they are classified as held for trading or designated as such upon initial recognition. Financial instrument assets are designated at fair value through profit or loss on the basis that the financial assets form part of a group of financial assets that are managed by the State based on their fair values, and have their performance evaluated in accordance with documented risk management and investment strategies. </w:t>
      </w:r>
    </w:p>
    <w:p w:rsidR="00336793" w:rsidRPr="006A75A2" w:rsidRDefault="00336793" w:rsidP="00DF0B96">
      <w:r w:rsidRPr="006A75A2">
        <w:t>The State</w:t>
      </w:r>
      <w:r>
        <w:t>’</w:t>
      </w:r>
      <w:r w:rsidRPr="006A75A2">
        <w:t>s public borrowings, mainly raised through the Treasury Corporation of Victoria, are designated at fair value through profit or loss on trade date on the basis that the financial liability forms a group of financial liabilities</w:t>
      </w:r>
      <w:r>
        <w:t>,</w:t>
      </w:r>
      <w:r w:rsidRPr="006A75A2">
        <w:t xml:space="preserve"> which are managed on a fair value basis in accordance with documented risk strategies.</w:t>
      </w:r>
    </w:p>
    <w:p w:rsidR="00336793" w:rsidRPr="006A75A2" w:rsidRDefault="00336793" w:rsidP="00DF0B96">
      <w:r w:rsidRPr="006A75A2">
        <w:t>Financial instruments at fair value through profit or loss are initially measured at fair value and attributable transaction costs are expensed as incurred. Subsequently, any changes in fair value are recognised in the net result as other economic flows. Any dividend or interest on a financial asset is recognised in the net result from transactions.</w:t>
      </w:r>
    </w:p>
    <w:p w:rsidR="00336793" w:rsidRPr="006A75A2" w:rsidRDefault="00336793" w:rsidP="00DF0B96">
      <w:r w:rsidRPr="006A75A2">
        <w:t>Financial assets and liabilities at fair value through profit or loss include the majority of the State</w:t>
      </w:r>
      <w:r>
        <w:t>’</w:t>
      </w:r>
      <w:r w:rsidRPr="006A75A2">
        <w:t>s equity investments, debt securities, and borrowings.</w:t>
      </w:r>
    </w:p>
    <w:p w:rsidR="00336793" w:rsidRPr="006A75A2" w:rsidRDefault="00336793" w:rsidP="00DF0B96">
      <w:pPr>
        <w:pStyle w:val="Heading5"/>
      </w:pPr>
      <w:r w:rsidRPr="006A75A2">
        <w:t>Financial liabilities at amortised cost</w:t>
      </w:r>
    </w:p>
    <w:p w:rsidR="00336793" w:rsidRPr="006A75A2" w:rsidRDefault="00336793" w:rsidP="00DF0B96">
      <w:r w:rsidRPr="006A75A2">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w:t>
      </w:r>
      <w:r w:rsidRPr="00B3771F">
        <w:t>refer to Note 26</w:t>
      </w:r>
      <w:r w:rsidRPr="006A75A2">
        <w:t>).</w:t>
      </w:r>
    </w:p>
    <w:p w:rsidR="00336793" w:rsidRDefault="00336793" w:rsidP="00DF0B96">
      <w:pPr>
        <w:rPr>
          <w:rFonts w:ascii="Calibri" w:hAnsi="Calibri"/>
          <w:i/>
          <w:sz w:val="26"/>
          <w:szCs w:val="22"/>
        </w:rPr>
      </w:pPr>
      <w:r w:rsidRPr="006A75A2">
        <w:t>Financial instrument liabilities measured at amortised cost include all of the State</w:t>
      </w:r>
      <w:r>
        <w:t>’</w:t>
      </w:r>
      <w:r w:rsidRPr="006A75A2">
        <w:t xml:space="preserve">s payables, deposits held and advances received, and interest bearing arrangements other than those designated at fair value through profit or loss. </w:t>
      </w:r>
    </w:p>
    <w:p w:rsidR="00336793" w:rsidRPr="006A75A2" w:rsidRDefault="00336793" w:rsidP="00DF0B96">
      <w:pPr>
        <w:pStyle w:val="Heading4"/>
      </w:pPr>
      <w:r w:rsidRPr="006A75A2">
        <w:t>Derivative financial instruments</w:t>
      </w:r>
    </w:p>
    <w:p w:rsidR="00336793" w:rsidRDefault="00336793" w:rsidP="00DF0B96">
      <w:r w:rsidRPr="006A75A2">
        <w:t>Derivative financial instruments are classified as held for trading financial assets and liabilities, except for derivatives held by insurance entities which are designated at fair value.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rsidR="00336793" w:rsidRPr="006A75A2" w:rsidRDefault="00336793" w:rsidP="00DF0B96">
      <w:pPr>
        <w:pStyle w:val="Heading2NotesContd"/>
        <w:rPr>
          <w:i/>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pPr>
        <w:pStyle w:val="Heading4"/>
      </w:pPr>
      <w:r w:rsidRPr="005C336B">
        <w:t>Offsetting financial instruments</w:t>
      </w:r>
    </w:p>
    <w:p w:rsidR="00336793" w:rsidRPr="006A75A2" w:rsidRDefault="00336793" w:rsidP="00DF0B96">
      <w:r w:rsidRPr="006A75A2">
        <w:t xml:space="preserve">A master netting arrangement or similar arrangement can be set up with counterparties where required by general market practice. To the extent that these arrangements meet the criteria for offsetting in the consolidated balance sheet, they are reported on a net basis. </w:t>
      </w:r>
    </w:p>
    <w:p w:rsidR="00336793" w:rsidRPr="006A75A2" w:rsidRDefault="00336793" w:rsidP="00DF0B96">
      <w:r w:rsidRPr="006A75A2">
        <w:t xml:space="preserve">Financial instrument assets and liabilities are offset, with the net amount reported in the consolidated balance sheet only where there is a currently legally enforceable right to offset the recognised amounts and there is an intention to settle on a net basis or to realise the asset and settle the liability simultaneously. </w:t>
      </w:r>
    </w:p>
    <w:p w:rsidR="00336793" w:rsidRPr="006A75A2" w:rsidRDefault="00336793" w:rsidP="00DF0B96">
      <w:r w:rsidRPr="006A75A2">
        <w:t xml:space="preserve">Some master netting arrangements do not result in an offset of balance sheet assets and liabilities. Where the State does not have a legally enforceable right to offset recognised amounts, because the right to offset is enforceable only on the occurrence of future events such as default, insolvency or bankruptcy, they are reported on a gross basis. </w:t>
      </w:r>
    </w:p>
    <w:p w:rsidR="00336793" w:rsidRPr="006A75A2" w:rsidRDefault="00336793" w:rsidP="00DF0B96">
      <w:pPr>
        <w:pStyle w:val="Heading4"/>
      </w:pPr>
      <w:r w:rsidRPr="006A75A2">
        <w:t>Reclassification of financial instruments</w:t>
      </w:r>
    </w:p>
    <w:p w:rsidR="00336793" w:rsidRPr="006A75A2" w:rsidRDefault="00336793" w:rsidP="00DF0B96">
      <w:r w:rsidRPr="006A75A2">
        <w:t>Subsequent to initial recognition and under rare circumstances, non</w:t>
      </w:r>
      <w:r>
        <w:noBreakHyphen/>
      </w:r>
      <w:r w:rsidRPr="006A75A2">
        <w:t xml:space="preserve">derivative financial instruments assets that have been designated at fair value through profit or loss upon recognition, may be reclassified out of the fair value through profit or loss category, if they are no longer held for the purpose of selling or repurchasing in the </w:t>
      </w:r>
      <w:r>
        <w:t>near</w:t>
      </w:r>
      <w:r>
        <w:noBreakHyphen/>
        <w:t>term</w:t>
      </w:r>
      <w:r w:rsidRPr="006A75A2">
        <w:t>.</w:t>
      </w:r>
    </w:p>
    <w:p w:rsidR="00336793" w:rsidRPr="006A75A2" w:rsidRDefault="00336793" w:rsidP="00DF0B96">
      <w:r w:rsidRPr="006A75A2">
        <w:t>Financial instrument assets that meet the definition of loans and receivables may be reclassified out of the fair value through profit and loss category into the loans and receivables category, where they would have met the definition of loans and receivables had they not been required to be classified as fair value through profit and loss. In these cases, the financial instrument assets may be reclassified out of the fair value through profit and loss category, if there is the intention and ability to hold them for the foreseeable future or until maturity.</w:t>
      </w:r>
    </w:p>
    <w:p w:rsidR="00336793" w:rsidRDefault="00336793" w:rsidP="00DF0B96">
      <w:r w:rsidRPr="006A75A2">
        <w:t>Available</w:t>
      </w:r>
      <w:r>
        <w:noBreakHyphen/>
      </w:r>
      <w:r w:rsidRPr="006A75A2">
        <w:t>for</w:t>
      </w:r>
      <w:r>
        <w:noBreakHyphen/>
      </w:r>
      <w:r w:rsidRPr="006A75A2">
        <w:t>sale financial instrument assets that meet the definition of loans and receivables may be reclassified into the loans and receivables category if there is the intention and ability to hold them for the foreseeable future or until maturity.</w:t>
      </w:r>
    </w:p>
    <w:p w:rsidR="00336793" w:rsidRPr="006A75A2" w:rsidRDefault="00336793" w:rsidP="00DF0B96">
      <w:pPr>
        <w:pStyle w:val="Heading3Numbering"/>
        <w:rPr>
          <w:kern w:val="0"/>
        </w:rPr>
      </w:pPr>
      <w:r w:rsidRPr="006A75A2">
        <w:rPr>
          <w:kern w:val="0"/>
        </w:rPr>
        <w:t>Financial assets</w:t>
      </w:r>
    </w:p>
    <w:p w:rsidR="00336793" w:rsidRPr="006A75A2" w:rsidRDefault="00336793" w:rsidP="00DF0B96">
      <w:pPr>
        <w:pStyle w:val="Heading4"/>
      </w:pPr>
      <w:r w:rsidRPr="006A75A2">
        <w:t>Cash and deposits</w:t>
      </w:r>
    </w:p>
    <w:p w:rsidR="00336793" w:rsidRPr="006A75A2" w:rsidRDefault="00336793" w:rsidP="00DF0B96">
      <w:r w:rsidRPr="006A75A2">
        <w:t>Cash and deposits, including cash equivalents, comprise cash on hand and cash at bank, deposits at call and those highly liquid investments with an original maturity of three months or less, which are held for the purpose of meeting short</w:t>
      </w:r>
      <w:r>
        <w:noBreakHyphen/>
      </w:r>
      <w:r w:rsidRPr="006A75A2">
        <w:t xml:space="preserve">term cash commitments rather than for investment purposes, and which are readily convertible to known amounts of cash and are subject to an insignificant risk of changes in value. </w:t>
      </w:r>
    </w:p>
    <w:p w:rsidR="00336793" w:rsidRPr="006A75A2" w:rsidRDefault="00336793" w:rsidP="00DF0B96">
      <w:pPr>
        <w:pStyle w:val="Heading4"/>
      </w:pPr>
      <w:r w:rsidRPr="006A75A2">
        <w:t>Advances paid</w:t>
      </w:r>
    </w:p>
    <w:p w:rsidR="00336793" w:rsidRDefault="00336793" w:rsidP="00DF0B96">
      <w:r w:rsidRPr="006A75A2">
        <w:t>Advances paid represent inter sector loans and advances, initially measured at fair value and subsequently measured at amortised cost, made by the Victorian general government sector to the PNFC and PFC sectors, for policy rather than liquidity management purposes. They exclude equity contributions, and are eliminated on consolidation of the State</w:t>
      </w:r>
      <w:r>
        <w:t>’</w:t>
      </w:r>
      <w:r w:rsidRPr="006A75A2">
        <w:t>s position.</w:t>
      </w:r>
    </w:p>
    <w:p w:rsidR="00336793" w:rsidRDefault="00336793">
      <w:pPr>
        <w:spacing w:after="0"/>
        <w:rPr>
          <w:rFonts w:ascii="Calibri" w:hAnsi="Calibri"/>
          <w:b/>
          <w:sz w:val="28"/>
          <w:szCs w:val="22"/>
        </w:rPr>
      </w:pPr>
      <w:r>
        <w:br w:type="page"/>
      </w:r>
    </w:p>
    <w:p w:rsidR="00336793" w:rsidRPr="006A75A2" w:rsidRDefault="00336793" w:rsidP="00DF0B96">
      <w:pPr>
        <w:pStyle w:val="Heading2NotesContd"/>
        <w:rPr>
          <w:i/>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pPr>
        <w:pStyle w:val="Heading4"/>
      </w:pPr>
      <w:r w:rsidRPr="006A75A2">
        <w:t>Receivables</w:t>
      </w:r>
    </w:p>
    <w:p w:rsidR="00336793" w:rsidRPr="006A75A2" w:rsidRDefault="00336793" w:rsidP="00DF0B96">
      <w:r w:rsidRPr="006A75A2">
        <w:t>Receivables consist of:</w:t>
      </w:r>
    </w:p>
    <w:p w:rsidR="00336793" w:rsidRPr="006A75A2" w:rsidRDefault="00336793" w:rsidP="00DF0B96">
      <w:pPr>
        <w:pStyle w:val="BulletText"/>
      </w:pPr>
      <w:r w:rsidRPr="006A75A2">
        <w:t>contractual receivables, such as debtors in relation to goods and services, loans to third parties and accrued investment revenue; and</w:t>
      </w:r>
    </w:p>
    <w:p w:rsidR="00336793" w:rsidRPr="006A75A2" w:rsidRDefault="00336793" w:rsidP="00DF0B96">
      <w:pPr>
        <w:pStyle w:val="BulletText"/>
      </w:pPr>
      <w:r w:rsidRPr="006A75A2">
        <w:t xml:space="preserve">statutory receivables, such as taxes, fines and goods and services tax (GST) input tax credits recoverable. </w:t>
      </w:r>
    </w:p>
    <w:p w:rsidR="00336793" w:rsidRPr="006A75A2" w:rsidRDefault="00336793" w:rsidP="00DF0B96">
      <w:r w:rsidRPr="006A75A2">
        <w:t xml:space="preserve">Contractual receivables are classified as financial instruments and categorised as loans and receivables (refer to </w:t>
      </w:r>
      <w:r w:rsidRPr="00B3771F">
        <w:t>Note 1(K)</w:t>
      </w:r>
      <w:r w:rsidRPr="006A75A2">
        <w:t xml:space="preserve"> for recognition and measurement). Statutory receivables are recognised and measured similarly to contractual receivables, but are not classified as financial instruments because they do not arise from a contract.</w:t>
      </w:r>
    </w:p>
    <w:p w:rsidR="00336793" w:rsidRPr="006A75A2" w:rsidRDefault="00336793" w:rsidP="00DF0B96">
      <w:r w:rsidRPr="006A75A2">
        <w:t>Receivables are subject to impairment testing as described below. A provision for doubtful receivables is recognised when there is objective evidence that the debts may not be collected, and bad debts are written off when identified.</w:t>
      </w:r>
    </w:p>
    <w:p w:rsidR="00336793" w:rsidRPr="006A75A2" w:rsidRDefault="00336793" w:rsidP="00DF0B96">
      <w:pPr>
        <w:pStyle w:val="Heading4"/>
      </w:pPr>
      <w:r w:rsidRPr="006A75A2">
        <w:t>Investments, loans and placements</w:t>
      </w:r>
    </w:p>
    <w:p w:rsidR="00336793" w:rsidRPr="006A75A2" w:rsidRDefault="00336793" w:rsidP="00DF0B96">
      <w:r w:rsidRPr="006A75A2">
        <w:t>Investments are classified in the following categories:</w:t>
      </w:r>
    </w:p>
    <w:p w:rsidR="00336793" w:rsidRPr="006A75A2" w:rsidRDefault="00336793" w:rsidP="00DF0B96">
      <w:pPr>
        <w:pStyle w:val="BulletText"/>
      </w:pPr>
      <w:r w:rsidRPr="006A75A2">
        <w:t>financial assets at fair value through profit or loss;</w:t>
      </w:r>
    </w:p>
    <w:p w:rsidR="00336793" w:rsidRPr="006A75A2" w:rsidRDefault="00336793" w:rsidP="00DF0B96">
      <w:pPr>
        <w:pStyle w:val="BulletText"/>
      </w:pPr>
      <w:r w:rsidRPr="006A75A2">
        <w:t>loans and receivables;</w:t>
      </w:r>
    </w:p>
    <w:p w:rsidR="00336793" w:rsidRPr="006A75A2" w:rsidRDefault="00336793" w:rsidP="00DF0B96">
      <w:pPr>
        <w:pStyle w:val="BulletText"/>
      </w:pPr>
      <w:r w:rsidRPr="006A75A2">
        <w:t>held to maturity; and</w:t>
      </w:r>
    </w:p>
    <w:p w:rsidR="00336793" w:rsidRPr="006A75A2" w:rsidRDefault="00336793" w:rsidP="00DF0B96">
      <w:pPr>
        <w:pStyle w:val="BulletText"/>
      </w:pPr>
      <w:r w:rsidRPr="006A75A2">
        <w:t>available</w:t>
      </w:r>
      <w:r>
        <w:noBreakHyphen/>
      </w:r>
      <w:r w:rsidRPr="006A75A2">
        <w:t>for</w:t>
      </w:r>
      <w:r>
        <w:noBreakHyphen/>
      </w:r>
      <w:r w:rsidRPr="006A75A2">
        <w:t xml:space="preserve">sale financial assets. </w:t>
      </w:r>
    </w:p>
    <w:p w:rsidR="00336793" w:rsidRPr="006A75A2" w:rsidRDefault="00336793" w:rsidP="00DF0B96">
      <w:r w:rsidRPr="006A75A2">
        <w:t>The classification depends on the purpose for which the investments were acquired. Management determines the classification of its investments at initial recognition.</w:t>
      </w:r>
    </w:p>
    <w:p w:rsidR="00336793" w:rsidRDefault="00336793" w:rsidP="00DF0B96">
      <w:pPr>
        <w:rPr>
          <w:rFonts w:ascii="Calibri" w:hAnsi="Calibri"/>
          <w:i/>
          <w:sz w:val="26"/>
          <w:szCs w:val="22"/>
        </w:rPr>
      </w:pPr>
      <w:r w:rsidRPr="006A75A2">
        <w:t>Any dividend or interest earned on the financial asset is recognised in the consolidated comprehensive operating statement as a transaction.</w:t>
      </w:r>
    </w:p>
    <w:p w:rsidR="00336793" w:rsidRPr="006A75A2" w:rsidRDefault="00336793" w:rsidP="00DF0B96">
      <w:pPr>
        <w:pStyle w:val="Heading4"/>
      </w:pPr>
      <w:r w:rsidRPr="006A75A2">
        <w:t>Investments accounted for using the equity method</w:t>
      </w:r>
    </w:p>
    <w:p w:rsidR="00336793" w:rsidRPr="006A75A2" w:rsidRDefault="00336793" w:rsidP="00DF0B96">
      <w:r w:rsidRPr="006A75A2">
        <w:t xml:space="preserve">Associates are those entities over which the State exercises significant influence, but not control. </w:t>
      </w:r>
    </w:p>
    <w:p w:rsidR="00336793" w:rsidRPr="006A75A2" w:rsidRDefault="00336793" w:rsidP="00DF0B96">
      <w:r w:rsidRPr="006A75A2">
        <w:t>Investments in associates are accounted for in the consolidated financial statements using the equity method. Under this method, the State</w:t>
      </w:r>
      <w:r>
        <w:t>’</w:t>
      </w:r>
      <w:r w:rsidRPr="006A75A2">
        <w:t>s share of the post</w:t>
      </w:r>
      <w:r>
        <w:noBreakHyphen/>
      </w:r>
      <w:r w:rsidRPr="006A75A2">
        <w:t>acquisition profits or losses of associates is recognised in the net result as other economic flows. The share of post</w:t>
      </w:r>
      <w:r>
        <w:noBreakHyphen/>
      </w:r>
      <w:r w:rsidRPr="006A75A2">
        <w:t>acquisition movements in revaluation surpluses and any other reserves is recognised in both the comprehensive operating statement and the statement of changes in equity. The cumulative post</w:t>
      </w:r>
      <w:r>
        <w:noBreakHyphen/>
      </w:r>
      <w:r w:rsidRPr="006A75A2">
        <w:t>acquisition movements are adjusted against the cost of the investment.</w:t>
      </w:r>
    </w:p>
    <w:p w:rsidR="00336793" w:rsidRPr="006A75A2" w:rsidRDefault="00336793" w:rsidP="00DF0B96">
      <w:r w:rsidRPr="006A75A2">
        <w:t xml:space="preserve">Joint ventures are </w:t>
      </w:r>
      <w:r>
        <w:t>joint</w:t>
      </w:r>
      <w:r w:rsidRPr="006A75A2">
        <w:t xml:space="preserve"> arrangements </w:t>
      </w:r>
      <w:r>
        <w:t>whereby</w:t>
      </w:r>
      <w:r w:rsidRPr="006A75A2">
        <w:t xml:space="preserve"> the State or a subsidiary entity and one or more other parties</w:t>
      </w:r>
      <w:r>
        <w:t xml:space="preserve"> that have joint control of the arrangements have rights to the net assets of the arrangements.</w:t>
      </w:r>
      <w:r w:rsidRPr="006A75A2">
        <w:t xml:space="preserve"> Joint control only exists when decisions</w:t>
      </w:r>
      <w:r>
        <w:t xml:space="preserve"> about the relevant</w:t>
      </w:r>
      <w:r w:rsidRPr="006A75A2">
        <w:t xml:space="preserve"> activity require the unanimous consent of the parties sharing control (the venturers).</w:t>
      </w:r>
    </w:p>
    <w:p w:rsidR="00336793" w:rsidRDefault="00336793" w:rsidP="00DF0B96">
      <w:r>
        <w:t xml:space="preserve">In accordance with AASB 11 </w:t>
      </w:r>
      <w:r w:rsidRPr="00EC17F2">
        <w:rPr>
          <w:i/>
        </w:rPr>
        <w:t>Joint Arrangements</w:t>
      </w:r>
      <w:r>
        <w:t xml:space="preserve">, interests in joint ventures are accounted for in the consolidated financial statements using the equity method, as applied to investments in associates. </w:t>
      </w:r>
    </w:p>
    <w:p w:rsidR="00336793" w:rsidRPr="006A75A2" w:rsidRDefault="00336793" w:rsidP="00DF0B96">
      <w:pPr>
        <w:pStyle w:val="Heading2NotesContd"/>
        <w:rPr>
          <w:i/>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Default="00336793" w:rsidP="00DF0B96">
      <w:pPr>
        <w:pStyle w:val="Heading4"/>
      </w:pPr>
      <w:r w:rsidRPr="006A75A2">
        <w:t xml:space="preserve">Investments in </w:t>
      </w:r>
      <w:r>
        <w:t>joint operations</w:t>
      </w:r>
    </w:p>
    <w:p w:rsidR="00336793" w:rsidRPr="006A75A2" w:rsidRDefault="00336793" w:rsidP="00DF0B96">
      <w:r w:rsidRPr="006A75A2">
        <w:t xml:space="preserve">In respect of its interest in </w:t>
      </w:r>
      <w:r>
        <w:t>joint operations</w:t>
      </w:r>
      <w:r w:rsidRPr="006A75A2">
        <w:t>, the State recognises in the consolidated financial statements:</w:t>
      </w:r>
    </w:p>
    <w:p w:rsidR="00336793" w:rsidRPr="006A75A2" w:rsidRDefault="00336793" w:rsidP="00DF0B96">
      <w:pPr>
        <w:pStyle w:val="BulletText"/>
      </w:pPr>
      <w:r>
        <w:t xml:space="preserve">its assets, including </w:t>
      </w:r>
      <w:r w:rsidRPr="006A75A2">
        <w:t>its share of jointly controlled assets;</w:t>
      </w:r>
    </w:p>
    <w:p w:rsidR="00336793" w:rsidRPr="006A75A2" w:rsidRDefault="00336793" w:rsidP="00DF0B96">
      <w:pPr>
        <w:pStyle w:val="BulletText"/>
      </w:pPr>
      <w:r>
        <w:t xml:space="preserve">its liabilities, including its share of </w:t>
      </w:r>
      <w:r w:rsidRPr="006A75A2">
        <w:t>any liabilities that it had incurred;</w:t>
      </w:r>
    </w:p>
    <w:p w:rsidR="00336793" w:rsidRPr="006A75A2" w:rsidRDefault="00336793" w:rsidP="00DF0B96">
      <w:pPr>
        <w:pStyle w:val="BulletText"/>
      </w:pPr>
      <w:r>
        <w:t xml:space="preserve">its revenue from the sale of </w:t>
      </w:r>
      <w:r w:rsidRPr="006A75A2">
        <w:t xml:space="preserve">its share of </w:t>
      </w:r>
      <w:r>
        <w:t>the output from the joint operation;</w:t>
      </w:r>
    </w:p>
    <w:p w:rsidR="00336793" w:rsidRPr="006A75A2" w:rsidRDefault="00336793" w:rsidP="00DF0B96">
      <w:pPr>
        <w:pStyle w:val="BulletText"/>
      </w:pPr>
      <w:r w:rsidRPr="00C60E60">
        <w:t>its share of the revenue from the sale of the output by the joint operation</w:t>
      </w:r>
      <w:r w:rsidRPr="006A75A2">
        <w:t>; and</w:t>
      </w:r>
    </w:p>
    <w:p w:rsidR="00336793" w:rsidRPr="006A75A2" w:rsidRDefault="00336793" w:rsidP="00DF0B96">
      <w:pPr>
        <w:pStyle w:val="BulletText"/>
      </w:pPr>
      <w:r w:rsidRPr="00C60E60">
        <w:t>its expenses, including its share o</w:t>
      </w:r>
      <w:r>
        <w:t>f any expenses incurred jointly.</w:t>
      </w:r>
    </w:p>
    <w:p w:rsidR="00336793" w:rsidRPr="006A75A2" w:rsidRDefault="00336793" w:rsidP="00DF0B96">
      <w:pPr>
        <w:pStyle w:val="Heading4"/>
      </w:pPr>
      <w:r w:rsidRPr="006A75A2">
        <w:t>Investments in other sector entities</w:t>
      </w:r>
    </w:p>
    <w:p w:rsidR="00336793" w:rsidRPr="006A75A2" w:rsidRDefault="00336793" w:rsidP="00DF0B96">
      <w:r w:rsidRPr="006A75A2">
        <w:t xml:space="preserve">Refer to </w:t>
      </w:r>
      <w:r w:rsidRPr="00B3771F">
        <w:t>Note 1(D).</w:t>
      </w:r>
    </w:p>
    <w:p w:rsidR="00336793" w:rsidRPr="006A75A2" w:rsidRDefault="00336793" w:rsidP="00DF0B96">
      <w:pPr>
        <w:pStyle w:val="Heading4"/>
      </w:pPr>
      <w:r w:rsidRPr="006A75A2">
        <w:t xml:space="preserve">Derecognition of financial assets </w:t>
      </w:r>
    </w:p>
    <w:p w:rsidR="00336793" w:rsidRPr="006A75A2" w:rsidRDefault="00336793" w:rsidP="00DF0B96">
      <w:r w:rsidRPr="006A75A2">
        <w:t xml:space="preserve">A financial asset (or, where applicable, a part of a financial asset or part of a group of similar financial assets) is derecognised when: </w:t>
      </w:r>
    </w:p>
    <w:p w:rsidR="00336793" w:rsidRPr="006A75A2" w:rsidRDefault="00336793" w:rsidP="00DF0B96">
      <w:pPr>
        <w:pStyle w:val="BulletText"/>
      </w:pPr>
      <w:r w:rsidRPr="006A75A2">
        <w:t>the rights to receive cash flows from the asset have expired; or</w:t>
      </w:r>
    </w:p>
    <w:p w:rsidR="00336793" w:rsidRPr="006A75A2" w:rsidRDefault="00336793" w:rsidP="00DF0B96">
      <w:pPr>
        <w:pStyle w:val="BulletText"/>
      </w:pPr>
      <w:r w:rsidRPr="006A75A2">
        <w:t xml:space="preserve">the State retains the right to receive cash flows from the asset, but has assumed an obligation to pay them in full without material delay to a third party under a </w:t>
      </w:r>
      <w:r>
        <w:t>‘</w:t>
      </w:r>
      <w:r w:rsidRPr="006A75A2">
        <w:t>pass through</w:t>
      </w:r>
      <w:r>
        <w:t>’</w:t>
      </w:r>
      <w:r w:rsidRPr="006A75A2">
        <w:t xml:space="preserve"> arrangement; or</w:t>
      </w:r>
    </w:p>
    <w:p w:rsidR="00336793" w:rsidRPr="006A75A2" w:rsidRDefault="00336793" w:rsidP="00DF0B96">
      <w:pPr>
        <w:pStyle w:val="BulletText"/>
      </w:pPr>
      <w:r w:rsidRPr="006A75A2">
        <w:t>the State has transferred its rights to receive cash flows from the asset and either:</w:t>
      </w:r>
    </w:p>
    <w:p w:rsidR="00336793" w:rsidRPr="006A75A2" w:rsidRDefault="00336793" w:rsidP="00DF0B96">
      <w:pPr>
        <w:tabs>
          <w:tab w:val="left" w:pos="810"/>
        </w:tabs>
        <w:ind w:left="360"/>
      </w:pPr>
      <w:r w:rsidRPr="006A75A2">
        <w:t>(a)</w:t>
      </w:r>
      <w:r w:rsidRPr="006A75A2">
        <w:tab/>
        <w:t>has transferred substantially all the risks and rewards of the asset; or</w:t>
      </w:r>
    </w:p>
    <w:p w:rsidR="00336793" w:rsidRPr="006A75A2" w:rsidRDefault="00336793" w:rsidP="00DF0B96">
      <w:pPr>
        <w:tabs>
          <w:tab w:val="left" w:pos="810"/>
        </w:tabs>
        <w:ind w:left="810" w:hanging="450"/>
      </w:pPr>
      <w:r w:rsidRPr="006A75A2">
        <w:t>(b)</w:t>
      </w:r>
      <w:r w:rsidRPr="006A75A2">
        <w:tab/>
        <w:t>has neither transferred nor retained substantially all the risks and rewards of the asset, but has transferred control of the asset.</w:t>
      </w:r>
    </w:p>
    <w:p w:rsidR="00336793" w:rsidRPr="006A75A2" w:rsidRDefault="00336793" w:rsidP="00DF0B96">
      <w:r w:rsidRPr="006A75A2">
        <w:t>Where the State has retained substantially all the risks and rewards and not transferred control, the asset is recognised to the extent of the State</w:t>
      </w:r>
      <w:r>
        <w:t>’</w:t>
      </w:r>
      <w:r w:rsidRPr="006A75A2">
        <w:t>s continuing involvement in the asset.</w:t>
      </w:r>
    </w:p>
    <w:p w:rsidR="00336793" w:rsidRPr="006A75A2" w:rsidRDefault="00336793" w:rsidP="00DF0B96">
      <w:pPr>
        <w:pStyle w:val="Heading4"/>
      </w:pPr>
      <w:r w:rsidRPr="006A75A2">
        <w:t>Impairment of financial assets</w:t>
      </w:r>
    </w:p>
    <w:p w:rsidR="00336793" w:rsidRPr="006A75A2" w:rsidRDefault="00336793" w:rsidP="00DF0B96">
      <w:r w:rsidRPr="006A75A2">
        <w:t>At the end of each reporting period, the State assesses whether there is objective evidence that a financial asset or group of financial assets is impaired. All financial instrument assets, except those measured at fair value through profit or loss, are subject to annual review for impairment.</w:t>
      </w:r>
    </w:p>
    <w:p w:rsidR="00336793" w:rsidRPr="006A75A2" w:rsidRDefault="00336793" w:rsidP="00DF0B96">
      <w:r w:rsidRPr="006A75A2">
        <w:t>Receivables are assessed for bad and doubtful debts on a regular basis. Those bad debts considered as written off by mutual consent are classified as a transaction expense. Bad debts not written off by mutual consent and the allowance for doubtful receivables are classified as other economic flows in the net result.</w:t>
      </w:r>
    </w:p>
    <w:p w:rsidR="00336793" w:rsidRDefault="00336793" w:rsidP="00DF0B96">
      <w:r w:rsidRPr="006A75A2">
        <w:t>The amount of the allowance is the difference between the financial asset</w:t>
      </w:r>
      <w:r>
        <w:t>’</w:t>
      </w:r>
      <w:r w:rsidRPr="006A75A2">
        <w:t>s carrying amount and the present value of estimated future cash flows, discounted at the effective interest rate. In assessing impairment of statutory (non</w:t>
      </w:r>
      <w:r>
        <w:noBreakHyphen/>
      </w:r>
      <w:r w:rsidRPr="006A75A2">
        <w:t xml:space="preserve">contractual) financial assets, which are not financial instruments, professional judgement is applied in assessing materiality using estimates, averages and other computational methods in accordance with </w:t>
      </w:r>
      <w:r w:rsidRPr="003B1A55">
        <w:t xml:space="preserve">AASB 136 </w:t>
      </w:r>
      <w:r w:rsidRPr="003B1A55">
        <w:rPr>
          <w:i/>
        </w:rPr>
        <w:t>Impairment of Assets</w:t>
      </w:r>
      <w:r w:rsidRPr="003B1A55">
        <w:t>.</w:t>
      </w:r>
    </w:p>
    <w:p w:rsidR="00336793" w:rsidRPr="006A75A2" w:rsidRDefault="00336793" w:rsidP="00DF0B96">
      <w:pPr>
        <w:pStyle w:val="Heading2NotesContd"/>
        <w:rPr>
          <w:i/>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pPr>
        <w:pStyle w:val="Heading3Numbering"/>
        <w:rPr>
          <w:kern w:val="0"/>
        </w:rPr>
      </w:pPr>
      <w:r w:rsidRPr="006A75A2">
        <w:rPr>
          <w:kern w:val="0"/>
        </w:rPr>
        <w:t>Non</w:t>
      </w:r>
      <w:r>
        <w:rPr>
          <w:kern w:val="0"/>
        </w:rPr>
        <w:noBreakHyphen/>
      </w:r>
      <w:r w:rsidRPr="006A75A2">
        <w:rPr>
          <w:kern w:val="0"/>
        </w:rPr>
        <w:t>financial physical assets</w:t>
      </w:r>
    </w:p>
    <w:p w:rsidR="00336793" w:rsidRPr="006A75A2" w:rsidRDefault="00336793" w:rsidP="00DF0B96">
      <w:pPr>
        <w:pStyle w:val="Heading4"/>
      </w:pPr>
      <w:r w:rsidRPr="006A75A2">
        <w:t>Inventories</w:t>
      </w:r>
    </w:p>
    <w:p w:rsidR="00336793" w:rsidRPr="006A75A2" w:rsidRDefault="00336793" w:rsidP="00DF0B96">
      <w:r w:rsidRPr="006A75A2">
        <w:t>Inventories include goods and other property held either for sale, or for distribution at zero or nominal cost, or for consumption in the ordinary course of business operations.</w:t>
      </w:r>
    </w:p>
    <w:p w:rsidR="00336793" w:rsidRPr="006A75A2" w:rsidRDefault="00336793" w:rsidP="00DF0B96">
      <w:r w:rsidRPr="006A75A2">
        <w:t>Inventories held for distribution are measured at cost, adjusted for any loss of service potential. All other inventories, including land held for sale, are measured at the lower of cost and net realisable value. Where inventories are acquired for no cost or nominal consideration, they are measured at current replacement cost at the date of acquisition.</w:t>
      </w:r>
    </w:p>
    <w:p w:rsidR="00336793" w:rsidRPr="006A75A2" w:rsidRDefault="00336793" w:rsidP="00DF0B96">
      <w:r w:rsidRPr="006A75A2">
        <w:t>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w:t>
      </w:r>
    </w:p>
    <w:p w:rsidR="00336793" w:rsidRPr="006A75A2" w:rsidRDefault="00336793" w:rsidP="00DF0B96">
      <w:r w:rsidRPr="006A75A2">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 </w:t>
      </w:r>
    </w:p>
    <w:p w:rsidR="00336793" w:rsidRPr="006A75A2" w:rsidRDefault="00336793" w:rsidP="00DF0B96">
      <w:pPr>
        <w:pStyle w:val="Heading4"/>
      </w:pPr>
      <w:r w:rsidRPr="006A75A2">
        <w:t>Non</w:t>
      </w:r>
      <w:r>
        <w:noBreakHyphen/>
      </w:r>
      <w:r w:rsidRPr="006A75A2">
        <w:t>financial physical assets held for sale</w:t>
      </w:r>
    </w:p>
    <w:p w:rsidR="00336793" w:rsidRPr="006A75A2" w:rsidRDefault="00336793" w:rsidP="00DF0B96">
      <w:r w:rsidRPr="006A75A2">
        <w:t>Non</w:t>
      </w:r>
      <w:r>
        <w:noBreakHyphen/>
      </w:r>
      <w:r w:rsidRPr="006A75A2">
        <w:t xml:space="preserve">financial physical assets (including disposal group assets) are treated as current and classified as held for sale if their carrying amount will be recovered through a sale transaction rather than through continuing use. </w:t>
      </w:r>
    </w:p>
    <w:p w:rsidR="00336793" w:rsidRPr="006A75A2" w:rsidRDefault="00336793" w:rsidP="00DF0B96">
      <w:r w:rsidRPr="006A75A2">
        <w:t>This condition is regarded as met only when:</w:t>
      </w:r>
    </w:p>
    <w:p w:rsidR="00336793" w:rsidRPr="006A75A2" w:rsidRDefault="00336793" w:rsidP="00DF0B96">
      <w:pPr>
        <w:pStyle w:val="BulletText"/>
      </w:pPr>
      <w:r w:rsidRPr="006A75A2">
        <w:t xml:space="preserve">the asset is available for immediate use in the current condition; and </w:t>
      </w:r>
    </w:p>
    <w:p w:rsidR="00336793" w:rsidRPr="006A75A2" w:rsidRDefault="00336793" w:rsidP="00DF0B96">
      <w:pPr>
        <w:pStyle w:val="BulletText"/>
      </w:pPr>
      <w:r w:rsidRPr="006A75A2">
        <w:t>the sale is highly probable and the asset</w:t>
      </w:r>
      <w:r>
        <w:t>’</w:t>
      </w:r>
      <w:r w:rsidRPr="006A75A2">
        <w:t>s sale is expected to be completed within 12 months from the date of classification.</w:t>
      </w:r>
    </w:p>
    <w:p w:rsidR="00336793" w:rsidRPr="006A75A2" w:rsidRDefault="00336793" w:rsidP="00DF0B96">
      <w:r w:rsidRPr="006A75A2">
        <w:t>These non</w:t>
      </w:r>
      <w:r>
        <w:noBreakHyphen/>
      </w:r>
      <w:r w:rsidRPr="006A75A2">
        <w:t>financial physical assets, related liabilities and financial assets are measured at the lower of carrying amount and fair value less costs to sell, and are not subject to depreciation or amortisation.</w:t>
      </w:r>
    </w:p>
    <w:p w:rsidR="00336793" w:rsidRPr="006A75A2" w:rsidRDefault="00336793" w:rsidP="00DF0B96">
      <w:pPr>
        <w:pStyle w:val="Heading4"/>
      </w:pPr>
      <w:r w:rsidRPr="006A75A2">
        <w:t>Land, buildings, infrastructure, plant and equipment</w:t>
      </w:r>
    </w:p>
    <w:p w:rsidR="00336793" w:rsidRPr="006A75A2" w:rsidRDefault="00336793" w:rsidP="00DF0B96">
      <w:r w:rsidRPr="006A75A2">
        <w:t>All non</w:t>
      </w:r>
      <w:r>
        <w:noBreakHyphen/>
      </w:r>
      <w:r w:rsidRPr="006A75A2">
        <w:t>financial physical assets are measured initially at cost and subsequently revalued at fair value less accumulated depreciation and impairment. Where an asset is acquired for no or nominal cost, the cost is its fair value at the date of acquisition.</w:t>
      </w:r>
    </w:p>
    <w:p w:rsidR="00336793" w:rsidRPr="006A75A2" w:rsidRDefault="00336793" w:rsidP="00DF0B96">
      <w:r w:rsidRPr="006A75A2">
        <w:t>The initial cost for non</w:t>
      </w:r>
      <w:r>
        <w:noBreakHyphen/>
      </w:r>
      <w:r w:rsidRPr="006A75A2">
        <w:t xml:space="preserve">financial physical assets under a finance lease (refer to </w:t>
      </w:r>
      <w:r w:rsidRPr="00B3771F">
        <w:t>Note 1(O)</w:t>
      </w:r>
      <w:r w:rsidRPr="006A75A2">
        <w:t>) is measured at amounts equal to the fair value of the leased asset or, if lower, the present value of the minimum lease payments, each determined at the inception of the lease.</w:t>
      </w:r>
    </w:p>
    <w:p w:rsidR="00336793" w:rsidRPr="006A75A2" w:rsidRDefault="00336793" w:rsidP="00DF0B96">
      <w:r w:rsidRPr="006A75A2">
        <w:t>Non</w:t>
      </w:r>
      <w:r>
        <w:noBreakHyphen/>
      </w:r>
      <w:r w:rsidRPr="006A75A2">
        <w:t>financial physical assets, including national parks, other Crown land and heritage assets, are measured at fair value with regard to the property</w:t>
      </w:r>
      <w:r>
        <w:t>’</w:t>
      </w:r>
      <w:r w:rsidRPr="006A75A2">
        <w:t>s highest and best use after due consideration is made for any legal or physical restrictions imposed on the asset, public announcements or commitments made in relation to the intended use of the asset. Theoretical opportunities that may be available in relation to the asset are not taken into account until it is virtually certain that the restrictions will no longer apply. Therefore, unless otherwise disclosed, the current use of these non</w:t>
      </w:r>
      <w:r>
        <w:noBreakHyphen/>
      </w:r>
      <w:r w:rsidRPr="006A75A2">
        <w:t xml:space="preserve">financial physical assets will be their highest and best uses. </w:t>
      </w:r>
    </w:p>
    <w:p w:rsidR="00336793" w:rsidRPr="006A75A2" w:rsidRDefault="00336793" w:rsidP="00DF0B96">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r w:rsidRPr="006A75A2">
        <w:t>The fair value of cultural assets and collections, heritage assets and other non</w:t>
      </w:r>
      <w:r>
        <w:noBreakHyphen/>
      </w:r>
      <w:r w:rsidRPr="006A75A2">
        <w:t>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rsidR="00336793" w:rsidRPr="006A75A2" w:rsidRDefault="00336793" w:rsidP="00DF0B96">
      <w:r w:rsidRPr="006A75A2">
        <w:t>Road network assets (including earthworks of the declared road networks) are measured at fair value, determined by reference to the asset</w:t>
      </w:r>
      <w:r>
        <w:t>’</w:t>
      </w:r>
      <w:r w:rsidRPr="006A75A2">
        <w:t xml:space="preserve">s depreciated replacement cost. </w:t>
      </w:r>
    </w:p>
    <w:p w:rsidR="00336793" w:rsidRPr="006A75A2" w:rsidRDefault="00336793" w:rsidP="00DF0B96">
      <w:r w:rsidRPr="006A75A2">
        <w:t xml:space="preserve">Land under declared roads acquired prior to </w:t>
      </w:r>
      <w:r>
        <w:t>1 July</w:t>
      </w:r>
      <w:r w:rsidRPr="006A75A2">
        <w:t xml:space="preserve"> 2008 is measured at fair value. Land under declared roads acquired on or after </w:t>
      </w:r>
      <w:r>
        <w:t>1 July</w:t>
      </w:r>
      <w:r w:rsidRPr="006A75A2">
        <w:t xml:space="preserve"> 2008 is measured initially at cost of acquisition and subsequently at fair value. The fair value methodology applied by the Valuer</w:t>
      </w:r>
      <w:r>
        <w:noBreakHyphen/>
      </w:r>
      <w:r w:rsidRPr="006A75A2">
        <w:t>General Victoria is based on discounted site values for relevant municipal areas applied to land area under the arterial road network, including related reservations.</w:t>
      </w:r>
    </w:p>
    <w:p w:rsidR="00336793" w:rsidRPr="006A75A2" w:rsidRDefault="00336793" w:rsidP="00DF0B96">
      <w:r w:rsidRPr="006A75A2">
        <w:t>Infrastructure assets of water, rail and port authorities within the PNFC sector are measured at fair value.</w:t>
      </w:r>
    </w:p>
    <w:p w:rsidR="00336793" w:rsidRPr="006A75A2" w:rsidRDefault="00336793" w:rsidP="00DF0B96">
      <w:r w:rsidRPr="006A75A2">
        <w:t>The fair value of infrastructure systems and plant, equipment and vehicles, is normally determined by reference to the asset</w:t>
      </w:r>
      <w:r>
        <w:t>’</w:t>
      </w:r>
      <w:r w:rsidRPr="006A75A2">
        <w:t xml:space="preserve">s depreciated replacement cost, or where the infrastructure is held by a for profit entity, the fair value may be derived from estimates of the present value of future cash flows. </w:t>
      </w:r>
    </w:p>
    <w:p w:rsidR="00336793" w:rsidRPr="006A75A2" w:rsidRDefault="00336793" w:rsidP="00DF0B96">
      <w:r w:rsidRPr="006A75A2">
        <w:t xml:space="preserve">Certain assets are acquired under finance leases, which may form part of a service concession arrangement. Refer to </w:t>
      </w:r>
      <w:r w:rsidRPr="00B3771F">
        <w:t>Notes 1(Q) and 1(S)</w:t>
      </w:r>
      <w:r w:rsidRPr="006A75A2">
        <w:t xml:space="preserve"> for more information.</w:t>
      </w:r>
    </w:p>
    <w:p w:rsidR="00336793" w:rsidRPr="006A75A2" w:rsidRDefault="00336793" w:rsidP="00DF0B96">
      <w:r w:rsidRPr="006A75A2">
        <w:t>The cost of constructed non</w:t>
      </w:r>
      <w:r>
        <w:noBreakHyphen/>
      </w:r>
      <w:r w:rsidRPr="006A75A2">
        <w:t>financial physical assets includes the cost of all materials used in construction, direct labour on the project, and an appropriate proportion of variable and fixed overheads.</w:t>
      </w:r>
    </w:p>
    <w:p w:rsidR="00336793" w:rsidRDefault="00336793" w:rsidP="00DF0B96">
      <w:pPr>
        <w:rPr>
          <w:rFonts w:ascii="Calibri" w:hAnsi="Calibri"/>
          <w:i/>
          <w:sz w:val="26"/>
          <w:szCs w:val="22"/>
        </w:rPr>
      </w:pPr>
      <w:r w:rsidRPr="006A75A2">
        <w:t>For the accounting policy on impairment of non</w:t>
      </w:r>
      <w:r>
        <w:noBreakHyphen/>
      </w:r>
      <w:r w:rsidRPr="006A75A2">
        <w:t>financial physical assets, refer to impairment of non</w:t>
      </w:r>
      <w:r>
        <w:noBreakHyphen/>
      </w:r>
      <w:r w:rsidRPr="006A75A2">
        <w:t xml:space="preserve">financial assets under </w:t>
      </w:r>
      <w:r w:rsidRPr="00B3771F">
        <w:t>Note 1(I)</w:t>
      </w:r>
      <w:r w:rsidRPr="006A75A2">
        <w:t xml:space="preserve">. </w:t>
      </w:r>
    </w:p>
    <w:p w:rsidR="00336793" w:rsidRPr="006A75A2" w:rsidRDefault="00336793" w:rsidP="00DF0B96">
      <w:pPr>
        <w:pStyle w:val="Heading4"/>
      </w:pPr>
      <w:r w:rsidRPr="006A75A2">
        <w:t>Leasehold improvements</w:t>
      </w:r>
    </w:p>
    <w:p w:rsidR="00336793" w:rsidRPr="006A75A2" w:rsidRDefault="00336793" w:rsidP="00DF0B96">
      <w:r w:rsidRPr="006A75A2">
        <w:t xml:space="preserve">The cost of leasehold improvements is capitalised as an asset and depreciated over the shorter of the remaining term of the lease or the estimated useful life of the improvements. </w:t>
      </w:r>
    </w:p>
    <w:p w:rsidR="00336793" w:rsidRPr="006A75A2" w:rsidRDefault="00336793" w:rsidP="00DF0B96">
      <w:pPr>
        <w:pStyle w:val="Heading4"/>
      </w:pPr>
      <w:r w:rsidRPr="006A75A2">
        <w:t>Revaluations of non</w:t>
      </w:r>
      <w:r>
        <w:noBreakHyphen/>
      </w:r>
      <w:r w:rsidRPr="006A75A2">
        <w:t>financial physical assets</w:t>
      </w:r>
    </w:p>
    <w:p w:rsidR="00336793" w:rsidRPr="006A75A2" w:rsidRDefault="00336793" w:rsidP="00DF0B96">
      <w:r w:rsidRPr="006A75A2">
        <w:t>Non</w:t>
      </w:r>
      <w:r>
        <w:noBreakHyphen/>
      </w:r>
      <w:r w:rsidRPr="006A75A2">
        <w:t>financial physical assets are measured on a cyclical basis in accordance with the Financial Reporting Directions (FRDs) issued by the Minister for Finance. A full revaluation normally occurs every five years, based upon the asset</w:t>
      </w:r>
      <w:r>
        <w:t>’</w:t>
      </w:r>
      <w:r w:rsidRPr="006A75A2">
        <w:t xml:space="preserve">s government purpose classification (refer to </w:t>
      </w:r>
      <w:r w:rsidRPr="00B3771F">
        <w:t>Note 41</w:t>
      </w:r>
      <w:r w:rsidRPr="006A75A2">
        <w:t>), but may occur more frequently if fair value assessments indicate material changes in values. Independent valuers are generally used to conduct these scheduled revaluations. Certain infrastructure assets are revalued using specialised advisors. Any interim revaluations are determined in accordance with the requirements of the FRDs.</w:t>
      </w:r>
    </w:p>
    <w:p w:rsidR="00336793" w:rsidRPr="006A75A2" w:rsidRDefault="00336793" w:rsidP="00DF0B96">
      <w:r w:rsidRPr="006A75A2">
        <w:t>Revaluation increases or decreases arise from differences between an asset</w:t>
      </w:r>
      <w:r>
        <w:t>’</w:t>
      </w:r>
      <w:r w:rsidRPr="006A75A2">
        <w:t>s carrying value and fair value.</w:t>
      </w:r>
    </w:p>
    <w:p w:rsidR="00336793" w:rsidRDefault="00336793">
      <w:pPr>
        <w:spacing w:after="0"/>
      </w:pPr>
      <w:r>
        <w:br w:type="page"/>
      </w:r>
    </w:p>
    <w:p w:rsidR="00336793" w:rsidRPr="006A75A2" w:rsidRDefault="00336793" w:rsidP="00DB1F98">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r w:rsidRPr="006A75A2">
        <w:t xml:space="preserve">Net revaluation increases (where the carrying amount of a class of assets is increased as a result of a revaluation) are recognised in </w:t>
      </w:r>
      <w:r>
        <w:t>‘</w:t>
      </w:r>
      <w:r w:rsidRPr="006A75A2">
        <w:t>Other economic flows – other comprehensive income</w:t>
      </w:r>
      <w:r>
        <w:t>’</w:t>
      </w:r>
      <w:r w:rsidRPr="006A75A2">
        <w:t xml:space="preserve"> and accumulated in equity under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rsidR="00336793" w:rsidRPr="006A75A2" w:rsidRDefault="00336793" w:rsidP="00DF0B96">
      <w:r w:rsidRPr="006A75A2">
        <w:t xml:space="preserve">Net revaluation decreases are recognised in </w:t>
      </w:r>
      <w:r>
        <w:t>‘</w:t>
      </w:r>
      <w:r w:rsidRPr="006A75A2">
        <w:t>Other economic flows – other comprehensive income</w:t>
      </w:r>
      <w:r>
        <w:t>’</w:t>
      </w:r>
      <w:r w:rsidRPr="006A75A2">
        <w:t xml:space="preserv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w:t>
      </w:r>
      <w:r>
        <w:t>‘</w:t>
      </w:r>
      <w:r w:rsidRPr="006A75A2">
        <w:t>Other economic flows – other comprehensive income</w:t>
      </w:r>
      <w:r>
        <w:t>’</w:t>
      </w:r>
      <w:r w:rsidRPr="006A75A2">
        <w:t xml:space="preserve"> reduces the amount accumulated in equity under the asset revaluation surplus. </w:t>
      </w:r>
    </w:p>
    <w:p w:rsidR="00336793" w:rsidRPr="006A75A2" w:rsidRDefault="00336793" w:rsidP="00DF0B96">
      <w:r w:rsidRPr="006A75A2">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rsidR="00336793" w:rsidRPr="006A75A2" w:rsidRDefault="00336793" w:rsidP="00DF0B96">
      <w:pPr>
        <w:pStyle w:val="Heading4"/>
      </w:pPr>
      <w:r w:rsidRPr="006A75A2">
        <w:t>Other non</w:t>
      </w:r>
      <w:r>
        <w:noBreakHyphen/>
      </w:r>
      <w:r w:rsidRPr="006A75A2">
        <w:t>financial assets</w:t>
      </w:r>
    </w:p>
    <w:p w:rsidR="00336793" w:rsidRPr="006A75A2" w:rsidRDefault="00336793" w:rsidP="00DF0B96">
      <w:r w:rsidRPr="006A75A2">
        <w:t>Where an asset is received for no or nominal consideration the cost is the asset</w:t>
      </w:r>
      <w:r>
        <w:t>’</w:t>
      </w:r>
      <w:r w:rsidRPr="006A75A2">
        <w:t>s fair value at the date of acquisition.</w:t>
      </w:r>
    </w:p>
    <w:p w:rsidR="00336793" w:rsidRPr="006A75A2" w:rsidRDefault="00336793" w:rsidP="00DF0B96">
      <w:pPr>
        <w:pStyle w:val="Heading5"/>
      </w:pPr>
      <w:r w:rsidRPr="006A75A2">
        <w:t>Intangible assets</w:t>
      </w:r>
    </w:p>
    <w:p w:rsidR="00336793" w:rsidRPr="006A75A2" w:rsidRDefault="00336793" w:rsidP="00DF0B96">
      <w:r w:rsidRPr="006A75A2">
        <w:t>Purchased intangible assets are initially recognised at cost. Subsequently, intangible assets with finite useful lives are carried at cost less accumulated amortisation and accumulated impairment losses. Costs incurred subsequent to initial acquisition are capitalised when it is expected that additional future economic benefits will flow to the State.</w:t>
      </w:r>
    </w:p>
    <w:p w:rsidR="00336793" w:rsidRPr="006A75A2" w:rsidRDefault="00336793" w:rsidP="00DF0B96">
      <w:r w:rsidRPr="006A75A2">
        <w:t xml:space="preserve">When the recognition criteria in </w:t>
      </w:r>
      <w:r w:rsidRPr="003B1A55">
        <w:t xml:space="preserve">AASB 138 </w:t>
      </w:r>
      <w:r w:rsidRPr="003B1A55">
        <w:rPr>
          <w:i/>
        </w:rPr>
        <w:t>Intangible Assets</w:t>
      </w:r>
      <w:r>
        <w:t xml:space="preserve"> are</w:t>
      </w:r>
      <w:r w:rsidRPr="006A75A2">
        <w:t xml:space="preserve"> met, internally generated intangible assets are recognised and measured at cost less accumulated amortisation and impairment. </w:t>
      </w:r>
    </w:p>
    <w:p w:rsidR="00336793" w:rsidRPr="006A75A2" w:rsidRDefault="00336793" w:rsidP="00DF0B96">
      <w:r w:rsidRPr="006A75A2">
        <w:t xml:space="preserve">Refer to </w:t>
      </w:r>
      <w:r w:rsidRPr="00B3771F">
        <w:t>Note 1(H)</w:t>
      </w:r>
      <w:r w:rsidRPr="006A75A2">
        <w:t xml:space="preserve"> for the policy on the depreciation of produced intangible assets, amortisation of non</w:t>
      </w:r>
      <w:r>
        <w:noBreakHyphen/>
      </w:r>
      <w:r w:rsidRPr="006A75A2">
        <w:t xml:space="preserve">produced intangible assets and </w:t>
      </w:r>
      <w:r w:rsidRPr="00B3771F">
        <w:t>Note 1(I)</w:t>
      </w:r>
      <w:r w:rsidRPr="006A75A2">
        <w:t xml:space="preserve"> for impairment of intangible assets.</w:t>
      </w:r>
    </w:p>
    <w:p w:rsidR="00336793" w:rsidRPr="006A75A2" w:rsidRDefault="00336793" w:rsidP="00DF0B96">
      <w:pPr>
        <w:pStyle w:val="Heading5"/>
      </w:pPr>
      <w:r w:rsidRPr="006A75A2">
        <w:t>Investment properties</w:t>
      </w:r>
    </w:p>
    <w:p w:rsidR="00336793" w:rsidRPr="006A75A2" w:rsidRDefault="00336793" w:rsidP="00DF0B96">
      <w:r w:rsidRPr="006A75A2">
        <w:t>Investment properties represent properties held to earn rentals or for capital appreciation, or both. Investment properties exclude properties held to meet service delivery objectives of the State.</w:t>
      </w:r>
    </w:p>
    <w:p w:rsidR="00336793" w:rsidRPr="006A75A2" w:rsidRDefault="00336793" w:rsidP="00DF0B96">
      <w:r w:rsidRPr="006A75A2">
        <w:t>Investment properties are initially recognised at cost. Costs incurred subsequent to initial acquisition are capitalised when it is probable that future economic benefits in excess of the originally assessed performance of the asset will flow to the State.</w:t>
      </w:r>
    </w:p>
    <w:p w:rsidR="00336793" w:rsidRPr="006A75A2" w:rsidRDefault="00336793" w:rsidP="00DF0B96">
      <w:r w:rsidRPr="006A75A2">
        <w:t xml:space="preserve">Subsequent to initial recognition at cost, investment properties are revalued to fair value with changes in the fair value recognised as other economic flows in the comprehensive operating statement in the period that they arise. These properties are neither depreciated nor tested for impairment. Fair values are determined based </w:t>
      </w:r>
      <w:r>
        <w:t>on a market comparable approach</w:t>
      </w:r>
      <w:r w:rsidRPr="006A75A2">
        <w:t xml:space="preserve"> that reflects recent transaction prices for similar properties.</w:t>
      </w:r>
    </w:p>
    <w:p w:rsidR="00336793" w:rsidRPr="006A75A2" w:rsidRDefault="00336793" w:rsidP="00DF0B96">
      <w:r w:rsidRPr="006A75A2">
        <w:t>Rental revenue from the leasing of investment properties is recognised in the comprehensive operating statement on a straight line basis over the lease term.</w:t>
      </w:r>
    </w:p>
    <w:p w:rsidR="00336793" w:rsidRDefault="00336793">
      <w:pPr>
        <w:spacing w:after="0"/>
        <w:rPr>
          <w:rFonts w:ascii="Calibri" w:hAnsi="Calibri"/>
          <w:b/>
        </w:rPr>
      </w:pPr>
      <w:r>
        <w:br w:type="page"/>
      </w:r>
    </w:p>
    <w:p w:rsidR="00336793" w:rsidRPr="006A75A2" w:rsidRDefault="00336793" w:rsidP="00DB1F98">
      <w:pPr>
        <w:pStyle w:val="Heading2NotesContd"/>
        <w:rPr>
          <w:kern w:val="0"/>
        </w:rPr>
      </w:pPr>
      <w:r w:rsidRPr="006A75A2">
        <w:rPr>
          <w:kern w:val="0"/>
        </w:rPr>
        <w:lastRenderedPageBreak/>
        <w:t>Note 1:</w:t>
      </w:r>
      <w:r w:rsidRPr="006A75A2">
        <w:rPr>
          <w:kern w:val="0"/>
        </w:rPr>
        <w:tab/>
        <w:t>Summary of significant accounting policies</w:t>
      </w:r>
      <w:r w:rsidRPr="006A75A2">
        <w:rPr>
          <w:i/>
          <w:kern w:val="0"/>
        </w:rPr>
        <w:t xml:space="preserve"> (continued)</w:t>
      </w:r>
    </w:p>
    <w:p w:rsidR="00336793" w:rsidRPr="006A75A2" w:rsidRDefault="00336793" w:rsidP="00DF0B96">
      <w:pPr>
        <w:pStyle w:val="Heading5"/>
      </w:pPr>
      <w:r w:rsidRPr="006A75A2">
        <w:t xml:space="preserve">Biological assets </w:t>
      </w:r>
    </w:p>
    <w:p w:rsidR="00336793" w:rsidRPr="006A75A2" w:rsidRDefault="00336793" w:rsidP="00DF0B96">
      <w:r w:rsidRPr="006A75A2">
        <w:t xml:space="preserve">Productive trees in commercial native forests and breeding livestock are recognised as biological assets. These biological assets are measured at fair value less costs to sell and are revalued at </w:t>
      </w:r>
      <w:r>
        <w:t>30 June</w:t>
      </w:r>
      <w:r w:rsidRPr="006A75A2">
        <w:t xml:space="preserve"> each year.</w:t>
      </w:r>
    </w:p>
    <w:p w:rsidR="00336793" w:rsidRPr="006A75A2" w:rsidRDefault="00336793" w:rsidP="00DF0B96">
      <w:r w:rsidRPr="006A75A2">
        <w:t>For breeding livestock, fair value is based on the amount that could be expected to be received from the disposal of livestock with similar attributes.</w:t>
      </w:r>
    </w:p>
    <w:p w:rsidR="00336793" w:rsidRPr="006A75A2" w:rsidRDefault="00336793" w:rsidP="00DF0B96">
      <w:r w:rsidRPr="006A75A2">
        <w:t xml:space="preserve">For productive trees, revaluation to fair value is determined using a discounted cash flow method based on expected net future cash flows, discounted by a current market determined rate. After harvest, productive trees are treated as inventories (refer to </w:t>
      </w:r>
      <w:r w:rsidRPr="00B3771F">
        <w:t>Note 1(M)</w:t>
      </w:r>
      <w:r w:rsidRPr="006A75A2">
        <w:t>).</w:t>
      </w:r>
    </w:p>
    <w:p w:rsidR="00336793" w:rsidRPr="006A75A2" w:rsidRDefault="00336793" w:rsidP="00DF0B96">
      <w:r w:rsidRPr="006A75A2">
        <w:t xml:space="preserve">An increase or decrease in the fair value of these biological assets is recognised in the consolidated comprehensive operating statement as an </w:t>
      </w:r>
      <w:r>
        <w:t>‘</w:t>
      </w:r>
      <w:r w:rsidRPr="006A75A2">
        <w:t>Other economic flow</w:t>
      </w:r>
      <w:r>
        <w:t>’</w:t>
      </w:r>
      <w:r w:rsidRPr="006A75A2">
        <w:t>.</w:t>
      </w:r>
    </w:p>
    <w:p w:rsidR="00336793" w:rsidRPr="006A75A2" w:rsidRDefault="00336793" w:rsidP="00DF0B96">
      <w:pPr>
        <w:pStyle w:val="Heading5"/>
      </w:pPr>
      <w:r w:rsidRPr="006A75A2">
        <w:t>Other assets</w:t>
      </w:r>
    </w:p>
    <w:p w:rsidR="00336793" w:rsidRPr="006A75A2" w:rsidRDefault="00336793" w:rsidP="00DF0B96">
      <w:r w:rsidRPr="006A75A2">
        <w:t>Other non</w:t>
      </w:r>
      <w:r>
        <w:noBreakHyphen/>
      </w:r>
      <w:r w:rsidRPr="006A75A2">
        <w:t>financial assets include prepayments which represent payments in advance of receipt of goods or services or that part of expenditure made in one accounting period covering a term extending beyond that period.</w:t>
      </w:r>
    </w:p>
    <w:p w:rsidR="00336793" w:rsidRPr="006A75A2" w:rsidRDefault="00336793" w:rsidP="00DF0B96">
      <w:pPr>
        <w:pStyle w:val="Heading3Numbering"/>
        <w:rPr>
          <w:kern w:val="0"/>
        </w:rPr>
      </w:pPr>
      <w:r w:rsidRPr="006A75A2">
        <w:rPr>
          <w:kern w:val="0"/>
        </w:rPr>
        <w:t>Liabilities</w:t>
      </w:r>
    </w:p>
    <w:p w:rsidR="00336793" w:rsidRPr="006A75A2" w:rsidRDefault="00336793" w:rsidP="00DF0B96">
      <w:pPr>
        <w:pStyle w:val="Heading4"/>
      </w:pPr>
      <w:r w:rsidRPr="006A75A2">
        <w:t>Deposits held and advances received</w:t>
      </w:r>
    </w:p>
    <w:p w:rsidR="00336793" w:rsidRPr="006A75A2" w:rsidRDefault="00336793" w:rsidP="00DF0B96">
      <w:r w:rsidRPr="006A75A2">
        <w:t>Deposits held include deposits, security deposits, and trust fund provisions held on behalf of public or private sector bodies. Advances received include loans and other repayable funds from public sector bodies for policy purposes.</w:t>
      </w:r>
    </w:p>
    <w:p w:rsidR="00336793" w:rsidRDefault="00336793" w:rsidP="00DF0B96">
      <w:pPr>
        <w:rPr>
          <w:rFonts w:ascii="Calibri" w:hAnsi="Calibri"/>
          <w:i/>
          <w:sz w:val="26"/>
          <w:szCs w:val="22"/>
        </w:rPr>
      </w:pPr>
      <w:r w:rsidRPr="006A75A2">
        <w:t xml:space="preserve">Deposits held and advances received are categorised as financial liabilities at amortised cost (refer to </w:t>
      </w:r>
      <w:r w:rsidRPr="00B3771F">
        <w:t>Note 1(K)</w:t>
      </w:r>
      <w:r w:rsidRPr="006A75A2">
        <w:t>).</w:t>
      </w:r>
    </w:p>
    <w:p w:rsidR="00336793" w:rsidRPr="006A75A2" w:rsidRDefault="00336793" w:rsidP="00DF0B96">
      <w:pPr>
        <w:pStyle w:val="Heading4"/>
      </w:pPr>
      <w:r w:rsidRPr="006A75A2">
        <w:t>Payables</w:t>
      </w:r>
    </w:p>
    <w:p w:rsidR="00336793" w:rsidRPr="006A75A2" w:rsidRDefault="00336793" w:rsidP="00DF0B96">
      <w:r w:rsidRPr="006A75A2">
        <w:t>Payables consist of:</w:t>
      </w:r>
    </w:p>
    <w:p w:rsidR="00336793" w:rsidRPr="006A75A2" w:rsidRDefault="00336793" w:rsidP="00DF0B96">
      <w:pPr>
        <w:pStyle w:val="BulletText"/>
      </w:pPr>
      <w:r w:rsidRPr="006A75A2">
        <w:t>contractual payables, such as accounts payable, and unearned revenue liability including deferred revenue from concession notes. Accounts payable represent liabilities for goods and services provided to the State prior to the end of the financial year that are unpaid, and arise when the State becomes obliged to make future payments in respect of the purchase of those goods and services; and</w:t>
      </w:r>
    </w:p>
    <w:p w:rsidR="00336793" w:rsidRPr="006A75A2" w:rsidRDefault="00336793" w:rsidP="00DF0B96">
      <w:pPr>
        <w:pStyle w:val="BulletText"/>
      </w:pPr>
      <w:r w:rsidRPr="006A75A2">
        <w:t>statutory payables, such as GST and fringe benefits tax payables.</w:t>
      </w:r>
    </w:p>
    <w:p w:rsidR="00336793" w:rsidRDefault="00336793" w:rsidP="00DF0B96">
      <w:r w:rsidRPr="006A75A2">
        <w:t xml:space="preserve">Contractual payables are classified as financial instruments and categorised as financial liabilities at amortised cost (refer to </w:t>
      </w:r>
      <w:r w:rsidRPr="00B3771F">
        <w:t>Note 1(K)</w:t>
      </w:r>
      <w:r w:rsidRPr="006A75A2">
        <w:t>). Statutory payables are recognised and measured similarly to contractual payables, but are not classified as financial instruments and not included in the category of financial liabilities at amortised cost, because they do not arise from a contract.</w:t>
      </w:r>
    </w:p>
    <w:p w:rsidR="00336793" w:rsidRDefault="00336793">
      <w:pPr>
        <w:spacing w:after="0"/>
        <w:rPr>
          <w:rFonts w:ascii="Calibri" w:hAnsi="Calibri"/>
          <w:i/>
          <w:sz w:val="26"/>
          <w:szCs w:val="22"/>
        </w:rPr>
      </w:pPr>
      <w:r>
        <w:br w:type="page"/>
      </w:r>
    </w:p>
    <w:p w:rsidR="00336793" w:rsidRPr="006A75A2" w:rsidRDefault="00336793" w:rsidP="00DB1F98">
      <w:pPr>
        <w:pStyle w:val="Heading2NotesContd"/>
      </w:pPr>
      <w:r w:rsidRPr="006A75A2">
        <w:lastRenderedPageBreak/>
        <w:t>Note 1:</w:t>
      </w:r>
      <w:r w:rsidRPr="006A75A2">
        <w:tab/>
        <w:t>Summary of significant accounting policies</w:t>
      </w:r>
      <w:r w:rsidRPr="006A75A2">
        <w:rPr>
          <w:i/>
        </w:rPr>
        <w:t xml:space="preserve"> (continued)</w:t>
      </w:r>
    </w:p>
    <w:p w:rsidR="00336793" w:rsidRPr="006A75A2" w:rsidRDefault="00336793" w:rsidP="00DF0B96">
      <w:pPr>
        <w:pStyle w:val="Heading4"/>
      </w:pPr>
      <w:r w:rsidRPr="006A75A2">
        <w:t>Borrowings</w:t>
      </w:r>
    </w:p>
    <w:p w:rsidR="00336793" w:rsidRDefault="00336793" w:rsidP="00DB1F98">
      <w:r w:rsidRPr="006A75A2">
        <w:t xml:space="preserve">The State (consistent with the </w:t>
      </w:r>
      <w:r>
        <w:t xml:space="preserve">relevant </w:t>
      </w:r>
      <w:r w:rsidRPr="006A75A2">
        <w:t xml:space="preserve">paragraphs of </w:t>
      </w:r>
      <w:r w:rsidRPr="003B1A55">
        <w:t xml:space="preserve">AASB 123 </w:t>
      </w:r>
      <w:r w:rsidRPr="003B1A55">
        <w:rPr>
          <w:i/>
        </w:rPr>
        <w:t>Borrowing Costs</w:t>
      </w:r>
      <w:r w:rsidRPr="003B1A55">
        <w:t xml:space="preserve"> for</w:t>
      </w:r>
      <w:r w:rsidRPr="006A75A2">
        <w:t xml:space="preserve"> not</w:t>
      </w:r>
      <w:r>
        <w:noBreakHyphen/>
      </w:r>
      <w:r w:rsidRPr="006A75A2">
        <w:t>for</w:t>
      </w:r>
      <w:r>
        <w:noBreakHyphen/>
      </w:r>
      <w:r w:rsidRPr="006A75A2">
        <w:t>profit public sector entities) recognises borrowing costs immediately as an expense, even where they are directly attributable to the acquisition, construction or production of a qualifying asset.</w:t>
      </w:r>
      <w:r>
        <w:t xml:space="preserve"> </w:t>
      </w:r>
    </w:p>
    <w:p w:rsidR="00336793" w:rsidRDefault="00336793" w:rsidP="00DF0B96">
      <w:r w:rsidRPr="006A75A2">
        <w:t>All interest bearing liabilities are initially recognised at the fair value of the consideration received less directly attributable transaction costs. The measurement basis subsequent to initial recognition depends on whether the State has categorised its interest bearing liabilities as either financial liabilities designated at fair value through profit or loss, or financial liabilities at amortised cost. The classification depends on the nature and purpose of the interest bearing liabilities. The State determines the classification of its interest bearing liabilities at initial recognition.</w:t>
      </w:r>
    </w:p>
    <w:p w:rsidR="00336793" w:rsidRPr="006A75A2" w:rsidRDefault="00336793" w:rsidP="00DF0B96">
      <w:pPr>
        <w:pStyle w:val="Heading4"/>
      </w:pPr>
      <w:r w:rsidRPr="006A75A2">
        <w:t>Employee benefits</w:t>
      </w:r>
      <w:r>
        <w:t xml:space="preserve"> and on costs</w:t>
      </w:r>
    </w:p>
    <w:p w:rsidR="00336793" w:rsidRPr="006A75A2" w:rsidRDefault="00336793" w:rsidP="00DF0B96">
      <w:r w:rsidRPr="006A75A2">
        <w:t xml:space="preserve">Provision is made for benefits accruing to employees in respect of wages and salaries, annual leave and long service leave </w:t>
      </w:r>
      <w:r>
        <w:t xml:space="preserve">(LSL) </w:t>
      </w:r>
      <w:r w:rsidRPr="006A75A2">
        <w:t>for services rendered to the reporting date.</w:t>
      </w:r>
    </w:p>
    <w:p w:rsidR="00336793" w:rsidRPr="006A75A2" w:rsidRDefault="00336793" w:rsidP="00DF0B96">
      <w:pPr>
        <w:pStyle w:val="Heading5"/>
      </w:pPr>
      <w:r w:rsidRPr="006A75A2">
        <w:t>(i)</w:t>
      </w:r>
      <w:r w:rsidRPr="006A75A2">
        <w:tab/>
        <w:t>Wages and salaries, annual leave and sick leave</w:t>
      </w:r>
    </w:p>
    <w:p w:rsidR="00336793" w:rsidRPr="006A75A2" w:rsidRDefault="00336793" w:rsidP="00DF0B96">
      <w:r w:rsidRPr="006A75A2">
        <w:t>Liabilities for wages and salaries, including non</w:t>
      </w:r>
      <w:r>
        <w:noBreakHyphen/>
      </w:r>
      <w:r w:rsidRPr="006A75A2">
        <w:t xml:space="preserve">monetary benefits, annual leave and accumulating sick leave are recognised in the provision for employee benefits, classified as current liabilities, because the State does not have an unconditional right to defer settlements of these liabilities. </w:t>
      </w:r>
    </w:p>
    <w:p w:rsidR="00336793" w:rsidRPr="006A75A2" w:rsidRDefault="00336793" w:rsidP="00DF0B96">
      <w:pPr>
        <w:pStyle w:val="Heading5"/>
      </w:pPr>
      <w:r w:rsidRPr="006A75A2">
        <w:t>(ii)</w:t>
      </w:r>
      <w:r w:rsidRPr="006A75A2">
        <w:tab/>
        <w:t>Long service leave</w:t>
      </w:r>
    </w:p>
    <w:p w:rsidR="00336793" w:rsidRPr="006A75A2" w:rsidRDefault="00336793" w:rsidP="00DF0B96">
      <w:r w:rsidRPr="006A75A2">
        <w:t>Liability for LSL is recognised in the provision for employee benefits.</w:t>
      </w:r>
    </w:p>
    <w:p w:rsidR="00336793" w:rsidRDefault="00336793" w:rsidP="00DF0B96">
      <w:r w:rsidRPr="006A75A2">
        <w:t>Unconditional LSL is disclosed in the notes to the financial statements as a current liability</w:t>
      </w:r>
      <w:r>
        <w:t>,</w:t>
      </w:r>
      <w:r w:rsidRPr="006A75A2">
        <w:t xml:space="preserve"> even where the State does not expect to settle the liability within 12 months because it will not have the unconditional right to defer the settlement of the entitlement should an employee take leave within 12 months. </w:t>
      </w:r>
    </w:p>
    <w:p w:rsidR="00336793" w:rsidRPr="006A75A2" w:rsidRDefault="00336793" w:rsidP="00DF0B96">
      <w:r w:rsidRPr="006A75A2">
        <w:t>The components of this current LSL liability are measured at:</w:t>
      </w:r>
    </w:p>
    <w:p w:rsidR="00336793" w:rsidRPr="006A75A2" w:rsidRDefault="00336793" w:rsidP="00DF0B96">
      <w:pPr>
        <w:pStyle w:val="BulletText"/>
      </w:pPr>
      <w:r w:rsidRPr="006A75A2">
        <w:t>undiscounted value – if the State expects to wholly settle within 12 months; or</w:t>
      </w:r>
    </w:p>
    <w:p w:rsidR="00336793" w:rsidRDefault="00336793" w:rsidP="00DF0B96">
      <w:pPr>
        <w:pStyle w:val="BulletText"/>
      </w:pPr>
      <w:r w:rsidRPr="006C6CB8">
        <w:t>present</w:t>
      </w:r>
      <w:r w:rsidRPr="006A75A2">
        <w:t xml:space="preserve"> value – if the State does not expect to wholly settle within 12 months.</w:t>
      </w:r>
    </w:p>
    <w:p w:rsidR="00336793" w:rsidRPr="006A75A2" w:rsidRDefault="00336793" w:rsidP="00DF0B96">
      <w:r w:rsidRPr="006A75A2">
        <w:t>Conditional LSL is disclosed as a non</w:t>
      </w:r>
      <w:r>
        <w:noBreakHyphen/>
      </w:r>
      <w:r w:rsidRPr="006A75A2">
        <w:t>current liability. There is an unconditional right to defer the settlement of the entitlement until the employee has completed the requisite years of service. This non</w:t>
      </w:r>
      <w:r>
        <w:noBreakHyphen/>
      </w:r>
      <w:r w:rsidRPr="006A75A2">
        <w:t>current LSL liability is measured at present value.</w:t>
      </w:r>
    </w:p>
    <w:p w:rsidR="00336793" w:rsidRPr="006A75A2" w:rsidRDefault="00336793" w:rsidP="00DF0B96">
      <w:r w:rsidRPr="006A75A2">
        <w:t>Any gain or loss following revaluation of the present value of non</w:t>
      </w:r>
      <w:r>
        <w:noBreakHyphen/>
      </w:r>
      <w:r w:rsidRPr="006A75A2">
        <w:t>current LSL liability is recognised as a transaction, except to the extent that a gain or loss arises due to changes in bond interest rates for which it is then recognised as an other economic flow in the net result.</w:t>
      </w:r>
    </w:p>
    <w:p w:rsidR="00336793" w:rsidRPr="006A75A2" w:rsidRDefault="00336793" w:rsidP="00DF0B96">
      <w:pPr>
        <w:pStyle w:val="Heading5"/>
      </w:pPr>
      <w:r w:rsidRPr="006A75A2">
        <w:t>(iii)</w:t>
      </w:r>
      <w:r w:rsidRPr="006A75A2">
        <w:tab/>
      </w:r>
      <w:r>
        <w:t xml:space="preserve">On </w:t>
      </w:r>
      <w:r w:rsidRPr="006A75A2">
        <w:t>costs</w:t>
      </w:r>
    </w:p>
    <w:p w:rsidR="00336793" w:rsidRDefault="00336793" w:rsidP="00DF0B96">
      <w:pPr>
        <w:rPr>
          <w:rFonts w:ascii="Calibri" w:hAnsi="Calibri"/>
          <w:i/>
          <w:sz w:val="26"/>
          <w:szCs w:val="22"/>
        </w:rPr>
      </w:pPr>
      <w:r w:rsidRPr="006A75A2">
        <w:t>Employee benefits on costs such as payroll tax, workers compensation and superannuation are recognised separately from the provision for employee benefits.</w:t>
      </w:r>
    </w:p>
    <w:p w:rsidR="00336793" w:rsidRDefault="00336793">
      <w:pPr>
        <w:spacing w:after="0"/>
        <w:rPr>
          <w:rFonts w:ascii="Calibri" w:hAnsi="Calibri"/>
          <w:i/>
          <w:sz w:val="26"/>
          <w:szCs w:val="22"/>
        </w:rPr>
      </w:pPr>
      <w:r>
        <w:br w:type="page"/>
      </w:r>
    </w:p>
    <w:p w:rsidR="00336793" w:rsidRPr="006A75A2" w:rsidRDefault="00336793" w:rsidP="00DB1F98">
      <w:pPr>
        <w:pStyle w:val="Heading2NotesContd"/>
      </w:pPr>
      <w:r w:rsidRPr="006A75A2">
        <w:lastRenderedPageBreak/>
        <w:t>Note 1:</w:t>
      </w:r>
      <w:r w:rsidRPr="006A75A2">
        <w:tab/>
        <w:t>Summary of significant accounting policies</w:t>
      </w:r>
      <w:r w:rsidRPr="006A75A2">
        <w:rPr>
          <w:i/>
        </w:rPr>
        <w:t xml:space="preserve"> (continued)</w:t>
      </w:r>
    </w:p>
    <w:p w:rsidR="00336793" w:rsidRPr="006A75A2" w:rsidRDefault="00336793" w:rsidP="00DF0B96">
      <w:pPr>
        <w:pStyle w:val="Heading4"/>
      </w:pPr>
      <w:r w:rsidRPr="006A75A2">
        <w:t>Superannuation</w:t>
      </w:r>
    </w:p>
    <w:p w:rsidR="00336793" w:rsidRDefault="00336793" w:rsidP="00DF0B96">
      <w:r w:rsidRPr="006A75A2">
        <w:t>Defined benefit superannuation plans provide benefits based on years of service and final average salary. At each reporting date, a liability or asset in respect of defined benefit superannuation obligations is recognised. This is measured as the difference between the present value of accrued liabilities at the reporting date and the net market value of the superannuation plan</w:t>
      </w:r>
      <w:r>
        <w:t>’</w:t>
      </w:r>
      <w:r w:rsidRPr="006A75A2">
        <w:t xml:space="preserve">s assets at that date. </w:t>
      </w:r>
    </w:p>
    <w:p w:rsidR="00336793" w:rsidRDefault="00336793" w:rsidP="00DF0B96">
      <w:r w:rsidRPr="006A75A2">
        <w:t>The present value of accrued liabilities is based upon future payments which are expected to arise due to membership of the superannuation plan</w:t>
      </w:r>
      <w:r>
        <w:t xml:space="preserve"> up to the reporting date,</w:t>
      </w:r>
      <w:r w:rsidRPr="006A75A2">
        <w:t xml:space="preserve"> taking into account the taxes payable by the plan. Consideration is given to expected future salary levels and the experience of employee departures. In accordance with prevailing accounting standards, expected future payments are discounted to present values using rates applying to long</w:t>
      </w:r>
      <w:r>
        <w:noBreakHyphen/>
        <w:t xml:space="preserve">term Commonwealth Government </w:t>
      </w:r>
      <w:r w:rsidRPr="006A75A2">
        <w:t xml:space="preserve">Bonds. Furthermore, the inflation assumption is based upon the relationship between nominal and index linked bond yields of similar duration. This approach ensures that the inflation assumption reflects market expectations and is compatible with the </w:t>
      </w:r>
      <w:r>
        <w:t>market</w:t>
      </w:r>
      <w:r>
        <w:noBreakHyphen/>
        <w:t>based</w:t>
      </w:r>
      <w:r w:rsidRPr="006A75A2">
        <w:t xml:space="preserve"> discount rate that is used to value the outstanding liability.</w:t>
      </w:r>
    </w:p>
    <w:p w:rsidR="00336793" w:rsidRPr="006A75A2" w:rsidRDefault="00336793" w:rsidP="00DF0B96">
      <w:pPr>
        <w:pStyle w:val="Heading4"/>
      </w:pPr>
      <w:r w:rsidRPr="006A75A2">
        <w:t>Other provisions</w:t>
      </w:r>
    </w:p>
    <w:p w:rsidR="00336793" w:rsidRPr="006A75A2" w:rsidRDefault="00336793" w:rsidP="00DF0B96">
      <w:r w:rsidRPr="006A75A2">
        <w:t>Other provisions are recognised when the State has a present obligation, the future sacrifice of economic benefits is probable, and the amount of the provision can be measured reliably.</w:t>
      </w:r>
    </w:p>
    <w:p w:rsidR="00336793" w:rsidRPr="006A75A2" w:rsidRDefault="00336793" w:rsidP="00DF0B96">
      <w:r w:rsidRPr="006A75A2">
        <w:t>The amount recognised as a provision is the best estimate of the consideration required to settle the present obligation at reporting date, taking into account the risks and uncertainties surrounding the obligation. Where a provision is measured using the cash flows estimated to settle the present obligation, its carrying amount is the present value of those cash flows.</w:t>
      </w:r>
    </w:p>
    <w:p w:rsidR="00336793" w:rsidRPr="006A75A2" w:rsidRDefault="00336793" w:rsidP="00DF0B96">
      <w:r w:rsidRPr="006A75A2">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rsidR="00336793" w:rsidRDefault="00336793" w:rsidP="00DF0B96">
      <w:r w:rsidRPr="006A75A2">
        <w:t xml:space="preserve">Other provisions include a liability for outstanding insurance claims, which is independently assessed by actuaries. This liability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w:t>
      </w:r>
    </w:p>
    <w:p w:rsidR="00336793" w:rsidRDefault="00336793" w:rsidP="00DF0B96">
      <w:r w:rsidRPr="006A75A2">
        <w:t>The actuaries take into account projected inflation and other factors to arrive at expected future payments. These are then discounted at the reporting date using a market determined, risk</w:t>
      </w:r>
      <w:r>
        <w:noBreakHyphen/>
      </w:r>
      <w:r w:rsidRPr="006A75A2">
        <w:t>free discount rate.</w:t>
      </w:r>
    </w:p>
    <w:p w:rsidR="00336793" w:rsidRPr="006A75A2" w:rsidRDefault="00336793" w:rsidP="00DF0B96">
      <w:pPr>
        <w:pStyle w:val="Heading5"/>
      </w:pPr>
      <w:r w:rsidRPr="006A75A2">
        <w:t>Onerous contracts</w:t>
      </w:r>
    </w:p>
    <w:p w:rsidR="00336793" w:rsidRPr="006A75A2" w:rsidRDefault="00336793" w:rsidP="00DF0B96">
      <w:r w:rsidRPr="006A75A2">
        <w:t>An onerous contract is considered to exist when the unavoidable cost of meeting the contractual obligations exceeds the estimated economic benefits to be received. Present obligations arising under onerous contracts are recognised as a provision to the extent that the present obligation exceeds the estimated economic benefits to be received.</w:t>
      </w:r>
    </w:p>
    <w:p w:rsidR="00336793" w:rsidRDefault="00336793" w:rsidP="00DF0B96">
      <w:pPr>
        <w:rPr>
          <w:rFonts w:ascii="Calibri" w:hAnsi="Calibri"/>
          <w:i/>
          <w:sz w:val="26"/>
          <w:szCs w:val="22"/>
        </w:rPr>
      </w:pPr>
      <w:r w:rsidRPr="00DD3229">
        <w:t>The State</w:t>
      </w:r>
      <w:r>
        <w:t>’</w:t>
      </w:r>
      <w:r w:rsidRPr="00DD3229">
        <w:t>s major onerous contractual obligation is for the supply of electricity to the alumin</w:t>
      </w:r>
      <w:r>
        <w:t>ium smelter</w:t>
      </w:r>
      <w:r w:rsidRPr="00DD3229">
        <w:t xml:space="preserve"> at Portland.</w:t>
      </w:r>
      <w:r w:rsidRPr="006A75A2">
        <w:t xml:space="preserve"> A yearly review of the contract is undertaken to remeasure the liability, taking into account the effects of market changes during the year relating to the National Electricity Market and assumptions including aluminium prices, with reference to electricity prices.</w:t>
      </w:r>
    </w:p>
    <w:p w:rsidR="00336793" w:rsidRDefault="00336793">
      <w:pPr>
        <w:spacing w:after="0"/>
        <w:rPr>
          <w:rFonts w:ascii="Calibri" w:hAnsi="Calibri"/>
          <w:i/>
          <w:sz w:val="26"/>
          <w:szCs w:val="22"/>
        </w:rPr>
      </w:pPr>
      <w:r>
        <w:br w:type="page"/>
      </w:r>
    </w:p>
    <w:p w:rsidR="00336793" w:rsidRPr="006A75A2" w:rsidRDefault="00336793" w:rsidP="00DB1F98">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pPr>
        <w:pStyle w:val="Heading4"/>
      </w:pPr>
      <w:r w:rsidRPr="006A75A2">
        <w:t>Derecognition of financial liabilities</w:t>
      </w:r>
    </w:p>
    <w:p w:rsidR="00336793" w:rsidRDefault="00336793" w:rsidP="00DB1F98">
      <w:pPr>
        <w:rPr>
          <w:rFonts w:ascii="Calibri" w:hAnsi="Calibri"/>
          <w:b/>
          <w:i/>
          <w:sz w:val="26"/>
          <w:szCs w:val="22"/>
        </w:rPr>
      </w:pPr>
      <w:r w:rsidRPr="006A75A2">
        <w:t xml:space="preserve">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t>‘</w:t>
      </w:r>
      <w:r w:rsidRPr="006A75A2">
        <w:t>Other economic flow</w:t>
      </w:r>
      <w:r>
        <w:t>’</w:t>
      </w:r>
      <w:r w:rsidRPr="006A75A2">
        <w:t xml:space="preserve"> in the consolidated comprehensive operating statement.</w:t>
      </w:r>
    </w:p>
    <w:p w:rsidR="00336793" w:rsidRPr="006A75A2" w:rsidRDefault="00336793" w:rsidP="00DF0B96">
      <w:pPr>
        <w:pStyle w:val="Heading3Numbering"/>
        <w:rPr>
          <w:kern w:val="0"/>
        </w:rPr>
      </w:pPr>
      <w:r w:rsidRPr="006A75A2">
        <w:rPr>
          <w:kern w:val="0"/>
        </w:rPr>
        <w:t>Leases</w:t>
      </w:r>
    </w:p>
    <w:p w:rsidR="00336793" w:rsidRDefault="00336793" w:rsidP="00DB1F98">
      <w:r w:rsidRPr="006A75A2">
        <w:t>A lease is a right to use an asset for an agreed period of time in exchange for payment.</w:t>
      </w:r>
    </w:p>
    <w:p w:rsidR="00336793" w:rsidRDefault="00336793" w:rsidP="00DF0B96">
      <w:r w:rsidRPr="006A75A2">
        <w:t>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rsidR="00336793" w:rsidRPr="006A75A2" w:rsidRDefault="00336793" w:rsidP="00DF0B96">
      <w:pPr>
        <w:pStyle w:val="Heading4"/>
      </w:pPr>
      <w:r w:rsidRPr="006A75A2">
        <w:t>Finance leases</w:t>
      </w:r>
    </w:p>
    <w:p w:rsidR="00336793" w:rsidRPr="006A75A2" w:rsidRDefault="00336793" w:rsidP="00DF0B96">
      <w:pPr>
        <w:pStyle w:val="Heading5"/>
      </w:pPr>
      <w:r w:rsidRPr="006A75A2">
        <w:t>State as lessor</w:t>
      </w:r>
    </w:p>
    <w:p w:rsidR="00336793" w:rsidRPr="006A75A2" w:rsidRDefault="00336793" w:rsidP="00DF0B96">
      <w:r w:rsidRPr="006A75A2">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rsidR="00336793" w:rsidRPr="006A75A2" w:rsidRDefault="00336793" w:rsidP="00DF0B96">
      <w:pPr>
        <w:pStyle w:val="Heading5"/>
      </w:pPr>
      <w:r w:rsidRPr="006A75A2">
        <w:t>State as lessee</w:t>
      </w:r>
    </w:p>
    <w:p w:rsidR="00336793" w:rsidRPr="006A75A2" w:rsidRDefault="00336793" w:rsidP="00DF0B96">
      <w:r w:rsidRPr="006A75A2">
        <w:t>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w:t>
      </w:r>
      <w:r>
        <w:noBreakHyphen/>
      </w:r>
      <w:r w:rsidRPr="006A75A2">
        <w:t xml:space="preserve">financial physical asset and depreciated over the shorter of the estimated useful life of the asset or the term of the lease. </w:t>
      </w:r>
    </w:p>
    <w:p w:rsidR="00336793" w:rsidRDefault="00336793" w:rsidP="00DF0B96">
      <w:r w:rsidRPr="006A75A2">
        <w:t>Minimum finance lease payments are apportioned between the reduction of the outstanding lease liability and the periodic finance expense</w:t>
      </w:r>
      <w:r>
        <w:t>,</w:t>
      </w:r>
      <w:r w:rsidRPr="006A75A2">
        <w:t xml:space="preserve"> which is calculated using the interest rate implicit in the lease and charged directly to the consolidated comprehensive operating statement. Contingent rentals associated with finance leases are recognised as an expense in the period in which they are incurred. </w:t>
      </w:r>
    </w:p>
    <w:p w:rsidR="00336793" w:rsidRDefault="00336793">
      <w:pPr>
        <w:spacing w:after="0"/>
        <w:rPr>
          <w:rFonts w:ascii="Calibri" w:hAnsi="Calibri"/>
          <w:i/>
          <w:sz w:val="26"/>
          <w:szCs w:val="22"/>
        </w:rPr>
      </w:pPr>
      <w:r>
        <w:br w:type="page"/>
      </w:r>
    </w:p>
    <w:p w:rsidR="00336793" w:rsidRPr="006A75A2" w:rsidRDefault="00336793" w:rsidP="00DB1F98">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pPr>
        <w:pStyle w:val="Heading4"/>
      </w:pPr>
      <w:r w:rsidRPr="006A75A2">
        <w:t>Operating leases</w:t>
      </w:r>
    </w:p>
    <w:p w:rsidR="00336793" w:rsidRPr="006A75A2" w:rsidRDefault="00336793" w:rsidP="00DF0B96">
      <w:pPr>
        <w:pStyle w:val="Heading5"/>
      </w:pPr>
      <w:r w:rsidRPr="006A75A2">
        <w:t>State as lessor</w:t>
      </w:r>
    </w:p>
    <w:p w:rsidR="00336793" w:rsidRPr="006A75A2" w:rsidRDefault="00336793" w:rsidP="00DF0B96">
      <w:r w:rsidRPr="006A75A2">
        <w:t>Rental revenue from operating leases is recognised on a straight line basis over the term of the relevant lease.</w:t>
      </w:r>
    </w:p>
    <w:p w:rsidR="00336793" w:rsidRPr="006A75A2" w:rsidRDefault="00336793" w:rsidP="00DF0B96">
      <w:r w:rsidRPr="006A75A2">
        <w:t>All incentives for the agreement of a new or renewed operating lease are recognised as an integral part of the net consideration agreed for the use of the leased asset, irrespective of the incentive</w:t>
      </w:r>
      <w:r>
        <w:t>’</w:t>
      </w:r>
      <w:r w:rsidRPr="006A75A2">
        <w:t>s nature or form or the timing of payments.</w:t>
      </w:r>
    </w:p>
    <w:p w:rsidR="00336793" w:rsidRPr="006A75A2" w:rsidRDefault="00336793" w:rsidP="00DF0B96">
      <w:r w:rsidRPr="006A75A2">
        <w:t>In the event that lease incentives are given to the lessee, the aggregate cost of incentives are recognised as a reduction of rental revenue over the lease term on a straight line basis, unless another systematic basis is more representative of the time pattern over which the economic benefit of the leased asset is diminished.</w:t>
      </w:r>
    </w:p>
    <w:p w:rsidR="00336793" w:rsidRPr="006A75A2" w:rsidRDefault="00336793" w:rsidP="00DF0B96">
      <w:pPr>
        <w:pStyle w:val="Heading5"/>
      </w:pPr>
      <w:r w:rsidRPr="006A75A2">
        <w:t>State as lessee</w:t>
      </w:r>
    </w:p>
    <w:p w:rsidR="00336793" w:rsidRPr="006A75A2" w:rsidRDefault="00336793" w:rsidP="00DF0B96">
      <w:r w:rsidRPr="006A75A2">
        <w:t>Operating lease payments, including any contingent rentals, are recognised as an expense from transactions in the consolidated comprehensive operating statement on a straight line basis over the lease term, except where another systematic basis is more representative of the time pattern of the benefits derived from the use of the leased asset. The leased asset is not recognised in the balance sheet.</w:t>
      </w:r>
    </w:p>
    <w:p w:rsidR="00336793" w:rsidRPr="006A75A2" w:rsidRDefault="00336793" w:rsidP="00DF0B96">
      <w:r w:rsidRPr="006A75A2">
        <w:t>All incentives for the agreement of a new or renewed operating lease are recognised as an integral part of the net consideration agreed for the use of the leased asset, irrespective of the incentive</w:t>
      </w:r>
      <w:r>
        <w:t>’</w:t>
      </w:r>
      <w:r w:rsidRPr="006A75A2">
        <w:t>s nature or form or the timing of payments.</w:t>
      </w:r>
    </w:p>
    <w:p w:rsidR="00336793" w:rsidRDefault="00336793" w:rsidP="00DF0B96">
      <w:r w:rsidRPr="006A75A2">
        <w:t>In the event that lease incentives are received to enter into operating leases, the aggregate benefit of incentives are recognised as a reduction of rental expense over the lease term on a straight line basis, unless another systematic basis is more representative of the time pattern in which economic benefits from the leased asset are consumed.</w:t>
      </w:r>
    </w:p>
    <w:p w:rsidR="00336793" w:rsidRPr="006A75A2" w:rsidRDefault="00336793" w:rsidP="00DF0B96">
      <w:pPr>
        <w:pStyle w:val="Heading3Numbering"/>
        <w:rPr>
          <w:kern w:val="0"/>
        </w:rPr>
      </w:pPr>
      <w:r w:rsidRPr="006A75A2">
        <w:rPr>
          <w:kern w:val="0"/>
        </w:rPr>
        <w:t>Budgetary information for the Victorian general government sector</w:t>
      </w:r>
    </w:p>
    <w:p w:rsidR="00336793" w:rsidRPr="006A75A2" w:rsidRDefault="00336793" w:rsidP="00DF0B96">
      <w:r w:rsidRPr="00B3771F">
        <w:t>Note 32</w:t>
      </w:r>
      <w:r w:rsidRPr="006A75A2">
        <w:t xml:space="preserve"> presents the original and revised published budget estimates for the Victorian general government sector, and explains material variances between the budget estimates and actual outcomes as presented in these annual financial statements.</w:t>
      </w:r>
    </w:p>
    <w:p w:rsidR="00336793" w:rsidRPr="006A75A2" w:rsidRDefault="00336793" w:rsidP="00DF0B96">
      <w:pPr>
        <w:pStyle w:val="Heading3Numbering"/>
        <w:rPr>
          <w:kern w:val="0"/>
        </w:rPr>
      </w:pPr>
      <w:r w:rsidRPr="006A75A2">
        <w:rPr>
          <w:kern w:val="0"/>
        </w:rPr>
        <w:t>Commitments</w:t>
      </w:r>
    </w:p>
    <w:p w:rsidR="00336793" w:rsidRDefault="00336793" w:rsidP="00DF0B96">
      <w:pPr>
        <w:rPr>
          <w:rFonts w:ascii="Calibri" w:hAnsi="Calibri"/>
          <w:b/>
          <w:i/>
          <w:sz w:val="26"/>
          <w:szCs w:val="22"/>
        </w:rPr>
      </w:pPr>
      <w:r w:rsidRPr="006A75A2">
        <w:t xml:space="preserve">Commitments for future expenditure include operating and capital commitments arising from contracts. These commitments are disclosed by way of a note (refer to </w:t>
      </w:r>
      <w:r w:rsidRPr="00B3771F">
        <w:t xml:space="preserve">Note 34 </w:t>
      </w:r>
      <w:r w:rsidRPr="00B3771F">
        <w:rPr>
          <w:i/>
        </w:rPr>
        <w:t>Commitments</w:t>
      </w:r>
      <w:r w:rsidRPr="006A75A2">
        <w:t xml:space="preserve">) at their nominal value and inclusive of the GST payable. 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consolidated balance sheet. </w:t>
      </w:r>
    </w:p>
    <w:p w:rsidR="00336793" w:rsidRPr="006A75A2" w:rsidRDefault="00336793" w:rsidP="00DF0B96">
      <w:pPr>
        <w:pStyle w:val="Heading3Numbering"/>
        <w:rPr>
          <w:kern w:val="0"/>
        </w:rPr>
      </w:pPr>
      <w:r w:rsidRPr="006A75A2">
        <w:rPr>
          <w:kern w:val="0"/>
        </w:rPr>
        <w:t>Contingent assets and contingent liabilities</w:t>
      </w:r>
    </w:p>
    <w:p w:rsidR="00336793" w:rsidRPr="006A75A2" w:rsidRDefault="00336793" w:rsidP="00DF0B96">
      <w:r w:rsidRPr="006A75A2">
        <w:t xml:space="preserve">Contingent assets and contingent liabilities are not recognised in the balance sheet but are disclosed by way of a note (refer to </w:t>
      </w:r>
      <w:r w:rsidRPr="00B3771F">
        <w:t xml:space="preserve">Note 35 </w:t>
      </w:r>
      <w:r w:rsidRPr="00B3771F">
        <w:rPr>
          <w:i/>
        </w:rPr>
        <w:t>Contingent assets and contingent liabilities</w:t>
      </w:r>
      <w:r w:rsidRPr="00B3771F">
        <w:t xml:space="preserve"> </w:t>
      </w:r>
      <w:r w:rsidRPr="00B3771F">
        <w:rPr>
          <w:i/>
        </w:rPr>
        <w:t>(State of Victoria)</w:t>
      </w:r>
      <w:r w:rsidRPr="006A75A2">
        <w:t xml:space="preserve">), and, if quantifiable, are measured at nominal value. Contingent assets and liabilities are presented inclusive of GST receivable or payable respectively. </w:t>
      </w:r>
    </w:p>
    <w:p w:rsidR="00336793" w:rsidRPr="006A75A2" w:rsidRDefault="00336793" w:rsidP="00DB1F98">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pPr>
        <w:pStyle w:val="Heading3Numbering"/>
        <w:rPr>
          <w:kern w:val="0"/>
        </w:rPr>
      </w:pPr>
      <w:r w:rsidRPr="006A75A2">
        <w:rPr>
          <w:kern w:val="0"/>
        </w:rPr>
        <w:t>Service concession arrangements</w:t>
      </w:r>
    </w:p>
    <w:p w:rsidR="00336793" w:rsidRPr="006A75A2" w:rsidRDefault="00336793" w:rsidP="00DF0B96">
      <w:r w:rsidRPr="006A75A2">
        <w:t xml:space="preserve">The State sometimes enters into certain arrangements with private sector participants to design and construct or upgrade assets used to provide public services. These arrangements are typically complex and usually include the provision of operational and maintenance services for a specified period of time. These arrangements are often referred to as either public private partnerships (PPPs) or service concession arrangements (SCAs). </w:t>
      </w:r>
    </w:p>
    <w:p w:rsidR="00336793" w:rsidRPr="006A75A2" w:rsidRDefault="00336793" w:rsidP="00DF0B96">
      <w:r w:rsidRPr="006A75A2">
        <w:t xml:space="preserve">These SCAs usually take one of two main forms. In the more common form, the State pays the operator over the period of the arrangement,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 policy (see </w:t>
      </w:r>
      <w:r w:rsidRPr="00B3771F">
        <w:t>Note 1(O)</w:t>
      </w:r>
      <w:r w:rsidRPr="006A75A2">
        <w:t>). The remaining components are accounted for as commitments for operating costs which are expensed in the comprehensive operating statement as they are incurred.</w:t>
      </w:r>
    </w:p>
    <w:p w:rsidR="00336793" w:rsidRPr="006A75A2" w:rsidRDefault="00336793" w:rsidP="00DF0B96">
      <w:r w:rsidRPr="006A75A2">
        <w:t>The other, less common form of SCA, is one in which the State grants to an operator, for a specified period of time, the right to collect fees from users of the SCA asset, in return for which the operator constructs the asset and has the obligation to supply agreed upon services, including maintenance of the asset for the period of the concession. These private sector entities typic</w:t>
      </w:r>
      <w:r>
        <w:t>ally lease land, and sometimes s</w:t>
      </w:r>
      <w:r w:rsidRPr="006A75A2">
        <w:t xml:space="preserve">tate works, from the State and construct infrastructure. At the end of the concession period, the land and state works, together with the constructed facilities, will be returned to the State. </w:t>
      </w:r>
    </w:p>
    <w:p w:rsidR="00336793" w:rsidRPr="006A75A2" w:rsidRDefault="00336793" w:rsidP="00DF0B96">
      <w:pPr>
        <w:rPr>
          <w:b/>
        </w:rPr>
      </w:pPr>
      <w:r w:rsidRPr="006A75A2">
        <w:t xml:space="preserve">Such service concession arrangements include the CityLink network, which has </w:t>
      </w:r>
      <w:r>
        <w:t>a nominal term of </w:t>
      </w:r>
      <w:r w:rsidRPr="002F5903">
        <w:t xml:space="preserve">34.5 years expiring </w:t>
      </w:r>
      <w:r>
        <w:t>15 January</w:t>
      </w:r>
      <w:r w:rsidRPr="002F5903">
        <w:t xml:space="preserve"> 2035</w:t>
      </w:r>
      <w:r w:rsidRPr="006A75A2">
        <w:t xml:space="preserve"> and EastLink, which is also a tollway, with a nominal term of 35 years expiring </w:t>
      </w:r>
      <w:r>
        <w:t>30 November</w:t>
      </w:r>
      <w:r w:rsidRPr="006A75A2">
        <w:t xml:space="preserve"> 2043. </w:t>
      </w:r>
    </w:p>
    <w:p w:rsidR="00336793" w:rsidRDefault="00336793" w:rsidP="00DB1F98">
      <w:pPr>
        <w:rPr>
          <w:rFonts w:ascii="Calibri" w:hAnsi="Calibri"/>
          <w:b/>
          <w:i/>
          <w:sz w:val="26"/>
          <w:szCs w:val="22"/>
        </w:rPr>
      </w:pPr>
      <w:r w:rsidRPr="006A75A2">
        <w:t xml:space="preserve">There is currently no authoritative accounting guidance applicable to grantors (the State) on the recognition and measurement of the right of the State to receive assets from such concession arrangements. Due to the lack of such guidance, there has been no change to existing policy and those assets are not currently recognised. </w:t>
      </w:r>
    </w:p>
    <w:p w:rsidR="00336793" w:rsidRPr="006A75A2" w:rsidRDefault="00336793" w:rsidP="00DF0B96">
      <w:pPr>
        <w:pStyle w:val="Heading3Numbering"/>
        <w:rPr>
          <w:kern w:val="0"/>
        </w:rPr>
      </w:pPr>
      <w:r w:rsidRPr="006A75A2">
        <w:rPr>
          <w:kern w:val="0"/>
        </w:rPr>
        <w:t>Accounting for the goods and services tax</w:t>
      </w:r>
    </w:p>
    <w:p w:rsidR="00336793" w:rsidRPr="006A75A2" w:rsidRDefault="00336793" w:rsidP="00DF0B96">
      <w:r w:rsidRPr="006A75A2">
        <w:t>Revenues, expenses and assets are recognised net of the amount of associated GST, except where the GST incurred is not recoverable from the taxation authority. In this case the GST payable is recognised as part of the cost of acquisition of an asset or part of an item of expense.</w:t>
      </w:r>
    </w:p>
    <w:p w:rsidR="00336793" w:rsidRDefault="00336793" w:rsidP="00DF0B96">
      <w:r w:rsidRPr="006A75A2">
        <w:t>Receivables and payables are stated inclusive of GST receivable or payable. The net amount of GST recoverable from, or payable to, the taxation authority is included with other receivables or payables in the consolidated balance sheet.</w:t>
      </w:r>
    </w:p>
    <w:p w:rsidR="00336793" w:rsidRPr="006A75A2" w:rsidRDefault="00336793" w:rsidP="00DF0B96">
      <w:r w:rsidRPr="006A75A2">
        <w:t>Cash flows are presented on a gross basis. The GST components of cash flows arising from investing or financing activities which are recoverable from, or payable to the taxation authority, are presented as an operating cash flow.</w:t>
      </w:r>
    </w:p>
    <w:p w:rsidR="00336793" w:rsidRPr="006A75A2" w:rsidRDefault="00336793" w:rsidP="00DF0B96">
      <w:r w:rsidRPr="006A75A2">
        <w:t>Commitments and contingent assets and liabilities are also stated inclusive of GST.</w:t>
      </w:r>
    </w:p>
    <w:p w:rsidR="00336793" w:rsidRDefault="00336793">
      <w:pPr>
        <w:spacing w:after="0"/>
        <w:rPr>
          <w:rFonts w:ascii="Calibri" w:hAnsi="Calibri"/>
          <w:b/>
          <w:i/>
          <w:sz w:val="26"/>
          <w:szCs w:val="22"/>
        </w:rPr>
      </w:pPr>
      <w:r>
        <w:br w:type="page"/>
      </w:r>
    </w:p>
    <w:p w:rsidR="00336793" w:rsidRPr="006A75A2" w:rsidRDefault="00336793" w:rsidP="00DB1F98">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pPr>
        <w:pStyle w:val="Heading3Numbering"/>
        <w:rPr>
          <w:kern w:val="0"/>
        </w:rPr>
      </w:pPr>
      <w:r w:rsidRPr="006A75A2">
        <w:rPr>
          <w:kern w:val="0"/>
        </w:rPr>
        <w:t>Foreign currency balances/transactions</w:t>
      </w:r>
    </w:p>
    <w:p w:rsidR="00336793" w:rsidRPr="006A75A2" w:rsidRDefault="00336793" w:rsidP="00DF0B96">
      <w:r w:rsidRPr="006A75A2">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w:t>
      </w:r>
      <w:r>
        <w:noBreakHyphen/>
      </w:r>
      <w:r w:rsidRPr="006A75A2">
        <w:t xml:space="preserve">monetary assets carried at fair value that are denominated in foreign currencies are translated to the functional currency at the rates prevailing at the date when the fair value was determined. </w:t>
      </w:r>
    </w:p>
    <w:p w:rsidR="00336793" w:rsidRPr="006A75A2" w:rsidRDefault="00336793" w:rsidP="00DF0B96">
      <w:r w:rsidRPr="006A75A2">
        <w:t>Foreign currency translation differences are recognised in other economic flows in the consolidated comprehensive operating statement and accumulated in a separate component of equity, in the period in which they arise.</w:t>
      </w:r>
    </w:p>
    <w:p w:rsidR="00336793" w:rsidRPr="006A75A2" w:rsidRDefault="00336793" w:rsidP="00DF0B96">
      <w:pPr>
        <w:pStyle w:val="Heading3Numbering"/>
        <w:rPr>
          <w:kern w:val="0"/>
        </w:rPr>
      </w:pPr>
      <w:r w:rsidRPr="006A75A2">
        <w:rPr>
          <w:kern w:val="0"/>
        </w:rPr>
        <w:t>Australian Accounting Standards issued that are not yet effective</w:t>
      </w:r>
    </w:p>
    <w:p w:rsidR="00336793" w:rsidRDefault="00336793" w:rsidP="00DF0B96">
      <w:r w:rsidRPr="006A75A2">
        <w:t>The following</w:t>
      </w:r>
      <w:r>
        <w:t xml:space="preserve"> relevant</w:t>
      </w:r>
      <w:r w:rsidRPr="006A75A2">
        <w:t xml:space="preserve"> AASs have been issued by the AASB but are not yet effective. They become effective for the first consolidated financial statements for reporting periods commencing after the ope</w:t>
      </w:r>
      <w:r>
        <w:t>rative dates stated as follows:</w:t>
      </w:r>
    </w:p>
    <w:p w:rsidR="00336793" w:rsidRDefault="00336793" w:rsidP="00DF0B96">
      <w:pPr>
        <w:pStyle w:val="BulletText"/>
      </w:pPr>
      <w:r>
        <w:t>AASB 2015</w:t>
      </w:r>
      <w:r>
        <w:noBreakHyphen/>
        <w:t xml:space="preserve">7 </w:t>
      </w:r>
      <w:r w:rsidRPr="008F756B">
        <w:rPr>
          <w:i/>
        </w:rPr>
        <w:t>Amendments to Australian Accounting Standards – Fair Value Disclosures of Not</w:t>
      </w:r>
      <w:r>
        <w:rPr>
          <w:i/>
        </w:rPr>
        <w:noBreakHyphen/>
      </w:r>
      <w:r w:rsidRPr="008F756B">
        <w:rPr>
          <w:i/>
        </w:rPr>
        <w:t>for</w:t>
      </w:r>
      <w:r>
        <w:rPr>
          <w:i/>
        </w:rPr>
        <w:noBreakHyphen/>
      </w:r>
      <w:r w:rsidRPr="008F756B">
        <w:rPr>
          <w:i/>
        </w:rPr>
        <w:t>Profit Public Sector Entities</w:t>
      </w:r>
      <w:r>
        <w:t xml:space="preserve"> is operative for reporting period commencing 1 July 2016, but is available for early adoption. This standard provides scope</w:t>
      </w:r>
      <w:r>
        <w:noBreakHyphen/>
        <w:t>limited relief for not</w:t>
      </w:r>
      <w:r>
        <w:noBreakHyphen/>
        <w:t>for</w:t>
      </w:r>
      <w:r>
        <w:noBreakHyphen/>
        <w:t xml:space="preserve">profit public sector entities from making certain specified disclosures about the fair value measurement of assets within the scope of AASB 116 </w:t>
      </w:r>
      <w:r w:rsidRPr="009F7B93">
        <w:rPr>
          <w:i/>
        </w:rPr>
        <w:t>Property, Plant and Equipment</w:t>
      </w:r>
      <w:r>
        <w:t>. The State has elected to early adopt AASB 2015</w:t>
      </w:r>
      <w:r>
        <w:noBreakHyphen/>
        <w:t>7 for the 2014</w:t>
      </w:r>
      <w:r>
        <w:noBreakHyphen/>
        <w:t xml:space="preserve">15 reporting period. </w:t>
      </w:r>
    </w:p>
    <w:p w:rsidR="00336793" w:rsidRDefault="00336793" w:rsidP="00DF0B96">
      <w:pPr>
        <w:pStyle w:val="BulletText"/>
      </w:pPr>
      <w:r w:rsidRPr="003B1A55">
        <w:t xml:space="preserve">AASB 9 </w:t>
      </w:r>
      <w:r w:rsidRPr="008A2423">
        <w:rPr>
          <w:i/>
        </w:rPr>
        <w:t>Financial Instruments</w:t>
      </w:r>
      <w:r w:rsidRPr="003B1A55">
        <w:t>, operative for reporting perio</w:t>
      </w:r>
      <w:r>
        <w:t>ds beginning from 1 January 2018</w:t>
      </w:r>
      <w:r w:rsidRPr="003B1A55">
        <w:t>. This standard simplifies requirements for the classification and measurement of fin</w:t>
      </w:r>
      <w:r>
        <w:t xml:space="preserve">ancial assets, and provide a new hedging accounting model and a revised impairment loss model to recognise impairment losses earlier, as opposed to the current approach that recognises impairment only when incurred. The State is reviewing its existing policies to make changes as required. </w:t>
      </w:r>
    </w:p>
    <w:p w:rsidR="00336793" w:rsidRDefault="00336793" w:rsidP="00DF0B96">
      <w:pPr>
        <w:pStyle w:val="BulletText"/>
      </w:pPr>
      <w:r w:rsidRPr="003B1A55">
        <w:t>AASB 15 </w:t>
      </w:r>
      <w:r w:rsidRPr="008A2423">
        <w:rPr>
          <w:i/>
        </w:rPr>
        <w:t>Revenue from Contracts with Customers</w:t>
      </w:r>
      <w:r w:rsidRPr="003B1A55">
        <w:t>, operative for reporting p</w:t>
      </w:r>
      <w:r>
        <w:t>eriods commencing 1 January 2018</w:t>
      </w:r>
      <w:r w:rsidRPr="003B1A55">
        <w:t>. AASB 15 requires an entity to recognise revenue when the entity satisfies a performance obligation by transferring a promised good or service to a customer. The changes in revenue recognition requirements in AASB 15 may result in changes to the timing and amount of revenue recorded in the State</w:t>
      </w:r>
      <w:r>
        <w:t>’</w:t>
      </w:r>
      <w:r w:rsidRPr="003B1A55">
        <w:t>s financial statements, the impact of which is still being assessed. The Standard will also require</w:t>
      </w:r>
      <w:r>
        <w:t xml:space="preserve"> </w:t>
      </w:r>
      <w:r w:rsidRPr="003B1A55">
        <w:t>additional disclosures</w:t>
      </w:r>
      <w:r>
        <w:t xml:space="preserve"> about performance obligations and explanations for any significant judgements made</w:t>
      </w:r>
      <w:r w:rsidRPr="003B1A55">
        <w:t xml:space="preserve">. </w:t>
      </w:r>
    </w:p>
    <w:p w:rsidR="00336793" w:rsidRPr="003B1A55" w:rsidRDefault="00336793" w:rsidP="00DF0B96">
      <w:pPr>
        <w:pStyle w:val="BulletText"/>
      </w:pPr>
      <w:r w:rsidRPr="003B1A55">
        <w:t xml:space="preserve">AASB 124 </w:t>
      </w:r>
      <w:r w:rsidRPr="003B1A55">
        <w:rPr>
          <w:i/>
        </w:rPr>
        <w:t>Related Party Disclosures</w:t>
      </w:r>
      <w:r w:rsidRPr="003B1A55">
        <w:t>, operative for reporting periods commencing 1 July 2016. This standard extends the scope of related party disclosures to not</w:t>
      </w:r>
      <w:r>
        <w:noBreakHyphen/>
      </w:r>
      <w:r w:rsidRPr="003B1A55">
        <w:t>for</w:t>
      </w:r>
      <w:r>
        <w:noBreakHyphen/>
      </w:r>
      <w:r w:rsidRPr="003B1A55">
        <w:t>profit public sector entities, which will result in more disclosures in relation to the key management personnel and related party transactions at the State level.</w:t>
      </w:r>
    </w:p>
    <w:p w:rsidR="00336793" w:rsidRDefault="00336793" w:rsidP="00DF0B96">
      <w:r>
        <w:t>Several other amending standards have been issued that are applicable for future reporting periods, which have insignificant impacts on public sector reporting.</w:t>
      </w:r>
    </w:p>
    <w:p w:rsidR="00336793" w:rsidRDefault="00336793" w:rsidP="00DF0B96">
      <w:pPr>
        <w:rPr>
          <w:rFonts w:ascii="Calibri" w:hAnsi="Calibri"/>
          <w:b/>
          <w:i/>
          <w:sz w:val="26"/>
          <w:szCs w:val="22"/>
        </w:rPr>
      </w:pPr>
      <w:r>
        <w:t>At this stage, there is no intention to early adopt the above accounting standards, except for AASB 2015</w:t>
      </w:r>
      <w:r>
        <w:noBreakHyphen/>
        <w:t>7.</w:t>
      </w:r>
    </w:p>
    <w:p w:rsidR="00336793" w:rsidRDefault="00336793">
      <w:pPr>
        <w:spacing w:after="0"/>
        <w:rPr>
          <w:rFonts w:ascii="Calibri" w:hAnsi="Calibri"/>
          <w:b/>
          <w:i/>
          <w:sz w:val="26"/>
          <w:szCs w:val="22"/>
        </w:rPr>
      </w:pPr>
      <w:r>
        <w:br w:type="page"/>
      </w:r>
    </w:p>
    <w:p w:rsidR="00336793" w:rsidRPr="006A75A2" w:rsidRDefault="00336793" w:rsidP="00DB1F98">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336793" w:rsidRPr="006A75A2" w:rsidRDefault="00336793" w:rsidP="00DF0B96">
      <w:pPr>
        <w:pStyle w:val="Heading3Numbering"/>
        <w:rPr>
          <w:kern w:val="0"/>
        </w:rPr>
      </w:pPr>
      <w:r w:rsidRPr="006A75A2">
        <w:rPr>
          <w:kern w:val="0"/>
        </w:rPr>
        <w:t>Events after the reporting period</w:t>
      </w:r>
    </w:p>
    <w:p w:rsidR="00336793" w:rsidRPr="006A75A2" w:rsidRDefault="00336793" w:rsidP="00DF0B96">
      <w:r w:rsidRPr="006A75A2">
        <w:t>Assets, liabilities, revenues or expenses arise from past transactions or other past events. Adjustments are made to amounts recognised in the financial statements for events</w:t>
      </w:r>
      <w:r>
        <w:t>,</w:t>
      </w:r>
      <w:r w:rsidRPr="006A75A2">
        <w:t xml:space="preserve"> which occur after the reporting period and before the date the statements are authorised for issue, where those events provide information about conditions which existed at the reporting date. If required, note disclosure is made about events that occur between the end of the reporting period and the date the statements are authorised for issue where the events relate to conditions which arose after the reporting period that are considered to be of material interest (refer to </w:t>
      </w:r>
      <w:r w:rsidRPr="00B3771F">
        <w:t xml:space="preserve">Note 38 </w:t>
      </w:r>
      <w:r w:rsidRPr="00B3771F">
        <w:rPr>
          <w:i/>
        </w:rPr>
        <w:t>Subsequent events</w:t>
      </w:r>
      <w:r w:rsidRPr="006A75A2">
        <w:t>).</w:t>
      </w:r>
    </w:p>
    <w:p w:rsidR="00336793" w:rsidRDefault="00336793" w:rsidP="00DF0B96"/>
    <w:p w:rsidR="00336793" w:rsidRDefault="00336793" w:rsidP="00DF0B96"/>
    <w:p w:rsidR="00336793" w:rsidRDefault="00336793" w:rsidP="00DF0B96">
      <w:r w:rsidRPr="006A75A2">
        <w:br w:type="page"/>
      </w:r>
    </w:p>
    <w:p w:rsidR="00336793" w:rsidRPr="006A75A2" w:rsidRDefault="00336793" w:rsidP="00DF0B96">
      <w:pPr>
        <w:pStyle w:val="Heading2Notes"/>
      </w:pPr>
      <w:bookmarkStart w:id="32" w:name="_Toc400040249"/>
      <w:bookmarkStart w:id="33" w:name="_Toc433984485"/>
      <w:r w:rsidRPr="006A75A2">
        <w:lastRenderedPageBreak/>
        <w:t>Note 2:</w:t>
      </w:r>
      <w:r w:rsidRPr="006A75A2">
        <w:tab/>
        <w:t>Disaggregated information</w:t>
      </w:r>
      <w:bookmarkEnd w:id="32"/>
      <w:bookmarkEnd w:id="33"/>
    </w:p>
    <w:p w:rsidR="00336793" w:rsidRPr="006A75A2" w:rsidRDefault="00336793" w:rsidP="00DF0B96">
      <w:pPr>
        <w:pStyle w:val="Tableheading"/>
      </w:pPr>
      <w:r w:rsidRPr="006A75A2">
        <w:t xml:space="preserve">Disaggregated operating statement for </w:t>
      </w:r>
      <w:r w:rsidRPr="005C65DE">
        <w:t>the</w:t>
      </w:r>
      <w:r w:rsidRPr="006A75A2">
        <w:t xml:space="preserve"> financial year ended 30 June</w:t>
      </w:r>
    </w:p>
    <w:p w:rsidR="00336793" w:rsidRPr="003A43CD" w:rsidRDefault="00336793" w:rsidP="00DF0B96">
      <w:pPr>
        <w:pStyle w:val="million"/>
      </w:pPr>
      <w:r w:rsidRPr="006A75A2">
        <w:t>($</w:t>
      </w:r>
      <w:r>
        <w:t> million)</w:t>
      </w:r>
    </w:p>
    <w:tbl>
      <w:tblPr>
        <w:tblW w:w="10277" w:type="dxa"/>
        <w:tblInd w:w="28" w:type="dxa"/>
        <w:tblLayout w:type="fixed"/>
        <w:tblCellMar>
          <w:left w:w="45" w:type="dxa"/>
          <w:right w:w="45" w:type="dxa"/>
        </w:tblCellMar>
        <w:tblLook w:val="0000" w:firstRow="0" w:lastRow="0" w:firstColumn="0" w:lastColumn="0" w:noHBand="0" w:noVBand="0"/>
      </w:tblPr>
      <w:tblGrid>
        <w:gridCol w:w="5507"/>
        <w:gridCol w:w="252"/>
        <w:gridCol w:w="738"/>
        <w:gridCol w:w="900"/>
        <w:gridCol w:w="180"/>
        <w:gridCol w:w="1080"/>
        <w:gridCol w:w="720"/>
        <w:gridCol w:w="900"/>
      </w:tblGrid>
      <w:tr w:rsidR="00336793" w:rsidRPr="00A84782" w:rsidTr="00DF0B96">
        <w:tc>
          <w:tcPr>
            <w:tcW w:w="5759" w:type="dxa"/>
            <w:gridSpan w:val="2"/>
            <w:tcBorders>
              <w:top w:val="single" w:sz="6" w:space="0" w:color="auto"/>
              <w:left w:val="single" w:sz="6" w:space="0" w:color="auto"/>
              <w:bottom w:val="nil"/>
              <w:right w:val="nil"/>
            </w:tcBorders>
            <w:shd w:val="clear" w:color="000000" w:fill="000000"/>
          </w:tcPr>
          <w:p w:rsidR="00336793" w:rsidRPr="00A84782" w:rsidRDefault="00336793" w:rsidP="00DF0B96">
            <w:pPr>
              <w:pStyle w:val="Tabletext"/>
              <w:rPr>
                <w:rFonts w:eastAsiaTheme="minorEastAsia"/>
                <w:i/>
                <w:sz w:val="19"/>
                <w:lang w:eastAsia="en-AU"/>
              </w:rPr>
            </w:pPr>
            <w:r w:rsidRPr="00A84782">
              <w:rPr>
                <w:rFonts w:eastAsiaTheme="minorEastAsia"/>
                <w:i/>
                <w:sz w:val="19"/>
                <w:lang w:eastAsia="en-AU"/>
              </w:rPr>
              <w:t xml:space="preserve"> </w:t>
            </w:r>
          </w:p>
        </w:tc>
        <w:tc>
          <w:tcPr>
            <w:tcW w:w="1638" w:type="dxa"/>
            <w:gridSpan w:val="2"/>
            <w:tcBorders>
              <w:top w:val="single" w:sz="6" w:space="0" w:color="auto"/>
              <w:left w:val="nil"/>
              <w:bottom w:val="nil"/>
              <w:right w:val="nil"/>
            </w:tcBorders>
            <w:shd w:val="clear" w:color="000000" w:fill="000000"/>
          </w:tcPr>
          <w:p w:rsidR="00336793" w:rsidRPr="00A84782" w:rsidRDefault="00336793" w:rsidP="00DF0B96">
            <w:pPr>
              <w:pStyle w:val="Tabletextheading"/>
              <w:jc w:val="center"/>
              <w:rPr>
                <w:rFonts w:eastAsiaTheme="minorEastAsia"/>
                <w:color w:val="FFFFFF"/>
                <w:sz w:val="19"/>
                <w:lang w:eastAsia="en-AU"/>
              </w:rPr>
            </w:pPr>
            <w:r w:rsidRPr="00A84782">
              <w:rPr>
                <w:rFonts w:eastAsiaTheme="minorEastAsia"/>
                <w:color w:val="FFFFFF"/>
                <w:sz w:val="19"/>
                <w:lang w:eastAsia="en-AU"/>
              </w:rPr>
              <w:t>General government sector</w:t>
            </w:r>
          </w:p>
        </w:tc>
        <w:tc>
          <w:tcPr>
            <w:tcW w:w="180" w:type="dxa"/>
            <w:tcBorders>
              <w:top w:val="single" w:sz="6" w:space="0" w:color="auto"/>
              <w:left w:val="nil"/>
              <w:bottom w:val="nil"/>
              <w:right w:val="nil"/>
            </w:tcBorders>
            <w:shd w:val="clear" w:color="000000" w:fill="000000"/>
          </w:tcPr>
          <w:p w:rsidR="00336793" w:rsidRPr="00A84782" w:rsidRDefault="00336793" w:rsidP="00DF0B96">
            <w:pPr>
              <w:pStyle w:val="Tabletextheading"/>
              <w:jc w:val="center"/>
              <w:rPr>
                <w:rFonts w:eastAsiaTheme="minorEastAsia" w:cs="Calibri"/>
                <w:iCs/>
                <w:color w:val="FFFFFF"/>
                <w:sz w:val="19"/>
                <w:szCs w:val="22"/>
                <w:lang w:eastAsia="en-AU"/>
              </w:rPr>
            </w:pPr>
            <w:r w:rsidRPr="00A84782">
              <w:rPr>
                <w:rFonts w:eastAsiaTheme="minorEastAsia"/>
                <w:color w:val="FFFFFF"/>
                <w:sz w:val="19"/>
                <w:lang w:eastAsia="en-AU"/>
              </w:rPr>
              <w:t xml:space="preserve"> </w:t>
            </w:r>
          </w:p>
        </w:tc>
        <w:tc>
          <w:tcPr>
            <w:tcW w:w="1800" w:type="dxa"/>
            <w:gridSpan w:val="2"/>
            <w:tcBorders>
              <w:top w:val="single" w:sz="6" w:space="0" w:color="auto"/>
              <w:left w:val="nil"/>
              <w:bottom w:val="nil"/>
              <w:right w:val="nil"/>
            </w:tcBorders>
            <w:shd w:val="clear" w:color="000000" w:fill="000000"/>
          </w:tcPr>
          <w:p w:rsidR="00336793" w:rsidRPr="00A84782" w:rsidRDefault="00336793" w:rsidP="00DF0B96">
            <w:pPr>
              <w:pStyle w:val="Tabletextheading"/>
              <w:jc w:val="center"/>
              <w:rPr>
                <w:rFonts w:eastAsiaTheme="minorEastAsia"/>
                <w:color w:val="FFFFFF"/>
                <w:sz w:val="19"/>
                <w:lang w:eastAsia="en-AU"/>
              </w:rPr>
            </w:pPr>
            <w:r w:rsidRPr="00A84782">
              <w:rPr>
                <w:rFonts w:eastAsiaTheme="minorEastAsia"/>
                <w:color w:val="FFFFFF"/>
                <w:sz w:val="19"/>
                <w:lang w:eastAsia="en-AU"/>
              </w:rPr>
              <w:t>Public non</w:t>
            </w:r>
            <w:r>
              <w:rPr>
                <w:rFonts w:eastAsiaTheme="minorEastAsia"/>
                <w:color w:val="FFFFFF"/>
                <w:sz w:val="19"/>
                <w:lang w:eastAsia="en-AU"/>
              </w:rPr>
              <w:noBreakHyphen/>
            </w:r>
            <w:r w:rsidRPr="00A84782">
              <w:rPr>
                <w:rFonts w:eastAsiaTheme="minorEastAsia"/>
                <w:color w:val="FFFFFF"/>
                <w:sz w:val="19"/>
                <w:lang w:eastAsia="en-AU"/>
              </w:rPr>
              <w:t>financial corporations</w:t>
            </w:r>
          </w:p>
        </w:tc>
        <w:tc>
          <w:tcPr>
            <w:tcW w:w="900" w:type="dxa"/>
            <w:tcBorders>
              <w:top w:val="single" w:sz="6" w:space="0" w:color="auto"/>
              <w:left w:val="nil"/>
              <w:bottom w:val="nil"/>
              <w:right w:val="single" w:sz="6" w:space="0" w:color="auto"/>
            </w:tcBorders>
            <w:shd w:val="clear" w:color="000000" w:fill="000000"/>
          </w:tcPr>
          <w:p w:rsidR="00336793" w:rsidRPr="00A84782" w:rsidRDefault="00336793" w:rsidP="00DF0B96">
            <w:pPr>
              <w:pStyle w:val="Tabletextheading"/>
              <w:ind w:right="495"/>
              <w:rPr>
                <w:rFonts w:eastAsiaTheme="minorEastAsia"/>
                <w:color w:val="FFFFFF"/>
                <w:sz w:val="19"/>
                <w:lang w:eastAsia="en-AU"/>
              </w:rPr>
            </w:pPr>
            <w:r w:rsidRPr="00A84782">
              <w:rPr>
                <w:rFonts w:eastAsiaTheme="minorEastAsia"/>
                <w:color w:val="FFFFFF"/>
                <w:sz w:val="19"/>
                <w:lang w:eastAsia="en-AU"/>
              </w:rPr>
              <w:t xml:space="preserve"> </w:t>
            </w:r>
          </w:p>
        </w:tc>
      </w:tr>
      <w:tr w:rsidR="00336793" w:rsidRPr="00A84782" w:rsidTr="00DF0B96">
        <w:tc>
          <w:tcPr>
            <w:tcW w:w="5507" w:type="dxa"/>
            <w:tcBorders>
              <w:left w:val="single" w:sz="6" w:space="0" w:color="auto"/>
              <w:bottom w:val="single" w:sz="6" w:space="0" w:color="auto"/>
              <w:right w:val="nil"/>
            </w:tcBorders>
            <w:shd w:val="clear" w:color="000000" w:fill="000000"/>
          </w:tcPr>
          <w:p w:rsidR="00336793" w:rsidRPr="00A84782" w:rsidRDefault="00336793" w:rsidP="00DF0B96">
            <w:pPr>
              <w:pStyle w:val="Tabletext"/>
              <w:rPr>
                <w:rFonts w:eastAsiaTheme="minorEastAsia"/>
                <w:i/>
                <w:sz w:val="19"/>
                <w:lang w:eastAsia="en-AU"/>
              </w:rPr>
            </w:pPr>
            <w:r w:rsidRPr="00A84782">
              <w:rPr>
                <w:rFonts w:eastAsiaTheme="minorEastAsia"/>
                <w:i/>
                <w:sz w:val="19"/>
                <w:lang w:eastAsia="en-AU"/>
              </w:rPr>
              <w:t xml:space="preserve"> </w:t>
            </w:r>
          </w:p>
        </w:tc>
        <w:tc>
          <w:tcPr>
            <w:tcW w:w="990" w:type="dxa"/>
            <w:gridSpan w:val="2"/>
            <w:tcBorders>
              <w:left w:val="nil"/>
              <w:bottom w:val="single" w:sz="6" w:space="0" w:color="auto"/>
              <w:right w:val="nil"/>
            </w:tcBorders>
            <w:shd w:val="clear" w:color="000000" w:fill="000000"/>
          </w:tcPr>
          <w:p w:rsidR="00336793" w:rsidRPr="00A84782" w:rsidRDefault="00336793" w:rsidP="00DF0B96">
            <w:pPr>
              <w:pStyle w:val="Tabletextheading"/>
              <w:rPr>
                <w:rFonts w:eastAsiaTheme="minorEastAsia"/>
                <w:color w:val="FFFFFF"/>
                <w:sz w:val="19"/>
                <w:lang w:eastAsia="en-AU"/>
              </w:rPr>
            </w:pPr>
            <w:r w:rsidRPr="00A84782">
              <w:rPr>
                <w:rFonts w:eastAsiaTheme="minorEastAsia"/>
                <w:color w:val="FFFFFF"/>
                <w:sz w:val="19"/>
                <w:lang w:eastAsia="en-AU"/>
              </w:rPr>
              <w:t>2015</w:t>
            </w:r>
          </w:p>
        </w:tc>
        <w:tc>
          <w:tcPr>
            <w:tcW w:w="1080" w:type="dxa"/>
            <w:gridSpan w:val="2"/>
            <w:tcBorders>
              <w:left w:val="nil"/>
              <w:bottom w:val="single" w:sz="6" w:space="0" w:color="auto"/>
              <w:right w:val="nil"/>
            </w:tcBorders>
            <w:shd w:val="clear" w:color="000000" w:fill="000000"/>
          </w:tcPr>
          <w:p w:rsidR="00336793" w:rsidRPr="00A84782" w:rsidRDefault="00336793" w:rsidP="00DF0B96">
            <w:pPr>
              <w:pStyle w:val="Tabletextheading"/>
              <w:rPr>
                <w:rFonts w:eastAsiaTheme="minorEastAsia"/>
                <w:color w:val="FFFFFF"/>
                <w:sz w:val="19"/>
                <w:lang w:eastAsia="en-AU"/>
              </w:rPr>
            </w:pPr>
            <w:r w:rsidRPr="00A84782">
              <w:rPr>
                <w:rFonts w:eastAsiaTheme="minorEastAsia"/>
                <w:color w:val="FFFFFF"/>
                <w:sz w:val="19"/>
                <w:lang w:eastAsia="en-AU"/>
              </w:rPr>
              <w:t>2014</w:t>
            </w:r>
            <w:r w:rsidRPr="00A84782">
              <w:rPr>
                <w:rFonts w:eastAsiaTheme="minorEastAsia"/>
                <w:color w:val="FFFFFF"/>
                <w:sz w:val="19"/>
                <w:vertAlign w:val="superscript"/>
                <w:lang w:eastAsia="en-AU"/>
              </w:rPr>
              <w:t>(a)</w:t>
            </w:r>
          </w:p>
        </w:tc>
        <w:tc>
          <w:tcPr>
            <w:tcW w:w="1080" w:type="dxa"/>
            <w:tcBorders>
              <w:left w:val="nil"/>
              <w:bottom w:val="single" w:sz="6" w:space="0" w:color="auto"/>
              <w:right w:val="nil"/>
            </w:tcBorders>
            <w:shd w:val="clear" w:color="000000" w:fill="000000"/>
          </w:tcPr>
          <w:p w:rsidR="00336793" w:rsidRPr="00A84782" w:rsidRDefault="00336793" w:rsidP="00DF0B96">
            <w:pPr>
              <w:pStyle w:val="Tabletextheading"/>
              <w:rPr>
                <w:rFonts w:eastAsiaTheme="minorEastAsia"/>
                <w:color w:val="FFFFFF"/>
                <w:sz w:val="19"/>
                <w:lang w:eastAsia="en-AU"/>
              </w:rPr>
            </w:pPr>
            <w:r w:rsidRPr="00A84782">
              <w:rPr>
                <w:rFonts w:eastAsiaTheme="minorEastAsia"/>
                <w:color w:val="FFFFFF"/>
                <w:sz w:val="19"/>
                <w:lang w:eastAsia="en-AU"/>
              </w:rPr>
              <w:t>2015</w:t>
            </w:r>
          </w:p>
        </w:tc>
        <w:tc>
          <w:tcPr>
            <w:tcW w:w="1620" w:type="dxa"/>
            <w:gridSpan w:val="2"/>
            <w:tcBorders>
              <w:left w:val="nil"/>
              <w:bottom w:val="single" w:sz="6" w:space="0" w:color="auto"/>
              <w:right w:val="single" w:sz="6" w:space="0" w:color="auto"/>
            </w:tcBorders>
            <w:shd w:val="clear" w:color="000000" w:fill="000000"/>
          </w:tcPr>
          <w:p w:rsidR="00336793" w:rsidRPr="00A84782" w:rsidRDefault="00336793" w:rsidP="00DF0B96">
            <w:pPr>
              <w:pStyle w:val="Tabletextheading"/>
              <w:ind w:right="495"/>
              <w:rPr>
                <w:rFonts w:eastAsiaTheme="minorEastAsia"/>
                <w:color w:val="FFFFFF"/>
                <w:sz w:val="19"/>
                <w:lang w:eastAsia="en-AU"/>
              </w:rPr>
            </w:pPr>
            <w:r w:rsidRPr="00A84782">
              <w:rPr>
                <w:rFonts w:eastAsiaTheme="minorEastAsia"/>
                <w:color w:val="FFFFFF"/>
                <w:sz w:val="19"/>
                <w:lang w:eastAsia="en-AU"/>
              </w:rPr>
              <w:t>2014</w:t>
            </w:r>
            <w:r w:rsidRPr="00A84782">
              <w:rPr>
                <w:rFonts w:eastAsiaTheme="minorEastAsia"/>
                <w:color w:val="FFFFFF"/>
                <w:sz w:val="19"/>
                <w:vertAlign w:val="superscript"/>
                <w:lang w:eastAsia="en-AU"/>
              </w:rPr>
              <w:t>(a)</w:t>
            </w:r>
          </w:p>
        </w:tc>
      </w:tr>
      <w:tr w:rsidR="00336793" w:rsidRPr="00A84782" w:rsidTr="00DF0B96">
        <w:tc>
          <w:tcPr>
            <w:tcW w:w="5507" w:type="dxa"/>
            <w:tcBorders>
              <w:top w:val="single" w:sz="6" w:space="0" w:color="auto"/>
              <w:left w:val="nil"/>
              <w:bottom w:val="nil"/>
              <w:right w:val="nil"/>
            </w:tcBorders>
            <w:shd w:val="solid" w:color="FFFFFF" w:fill="auto"/>
          </w:tcPr>
          <w:p w:rsidR="00336793" w:rsidRPr="00A84782" w:rsidRDefault="00336793" w:rsidP="00DF0B96">
            <w:pPr>
              <w:pStyle w:val="Tabletext"/>
              <w:rPr>
                <w:rFonts w:eastAsiaTheme="minorEastAsia"/>
                <w:b/>
                <w:bCs/>
                <w:sz w:val="19"/>
                <w:lang w:eastAsia="en-AU"/>
              </w:rPr>
            </w:pPr>
            <w:r w:rsidRPr="00A84782">
              <w:rPr>
                <w:rFonts w:eastAsiaTheme="minorEastAsia"/>
                <w:b/>
                <w:bCs/>
                <w:sz w:val="19"/>
                <w:lang w:eastAsia="en-AU"/>
              </w:rPr>
              <w:t>Revenue from transactions</w:t>
            </w:r>
          </w:p>
        </w:tc>
        <w:tc>
          <w:tcPr>
            <w:tcW w:w="990" w:type="dxa"/>
            <w:gridSpan w:val="2"/>
            <w:tcBorders>
              <w:top w:val="single" w:sz="6" w:space="0" w:color="auto"/>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gridSpan w:val="2"/>
            <w:tcBorders>
              <w:top w:val="single" w:sz="6" w:space="0" w:color="auto"/>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tcBorders>
              <w:top w:val="single" w:sz="6" w:space="0" w:color="auto"/>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20" w:type="dxa"/>
            <w:gridSpan w:val="2"/>
            <w:tcBorders>
              <w:top w:val="single" w:sz="6" w:space="0" w:color="auto"/>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Taxation revenue</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18 338.7</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16 900.9</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Interest revenue</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827.1</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831.2</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46.2</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56.4</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vertAlign w:val="superscript"/>
                <w:lang w:eastAsia="en-AU"/>
              </w:rPr>
            </w:pPr>
            <w:r w:rsidRPr="00A84782">
              <w:rPr>
                <w:rFonts w:eastAsiaTheme="minorEastAsia"/>
                <w:sz w:val="19"/>
                <w:lang w:eastAsia="en-AU"/>
              </w:rPr>
              <w:t>Dividends and income tax equivalent and rate equivalent revenue</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1 112.7</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445.9</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24.9</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15.5</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Sales of goods and services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6 482.2</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6 724.8</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6 017.6</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6 090.9</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Grant revenue</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24 502.8</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25 144.9</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2 784.4</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2 646.4</w:t>
            </w:r>
          </w:p>
        </w:tc>
      </w:tr>
      <w:tr w:rsidR="00336793" w:rsidRPr="00A84782" w:rsidTr="00DF0B96">
        <w:tc>
          <w:tcPr>
            <w:tcW w:w="5507" w:type="dxa"/>
            <w:tcBorders>
              <w:top w:val="nil"/>
              <w:left w:val="nil"/>
              <w:bottom w:val="single" w:sz="6" w:space="0" w:color="000000"/>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Other revenue</w:t>
            </w:r>
          </w:p>
        </w:tc>
        <w:tc>
          <w:tcPr>
            <w:tcW w:w="990"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2 508.5</w:t>
            </w:r>
          </w:p>
        </w:tc>
        <w:tc>
          <w:tcPr>
            <w:tcW w:w="1080"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2 316.9</w:t>
            </w:r>
          </w:p>
        </w:tc>
        <w:tc>
          <w:tcPr>
            <w:tcW w:w="1080" w:type="dxa"/>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611.8</w:t>
            </w:r>
          </w:p>
        </w:tc>
        <w:tc>
          <w:tcPr>
            <w:tcW w:w="1620"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489.1</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b/>
                <w:bCs/>
                <w:sz w:val="19"/>
                <w:lang w:eastAsia="en-AU"/>
              </w:rPr>
            </w:pPr>
            <w:r w:rsidRPr="00A84782">
              <w:rPr>
                <w:rFonts w:eastAsiaTheme="minorEastAsia"/>
                <w:b/>
                <w:bCs/>
                <w:sz w:val="19"/>
                <w:lang w:eastAsia="en-AU"/>
              </w:rPr>
              <w:t>Total revenue from transactions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53 772.0</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52 364.7</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9 484.9</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9 298.4</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b/>
                <w:bCs/>
                <w:sz w:val="19"/>
                <w:lang w:eastAsia="en-AU"/>
              </w:rPr>
            </w:pPr>
            <w:r w:rsidRPr="00A84782">
              <w:rPr>
                <w:rFonts w:eastAsiaTheme="minorEastAsia"/>
                <w:b/>
                <w:bCs/>
                <w:sz w:val="19"/>
                <w:lang w:eastAsia="en-AU"/>
              </w:rPr>
              <w:t>Expenses from transactions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Employee expenses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18 834.3</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18 004.1</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1 076.7</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1 058.7</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vertAlign w:val="superscript"/>
                <w:lang w:eastAsia="en-AU"/>
              </w:rPr>
            </w:pPr>
            <w:r w:rsidRPr="00A84782">
              <w:rPr>
                <w:rFonts w:eastAsiaTheme="minorEastAsia"/>
                <w:sz w:val="19"/>
                <w:lang w:eastAsia="en-AU"/>
              </w:rPr>
              <w:t>Net superannuation interest expense</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1 038.0</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1 074.7</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2.8</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2.7</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vertAlign w:val="superscript"/>
                <w:lang w:eastAsia="en-AU"/>
              </w:rPr>
            </w:pPr>
            <w:r w:rsidRPr="00A84782">
              <w:rPr>
                <w:rFonts w:eastAsiaTheme="minorEastAsia"/>
                <w:sz w:val="19"/>
                <w:lang w:eastAsia="en-AU"/>
              </w:rPr>
              <w:t>Other superannuation</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1 978.0</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1 843.1</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102.2</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98.8</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vertAlign w:val="superscript"/>
                <w:lang w:eastAsia="en-AU"/>
              </w:rPr>
            </w:pPr>
            <w:r w:rsidRPr="00A84782">
              <w:rPr>
                <w:rFonts w:eastAsiaTheme="minorEastAsia"/>
                <w:sz w:val="19"/>
                <w:lang w:eastAsia="en-AU"/>
              </w:rPr>
              <w:t>Depreciation</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2 425.4</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2 403.7</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1 978.4</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1 887.3</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Interest expense</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2 102.4</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2 138.5</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1 175.9</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1 171.5</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Grant expense</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8 529.1</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7 560.6</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270.2</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271.7</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Other operating expenses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17 650.8</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17 360.1</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4 903.8</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4 818.3</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Other property expenses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136.8</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173.1</w:t>
            </w:r>
          </w:p>
        </w:tc>
      </w:tr>
      <w:tr w:rsidR="00336793" w:rsidRPr="00A84782" w:rsidTr="00DF0B96">
        <w:tc>
          <w:tcPr>
            <w:tcW w:w="5507" w:type="dxa"/>
            <w:tcBorders>
              <w:top w:val="single" w:sz="6" w:space="0" w:color="000000"/>
              <w:left w:val="nil"/>
              <w:bottom w:val="nil"/>
              <w:right w:val="nil"/>
            </w:tcBorders>
            <w:shd w:val="solid" w:color="FFFFFF" w:fill="auto"/>
          </w:tcPr>
          <w:p w:rsidR="00336793" w:rsidRPr="00A84782" w:rsidRDefault="00336793" w:rsidP="00DF0B96">
            <w:pPr>
              <w:pStyle w:val="Tabletext"/>
              <w:rPr>
                <w:rFonts w:eastAsiaTheme="minorEastAsia"/>
                <w:b/>
                <w:bCs/>
                <w:sz w:val="19"/>
                <w:vertAlign w:val="superscript"/>
                <w:lang w:eastAsia="en-AU"/>
              </w:rPr>
            </w:pPr>
            <w:r w:rsidRPr="00A84782">
              <w:rPr>
                <w:rFonts w:eastAsiaTheme="minorEastAsia"/>
                <w:b/>
                <w:bCs/>
                <w:sz w:val="19"/>
                <w:lang w:eastAsia="en-AU"/>
              </w:rPr>
              <w:t>Total expenses from transactions</w:t>
            </w:r>
          </w:p>
        </w:tc>
        <w:tc>
          <w:tcPr>
            <w:tcW w:w="99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52 558.0</w:t>
            </w:r>
          </w:p>
        </w:tc>
        <w:tc>
          <w:tcPr>
            <w:tcW w:w="108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50 384.9</w:t>
            </w:r>
          </w:p>
        </w:tc>
        <w:tc>
          <w:tcPr>
            <w:tcW w:w="1080"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9 646.8</w:t>
            </w:r>
          </w:p>
        </w:tc>
        <w:tc>
          <w:tcPr>
            <w:tcW w:w="162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9 482.2</w:t>
            </w:r>
          </w:p>
        </w:tc>
      </w:tr>
      <w:tr w:rsidR="00336793" w:rsidRPr="00A84782" w:rsidTr="00DF0B96">
        <w:tc>
          <w:tcPr>
            <w:tcW w:w="5507" w:type="dxa"/>
            <w:tcBorders>
              <w:top w:val="single" w:sz="6" w:space="0" w:color="000000"/>
              <w:left w:val="nil"/>
              <w:bottom w:val="single" w:sz="12" w:space="0" w:color="000000"/>
              <w:right w:val="nil"/>
            </w:tcBorders>
            <w:shd w:val="solid" w:color="FFFFFF" w:fill="auto"/>
          </w:tcPr>
          <w:p w:rsidR="00336793" w:rsidRPr="00A84782" w:rsidRDefault="00336793" w:rsidP="00DF0B96">
            <w:pPr>
              <w:pStyle w:val="Tabletext"/>
              <w:rPr>
                <w:rFonts w:eastAsiaTheme="minorEastAsia"/>
                <w:b/>
                <w:bCs/>
                <w:sz w:val="19"/>
                <w:vertAlign w:val="superscript"/>
                <w:lang w:eastAsia="en-AU"/>
              </w:rPr>
            </w:pPr>
            <w:r w:rsidRPr="00A84782">
              <w:rPr>
                <w:rFonts w:eastAsiaTheme="minorEastAsia"/>
                <w:b/>
                <w:bCs/>
                <w:sz w:val="19"/>
                <w:lang w:eastAsia="en-AU"/>
              </w:rPr>
              <w:t>Net result from transactions – net operating balance</w:t>
            </w:r>
          </w:p>
        </w:tc>
        <w:tc>
          <w:tcPr>
            <w:tcW w:w="990"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1 214.0</w:t>
            </w:r>
          </w:p>
        </w:tc>
        <w:tc>
          <w:tcPr>
            <w:tcW w:w="1080"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1 979.8</w:t>
            </w:r>
          </w:p>
        </w:tc>
        <w:tc>
          <w:tcPr>
            <w:tcW w:w="1080" w:type="dxa"/>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161.9)</w:t>
            </w:r>
          </w:p>
        </w:tc>
        <w:tc>
          <w:tcPr>
            <w:tcW w:w="1620"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ind w:right="495"/>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183.8)</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b/>
                <w:bCs/>
                <w:sz w:val="19"/>
                <w:lang w:eastAsia="en-AU"/>
              </w:rPr>
            </w:pPr>
            <w:r w:rsidRPr="00A84782">
              <w:rPr>
                <w:rFonts w:eastAsiaTheme="minorEastAsia"/>
                <w:b/>
                <w:bCs/>
                <w:sz w:val="19"/>
                <w:lang w:eastAsia="en-AU"/>
              </w:rPr>
              <w:t>Other economic flows included in net result</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Net gain/(loss) on disposal of non</w:t>
            </w:r>
            <w:r>
              <w:rPr>
                <w:rFonts w:eastAsiaTheme="minorEastAsia"/>
                <w:sz w:val="19"/>
                <w:lang w:eastAsia="en-AU"/>
              </w:rPr>
              <w:noBreakHyphen/>
            </w:r>
            <w:r w:rsidRPr="00A84782">
              <w:rPr>
                <w:rFonts w:eastAsiaTheme="minorEastAsia"/>
                <w:sz w:val="19"/>
                <w:lang w:eastAsia="en-AU"/>
              </w:rPr>
              <w:t>financial assets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 xml:space="preserve"> </w:t>
            </w:r>
            <w:r w:rsidRPr="00A84782">
              <w:rPr>
                <w:rFonts w:eastAsiaTheme="minorEastAsia" w:cs="Calibri"/>
                <w:color w:val="000000"/>
                <w:sz w:val="19"/>
                <w:szCs w:val="22"/>
                <w:lang w:eastAsia="en-AU"/>
              </w:rPr>
              <w:t>32.1</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25.0)</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23.6)</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12.8</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Net gain/(loss) on financial assets or liabilities at fair value</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53.1</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52.6</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27.9</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116.0)</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vertAlign w:val="superscript"/>
                <w:lang w:eastAsia="en-AU"/>
              </w:rPr>
            </w:pPr>
            <w:r w:rsidRPr="00A84782">
              <w:rPr>
                <w:rFonts w:eastAsiaTheme="minorEastAsia"/>
                <w:sz w:val="19"/>
                <w:lang w:eastAsia="en-AU"/>
              </w:rPr>
              <w:t>Share of net profit/(loss) from associates/joint venture entities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2.6)</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7.7)</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118.8</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Other gains/(losses) from other economic flows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547.9)</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(1 241.6)</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115.5</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245.1</w:t>
            </w:r>
          </w:p>
        </w:tc>
      </w:tr>
      <w:tr w:rsidR="00336793" w:rsidRPr="00A84782" w:rsidTr="00DF0B96">
        <w:tc>
          <w:tcPr>
            <w:tcW w:w="5507" w:type="dxa"/>
            <w:tcBorders>
              <w:top w:val="single" w:sz="6" w:space="0" w:color="000000"/>
              <w:left w:val="nil"/>
              <w:bottom w:val="nil"/>
              <w:right w:val="nil"/>
            </w:tcBorders>
            <w:shd w:val="solid" w:color="FFFFFF" w:fill="auto"/>
          </w:tcPr>
          <w:p w:rsidR="00336793" w:rsidRPr="00A84782" w:rsidRDefault="00336793" w:rsidP="00DF0B96">
            <w:pPr>
              <w:pStyle w:val="Tabletext"/>
              <w:rPr>
                <w:rFonts w:eastAsiaTheme="minorEastAsia"/>
                <w:b/>
                <w:bCs/>
                <w:sz w:val="19"/>
                <w:lang w:eastAsia="en-AU"/>
              </w:rPr>
            </w:pPr>
            <w:r w:rsidRPr="00A84782">
              <w:rPr>
                <w:rFonts w:eastAsiaTheme="minorEastAsia"/>
                <w:b/>
                <w:bCs/>
                <w:sz w:val="19"/>
                <w:lang w:eastAsia="en-AU"/>
              </w:rPr>
              <w:t>Total other economic flows included in net result</w:t>
            </w:r>
          </w:p>
        </w:tc>
        <w:tc>
          <w:tcPr>
            <w:tcW w:w="99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465.2)</w:t>
            </w:r>
          </w:p>
        </w:tc>
        <w:tc>
          <w:tcPr>
            <w:tcW w:w="108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(1 214.1)</w:t>
            </w:r>
          </w:p>
        </w:tc>
        <w:tc>
          <w:tcPr>
            <w:tcW w:w="1080"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112.1</w:t>
            </w:r>
          </w:p>
        </w:tc>
        <w:tc>
          <w:tcPr>
            <w:tcW w:w="162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 xml:space="preserve"> 260.7</w:t>
            </w:r>
          </w:p>
        </w:tc>
      </w:tr>
      <w:tr w:rsidR="00336793" w:rsidRPr="00A84782" w:rsidTr="00DF0B96">
        <w:tc>
          <w:tcPr>
            <w:tcW w:w="5507" w:type="dxa"/>
            <w:tcBorders>
              <w:top w:val="single" w:sz="6" w:space="0" w:color="000000"/>
              <w:left w:val="nil"/>
              <w:bottom w:val="single" w:sz="6" w:space="0" w:color="000000"/>
              <w:right w:val="nil"/>
            </w:tcBorders>
            <w:shd w:val="solid" w:color="FFFFFF" w:fill="auto"/>
          </w:tcPr>
          <w:p w:rsidR="00336793" w:rsidRPr="00A84782" w:rsidRDefault="00336793" w:rsidP="00DF0B96">
            <w:pPr>
              <w:pStyle w:val="Tabletext"/>
              <w:rPr>
                <w:rFonts w:eastAsiaTheme="minorEastAsia"/>
                <w:b/>
                <w:bCs/>
                <w:sz w:val="19"/>
                <w:vertAlign w:val="superscript"/>
                <w:lang w:eastAsia="en-AU"/>
              </w:rPr>
            </w:pPr>
            <w:r w:rsidRPr="00A84782">
              <w:rPr>
                <w:rFonts w:eastAsiaTheme="minorEastAsia"/>
                <w:b/>
                <w:bCs/>
                <w:sz w:val="19"/>
                <w:lang w:eastAsia="en-AU"/>
              </w:rPr>
              <w:t>Net result</w:t>
            </w:r>
          </w:p>
        </w:tc>
        <w:tc>
          <w:tcPr>
            <w:tcW w:w="990" w:type="dxa"/>
            <w:gridSpan w:val="2"/>
            <w:tcBorders>
              <w:top w:val="single" w:sz="6" w:space="0" w:color="000000"/>
              <w:left w:val="nil"/>
              <w:bottom w:val="single" w:sz="6"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748.8</w:t>
            </w:r>
          </w:p>
        </w:tc>
        <w:tc>
          <w:tcPr>
            <w:tcW w:w="1080" w:type="dxa"/>
            <w:gridSpan w:val="2"/>
            <w:tcBorders>
              <w:top w:val="single" w:sz="6" w:space="0" w:color="000000"/>
              <w:left w:val="nil"/>
              <w:bottom w:val="single" w:sz="6"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765.7</w:t>
            </w:r>
          </w:p>
        </w:tc>
        <w:tc>
          <w:tcPr>
            <w:tcW w:w="1080" w:type="dxa"/>
            <w:tcBorders>
              <w:top w:val="single" w:sz="6" w:space="0" w:color="000000"/>
              <w:left w:val="nil"/>
              <w:bottom w:val="single" w:sz="6"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49.8)</w:t>
            </w:r>
          </w:p>
        </w:tc>
        <w:tc>
          <w:tcPr>
            <w:tcW w:w="1620" w:type="dxa"/>
            <w:gridSpan w:val="2"/>
            <w:tcBorders>
              <w:top w:val="single" w:sz="6" w:space="0" w:color="000000"/>
              <w:left w:val="nil"/>
              <w:bottom w:val="single" w:sz="6" w:space="0" w:color="000000"/>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 xml:space="preserve"> 76.9</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b/>
                <w:bCs/>
                <w:sz w:val="19"/>
                <w:lang w:eastAsia="en-AU"/>
              </w:rPr>
            </w:pPr>
            <w:r w:rsidRPr="00A84782">
              <w:rPr>
                <w:rFonts w:eastAsiaTheme="minorEastAsia"/>
                <w:b/>
                <w:bCs/>
                <w:sz w:val="19"/>
                <w:lang w:eastAsia="en-AU"/>
              </w:rPr>
              <w:t>Other economic flows – other comprehensive income</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b/>
                <w:bCs/>
                <w:sz w:val="19"/>
                <w:lang w:eastAsia="en-AU"/>
              </w:rPr>
            </w:pPr>
            <w:r w:rsidRPr="00A84782">
              <w:rPr>
                <w:rFonts w:eastAsiaTheme="minorEastAsia"/>
                <w:b/>
                <w:bCs/>
                <w:sz w:val="19"/>
                <w:lang w:eastAsia="en-AU"/>
              </w:rPr>
              <w:t>Items that will not be reclassified to net result</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vertAlign w:val="superscript"/>
                <w:lang w:eastAsia="en-AU"/>
              </w:rPr>
            </w:pPr>
            <w:r w:rsidRPr="00A84782">
              <w:rPr>
                <w:rFonts w:eastAsiaTheme="minorEastAsia"/>
                <w:sz w:val="19"/>
                <w:lang w:eastAsia="en-AU"/>
              </w:rPr>
              <w:t>Changes in non</w:t>
            </w:r>
            <w:r>
              <w:rPr>
                <w:rFonts w:eastAsiaTheme="minorEastAsia"/>
                <w:sz w:val="19"/>
                <w:lang w:eastAsia="en-AU"/>
              </w:rPr>
              <w:noBreakHyphen/>
            </w:r>
            <w:r w:rsidRPr="00A84782">
              <w:rPr>
                <w:rFonts w:eastAsiaTheme="minorEastAsia"/>
                <w:sz w:val="19"/>
                <w:lang w:eastAsia="en-AU"/>
              </w:rPr>
              <w:t>financial assets revaluation surplus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2 524.4</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1 963.2</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3 862.2</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2 821.9</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vertAlign w:val="superscript"/>
                <w:lang w:eastAsia="en-AU"/>
              </w:rPr>
            </w:pPr>
            <w:r w:rsidRPr="00A84782">
              <w:rPr>
                <w:rFonts w:eastAsiaTheme="minorEastAsia"/>
                <w:sz w:val="19"/>
                <w:lang w:eastAsia="en-AU"/>
              </w:rPr>
              <w:t>Remeasurement of superannuation defined benefits plans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551.3</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290.4)</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5.0</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24.3</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Net gain/(loss) on equity investments in other sector entities at proportional share of the carrying amount of net assets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4 225.6</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3 813.8</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Other movements in equity</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148.4)</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494.2</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4.6)</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34.3</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b/>
                <w:bCs/>
                <w:sz w:val="19"/>
                <w:lang w:eastAsia="en-AU"/>
              </w:rPr>
            </w:pPr>
            <w:r w:rsidRPr="00A84782">
              <w:rPr>
                <w:rFonts w:eastAsiaTheme="minorEastAsia"/>
                <w:b/>
                <w:bCs/>
                <w:sz w:val="19"/>
                <w:lang w:eastAsia="en-AU"/>
              </w:rPr>
              <w:t>Items that may be reclassified subsequently to net result</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Net gain/(loss) on financial assets at fair value</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44.6)</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5.2)</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34.8</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3.4)</w:t>
            </w:r>
          </w:p>
        </w:tc>
      </w:tr>
      <w:tr w:rsidR="00336793" w:rsidRPr="00A84782" w:rsidTr="00DF0B96">
        <w:tc>
          <w:tcPr>
            <w:tcW w:w="5507" w:type="dxa"/>
            <w:tcBorders>
              <w:top w:val="single" w:sz="6" w:space="0" w:color="000000"/>
              <w:left w:val="nil"/>
              <w:bottom w:val="nil"/>
              <w:right w:val="nil"/>
            </w:tcBorders>
            <w:shd w:val="solid" w:color="FFFFFF" w:fill="auto"/>
          </w:tcPr>
          <w:p w:rsidR="00336793" w:rsidRPr="00A84782" w:rsidRDefault="00336793" w:rsidP="00DF0B96">
            <w:pPr>
              <w:pStyle w:val="Tabletext"/>
              <w:rPr>
                <w:rFonts w:eastAsiaTheme="minorEastAsia"/>
                <w:b/>
                <w:bCs/>
                <w:sz w:val="19"/>
                <w:vertAlign w:val="superscript"/>
                <w:lang w:eastAsia="en-AU"/>
              </w:rPr>
            </w:pPr>
            <w:r w:rsidRPr="00A84782">
              <w:rPr>
                <w:rFonts w:eastAsiaTheme="minorEastAsia"/>
                <w:b/>
                <w:bCs/>
                <w:sz w:val="19"/>
                <w:lang w:eastAsia="en-AU"/>
              </w:rPr>
              <w:t>Total other economic flows – other comprehensive income</w:t>
            </w:r>
          </w:p>
        </w:tc>
        <w:tc>
          <w:tcPr>
            <w:tcW w:w="99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7 108.3</w:t>
            </w:r>
          </w:p>
        </w:tc>
        <w:tc>
          <w:tcPr>
            <w:tcW w:w="108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5 975.7</w:t>
            </w:r>
          </w:p>
        </w:tc>
        <w:tc>
          <w:tcPr>
            <w:tcW w:w="1080"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3 897.5</w:t>
            </w:r>
          </w:p>
        </w:tc>
        <w:tc>
          <w:tcPr>
            <w:tcW w:w="162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2 877.2</w:t>
            </w:r>
          </w:p>
        </w:tc>
      </w:tr>
      <w:tr w:rsidR="00336793" w:rsidRPr="00A84782" w:rsidTr="00DF0B96">
        <w:tc>
          <w:tcPr>
            <w:tcW w:w="5507" w:type="dxa"/>
            <w:tcBorders>
              <w:top w:val="single" w:sz="6" w:space="0" w:color="000000"/>
              <w:left w:val="nil"/>
              <w:bottom w:val="nil"/>
              <w:right w:val="nil"/>
            </w:tcBorders>
            <w:shd w:val="solid" w:color="FFFFFF" w:fill="auto"/>
          </w:tcPr>
          <w:p w:rsidR="00336793" w:rsidRPr="00A84782" w:rsidRDefault="00336793" w:rsidP="00DF0B96">
            <w:pPr>
              <w:pStyle w:val="Tabletext"/>
              <w:rPr>
                <w:rFonts w:eastAsiaTheme="minorEastAsia"/>
                <w:b/>
                <w:bCs/>
                <w:sz w:val="19"/>
                <w:vertAlign w:val="superscript"/>
                <w:lang w:eastAsia="en-AU"/>
              </w:rPr>
            </w:pPr>
            <w:r w:rsidRPr="00A84782">
              <w:rPr>
                <w:rFonts w:eastAsiaTheme="minorEastAsia"/>
                <w:b/>
                <w:bCs/>
                <w:sz w:val="19"/>
                <w:lang w:eastAsia="en-AU"/>
              </w:rPr>
              <w:t>Comprehensive result – total change in net worth</w:t>
            </w:r>
          </w:p>
        </w:tc>
        <w:tc>
          <w:tcPr>
            <w:tcW w:w="99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7 857.1</w:t>
            </w:r>
          </w:p>
        </w:tc>
        <w:tc>
          <w:tcPr>
            <w:tcW w:w="108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6 741.4</w:t>
            </w:r>
          </w:p>
        </w:tc>
        <w:tc>
          <w:tcPr>
            <w:tcW w:w="1080"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3 847.7</w:t>
            </w:r>
          </w:p>
        </w:tc>
        <w:tc>
          <w:tcPr>
            <w:tcW w:w="1620"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2 954.1</w:t>
            </w:r>
          </w:p>
        </w:tc>
      </w:tr>
      <w:tr w:rsidR="00336793" w:rsidRPr="00A84782" w:rsidTr="00DF0B96">
        <w:trPr>
          <w:trHeight w:hRule="exact" w:val="120"/>
        </w:trPr>
        <w:tc>
          <w:tcPr>
            <w:tcW w:w="5507" w:type="dxa"/>
            <w:tcBorders>
              <w:top w:val="single" w:sz="12" w:space="0" w:color="000000"/>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 xml:space="preserve"> </w:t>
            </w:r>
          </w:p>
        </w:tc>
        <w:tc>
          <w:tcPr>
            <w:tcW w:w="990" w:type="dxa"/>
            <w:gridSpan w:val="2"/>
            <w:tcBorders>
              <w:top w:val="single" w:sz="12" w:space="0" w:color="000000"/>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w:t>
            </w:r>
          </w:p>
        </w:tc>
        <w:tc>
          <w:tcPr>
            <w:tcW w:w="1080" w:type="dxa"/>
            <w:gridSpan w:val="2"/>
            <w:tcBorders>
              <w:top w:val="single" w:sz="12" w:space="0" w:color="000000"/>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w:t>
            </w:r>
          </w:p>
        </w:tc>
        <w:tc>
          <w:tcPr>
            <w:tcW w:w="1080" w:type="dxa"/>
            <w:tcBorders>
              <w:top w:val="single" w:sz="12" w:space="0" w:color="000000"/>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w:t>
            </w:r>
          </w:p>
        </w:tc>
        <w:tc>
          <w:tcPr>
            <w:tcW w:w="1620" w:type="dxa"/>
            <w:gridSpan w:val="2"/>
            <w:tcBorders>
              <w:top w:val="single" w:sz="12" w:space="0" w:color="000000"/>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b/>
                <w:bCs/>
                <w:sz w:val="19"/>
                <w:vertAlign w:val="superscript"/>
                <w:lang w:eastAsia="en-AU"/>
              </w:rPr>
            </w:pPr>
            <w:r w:rsidRPr="00A84782">
              <w:rPr>
                <w:rFonts w:eastAsiaTheme="minorEastAsia"/>
                <w:b/>
                <w:bCs/>
                <w:sz w:val="19"/>
                <w:lang w:eastAsia="en-AU"/>
              </w:rPr>
              <w:t>FISCAL AGGREGRATES</w:t>
            </w:r>
            <w:r w:rsidRPr="00E96950">
              <w:rPr>
                <w:rFonts w:eastAsiaTheme="minorEastAsia"/>
                <w:b/>
                <w:bCs/>
                <w:sz w:val="19"/>
                <w:vertAlign w:val="superscript"/>
                <w:lang w:eastAsia="en-AU"/>
              </w:rPr>
              <w:t xml:space="preserve"> </w:t>
            </w:r>
            <w:r w:rsidRPr="00A84782">
              <w:rPr>
                <w:rFonts w:eastAsiaTheme="minorEastAsia"/>
                <w:b/>
                <w:bCs/>
                <w:sz w:val="19"/>
                <w:vertAlign w:val="superscript"/>
                <w:lang w:eastAsia="en-AU"/>
              </w:rPr>
              <w:t>(a)</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cs="Calibri"/>
                <w:b/>
                <w:bCs/>
                <w:color w:val="000000"/>
                <w:sz w:val="19"/>
                <w:szCs w:val="22"/>
                <w:vertAlign w:val="superscript"/>
                <w:lang w:eastAsia="en-AU"/>
              </w:rPr>
            </w:pPr>
            <w:r w:rsidRPr="00A84782">
              <w:rPr>
                <w:rFonts w:eastAsiaTheme="minorEastAsia"/>
                <w:b/>
                <w:bCs/>
                <w:sz w:val="19"/>
                <w:lang w:eastAsia="en-AU"/>
              </w:rPr>
              <w:t>Net operating balance</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1 214.0</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1 979.8</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161.9)</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183.8)</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b/>
                <w:bCs/>
                <w:sz w:val="19"/>
                <w:lang w:eastAsia="en-AU"/>
              </w:rPr>
            </w:pPr>
            <w:r w:rsidRPr="00A84782">
              <w:rPr>
                <w:rFonts w:eastAsiaTheme="minorEastAsia"/>
                <w:b/>
                <w:bCs/>
                <w:sz w:val="19"/>
                <w:lang w:eastAsia="en-AU"/>
              </w:rPr>
              <w:t>Net acquisition of non</w:t>
            </w:r>
            <w:r>
              <w:rPr>
                <w:rFonts w:eastAsiaTheme="minorEastAsia"/>
                <w:b/>
                <w:bCs/>
                <w:sz w:val="19"/>
                <w:lang w:eastAsia="en-AU"/>
              </w:rPr>
              <w:noBreakHyphen/>
            </w:r>
            <w:r w:rsidRPr="00A84782">
              <w:rPr>
                <w:rFonts w:eastAsiaTheme="minorEastAsia"/>
                <w:b/>
                <w:bCs/>
                <w:sz w:val="19"/>
                <w:lang w:eastAsia="en-AU"/>
              </w:rPr>
              <w:t>financial assets from transactions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Purchases of non</w:t>
            </w:r>
            <w:r>
              <w:rPr>
                <w:rFonts w:eastAsiaTheme="minorEastAsia"/>
                <w:sz w:val="19"/>
                <w:lang w:eastAsia="en-AU"/>
              </w:rPr>
              <w:noBreakHyphen/>
            </w:r>
            <w:r w:rsidRPr="00A84782">
              <w:rPr>
                <w:rFonts w:eastAsiaTheme="minorEastAsia"/>
                <w:sz w:val="19"/>
                <w:lang w:eastAsia="en-AU"/>
              </w:rPr>
              <w:t>financial assets (including change in inventories)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4 393.7</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3 997.3</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2 210.8</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3 300.1</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Less: Sales of non</w:t>
            </w:r>
            <w:r>
              <w:rPr>
                <w:rFonts w:eastAsiaTheme="minorEastAsia"/>
                <w:sz w:val="19"/>
                <w:lang w:eastAsia="en-AU"/>
              </w:rPr>
              <w:noBreakHyphen/>
            </w:r>
            <w:r w:rsidRPr="00A84782">
              <w:rPr>
                <w:rFonts w:eastAsiaTheme="minorEastAsia"/>
                <w:sz w:val="19"/>
                <w:lang w:eastAsia="en-AU"/>
              </w:rPr>
              <w:t>financial assets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397.7)</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270.9)</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196.0)</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206.4)</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cs="Calibri"/>
                <w:color w:val="000000"/>
                <w:sz w:val="19"/>
                <w:szCs w:val="22"/>
                <w:vertAlign w:val="superscript"/>
                <w:lang w:eastAsia="en-AU"/>
              </w:rPr>
            </w:pPr>
            <w:r w:rsidRPr="00A84782">
              <w:rPr>
                <w:rFonts w:eastAsiaTheme="minorEastAsia"/>
                <w:sz w:val="19"/>
                <w:lang w:eastAsia="en-AU"/>
              </w:rPr>
              <w:t>Less: Depreciation and amortisation</w:t>
            </w:r>
            <w:r w:rsidRPr="00E96950">
              <w:rPr>
                <w:rFonts w:eastAsiaTheme="minorEastAsia"/>
                <w:sz w:val="19"/>
                <w:vertAlign w:val="superscript"/>
                <w:lang w:eastAsia="en-AU"/>
              </w:rPr>
              <w:t xml:space="preserve"> (</w:t>
            </w:r>
            <w:r w:rsidRPr="00A84782">
              <w:rPr>
                <w:rFonts w:eastAsiaTheme="minorEastAsia" w:cs="Calibri"/>
                <w:color w:val="000000"/>
                <w:sz w:val="19"/>
                <w:szCs w:val="22"/>
                <w:vertAlign w:val="superscript"/>
                <w:lang w:eastAsia="en-AU"/>
              </w:rPr>
              <w:t>a)</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(2 425.4)</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(2 403.7)</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(1 978.4)</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(1 887.3)</w:t>
            </w:r>
          </w:p>
        </w:tc>
      </w:tr>
      <w:tr w:rsidR="00336793" w:rsidRPr="00A84782" w:rsidTr="00DF0B96">
        <w:tc>
          <w:tcPr>
            <w:tcW w:w="5507" w:type="dxa"/>
            <w:tcBorders>
              <w:top w:val="nil"/>
              <w:left w:val="nil"/>
              <w:bottom w:val="nil"/>
              <w:right w:val="nil"/>
            </w:tcBorders>
            <w:shd w:val="solid" w:color="FFFFFF" w:fill="auto"/>
          </w:tcPr>
          <w:p w:rsidR="00336793" w:rsidRPr="00A84782" w:rsidRDefault="00336793" w:rsidP="00DF0B96">
            <w:pPr>
              <w:pStyle w:val="Tabletext"/>
              <w:rPr>
                <w:rFonts w:eastAsiaTheme="minorEastAsia"/>
                <w:sz w:val="19"/>
                <w:lang w:eastAsia="en-AU"/>
              </w:rPr>
            </w:pPr>
            <w:r w:rsidRPr="00A84782">
              <w:rPr>
                <w:rFonts w:eastAsiaTheme="minorEastAsia"/>
                <w:sz w:val="19"/>
                <w:lang w:eastAsia="en-AU"/>
              </w:rPr>
              <w:t>Plus: Other movements in non</w:t>
            </w:r>
            <w:r>
              <w:rPr>
                <w:rFonts w:eastAsiaTheme="minorEastAsia"/>
                <w:sz w:val="19"/>
                <w:lang w:eastAsia="en-AU"/>
              </w:rPr>
              <w:noBreakHyphen/>
            </w:r>
            <w:r w:rsidRPr="00A84782">
              <w:rPr>
                <w:rFonts w:eastAsiaTheme="minorEastAsia"/>
                <w:sz w:val="19"/>
                <w:lang w:eastAsia="en-AU"/>
              </w:rPr>
              <w:t>financial assets</w:t>
            </w:r>
          </w:p>
        </w:tc>
        <w:tc>
          <w:tcPr>
            <w:tcW w:w="99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 xml:space="preserve"> (1 </w:t>
            </w:r>
            <w:r w:rsidRPr="00A84782">
              <w:rPr>
                <w:rFonts w:eastAsiaTheme="minorEastAsia" w:cs="Calibri"/>
                <w:color w:val="000000"/>
                <w:sz w:val="19"/>
                <w:szCs w:val="22"/>
                <w:lang w:eastAsia="en-AU"/>
              </w:rPr>
              <w:t>278.3)</w:t>
            </w:r>
          </w:p>
        </w:tc>
        <w:tc>
          <w:tcPr>
            <w:tcW w:w="1080"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696.8)</w:t>
            </w:r>
          </w:p>
        </w:tc>
        <w:tc>
          <w:tcPr>
            <w:tcW w:w="1080"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1 519.1</w:t>
            </w:r>
          </w:p>
        </w:tc>
        <w:tc>
          <w:tcPr>
            <w:tcW w:w="1620" w:type="dxa"/>
            <w:gridSpan w:val="2"/>
            <w:tcBorders>
              <w:top w:val="nil"/>
              <w:left w:val="nil"/>
              <w:bottom w:val="nil"/>
              <w:right w:val="nil"/>
            </w:tcBorders>
            <w:shd w:val="solid" w:color="FFFFFF" w:fill="auto"/>
          </w:tcPr>
          <w:p w:rsidR="00336793" w:rsidRPr="00A84782" w:rsidRDefault="00336793" w:rsidP="00DF0B96">
            <w:pPr>
              <w:pStyle w:val="TableofFigures"/>
              <w:ind w:right="495"/>
              <w:rPr>
                <w:rFonts w:eastAsiaTheme="minorEastAsia"/>
                <w:sz w:val="19"/>
                <w:lang w:eastAsia="en-AU"/>
              </w:rPr>
            </w:pPr>
            <w:r w:rsidRPr="00A84782">
              <w:rPr>
                <w:rFonts w:eastAsiaTheme="minorEastAsia"/>
                <w:sz w:val="19"/>
                <w:lang w:eastAsia="en-AU"/>
              </w:rPr>
              <w:t xml:space="preserve"> 967.1</w:t>
            </w:r>
          </w:p>
        </w:tc>
      </w:tr>
      <w:tr w:rsidR="00336793" w:rsidRPr="00A84782" w:rsidTr="00DF0B96">
        <w:tc>
          <w:tcPr>
            <w:tcW w:w="5507" w:type="dxa"/>
            <w:tcBorders>
              <w:top w:val="nil"/>
              <w:left w:val="nil"/>
              <w:bottom w:val="single" w:sz="6" w:space="0" w:color="000000"/>
              <w:right w:val="nil"/>
            </w:tcBorders>
            <w:shd w:val="solid" w:color="FFFFFF" w:fill="auto"/>
          </w:tcPr>
          <w:p w:rsidR="00336793" w:rsidRPr="00A84782" w:rsidRDefault="00336793" w:rsidP="00DF0B96">
            <w:pPr>
              <w:pStyle w:val="Tabletext"/>
              <w:rPr>
                <w:rFonts w:eastAsiaTheme="minorEastAsia" w:cs="Calibri"/>
                <w:b/>
                <w:bCs/>
                <w:color w:val="000000"/>
                <w:sz w:val="19"/>
                <w:szCs w:val="22"/>
                <w:vertAlign w:val="superscript"/>
                <w:lang w:eastAsia="en-AU"/>
              </w:rPr>
            </w:pPr>
            <w:r w:rsidRPr="00A84782">
              <w:rPr>
                <w:rFonts w:eastAsiaTheme="minorEastAsia"/>
                <w:b/>
                <w:bCs/>
                <w:sz w:val="19"/>
                <w:lang w:eastAsia="en-AU"/>
              </w:rPr>
              <w:t>Less: Net acquisition of non</w:t>
            </w:r>
            <w:r>
              <w:rPr>
                <w:rFonts w:eastAsiaTheme="minorEastAsia"/>
                <w:b/>
                <w:bCs/>
                <w:sz w:val="19"/>
                <w:lang w:eastAsia="en-AU"/>
              </w:rPr>
              <w:noBreakHyphen/>
            </w:r>
            <w:r w:rsidRPr="00A84782">
              <w:rPr>
                <w:rFonts w:eastAsiaTheme="minorEastAsia"/>
                <w:b/>
                <w:bCs/>
                <w:sz w:val="19"/>
                <w:lang w:eastAsia="en-AU"/>
              </w:rPr>
              <w:t>financial assets from transactions</w:t>
            </w:r>
          </w:p>
        </w:tc>
        <w:tc>
          <w:tcPr>
            <w:tcW w:w="990"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 xml:space="preserve"> 292.3</w:t>
            </w:r>
          </w:p>
        </w:tc>
        <w:tc>
          <w:tcPr>
            <w:tcW w:w="1080"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625.8</w:t>
            </w:r>
          </w:p>
        </w:tc>
        <w:tc>
          <w:tcPr>
            <w:tcW w:w="1080" w:type="dxa"/>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1 555.6</w:t>
            </w:r>
          </w:p>
        </w:tc>
        <w:tc>
          <w:tcPr>
            <w:tcW w:w="1620"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2 173.6</w:t>
            </w:r>
          </w:p>
        </w:tc>
      </w:tr>
      <w:tr w:rsidR="00336793" w:rsidRPr="00A84782" w:rsidTr="00DF0B96">
        <w:tc>
          <w:tcPr>
            <w:tcW w:w="5507" w:type="dxa"/>
            <w:tcBorders>
              <w:top w:val="single" w:sz="6" w:space="0" w:color="000000"/>
              <w:left w:val="nil"/>
              <w:bottom w:val="single" w:sz="12" w:space="0" w:color="000000"/>
              <w:right w:val="nil"/>
            </w:tcBorders>
            <w:shd w:val="solid" w:color="FFFFFF" w:fill="auto"/>
          </w:tcPr>
          <w:p w:rsidR="00336793" w:rsidRPr="00A84782" w:rsidRDefault="00336793" w:rsidP="00DF0B96">
            <w:pPr>
              <w:pStyle w:val="Tabletext"/>
              <w:rPr>
                <w:rFonts w:eastAsiaTheme="minorEastAsia" w:cs="Calibri"/>
                <w:b/>
                <w:bCs/>
                <w:color w:val="000000"/>
                <w:sz w:val="19"/>
                <w:szCs w:val="22"/>
                <w:vertAlign w:val="superscript"/>
                <w:lang w:eastAsia="en-AU"/>
              </w:rPr>
            </w:pPr>
            <w:r w:rsidRPr="00A84782">
              <w:rPr>
                <w:rFonts w:eastAsiaTheme="minorEastAsia"/>
                <w:b/>
                <w:bCs/>
                <w:sz w:val="19"/>
                <w:lang w:eastAsia="en-AU"/>
              </w:rPr>
              <w:t>Net lending/(borrowing)</w:t>
            </w:r>
          </w:p>
        </w:tc>
        <w:tc>
          <w:tcPr>
            <w:tcW w:w="990"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921.7</w:t>
            </w:r>
          </w:p>
        </w:tc>
        <w:tc>
          <w:tcPr>
            <w:tcW w:w="1080"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1 353.9</w:t>
            </w:r>
          </w:p>
        </w:tc>
        <w:tc>
          <w:tcPr>
            <w:tcW w:w="1080" w:type="dxa"/>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(1 717.5)</w:t>
            </w:r>
          </w:p>
        </w:tc>
        <w:tc>
          <w:tcPr>
            <w:tcW w:w="1620"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ind w:right="495"/>
              <w:rPr>
                <w:rFonts w:eastAsiaTheme="minorEastAsia"/>
                <w:b/>
                <w:bCs/>
                <w:sz w:val="19"/>
                <w:lang w:eastAsia="en-AU"/>
              </w:rPr>
            </w:pPr>
            <w:r w:rsidRPr="00A84782">
              <w:rPr>
                <w:rFonts w:eastAsiaTheme="minorEastAsia"/>
                <w:b/>
                <w:bCs/>
                <w:sz w:val="19"/>
                <w:lang w:eastAsia="en-AU"/>
              </w:rPr>
              <w:t xml:space="preserve"> (2 357.4)</w:t>
            </w:r>
          </w:p>
        </w:tc>
      </w:tr>
    </w:tbl>
    <w:p w:rsidR="00336793" w:rsidRDefault="00336793" w:rsidP="00DF0B96">
      <w:pPr>
        <w:pStyle w:val="Notes"/>
        <w:ind w:left="0" w:firstLine="0"/>
      </w:pPr>
      <w:r>
        <w:t>Note:</w:t>
      </w:r>
    </w:p>
    <w:p w:rsidR="00336793" w:rsidRDefault="00336793" w:rsidP="00DF0B96">
      <w:pPr>
        <w:pStyle w:val="Notes"/>
      </w:pPr>
      <w:r>
        <w:t>(a)</w:t>
      </w:r>
      <w:r>
        <w:tab/>
        <w:t>June 2014 comparative figures have been restated. See Note 37.</w:t>
      </w:r>
    </w:p>
    <w:p w:rsidR="00336793" w:rsidRDefault="00336793" w:rsidP="00DF0B96">
      <w:pPr>
        <w:pStyle w:val="Notes"/>
      </w:pPr>
    </w:p>
    <w:p w:rsidR="00336793" w:rsidRDefault="00336793">
      <w:pPr>
        <w:spacing w:after="0"/>
        <w:rPr>
          <w:rFonts w:ascii="Calibri" w:hAnsi="Calibri"/>
          <w:i/>
          <w:sz w:val="16"/>
          <w:lang w:eastAsia="en-AU"/>
        </w:rPr>
      </w:pPr>
      <w:r>
        <w:br w:type="page"/>
      </w:r>
    </w:p>
    <w:p w:rsidR="00336793" w:rsidRDefault="00336793" w:rsidP="00DF0B96">
      <w:pPr>
        <w:pStyle w:val="Heading2NotesContd"/>
      </w:pPr>
    </w:p>
    <w:p w:rsidR="00336793" w:rsidRPr="006A75A2" w:rsidRDefault="00336793" w:rsidP="00DF0B96">
      <w:pPr>
        <w:pStyle w:val="Tableheading"/>
      </w:pPr>
    </w:p>
    <w:p w:rsidR="00336793" w:rsidRPr="003A43CD" w:rsidRDefault="00336793" w:rsidP="00DF0B96">
      <w:pPr>
        <w:pStyle w:val="million"/>
      </w:pPr>
    </w:p>
    <w:tbl>
      <w:tblPr>
        <w:tblW w:w="10164" w:type="dxa"/>
        <w:tblInd w:w="-648" w:type="dxa"/>
        <w:tblLayout w:type="fixed"/>
        <w:tblCellMar>
          <w:left w:w="45" w:type="dxa"/>
          <w:right w:w="45" w:type="dxa"/>
        </w:tblCellMar>
        <w:tblLook w:val="0000" w:firstRow="0" w:lastRow="0" w:firstColumn="0" w:lastColumn="0" w:noHBand="0" w:noVBand="0"/>
      </w:tblPr>
      <w:tblGrid>
        <w:gridCol w:w="2133"/>
        <w:gridCol w:w="1370"/>
        <w:gridCol w:w="236"/>
        <w:gridCol w:w="1606"/>
        <w:gridCol w:w="1370"/>
        <w:gridCol w:w="236"/>
        <w:gridCol w:w="1606"/>
        <w:gridCol w:w="1347"/>
        <w:gridCol w:w="260"/>
      </w:tblGrid>
      <w:tr w:rsidR="00336793" w:rsidRPr="00A84782" w:rsidTr="00DF0B96">
        <w:tc>
          <w:tcPr>
            <w:tcW w:w="3503" w:type="dxa"/>
            <w:gridSpan w:val="2"/>
            <w:tcBorders>
              <w:top w:val="single" w:sz="6" w:space="0" w:color="auto"/>
              <w:left w:val="single" w:sz="6" w:space="0" w:color="auto"/>
              <w:bottom w:val="nil"/>
              <w:right w:val="nil"/>
            </w:tcBorders>
            <w:shd w:val="clear" w:color="000000" w:fill="000000"/>
          </w:tcPr>
          <w:p w:rsidR="00336793" w:rsidRPr="00A84782" w:rsidRDefault="00336793" w:rsidP="00DF0B96">
            <w:pPr>
              <w:pStyle w:val="Tabletext"/>
              <w:ind w:left="1368" w:firstLine="0"/>
              <w:jc w:val="center"/>
              <w:rPr>
                <w:rFonts w:eastAsiaTheme="minorEastAsia"/>
                <w:i/>
                <w:sz w:val="19"/>
                <w:lang w:eastAsia="en-AU"/>
              </w:rPr>
            </w:pPr>
            <w:r w:rsidRPr="00A84782">
              <w:rPr>
                <w:rFonts w:eastAsiaTheme="minorEastAsia"/>
                <w:i/>
                <w:sz w:val="19"/>
                <w:lang w:eastAsia="en-AU"/>
              </w:rPr>
              <w:t>Public financial corporations</w:t>
            </w:r>
          </w:p>
        </w:tc>
        <w:tc>
          <w:tcPr>
            <w:tcW w:w="236" w:type="dxa"/>
            <w:tcBorders>
              <w:top w:val="single" w:sz="6" w:space="0" w:color="auto"/>
              <w:left w:val="nil"/>
              <w:bottom w:val="nil"/>
              <w:right w:val="nil"/>
            </w:tcBorders>
            <w:shd w:val="clear" w:color="000000" w:fill="000000"/>
          </w:tcPr>
          <w:p w:rsidR="00336793" w:rsidRPr="00A84782" w:rsidRDefault="00336793" w:rsidP="00DF0B96">
            <w:pPr>
              <w:pStyle w:val="Tabletextheading"/>
              <w:jc w:val="center"/>
              <w:rPr>
                <w:rFonts w:eastAsiaTheme="minorEastAsia" w:cs="Calibri"/>
                <w:iCs/>
                <w:color w:val="FFFFFF"/>
                <w:sz w:val="19"/>
                <w:szCs w:val="22"/>
                <w:lang w:eastAsia="en-AU"/>
              </w:rPr>
            </w:pPr>
            <w:r w:rsidRPr="00A84782">
              <w:rPr>
                <w:rFonts w:eastAsiaTheme="minorEastAsia"/>
                <w:color w:val="FFFFFF"/>
                <w:sz w:val="19"/>
                <w:lang w:eastAsia="en-AU"/>
              </w:rPr>
              <w:t xml:space="preserve"> </w:t>
            </w:r>
          </w:p>
        </w:tc>
        <w:tc>
          <w:tcPr>
            <w:tcW w:w="2976" w:type="dxa"/>
            <w:gridSpan w:val="2"/>
            <w:tcBorders>
              <w:top w:val="single" w:sz="6" w:space="0" w:color="auto"/>
              <w:left w:val="nil"/>
              <w:bottom w:val="nil"/>
              <w:right w:val="nil"/>
            </w:tcBorders>
            <w:shd w:val="clear" w:color="000000" w:fill="000000"/>
          </w:tcPr>
          <w:p w:rsidR="00336793" w:rsidRPr="00A84782" w:rsidRDefault="00336793" w:rsidP="00DF0B96">
            <w:pPr>
              <w:pStyle w:val="Tabletextheading"/>
              <w:jc w:val="center"/>
              <w:rPr>
                <w:rFonts w:eastAsiaTheme="minorEastAsia"/>
                <w:color w:val="FFFFFF"/>
                <w:sz w:val="19"/>
                <w:lang w:eastAsia="en-AU"/>
              </w:rPr>
            </w:pPr>
            <w:r w:rsidRPr="00A84782">
              <w:rPr>
                <w:rFonts w:eastAsiaTheme="minorEastAsia"/>
                <w:color w:val="FFFFFF"/>
                <w:sz w:val="19"/>
                <w:lang w:eastAsia="en-AU"/>
              </w:rPr>
              <w:t>Inter</w:t>
            </w:r>
            <w:r>
              <w:rPr>
                <w:rFonts w:eastAsiaTheme="minorEastAsia"/>
                <w:color w:val="FFFFFF"/>
                <w:sz w:val="19"/>
                <w:lang w:eastAsia="en-AU"/>
              </w:rPr>
              <w:noBreakHyphen/>
            </w:r>
            <w:r w:rsidRPr="00A84782">
              <w:rPr>
                <w:rFonts w:eastAsiaTheme="minorEastAsia"/>
                <w:color w:val="FFFFFF"/>
                <w:sz w:val="19"/>
                <w:lang w:eastAsia="en-AU"/>
              </w:rPr>
              <w:t>sector eliminations</w:t>
            </w:r>
          </w:p>
        </w:tc>
        <w:tc>
          <w:tcPr>
            <w:tcW w:w="236" w:type="dxa"/>
            <w:tcBorders>
              <w:top w:val="single" w:sz="6" w:space="0" w:color="auto"/>
              <w:left w:val="nil"/>
              <w:bottom w:val="nil"/>
              <w:right w:val="nil"/>
            </w:tcBorders>
            <w:shd w:val="clear" w:color="000000" w:fill="000000"/>
          </w:tcPr>
          <w:p w:rsidR="00336793" w:rsidRPr="00A84782" w:rsidRDefault="00336793" w:rsidP="00DF0B96">
            <w:pPr>
              <w:pStyle w:val="Tabletextheading"/>
              <w:jc w:val="center"/>
              <w:rPr>
                <w:rFonts w:eastAsiaTheme="minorEastAsia" w:cs="Calibri"/>
                <w:iCs/>
                <w:color w:val="FFFFFF"/>
                <w:sz w:val="19"/>
                <w:szCs w:val="22"/>
                <w:lang w:eastAsia="en-AU"/>
              </w:rPr>
            </w:pPr>
            <w:r w:rsidRPr="00A84782">
              <w:rPr>
                <w:rFonts w:eastAsiaTheme="minorEastAsia"/>
                <w:color w:val="FFFFFF"/>
                <w:sz w:val="19"/>
                <w:lang w:eastAsia="en-AU"/>
              </w:rPr>
              <w:t xml:space="preserve"> </w:t>
            </w:r>
          </w:p>
        </w:tc>
        <w:tc>
          <w:tcPr>
            <w:tcW w:w="2953" w:type="dxa"/>
            <w:gridSpan w:val="2"/>
            <w:tcBorders>
              <w:top w:val="single" w:sz="6" w:space="0" w:color="auto"/>
              <w:left w:val="nil"/>
              <w:bottom w:val="nil"/>
              <w:right w:val="nil"/>
            </w:tcBorders>
            <w:shd w:val="clear" w:color="000000" w:fill="000000"/>
          </w:tcPr>
          <w:p w:rsidR="00336793" w:rsidRPr="00A84782" w:rsidRDefault="00336793" w:rsidP="00DF0B96">
            <w:pPr>
              <w:pStyle w:val="Tabletextheading"/>
              <w:jc w:val="center"/>
              <w:rPr>
                <w:rFonts w:eastAsiaTheme="minorEastAsia"/>
                <w:color w:val="FFFFFF"/>
                <w:sz w:val="19"/>
                <w:lang w:eastAsia="en-AU"/>
              </w:rPr>
            </w:pPr>
            <w:r w:rsidRPr="00A84782">
              <w:rPr>
                <w:rFonts w:eastAsiaTheme="minorEastAsia"/>
                <w:color w:val="FFFFFF"/>
                <w:sz w:val="19"/>
                <w:lang w:eastAsia="en-AU"/>
              </w:rPr>
              <w:t>State of Victoria</w:t>
            </w:r>
          </w:p>
        </w:tc>
        <w:tc>
          <w:tcPr>
            <w:tcW w:w="260" w:type="dxa"/>
            <w:tcBorders>
              <w:top w:val="single" w:sz="6" w:space="0" w:color="auto"/>
              <w:left w:val="nil"/>
              <w:bottom w:val="nil"/>
              <w:right w:val="single" w:sz="6" w:space="0" w:color="auto"/>
            </w:tcBorders>
            <w:shd w:val="clear" w:color="000000" w:fill="000000"/>
          </w:tcPr>
          <w:p w:rsidR="00336793" w:rsidRPr="00A84782" w:rsidRDefault="00336793" w:rsidP="00DF0B96">
            <w:pPr>
              <w:pStyle w:val="Tabletextheading"/>
              <w:jc w:val="center"/>
              <w:rPr>
                <w:rFonts w:eastAsiaTheme="minorEastAsia" w:cs="Calibri"/>
                <w:iCs/>
                <w:color w:val="FFFFFF"/>
                <w:sz w:val="19"/>
                <w:szCs w:val="22"/>
                <w:lang w:eastAsia="en-AU"/>
              </w:rPr>
            </w:pPr>
            <w:r w:rsidRPr="00A84782">
              <w:rPr>
                <w:rFonts w:eastAsiaTheme="minorEastAsia"/>
                <w:color w:val="FFFFFF"/>
                <w:sz w:val="19"/>
                <w:lang w:eastAsia="en-AU"/>
              </w:rPr>
              <w:t xml:space="preserve"> </w:t>
            </w:r>
          </w:p>
        </w:tc>
      </w:tr>
      <w:tr w:rsidR="00336793" w:rsidRPr="00A84782" w:rsidTr="00DF0B96">
        <w:tc>
          <w:tcPr>
            <w:tcW w:w="2133" w:type="dxa"/>
            <w:tcBorders>
              <w:left w:val="single" w:sz="6" w:space="0" w:color="auto"/>
              <w:bottom w:val="single" w:sz="6" w:space="0" w:color="auto"/>
              <w:right w:val="nil"/>
            </w:tcBorders>
            <w:shd w:val="clear" w:color="000000" w:fill="000000"/>
          </w:tcPr>
          <w:p w:rsidR="00336793" w:rsidRPr="00A84782" w:rsidRDefault="00336793" w:rsidP="00DF0B96">
            <w:pPr>
              <w:pStyle w:val="Tabletext"/>
              <w:jc w:val="right"/>
              <w:rPr>
                <w:rFonts w:eastAsiaTheme="minorEastAsia"/>
                <w:i/>
                <w:sz w:val="19"/>
                <w:lang w:eastAsia="en-AU"/>
              </w:rPr>
            </w:pPr>
            <w:r w:rsidRPr="00A84782">
              <w:rPr>
                <w:rFonts w:eastAsiaTheme="minorEastAsia"/>
                <w:i/>
                <w:sz w:val="19"/>
                <w:lang w:eastAsia="en-AU"/>
              </w:rPr>
              <w:t>2015</w:t>
            </w:r>
          </w:p>
        </w:tc>
        <w:tc>
          <w:tcPr>
            <w:tcW w:w="1606" w:type="dxa"/>
            <w:gridSpan w:val="2"/>
            <w:tcBorders>
              <w:left w:val="nil"/>
              <w:bottom w:val="single" w:sz="6" w:space="0" w:color="auto"/>
              <w:right w:val="nil"/>
            </w:tcBorders>
            <w:shd w:val="clear" w:color="000000" w:fill="000000"/>
          </w:tcPr>
          <w:p w:rsidR="00336793" w:rsidRPr="00A84782" w:rsidRDefault="00336793" w:rsidP="00DF0B96">
            <w:pPr>
              <w:pStyle w:val="Tabletextheading"/>
              <w:rPr>
                <w:rFonts w:eastAsiaTheme="minorEastAsia" w:cs="Calibri"/>
                <w:iCs/>
                <w:color w:val="FFFFFF"/>
                <w:sz w:val="19"/>
                <w:szCs w:val="22"/>
                <w:vertAlign w:val="superscript"/>
                <w:lang w:eastAsia="en-AU"/>
              </w:rPr>
            </w:pPr>
            <w:r w:rsidRPr="00A84782">
              <w:rPr>
                <w:rFonts w:eastAsiaTheme="minorEastAsia"/>
                <w:color w:val="FFFFFF"/>
                <w:sz w:val="19"/>
                <w:lang w:eastAsia="en-AU"/>
              </w:rPr>
              <w:t>2014</w:t>
            </w:r>
            <w:r w:rsidRPr="002800BA">
              <w:rPr>
                <w:rFonts w:eastAsiaTheme="minorEastAsia"/>
                <w:color w:val="FFFFFF"/>
                <w:sz w:val="19"/>
                <w:vertAlign w:val="superscript"/>
                <w:lang w:eastAsia="en-AU"/>
              </w:rPr>
              <w:t>(</w:t>
            </w:r>
            <w:r w:rsidRPr="002800BA">
              <w:rPr>
                <w:rFonts w:eastAsiaTheme="minorEastAsia" w:cs="Calibri"/>
                <w:iCs/>
                <w:color w:val="FFFFFF"/>
                <w:sz w:val="19"/>
                <w:szCs w:val="22"/>
                <w:vertAlign w:val="superscript"/>
                <w:lang w:eastAsia="en-AU"/>
              </w:rPr>
              <w:t>a)</w:t>
            </w:r>
          </w:p>
        </w:tc>
        <w:tc>
          <w:tcPr>
            <w:tcW w:w="1606" w:type="dxa"/>
            <w:tcBorders>
              <w:left w:val="nil"/>
              <w:bottom w:val="single" w:sz="6" w:space="0" w:color="auto"/>
              <w:right w:val="nil"/>
            </w:tcBorders>
            <w:shd w:val="clear" w:color="000000" w:fill="000000"/>
          </w:tcPr>
          <w:p w:rsidR="00336793" w:rsidRPr="00A84782" w:rsidRDefault="00336793" w:rsidP="00DF0B96">
            <w:pPr>
              <w:pStyle w:val="Tabletextheading"/>
              <w:rPr>
                <w:rFonts w:eastAsiaTheme="minorEastAsia"/>
                <w:color w:val="FFFFFF"/>
                <w:sz w:val="19"/>
                <w:lang w:eastAsia="en-AU"/>
              </w:rPr>
            </w:pPr>
            <w:r w:rsidRPr="00A84782">
              <w:rPr>
                <w:rFonts w:eastAsiaTheme="minorEastAsia"/>
                <w:color w:val="FFFFFF"/>
                <w:sz w:val="19"/>
                <w:lang w:eastAsia="en-AU"/>
              </w:rPr>
              <w:t>2015</w:t>
            </w:r>
          </w:p>
        </w:tc>
        <w:tc>
          <w:tcPr>
            <w:tcW w:w="1606" w:type="dxa"/>
            <w:gridSpan w:val="2"/>
            <w:tcBorders>
              <w:left w:val="nil"/>
              <w:bottom w:val="single" w:sz="6" w:space="0" w:color="auto"/>
              <w:right w:val="nil"/>
            </w:tcBorders>
            <w:shd w:val="clear" w:color="000000" w:fill="000000"/>
          </w:tcPr>
          <w:p w:rsidR="00336793" w:rsidRPr="00A84782" w:rsidRDefault="00336793" w:rsidP="00DF0B96">
            <w:pPr>
              <w:pStyle w:val="Tabletextheading"/>
              <w:rPr>
                <w:rFonts w:eastAsiaTheme="minorEastAsia" w:cs="Calibri"/>
                <w:iCs/>
                <w:color w:val="FFFFFF"/>
                <w:sz w:val="19"/>
                <w:szCs w:val="22"/>
                <w:vertAlign w:val="superscript"/>
                <w:lang w:eastAsia="en-AU"/>
              </w:rPr>
            </w:pPr>
            <w:r w:rsidRPr="00A84782">
              <w:rPr>
                <w:rFonts w:eastAsiaTheme="minorEastAsia"/>
                <w:color w:val="FFFFFF"/>
                <w:sz w:val="19"/>
                <w:lang w:eastAsia="en-AU"/>
              </w:rPr>
              <w:t>2014</w:t>
            </w:r>
            <w:r w:rsidRPr="002800BA">
              <w:rPr>
                <w:rFonts w:eastAsiaTheme="minorEastAsia"/>
                <w:color w:val="FFFFFF"/>
                <w:sz w:val="19"/>
                <w:vertAlign w:val="superscript"/>
                <w:lang w:eastAsia="en-AU"/>
              </w:rPr>
              <w:t>(</w:t>
            </w:r>
            <w:r w:rsidRPr="002800BA">
              <w:rPr>
                <w:rFonts w:eastAsiaTheme="minorEastAsia" w:cs="Calibri"/>
                <w:iCs/>
                <w:color w:val="FFFFFF"/>
                <w:sz w:val="19"/>
                <w:szCs w:val="22"/>
                <w:vertAlign w:val="superscript"/>
                <w:lang w:eastAsia="en-AU"/>
              </w:rPr>
              <w:t>a</w:t>
            </w:r>
            <w:r w:rsidRPr="00A84782">
              <w:rPr>
                <w:rFonts w:eastAsiaTheme="minorEastAsia" w:cs="Calibri"/>
                <w:iCs/>
                <w:color w:val="FFFFFF"/>
                <w:sz w:val="19"/>
                <w:szCs w:val="22"/>
                <w:vertAlign w:val="superscript"/>
                <w:lang w:eastAsia="en-AU"/>
              </w:rPr>
              <w:t>)</w:t>
            </w:r>
          </w:p>
        </w:tc>
        <w:tc>
          <w:tcPr>
            <w:tcW w:w="1606" w:type="dxa"/>
            <w:tcBorders>
              <w:left w:val="nil"/>
              <w:bottom w:val="single" w:sz="6" w:space="0" w:color="auto"/>
              <w:right w:val="nil"/>
            </w:tcBorders>
            <w:shd w:val="clear" w:color="000000" w:fill="000000"/>
          </w:tcPr>
          <w:p w:rsidR="00336793" w:rsidRPr="00A84782" w:rsidRDefault="00336793" w:rsidP="00DF0B96">
            <w:pPr>
              <w:pStyle w:val="Tabletextheading"/>
              <w:rPr>
                <w:rFonts w:eastAsiaTheme="minorEastAsia"/>
                <w:color w:val="FFFFFF"/>
                <w:sz w:val="19"/>
                <w:lang w:eastAsia="en-AU"/>
              </w:rPr>
            </w:pPr>
            <w:r w:rsidRPr="00A84782">
              <w:rPr>
                <w:rFonts w:eastAsiaTheme="minorEastAsia"/>
                <w:color w:val="FFFFFF"/>
                <w:sz w:val="19"/>
                <w:lang w:eastAsia="en-AU"/>
              </w:rPr>
              <w:t>2015</w:t>
            </w:r>
          </w:p>
        </w:tc>
        <w:tc>
          <w:tcPr>
            <w:tcW w:w="1607" w:type="dxa"/>
            <w:gridSpan w:val="2"/>
            <w:tcBorders>
              <w:left w:val="nil"/>
              <w:bottom w:val="single" w:sz="6" w:space="0" w:color="auto"/>
              <w:right w:val="single" w:sz="6" w:space="0" w:color="auto"/>
            </w:tcBorders>
            <w:shd w:val="clear" w:color="000000" w:fill="000000"/>
          </w:tcPr>
          <w:p w:rsidR="00336793" w:rsidRPr="00A84782" w:rsidRDefault="00336793" w:rsidP="00DF0B96">
            <w:pPr>
              <w:pStyle w:val="Tabletextheading"/>
              <w:rPr>
                <w:rFonts w:eastAsiaTheme="minorEastAsia" w:cs="Calibri"/>
                <w:iCs/>
                <w:color w:val="FFFFFF"/>
                <w:sz w:val="19"/>
                <w:szCs w:val="22"/>
                <w:vertAlign w:val="superscript"/>
                <w:lang w:eastAsia="en-AU"/>
              </w:rPr>
            </w:pPr>
            <w:r w:rsidRPr="00A84782">
              <w:rPr>
                <w:rFonts w:eastAsiaTheme="minorEastAsia"/>
                <w:color w:val="FFFFFF"/>
                <w:sz w:val="19"/>
                <w:lang w:eastAsia="en-AU"/>
              </w:rPr>
              <w:t>2014</w:t>
            </w:r>
            <w:r w:rsidRPr="002800BA">
              <w:rPr>
                <w:rFonts w:eastAsiaTheme="minorEastAsia"/>
                <w:color w:val="FFFFFF"/>
                <w:sz w:val="19"/>
                <w:vertAlign w:val="superscript"/>
                <w:lang w:eastAsia="en-AU"/>
              </w:rPr>
              <w:t>(</w:t>
            </w:r>
            <w:r w:rsidRPr="002800BA">
              <w:rPr>
                <w:rFonts w:eastAsiaTheme="minorEastAsia" w:cs="Calibri"/>
                <w:iCs/>
                <w:color w:val="FFFFFF"/>
                <w:sz w:val="19"/>
                <w:szCs w:val="22"/>
                <w:vertAlign w:val="superscript"/>
                <w:lang w:eastAsia="en-AU"/>
              </w:rPr>
              <w:t>a)</w:t>
            </w:r>
          </w:p>
        </w:tc>
      </w:tr>
      <w:tr w:rsidR="00336793" w:rsidRPr="00A84782" w:rsidTr="00DF0B96">
        <w:tc>
          <w:tcPr>
            <w:tcW w:w="2133" w:type="dxa"/>
            <w:tcBorders>
              <w:top w:val="single" w:sz="6" w:space="0" w:color="auto"/>
              <w:left w:val="nil"/>
              <w:bottom w:val="nil"/>
              <w:right w:val="nil"/>
            </w:tcBorders>
            <w:shd w:val="solid" w:color="FFFFFF" w:fill="auto"/>
          </w:tcPr>
          <w:p w:rsidR="00336793" w:rsidRPr="00A84782" w:rsidRDefault="00336793" w:rsidP="00DF0B96">
            <w:pPr>
              <w:pStyle w:val="Tabletext"/>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single" w:sz="6" w:space="0" w:color="auto"/>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single" w:sz="6" w:space="0" w:color="auto"/>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single" w:sz="6" w:space="0" w:color="auto"/>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single" w:sz="6" w:space="0" w:color="auto"/>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7" w:type="dxa"/>
            <w:gridSpan w:val="2"/>
            <w:tcBorders>
              <w:top w:val="single" w:sz="6" w:space="0" w:color="auto"/>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402.7)</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410.5)</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17 936.0</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16 490.4</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2 549.8</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2 498.9</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(2 443.2)</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(2 448.0)</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979.9</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938.6</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723.8</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805.5</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(1 093.8)</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424.7)</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767.5</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842.2</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4 020.1</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3 895.3</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(2 613.7)</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(2 477.8)</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13 906.3</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14 233.3</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(2 910.5)</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(2 772.2)</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24 376.7</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25 019.1</w:t>
            </w:r>
          </w:p>
        </w:tc>
      </w:tr>
      <w:tr w:rsidR="00336793" w:rsidRPr="00A84782" w:rsidTr="00DF0B96">
        <w:tc>
          <w:tcPr>
            <w:tcW w:w="2133" w:type="dxa"/>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20.7</w:t>
            </w:r>
          </w:p>
        </w:tc>
        <w:tc>
          <w:tcPr>
            <w:tcW w:w="1606"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20.5</w:t>
            </w:r>
          </w:p>
        </w:tc>
        <w:tc>
          <w:tcPr>
            <w:tcW w:w="1606" w:type="dxa"/>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53.3)</w:t>
            </w:r>
          </w:p>
        </w:tc>
        <w:tc>
          <w:tcPr>
            <w:tcW w:w="1606"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76.2)</w:t>
            </w:r>
          </w:p>
        </w:tc>
        <w:tc>
          <w:tcPr>
            <w:tcW w:w="1606" w:type="dxa"/>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3 087.6</w:t>
            </w:r>
          </w:p>
        </w:tc>
        <w:tc>
          <w:tcPr>
            <w:tcW w:w="1607"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2 750.2</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7 314.3</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7 220.1</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(9 517.2)</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(8 609.4)</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61 054.0</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60 273.8</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276.6</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309.9</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353.8)</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343.1)</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19 833.8</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19 029.7</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1 040.8</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1 077.3</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22.6</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23.6</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2 102.8</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1 965.6</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50.0</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43.1</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4 453.7</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4 334.1</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2 032.1</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2 092.4</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(2 443.2)</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(2 447.9)</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2 867.3</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2 954.4</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(2 977.5)</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(2 792.3)</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5 821.8</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5 040.1</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5 638.8</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5 507.4</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(2 648.9)</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(2 601.0)</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25 544.4</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25 084.9</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186.7</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338.7</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323.4)</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511.8)</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p>
        </w:tc>
      </w:tr>
      <w:tr w:rsidR="00336793" w:rsidRPr="00A84782" w:rsidTr="00DF0B96">
        <w:tc>
          <w:tcPr>
            <w:tcW w:w="2133"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8 206.8</w:t>
            </w:r>
          </w:p>
        </w:tc>
        <w:tc>
          <w:tcPr>
            <w:tcW w:w="1606"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8 315.2</w:t>
            </w:r>
          </w:p>
        </w:tc>
        <w:tc>
          <w:tcPr>
            <w:tcW w:w="1606"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(8 746.8)</w:t>
            </w:r>
          </w:p>
        </w:tc>
        <w:tc>
          <w:tcPr>
            <w:tcW w:w="1606"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(8 696.1)</w:t>
            </w:r>
          </w:p>
        </w:tc>
        <w:tc>
          <w:tcPr>
            <w:tcW w:w="1606"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61 664.7</w:t>
            </w:r>
          </w:p>
        </w:tc>
        <w:tc>
          <w:tcPr>
            <w:tcW w:w="1607"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59 486.2</w:t>
            </w:r>
          </w:p>
        </w:tc>
      </w:tr>
      <w:tr w:rsidR="00336793" w:rsidRPr="00A84782" w:rsidTr="00DF0B96">
        <w:tc>
          <w:tcPr>
            <w:tcW w:w="2133" w:type="dxa"/>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892.4)</w:t>
            </w:r>
          </w:p>
        </w:tc>
        <w:tc>
          <w:tcPr>
            <w:tcW w:w="1606"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(1 095.0)</w:t>
            </w:r>
          </w:p>
        </w:tc>
        <w:tc>
          <w:tcPr>
            <w:tcW w:w="1606" w:type="dxa"/>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770.4)</w:t>
            </w:r>
          </w:p>
        </w:tc>
        <w:tc>
          <w:tcPr>
            <w:tcW w:w="1606"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86.7</w:t>
            </w:r>
          </w:p>
        </w:tc>
        <w:tc>
          <w:tcPr>
            <w:tcW w:w="1606" w:type="dxa"/>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610.7)</w:t>
            </w:r>
          </w:p>
        </w:tc>
        <w:tc>
          <w:tcPr>
            <w:tcW w:w="1607"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787.6</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0.2</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0.4)</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 xml:space="preserve"> </w:t>
            </w:r>
            <w:r w:rsidRPr="00A84782">
              <w:rPr>
                <w:rFonts w:eastAsiaTheme="minorEastAsia" w:cs="Calibri"/>
                <w:color w:val="000000"/>
                <w:sz w:val="19"/>
                <w:szCs w:val="22"/>
                <w:lang w:eastAsia="en-AU"/>
              </w:rPr>
              <w:t>8.8</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12.7)</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1 148.5</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1 222.4</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1 229.5</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1 159.0</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19.5)</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10.7)</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29.8)</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108.1</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 xml:space="preserve"> </w:t>
            </w:r>
            <w:r w:rsidRPr="00A84782">
              <w:rPr>
                <w:rFonts w:eastAsiaTheme="minorEastAsia" w:cs="Calibri"/>
                <w:color w:val="000000"/>
                <w:sz w:val="19"/>
                <w:szCs w:val="22"/>
                <w:lang w:eastAsia="en-AU"/>
              </w:rPr>
              <w:t>173.2</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547.7</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287.9)</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58.8</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547.1)</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390.1)</w:t>
            </w:r>
          </w:p>
        </w:tc>
      </w:tr>
      <w:tr w:rsidR="00336793" w:rsidRPr="00A84782" w:rsidTr="00DF0B96">
        <w:tc>
          <w:tcPr>
            <w:tcW w:w="2133"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1 322.0</w:t>
            </w:r>
          </w:p>
        </w:tc>
        <w:tc>
          <w:tcPr>
            <w:tcW w:w="1606"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1 769.6</w:t>
            </w:r>
          </w:p>
        </w:tc>
        <w:tc>
          <w:tcPr>
            <w:tcW w:w="1606"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307.4)</w:t>
            </w:r>
          </w:p>
        </w:tc>
        <w:tc>
          <w:tcPr>
            <w:tcW w:w="1606"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48.1</w:t>
            </w:r>
          </w:p>
        </w:tc>
        <w:tc>
          <w:tcPr>
            <w:tcW w:w="1606"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661.4</w:t>
            </w:r>
          </w:p>
        </w:tc>
        <w:tc>
          <w:tcPr>
            <w:tcW w:w="1607"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864.3</w:t>
            </w:r>
          </w:p>
        </w:tc>
      </w:tr>
      <w:tr w:rsidR="00336793" w:rsidRPr="00A84782" w:rsidTr="00DF0B96">
        <w:tc>
          <w:tcPr>
            <w:tcW w:w="2133" w:type="dxa"/>
            <w:tcBorders>
              <w:top w:val="single" w:sz="6" w:space="0" w:color="000000"/>
              <w:left w:val="nil"/>
              <w:bottom w:val="single" w:sz="6"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429.5</w:t>
            </w:r>
          </w:p>
        </w:tc>
        <w:tc>
          <w:tcPr>
            <w:tcW w:w="1606" w:type="dxa"/>
            <w:gridSpan w:val="2"/>
            <w:tcBorders>
              <w:top w:val="single" w:sz="6" w:space="0" w:color="000000"/>
              <w:left w:val="nil"/>
              <w:bottom w:val="single" w:sz="6"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674.5</w:t>
            </w:r>
          </w:p>
        </w:tc>
        <w:tc>
          <w:tcPr>
            <w:tcW w:w="1606" w:type="dxa"/>
            <w:tcBorders>
              <w:top w:val="single" w:sz="6" w:space="0" w:color="000000"/>
              <w:left w:val="nil"/>
              <w:bottom w:val="single" w:sz="6"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 xml:space="preserve"> (1 </w:t>
            </w:r>
            <w:r w:rsidRPr="00A84782">
              <w:rPr>
                <w:rFonts w:eastAsiaTheme="minorEastAsia" w:cs="Calibri"/>
                <w:b/>
                <w:bCs/>
                <w:color w:val="000000"/>
                <w:sz w:val="19"/>
                <w:szCs w:val="22"/>
                <w:lang w:eastAsia="en-AU"/>
              </w:rPr>
              <w:t>077.8)</w:t>
            </w:r>
          </w:p>
        </w:tc>
        <w:tc>
          <w:tcPr>
            <w:tcW w:w="1606" w:type="dxa"/>
            <w:gridSpan w:val="2"/>
            <w:tcBorders>
              <w:top w:val="single" w:sz="6" w:space="0" w:color="000000"/>
              <w:left w:val="nil"/>
              <w:bottom w:val="single" w:sz="6"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134.8</w:t>
            </w:r>
          </w:p>
        </w:tc>
        <w:tc>
          <w:tcPr>
            <w:tcW w:w="1606" w:type="dxa"/>
            <w:tcBorders>
              <w:top w:val="single" w:sz="6" w:space="0" w:color="000000"/>
              <w:left w:val="nil"/>
              <w:bottom w:val="single" w:sz="6"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 xml:space="preserve"> </w:t>
            </w:r>
            <w:r w:rsidRPr="00A84782">
              <w:rPr>
                <w:rFonts w:eastAsiaTheme="minorEastAsia" w:cs="Calibri"/>
                <w:b/>
                <w:bCs/>
                <w:color w:val="000000"/>
                <w:sz w:val="19"/>
                <w:szCs w:val="22"/>
                <w:lang w:eastAsia="en-AU"/>
              </w:rPr>
              <w:t>50.7</w:t>
            </w:r>
          </w:p>
        </w:tc>
        <w:tc>
          <w:tcPr>
            <w:tcW w:w="1607" w:type="dxa"/>
            <w:gridSpan w:val="2"/>
            <w:tcBorders>
              <w:top w:val="single" w:sz="6" w:space="0" w:color="000000"/>
              <w:left w:val="nil"/>
              <w:bottom w:val="single" w:sz="6"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1 651.9</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12.9)</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1 017.6</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173.7</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7 404.3</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4 945.9</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556.3</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266.1)</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r w:rsidRPr="00A84782">
              <w:rPr>
                <w:rFonts w:eastAsiaTheme="minorEastAsia"/>
                <w:sz w:val="19"/>
                <w:lang w:eastAsia="en-AU"/>
              </w:rPr>
              <w:br/>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(4 225.6)</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(3 813.8)</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267.9)</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12.4</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245.3</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33.5</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175.5)</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574.5</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9.8)</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8.6)</w:t>
            </w:r>
          </w:p>
        </w:tc>
      </w:tr>
      <w:tr w:rsidR="00336793" w:rsidRPr="00A84782" w:rsidTr="00DF0B96">
        <w:tc>
          <w:tcPr>
            <w:tcW w:w="2133"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267.9)</w:t>
            </w:r>
          </w:p>
        </w:tc>
        <w:tc>
          <w:tcPr>
            <w:tcW w:w="1606"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0.5)</w:t>
            </w:r>
          </w:p>
        </w:tc>
        <w:tc>
          <w:tcPr>
            <w:tcW w:w="1606"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(2 962.7)</w:t>
            </w:r>
          </w:p>
        </w:tc>
        <w:tc>
          <w:tcPr>
            <w:tcW w:w="1606"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(3 606.6)</w:t>
            </w:r>
          </w:p>
        </w:tc>
        <w:tc>
          <w:tcPr>
            <w:tcW w:w="1606"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7 775.2</w:t>
            </w:r>
          </w:p>
        </w:tc>
        <w:tc>
          <w:tcPr>
            <w:tcW w:w="1607"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5 245.7</w:t>
            </w:r>
          </w:p>
        </w:tc>
      </w:tr>
      <w:tr w:rsidR="00336793" w:rsidRPr="00A84782" w:rsidTr="00DF0B96">
        <w:tc>
          <w:tcPr>
            <w:tcW w:w="2133"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161.7</w:t>
            </w:r>
          </w:p>
        </w:tc>
        <w:tc>
          <w:tcPr>
            <w:tcW w:w="1606"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674.0</w:t>
            </w:r>
          </w:p>
        </w:tc>
        <w:tc>
          <w:tcPr>
            <w:tcW w:w="1606"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(4 040.5)</w:t>
            </w:r>
          </w:p>
        </w:tc>
        <w:tc>
          <w:tcPr>
            <w:tcW w:w="1606"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(3 471.8)</w:t>
            </w:r>
          </w:p>
        </w:tc>
        <w:tc>
          <w:tcPr>
            <w:tcW w:w="1606" w:type="dxa"/>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7 826.0</w:t>
            </w:r>
          </w:p>
        </w:tc>
        <w:tc>
          <w:tcPr>
            <w:tcW w:w="1607" w:type="dxa"/>
            <w:gridSpan w:val="2"/>
            <w:tcBorders>
              <w:top w:val="single" w:sz="6" w:space="0" w:color="000000"/>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6 897.6</w:t>
            </w:r>
          </w:p>
        </w:tc>
      </w:tr>
      <w:tr w:rsidR="00336793" w:rsidRPr="00A84782" w:rsidTr="00DF0B96">
        <w:trPr>
          <w:trHeight w:hRule="exact" w:val="120"/>
        </w:trPr>
        <w:tc>
          <w:tcPr>
            <w:tcW w:w="2133" w:type="dxa"/>
            <w:tcBorders>
              <w:top w:val="single" w:sz="12" w:space="0" w:color="000000"/>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w:t>
            </w:r>
          </w:p>
        </w:tc>
        <w:tc>
          <w:tcPr>
            <w:tcW w:w="1606" w:type="dxa"/>
            <w:gridSpan w:val="2"/>
            <w:tcBorders>
              <w:top w:val="single" w:sz="12" w:space="0" w:color="000000"/>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w:t>
            </w:r>
          </w:p>
        </w:tc>
        <w:tc>
          <w:tcPr>
            <w:tcW w:w="1606" w:type="dxa"/>
            <w:tcBorders>
              <w:top w:val="single" w:sz="12" w:space="0" w:color="000000"/>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w:t>
            </w:r>
          </w:p>
        </w:tc>
        <w:tc>
          <w:tcPr>
            <w:tcW w:w="1606" w:type="dxa"/>
            <w:gridSpan w:val="2"/>
            <w:tcBorders>
              <w:top w:val="single" w:sz="12" w:space="0" w:color="000000"/>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w:t>
            </w:r>
          </w:p>
        </w:tc>
        <w:tc>
          <w:tcPr>
            <w:tcW w:w="1606" w:type="dxa"/>
            <w:tcBorders>
              <w:top w:val="single" w:sz="12" w:space="0" w:color="000000"/>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w:t>
            </w:r>
          </w:p>
        </w:tc>
        <w:tc>
          <w:tcPr>
            <w:tcW w:w="1607" w:type="dxa"/>
            <w:gridSpan w:val="2"/>
            <w:tcBorders>
              <w:top w:val="single" w:sz="12" w:space="0" w:color="000000"/>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892.4)</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(1 095.0)</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770.4)</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86.7</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610.7)</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787.6</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31.7</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37.3</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20.6)</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6 615.6</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7 334.7</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1.3)</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19.0)</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595.0)</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496.4)</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50.0)</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43.1)</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(4 453.7)</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(4 334.1)</w:t>
            </w:r>
          </w:p>
        </w:tc>
      </w:tr>
      <w:tr w:rsidR="00336793" w:rsidRPr="00A84782" w:rsidTr="00DF0B96">
        <w:tc>
          <w:tcPr>
            <w:tcW w:w="2133"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p>
        </w:tc>
        <w:tc>
          <w:tcPr>
            <w:tcW w:w="1606"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cs="Calibri"/>
                <w:color w:val="000000"/>
                <w:sz w:val="19"/>
                <w:szCs w:val="22"/>
                <w:lang w:eastAsia="en-AU"/>
              </w:rPr>
            </w:pPr>
            <w:r w:rsidRPr="00A84782">
              <w:rPr>
                <w:rFonts w:eastAsiaTheme="minorEastAsia"/>
                <w:sz w:val="19"/>
                <w:lang w:eastAsia="en-AU"/>
              </w:rPr>
              <w:t>.</w:t>
            </w:r>
            <w:r w:rsidRPr="00A84782">
              <w:rPr>
                <w:rFonts w:eastAsiaTheme="minorEastAsia" w:cs="Calibri"/>
                <w:color w:val="000000"/>
                <w:sz w:val="19"/>
                <w:szCs w:val="22"/>
                <w:lang w:eastAsia="en-AU"/>
              </w:rPr>
              <w:t>.</w:t>
            </w:r>
          </w:p>
        </w:tc>
        <w:tc>
          <w:tcPr>
            <w:tcW w:w="1606" w:type="dxa"/>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240.8</w:t>
            </w:r>
          </w:p>
        </w:tc>
        <w:tc>
          <w:tcPr>
            <w:tcW w:w="1607" w:type="dxa"/>
            <w:gridSpan w:val="2"/>
            <w:tcBorders>
              <w:top w:val="nil"/>
              <w:left w:val="nil"/>
              <w:bottom w:val="nil"/>
              <w:right w:val="nil"/>
            </w:tcBorders>
            <w:shd w:val="solid" w:color="FFFFFF" w:fill="auto"/>
          </w:tcPr>
          <w:p w:rsidR="00336793" w:rsidRPr="00A84782" w:rsidRDefault="00336793" w:rsidP="00DF0B96">
            <w:pPr>
              <w:pStyle w:val="TableofFigures"/>
              <w:rPr>
                <w:rFonts w:eastAsiaTheme="minorEastAsia"/>
                <w:sz w:val="19"/>
                <w:lang w:eastAsia="en-AU"/>
              </w:rPr>
            </w:pPr>
            <w:r w:rsidRPr="00A84782">
              <w:rPr>
                <w:rFonts w:eastAsiaTheme="minorEastAsia"/>
                <w:sz w:val="19"/>
                <w:lang w:eastAsia="en-AU"/>
              </w:rPr>
              <w:t xml:space="preserve"> 270.4</w:t>
            </w:r>
          </w:p>
        </w:tc>
      </w:tr>
      <w:tr w:rsidR="00336793" w:rsidRPr="00A84782" w:rsidTr="00DF0B96">
        <w:tc>
          <w:tcPr>
            <w:tcW w:w="2133" w:type="dxa"/>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19.6)</w:t>
            </w:r>
          </w:p>
        </w:tc>
        <w:tc>
          <w:tcPr>
            <w:tcW w:w="1606"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24.9)</w:t>
            </w:r>
          </w:p>
        </w:tc>
        <w:tc>
          <w:tcPr>
            <w:tcW w:w="1606" w:type="dxa"/>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20.6)</w:t>
            </w:r>
          </w:p>
        </w:tc>
        <w:tc>
          <w:tcPr>
            <w:tcW w:w="1606"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p>
        </w:tc>
        <w:tc>
          <w:tcPr>
            <w:tcW w:w="1606" w:type="dxa"/>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1 807.8</w:t>
            </w:r>
          </w:p>
        </w:tc>
        <w:tc>
          <w:tcPr>
            <w:tcW w:w="1607" w:type="dxa"/>
            <w:gridSpan w:val="2"/>
            <w:tcBorders>
              <w:top w:val="nil"/>
              <w:left w:val="nil"/>
              <w:bottom w:val="single" w:sz="6"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2 774.5</w:t>
            </w:r>
          </w:p>
        </w:tc>
      </w:tr>
      <w:tr w:rsidR="00336793" w:rsidRPr="00A84782" w:rsidTr="00DF0B96">
        <w:tc>
          <w:tcPr>
            <w:tcW w:w="2133" w:type="dxa"/>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872.9)</w:t>
            </w:r>
          </w:p>
        </w:tc>
        <w:tc>
          <w:tcPr>
            <w:tcW w:w="1606"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(1 070.1)</w:t>
            </w:r>
          </w:p>
        </w:tc>
        <w:tc>
          <w:tcPr>
            <w:tcW w:w="1606" w:type="dxa"/>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w:t>
            </w:r>
            <w:r w:rsidRPr="00A84782">
              <w:rPr>
                <w:rFonts w:eastAsiaTheme="minorEastAsia" w:cs="Calibri"/>
                <w:b/>
                <w:bCs/>
                <w:color w:val="000000"/>
                <w:sz w:val="19"/>
                <w:szCs w:val="22"/>
                <w:lang w:eastAsia="en-AU"/>
              </w:rPr>
              <w:t>749.8)</w:t>
            </w:r>
          </w:p>
        </w:tc>
        <w:tc>
          <w:tcPr>
            <w:tcW w:w="1606"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86.7</w:t>
            </w:r>
          </w:p>
        </w:tc>
        <w:tc>
          <w:tcPr>
            <w:tcW w:w="1606" w:type="dxa"/>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cs="Calibri"/>
                <w:b/>
                <w:bCs/>
                <w:color w:val="000000"/>
                <w:sz w:val="19"/>
                <w:szCs w:val="22"/>
                <w:lang w:eastAsia="en-AU"/>
              </w:rPr>
            </w:pPr>
            <w:r w:rsidRPr="00A84782">
              <w:rPr>
                <w:rFonts w:eastAsiaTheme="minorEastAsia"/>
                <w:b/>
                <w:bCs/>
                <w:sz w:val="19"/>
                <w:lang w:eastAsia="en-AU"/>
              </w:rPr>
              <w:t xml:space="preserve"> (2 </w:t>
            </w:r>
            <w:r w:rsidRPr="00A84782">
              <w:rPr>
                <w:rFonts w:eastAsiaTheme="minorEastAsia" w:cs="Calibri"/>
                <w:b/>
                <w:bCs/>
                <w:color w:val="000000"/>
                <w:sz w:val="19"/>
                <w:szCs w:val="22"/>
                <w:lang w:eastAsia="en-AU"/>
              </w:rPr>
              <w:t>418.5)</w:t>
            </w:r>
          </w:p>
        </w:tc>
        <w:tc>
          <w:tcPr>
            <w:tcW w:w="1607" w:type="dxa"/>
            <w:gridSpan w:val="2"/>
            <w:tcBorders>
              <w:top w:val="single" w:sz="6" w:space="0" w:color="000000"/>
              <w:left w:val="nil"/>
              <w:bottom w:val="single" w:sz="12" w:space="0" w:color="000000"/>
              <w:right w:val="nil"/>
            </w:tcBorders>
            <w:shd w:val="solid" w:color="FFFFFF" w:fill="auto"/>
          </w:tcPr>
          <w:p w:rsidR="00336793" w:rsidRPr="00A84782" w:rsidRDefault="00336793" w:rsidP="00DF0B96">
            <w:pPr>
              <w:pStyle w:val="TableofFigures"/>
              <w:rPr>
                <w:rFonts w:eastAsiaTheme="minorEastAsia"/>
                <w:b/>
                <w:bCs/>
                <w:sz w:val="19"/>
                <w:lang w:eastAsia="en-AU"/>
              </w:rPr>
            </w:pPr>
            <w:r w:rsidRPr="00A84782">
              <w:rPr>
                <w:rFonts w:eastAsiaTheme="minorEastAsia"/>
                <w:b/>
                <w:bCs/>
                <w:sz w:val="19"/>
                <w:lang w:eastAsia="en-AU"/>
              </w:rPr>
              <w:t xml:space="preserve"> (1 986.9)</w:t>
            </w:r>
          </w:p>
        </w:tc>
      </w:tr>
    </w:tbl>
    <w:p w:rsidR="00336793" w:rsidRDefault="00336793" w:rsidP="00DF0B96">
      <w:pPr>
        <w:pStyle w:val="Notes"/>
      </w:pPr>
    </w:p>
    <w:p w:rsidR="00336793" w:rsidRDefault="00336793">
      <w:pPr>
        <w:spacing w:after="0"/>
        <w:rPr>
          <w:rFonts w:ascii="Calibri" w:hAnsi="Calibri"/>
          <w:b/>
          <w:kern w:val="28"/>
          <w:sz w:val="28"/>
          <w:szCs w:val="22"/>
        </w:rPr>
      </w:pPr>
      <w:r>
        <w:br w:type="page"/>
      </w:r>
    </w:p>
    <w:p w:rsidR="00336793" w:rsidRPr="006B2B2E" w:rsidRDefault="00336793" w:rsidP="00DF0B96">
      <w:pPr>
        <w:pStyle w:val="Heading2NotesContd"/>
        <w:rPr>
          <w:i/>
        </w:rPr>
      </w:pPr>
      <w:r w:rsidRPr="006A75A2">
        <w:lastRenderedPageBreak/>
        <w:t>Note 2:</w:t>
      </w:r>
      <w:r w:rsidRPr="006A75A2">
        <w:tab/>
        <w:t>Disaggregated information</w:t>
      </w:r>
      <w:r>
        <w:t xml:space="preserve"> </w:t>
      </w:r>
      <w:r>
        <w:rPr>
          <w:i/>
        </w:rPr>
        <w:t>(continued)</w:t>
      </w:r>
    </w:p>
    <w:p w:rsidR="00336793" w:rsidRPr="006A75A2" w:rsidRDefault="00336793" w:rsidP="00DF0B96">
      <w:pPr>
        <w:pStyle w:val="Tableheading"/>
      </w:pPr>
      <w:r w:rsidRPr="000A7991">
        <w:t>Disaggregated</w:t>
      </w:r>
      <w:r w:rsidRPr="006A75A2">
        <w:t xml:space="preserve"> balance sheet as at 30 June</w:t>
      </w:r>
    </w:p>
    <w:p w:rsidR="00336793" w:rsidRPr="00A10A3B" w:rsidRDefault="00336793" w:rsidP="00DF0B96">
      <w:pPr>
        <w:pStyle w:val="million"/>
        <w:rPr>
          <w:rFonts w:ascii="Times New Roman" w:hAnsi="Times New Roman"/>
          <w:i w:val="0"/>
          <w:szCs w:val="20"/>
          <w:lang w:eastAsia="en-AU"/>
        </w:rPr>
      </w:pPr>
      <w:r w:rsidRPr="006A75A2">
        <w:t>($</w:t>
      </w:r>
      <w:r>
        <w:t> million)</w:t>
      </w:r>
    </w:p>
    <w:tbl>
      <w:tblPr>
        <w:tblW w:w="10367" w:type="dxa"/>
        <w:tblInd w:w="28" w:type="dxa"/>
        <w:tblLayout w:type="fixed"/>
        <w:tblCellMar>
          <w:left w:w="45" w:type="dxa"/>
          <w:right w:w="45" w:type="dxa"/>
        </w:tblCellMar>
        <w:tblLook w:val="0000" w:firstRow="0" w:lastRow="0" w:firstColumn="0" w:lastColumn="0" w:noHBand="0" w:noVBand="0"/>
      </w:tblPr>
      <w:tblGrid>
        <w:gridCol w:w="3136"/>
        <w:gridCol w:w="901"/>
        <w:gridCol w:w="1120"/>
        <w:gridCol w:w="530"/>
        <w:gridCol w:w="284"/>
        <w:gridCol w:w="306"/>
        <w:gridCol w:w="1120"/>
        <w:gridCol w:w="1120"/>
        <w:gridCol w:w="572"/>
        <w:gridCol w:w="284"/>
        <w:gridCol w:w="994"/>
      </w:tblGrid>
      <w:tr w:rsidR="00336793" w:rsidRPr="00B1599C" w:rsidTr="00DF0B96">
        <w:trPr>
          <w:tblHeader/>
        </w:trPr>
        <w:tc>
          <w:tcPr>
            <w:tcW w:w="3136" w:type="dxa"/>
            <w:tcBorders>
              <w:top w:val="single" w:sz="6" w:space="0" w:color="auto"/>
              <w:left w:val="single" w:sz="6" w:space="0" w:color="auto"/>
              <w:bottom w:val="nil"/>
              <w:right w:val="nil"/>
            </w:tcBorders>
            <w:shd w:val="clear" w:color="000000" w:fill="000000"/>
            <w:vAlign w:val="bottom"/>
          </w:tcPr>
          <w:p w:rsidR="00336793" w:rsidRPr="00B1599C" w:rsidRDefault="00336793" w:rsidP="00DF0B96">
            <w:pPr>
              <w:pStyle w:val="Tabletext"/>
              <w:rPr>
                <w:rFonts w:eastAsiaTheme="minorEastAsia"/>
                <w:i/>
                <w:sz w:val="20"/>
                <w:lang w:eastAsia="en-AU"/>
              </w:rPr>
            </w:pPr>
            <w:r w:rsidRPr="00B1599C">
              <w:rPr>
                <w:rFonts w:eastAsiaTheme="minorEastAsia"/>
                <w:i/>
                <w:sz w:val="20"/>
                <w:lang w:eastAsia="en-AU"/>
              </w:rPr>
              <w:t xml:space="preserve"> </w:t>
            </w:r>
          </w:p>
        </w:tc>
        <w:tc>
          <w:tcPr>
            <w:tcW w:w="2551" w:type="dxa"/>
            <w:gridSpan w:val="3"/>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General government sector</w:t>
            </w:r>
          </w:p>
        </w:tc>
        <w:tc>
          <w:tcPr>
            <w:tcW w:w="284" w:type="dxa"/>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 xml:space="preserve"> </w:t>
            </w:r>
          </w:p>
        </w:tc>
        <w:tc>
          <w:tcPr>
            <w:tcW w:w="306" w:type="dxa"/>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 xml:space="preserve"> </w:t>
            </w:r>
          </w:p>
        </w:tc>
        <w:tc>
          <w:tcPr>
            <w:tcW w:w="2812" w:type="dxa"/>
            <w:gridSpan w:val="3"/>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Public non</w:t>
            </w:r>
            <w:r>
              <w:rPr>
                <w:rFonts w:eastAsiaTheme="minorEastAsia"/>
                <w:color w:val="FFFFFF"/>
                <w:sz w:val="20"/>
                <w:lang w:eastAsia="en-AU"/>
              </w:rPr>
              <w:noBreakHyphen/>
            </w:r>
            <w:r w:rsidRPr="00B1599C">
              <w:rPr>
                <w:rFonts w:eastAsiaTheme="minorEastAsia"/>
                <w:color w:val="FFFFFF"/>
                <w:sz w:val="20"/>
                <w:lang w:eastAsia="en-AU"/>
              </w:rPr>
              <w:t>financial corporations</w:t>
            </w:r>
          </w:p>
        </w:tc>
        <w:tc>
          <w:tcPr>
            <w:tcW w:w="284" w:type="dxa"/>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 xml:space="preserve"> </w:t>
            </w:r>
          </w:p>
        </w:tc>
        <w:tc>
          <w:tcPr>
            <w:tcW w:w="994" w:type="dxa"/>
            <w:tcBorders>
              <w:top w:val="single" w:sz="6" w:space="0" w:color="auto"/>
              <w:left w:val="nil"/>
              <w:bottom w:val="nil"/>
              <w:right w:val="single" w:sz="6" w:space="0" w:color="auto"/>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 xml:space="preserve"> </w:t>
            </w:r>
          </w:p>
        </w:tc>
      </w:tr>
      <w:tr w:rsidR="00336793" w:rsidRPr="00B1599C" w:rsidTr="00DF0B96">
        <w:trPr>
          <w:tblHeader/>
        </w:trPr>
        <w:tc>
          <w:tcPr>
            <w:tcW w:w="3136" w:type="dxa"/>
            <w:tcBorders>
              <w:left w:val="single" w:sz="6" w:space="0" w:color="auto"/>
              <w:bottom w:val="single" w:sz="6" w:space="0" w:color="auto"/>
              <w:right w:val="nil"/>
            </w:tcBorders>
            <w:shd w:val="clear" w:color="000000" w:fill="000000"/>
            <w:vAlign w:val="bottom"/>
          </w:tcPr>
          <w:p w:rsidR="00336793" w:rsidRPr="00B1599C" w:rsidRDefault="00336793" w:rsidP="00DF0B96">
            <w:pPr>
              <w:pStyle w:val="Tabletext"/>
              <w:rPr>
                <w:rFonts w:eastAsiaTheme="minorEastAsia"/>
                <w:i/>
                <w:sz w:val="20"/>
                <w:lang w:eastAsia="en-AU"/>
              </w:rPr>
            </w:pPr>
            <w:r w:rsidRPr="00B1599C">
              <w:rPr>
                <w:rFonts w:eastAsiaTheme="minorEastAsia"/>
                <w:i/>
                <w:sz w:val="20"/>
                <w:lang w:eastAsia="en-AU"/>
              </w:rPr>
              <w:t xml:space="preserve"> </w:t>
            </w:r>
          </w:p>
        </w:tc>
        <w:tc>
          <w:tcPr>
            <w:tcW w:w="901" w:type="dxa"/>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2015</w:t>
            </w:r>
          </w:p>
        </w:tc>
        <w:tc>
          <w:tcPr>
            <w:tcW w:w="1120" w:type="dxa"/>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s="Calibri"/>
                <w:iCs/>
                <w:color w:val="FFFFFF"/>
                <w:sz w:val="20"/>
                <w:szCs w:val="22"/>
                <w:vertAlign w:val="superscript"/>
                <w:lang w:eastAsia="en-AU"/>
              </w:rPr>
            </w:pPr>
            <w:r w:rsidRPr="00B1599C">
              <w:rPr>
                <w:rFonts w:eastAsiaTheme="minorEastAsia"/>
                <w:color w:val="FFFFFF"/>
                <w:sz w:val="20"/>
                <w:lang w:eastAsia="en-AU"/>
              </w:rPr>
              <w:t>2014</w:t>
            </w:r>
            <w:r w:rsidRPr="00B1599C">
              <w:rPr>
                <w:rFonts w:eastAsiaTheme="minorEastAsia"/>
                <w:color w:val="FFFFFF"/>
                <w:sz w:val="20"/>
                <w:vertAlign w:val="superscript"/>
                <w:lang w:eastAsia="en-AU"/>
              </w:rPr>
              <w:t>(</w:t>
            </w:r>
            <w:r w:rsidRPr="00B1599C">
              <w:rPr>
                <w:rFonts w:eastAsiaTheme="minorEastAsia" w:cs="Calibri"/>
                <w:iCs/>
                <w:color w:val="FFFFFF"/>
                <w:sz w:val="20"/>
                <w:szCs w:val="22"/>
                <w:vertAlign w:val="superscript"/>
                <w:lang w:eastAsia="en-AU"/>
              </w:rPr>
              <w:t>a)</w:t>
            </w:r>
          </w:p>
        </w:tc>
        <w:tc>
          <w:tcPr>
            <w:tcW w:w="1120" w:type="dxa"/>
            <w:gridSpan w:val="3"/>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s="Calibri"/>
                <w:iCs/>
                <w:color w:val="FFFFFF"/>
                <w:sz w:val="20"/>
                <w:szCs w:val="22"/>
                <w:vertAlign w:val="superscript"/>
                <w:lang w:eastAsia="en-AU"/>
              </w:rPr>
            </w:pPr>
            <w:r w:rsidRPr="00B1599C">
              <w:rPr>
                <w:rFonts w:eastAsiaTheme="minorEastAsia"/>
                <w:color w:val="FFFFFF"/>
                <w:sz w:val="20"/>
                <w:lang w:eastAsia="en-AU"/>
              </w:rPr>
              <w:t>2013</w:t>
            </w:r>
            <w:r w:rsidRPr="00B1599C">
              <w:rPr>
                <w:rFonts w:eastAsiaTheme="minorEastAsia"/>
                <w:color w:val="FFFFFF"/>
                <w:sz w:val="20"/>
                <w:vertAlign w:val="superscript"/>
                <w:lang w:eastAsia="en-AU"/>
              </w:rPr>
              <w:t>(</w:t>
            </w:r>
            <w:r w:rsidRPr="00B1599C">
              <w:rPr>
                <w:rFonts w:eastAsiaTheme="minorEastAsia" w:cs="Calibri"/>
                <w:iCs/>
                <w:color w:val="FFFFFF"/>
                <w:sz w:val="20"/>
                <w:szCs w:val="22"/>
                <w:vertAlign w:val="superscript"/>
                <w:lang w:eastAsia="en-AU"/>
              </w:rPr>
              <w:t>a)</w:t>
            </w:r>
          </w:p>
        </w:tc>
        <w:tc>
          <w:tcPr>
            <w:tcW w:w="1120" w:type="dxa"/>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2015</w:t>
            </w:r>
          </w:p>
        </w:tc>
        <w:tc>
          <w:tcPr>
            <w:tcW w:w="1120" w:type="dxa"/>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s="Calibri"/>
                <w:iCs/>
                <w:color w:val="FFFFFF"/>
                <w:sz w:val="20"/>
                <w:szCs w:val="22"/>
                <w:vertAlign w:val="superscript"/>
                <w:lang w:eastAsia="en-AU"/>
              </w:rPr>
            </w:pPr>
            <w:r w:rsidRPr="00B1599C">
              <w:rPr>
                <w:rFonts w:eastAsiaTheme="minorEastAsia"/>
                <w:color w:val="FFFFFF"/>
                <w:sz w:val="20"/>
                <w:lang w:eastAsia="en-AU"/>
              </w:rPr>
              <w:t>2014</w:t>
            </w:r>
            <w:r w:rsidRPr="00B1599C">
              <w:rPr>
                <w:rFonts w:eastAsiaTheme="minorEastAsia"/>
                <w:color w:val="FFFFFF"/>
                <w:sz w:val="20"/>
                <w:vertAlign w:val="superscript"/>
                <w:lang w:eastAsia="en-AU"/>
              </w:rPr>
              <w:t>(</w:t>
            </w:r>
            <w:r w:rsidRPr="00B1599C">
              <w:rPr>
                <w:rFonts w:eastAsiaTheme="minorEastAsia" w:cs="Calibri"/>
                <w:iCs/>
                <w:color w:val="FFFFFF"/>
                <w:sz w:val="20"/>
                <w:szCs w:val="22"/>
                <w:vertAlign w:val="superscript"/>
                <w:lang w:eastAsia="en-AU"/>
              </w:rPr>
              <w:t>a)</w:t>
            </w:r>
          </w:p>
        </w:tc>
        <w:tc>
          <w:tcPr>
            <w:tcW w:w="1850" w:type="dxa"/>
            <w:gridSpan w:val="3"/>
            <w:tcBorders>
              <w:left w:val="nil"/>
              <w:bottom w:val="single" w:sz="6" w:space="0" w:color="auto"/>
              <w:right w:val="single" w:sz="6" w:space="0" w:color="auto"/>
            </w:tcBorders>
            <w:shd w:val="clear" w:color="000000" w:fill="000000"/>
            <w:vAlign w:val="bottom"/>
          </w:tcPr>
          <w:p w:rsidR="00336793" w:rsidRPr="00B1599C" w:rsidRDefault="00336793" w:rsidP="00DF0B96">
            <w:pPr>
              <w:pStyle w:val="Tabletextheading"/>
              <w:ind w:right="675"/>
              <w:rPr>
                <w:rFonts w:eastAsiaTheme="minorEastAsia" w:cs="Calibri"/>
                <w:iCs/>
                <w:color w:val="FFFFFF"/>
                <w:sz w:val="20"/>
                <w:szCs w:val="22"/>
                <w:vertAlign w:val="superscript"/>
                <w:lang w:eastAsia="en-AU"/>
              </w:rPr>
            </w:pPr>
            <w:r w:rsidRPr="00B1599C">
              <w:rPr>
                <w:rFonts w:eastAsiaTheme="minorEastAsia"/>
                <w:color w:val="FFFFFF"/>
                <w:sz w:val="20"/>
                <w:lang w:eastAsia="en-AU"/>
              </w:rPr>
              <w:t>2013</w:t>
            </w:r>
            <w:r w:rsidRPr="00B1599C">
              <w:rPr>
                <w:rFonts w:eastAsiaTheme="minorEastAsia"/>
                <w:color w:val="FFFFFF"/>
                <w:sz w:val="20"/>
                <w:vertAlign w:val="superscript"/>
                <w:lang w:eastAsia="en-AU"/>
              </w:rPr>
              <w:t>(</w:t>
            </w:r>
            <w:r w:rsidRPr="00B1599C">
              <w:rPr>
                <w:rFonts w:eastAsiaTheme="minorEastAsia" w:cs="Calibri"/>
                <w:iCs/>
                <w:color w:val="FFFFFF"/>
                <w:sz w:val="20"/>
                <w:szCs w:val="22"/>
                <w:vertAlign w:val="superscript"/>
                <w:lang w:eastAsia="en-AU"/>
              </w:rPr>
              <w:t>a)</w:t>
            </w:r>
          </w:p>
        </w:tc>
      </w:tr>
      <w:tr w:rsidR="00336793" w:rsidRPr="00B1599C" w:rsidTr="00DF0B96">
        <w:tc>
          <w:tcPr>
            <w:tcW w:w="3136" w:type="dxa"/>
            <w:tcBorders>
              <w:top w:val="single" w:sz="6" w:space="0" w:color="auto"/>
              <w:left w:val="nil"/>
              <w:bottom w:val="nil"/>
              <w:right w:val="nil"/>
            </w:tcBorders>
            <w:shd w:val="solid" w:color="FFFFFF" w:fill="auto"/>
          </w:tcPr>
          <w:p w:rsidR="00336793" w:rsidRPr="00B1599C" w:rsidRDefault="00336793" w:rsidP="00DF0B96">
            <w:pPr>
              <w:pStyle w:val="Tabletext"/>
              <w:rPr>
                <w:rFonts w:eastAsiaTheme="minorEastAsia"/>
                <w:b/>
                <w:bCs/>
                <w:sz w:val="20"/>
                <w:lang w:eastAsia="en-AU"/>
              </w:rPr>
            </w:pPr>
            <w:r w:rsidRPr="00B1599C">
              <w:rPr>
                <w:rFonts w:eastAsiaTheme="minorEastAsia"/>
                <w:b/>
                <w:bCs/>
                <w:sz w:val="20"/>
                <w:lang w:eastAsia="en-AU"/>
              </w:rPr>
              <w:t>Assets</w:t>
            </w:r>
          </w:p>
        </w:tc>
        <w:tc>
          <w:tcPr>
            <w:tcW w:w="901" w:type="dxa"/>
            <w:tcBorders>
              <w:top w:val="single" w:sz="6" w:space="0" w:color="auto"/>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single" w:sz="6" w:space="0" w:color="auto"/>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gridSpan w:val="3"/>
            <w:tcBorders>
              <w:top w:val="single" w:sz="6" w:space="0" w:color="auto"/>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single" w:sz="6" w:space="0" w:color="auto"/>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single" w:sz="6" w:space="0" w:color="auto"/>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850" w:type="dxa"/>
            <w:gridSpan w:val="3"/>
            <w:tcBorders>
              <w:top w:val="single" w:sz="6" w:space="0" w:color="auto"/>
              <w:left w:val="nil"/>
              <w:bottom w:val="nil"/>
              <w:right w:val="nil"/>
            </w:tcBorders>
            <w:shd w:val="solid" w:color="FFFFFF" w:fill="auto"/>
          </w:tcPr>
          <w:p w:rsidR="00336793" w:rsidRPr="00B1599C" w:rsidRDefault="00336793" w:rsidP="00DF0B96">
            <w:pPr>
              <w:pStyle w:val="TableofFigures"/>
              <w:ind w:right="675"/>
              <w:rPr>
                <w:rFonts w:eastAsiaTheme="minorEastAsia"/>
                <w:b/>
                <w:bCs/>
                <w:sz w:val="20"/>
                <w:lang w:eastAsia="en-AU"/>
              </w:rPr>
            </w:pPr>
            <w:r w:rsidRPr="00B1599C">
              <w:rPr>
                <w:rFonts w:eastAsiaTheme="minorEastAsia"/>
                <w:b/>
                <w:bCs/>
                <w:sz w:val="20"/>
                <w:lang w:eastAsia="en-AU"/>
              </w:rPr>
              <w:t xml:space="preserve"> </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b/>
                <w:bCs/>
                <w:sz w:val="20"/>
                <w:lang w:eastAsia="en-AU"/>
              </w:rPr>
            </w:pPr>
            <w:r w:rsidRPr="00B1599C">
              <w:rPr>
                <w:rFonts w:eastAsiaTheme="minorEastAsia"/>
                <w:b/>
                <w:bCs/>
                <w:sz w:val="20"/>
                <w:lang w:eastAsia="en-AU"/>
              </w:rPr>
              <w:t>Financial assets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b/>
                <w:bCs/>
                <w:sz w:val="20"/>
                <w:lang w:eastAsia="en-AU"/>
              </w:rPr>
            </w:pPr>
            <w:r w:rsidRPr="00B1599C">
              <w:rPr>
                <w:rFonts w:eastAsiaTheme="minorEastAsia"/>
                <w:b/>
                <w:bCs/>
                <w:sz w:val="20"/>
                <w:lang w:eastAsia="en-AU"/>
              </w:rPr>
              <w:t xml:space="preserve"> </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Cash and deposits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4 281.7</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4 582.2</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3 962.0</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cs="Calibri"/>
                <w:color w:val="000000"/>
                <w:sz w:val="20"/>
                <w:szCs w:val="22"/>
                <w:lang w:eastAsia="en-AU"/>
              </w:rPr>
            </w:pPr>
            <w:r w:rsidRPr="00B1599C">
              <w:rPr>
                <w:rFonts w:eastAsiaTheme="minorEastAsia"/>
                <w:sz w:val="20"/>
                <w:lang w:eastAsia="en-AU"/>
              </w:rPr>
              <w:t>1 091.9</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984.5</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 xml:space="preserve"> 797.9</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Advances paid</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4 571.8</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4 586.9</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4 626.8</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54.3</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53.9</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 xml:space="preserve"> 50.4</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Receivables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5 555.3</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4 940.6</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5 061.0</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1 361.3</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1 443.6</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1 312.3</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vertAlign w:val="superscript"/>
                <w:lang w:eastAsia="en-AU"/>
              </w:rPr>
            </w:pPr>
            <w:r w:rsidRPr="00B1599C">
              <w:rPr>
                <w:rFonts w:eastAsiaTheme="minorEastAsia"/>
                <w:sz w:val="20"/>
                <w:lang w:eastAsia="en-AU"/>
              </w:rPr>
              <w:t>Investments, loans and placements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3 405.9</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3 036.3</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3 383.4</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989.4</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979.0</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1 056.2</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vertAlign w:val="superscript"/>
                <w:lang w:eastAsia="en-AU"/>
              </w:rPr>
            </w:pPr>
            <w:r w:rsidRPr="00B1599C">
              <w:rPr>
                <w:rFonts w:eastAsiaTheme="minorEastAsia"/>
                <w:sz w:val="20"/>
                <w:lang w:eastAsia="en-AU"/>
              </w:rPr>
              <w:t>Loans receivable from non</w:t>
            </w:r>
            <w:r>
              <w:rPr>
                <w:rFonts w:eastAsiaTheme="minorEastAsia"/>
                <w:sz w:val="20"/>
                <w:lang w:eastAsia="en-AU"/>
              </w:rPr>
              <w:noBreakHyphen/>
            </w:r>
            <w:r w:rsidRPr="00B1599C">
              <w:rPr>
                <w:rFonts w:eastAsiaTheme="minorEastAsia"/>
                <w:sz w:val="20"/>
                <w:lang w:eastAsia="en-AU"/>
              </w:rPr>
              <w:t>financial public sector</w:t>
            </w:r>
            <w:r w:rsidRPr="00E96950">
              <w:rPr>
                <w:rFonts w:eastAsiaTheme="minorEastAsia"/>
                <w:sz w:val="20"/>
                <w:vertAlign w:val="superscript"/>
                <w:lang w:eastAsia="en-AU"/>
              </w:rPr>
              <w:t xml:space="preserve"> (</w:t>
            </w:r>
            <w:r w:rsidRPr="0000142D">
              <w:rPr>
                <w:rFonts w:eastAsiaTheme="minorEastAsia"/>
                <w:sz w:val="20"/>
                <w:vertAlign w:val="superscript"/>
                <w:lang w:eastAsia="en-AU"/>
              </w:rPr>
              <w:t>b)</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Investments accounted for using equity method</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44.6</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44.1</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49.4</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1 564.9</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1 243.2</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1 319.2</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Investments in other sector entities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82 181.0</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75 869.2</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69 714.8</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w:t>
            </w:r>
          </w:p>
        </w:tc>
      </w:tr>
      <w:tr w:rsidR="00336793" w:rsidRPr="00B1599C" w:rsidTr="00DF0B96">
        <w:tc>
          <w:tcPr>
            <w:tcW w:w="3136"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text"/>
              <w:rPr>
                <w:rFonts w:eastAsiaTheme="minorEastAsia"/>
                <w:b/>
                <w:bCs/>
                <w:sz w:val="20"/>
                <w:lang w:eastAsia="en-AU"/>
              </w:rPr>
            </w:pPr>
            <w:r w:rsidRPr="00B1599C">
              <w:rPr>
                <w:rFonts w:eastAsiaTheme="minorEastAsia"/>
                <w:b/>
                <w:bCs/>
                <w:sz w:val="20"/>
                <w:lang w:eastAsia="en-AU"/>
              </w:rPr>
              <w:t>Total financial assets</w:t>
            </w:r>
          </w:p>
        </w:tc>
        <w:tc>
          <w:tcPr>
            <w:tcW w:w="901"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100 040.3</w:t>
            </w:r>
          </w:p>
        </w:tc>
        <w:tc>
          <w:tcPr>
            <w:tcW w:w="1120"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93 059.4</w:t>
            </w:r>
          </w:p>
        </w:tc>
        <w:tc>
          <w:tcPr>
            <w:tcW w:w="1120" w:type="dxa"/>
            <w:gridSpan w:val="3"/>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86 797.4</w:t>
            </w:r>
          </w:p>
        </w:tc>
        <w:tc>
          <w:tcPr>
            <w:tcW w:w="1120"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5 061.9</w:t>
            </w:r>
          </w:p>
        </w:tc>
        <w:tc>
          <w:tcPr>
            <w:tcW w:w="1120"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4 704.2</w:t>
            </w:r>
          </w:p>
        </w:tc>
        <w:tc>
          <w:tcPr>
            <w:tcW w:w="1850" w:type="dxa"/>
            <w:gridSpan w:val="3"/>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ind w:right="675"/>
              <w:rPr>
                <w:rFonts w:eastAsiaTheme="minorEastAsia"/>
                <w:b/>
                <w:bCs/>
                <w:sz w:val="20"/>
                <w:lang w:eastAsia="en-AU"/>
              </w:rPr>
            </w:pPr>
            <w:r w:rsidRPr="00B1599C">
              <w:rPr>
                <w:rFonts w:eastAsiaTheme="minorEastAsia"/>
                <w:b/>
                <w:bCs/>
                <w:sz w:val="20"/>
                <w:lang w:eastAsia="en-AU"/>
              </w:rPr>
              <w:t>4 536.0</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b/>
                <w:bCs/>
                <w:sz w:val="20"/>
                <w:lang w:eastAsia="en-AU"/>
              </w:rPr>
            </w:pPr>
            <w:r w:rsidRPr="00B1599C">
              <w:rPr>
                <w:rFonts w:eastAsiaTheme="minorEastAsia"/>
                <w:b/>
                <w:bCs/>
                <w:sz w:val="20"/>
                <w:lang w:eastAsia="en-AU"/>
              </w:rPr>
              <w:t>Non</w:t>
            </w:r>
            <w:r>
              <w:rPr>
                <w:rFonts w:eastAsiaTheme="minorEastAsia"/>
                <w:b/>
                <w:bCs/>
                <w:sz w:val="20"/>
                <w:lang w:eastAsia="en-AU"/>
              </w:rPr>
              <w:noBreakHyphen/>
            </w:r>
            <w:r w:rsidRPr="00B1599C">
              <w:rPr>
                <w:rFonts w:eastAsiaTheme="minorEastAsia"/>
                <w:b/>
                <w:bCs/>
                <w:sz w:val="20"/>
                <w:lang w:eastAsia="en-AU"/>
              </w:rPr>
              <w:t>financial assets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b/>
                <w:bCs/>
                <w:sz w:val="20"/>
                <w:lang w:eastAsia="en-AU"/>
              </w:rPr>
            </w:pPr>
            <w:r w:rsidRPr="00B1599C">
              <w:rPr>
                <w:rFonts w:eastAsiaTheme="minorEastAsia"/>
                <w:b/>
                <w:bCs/>
                <w:sz w:val="20"/>
                <w:lang w:eastAsia="en-AU"/>
              </w:rPr>
              <w:t xml:space="preserve"> </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Inventories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144.5</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159.8</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192.1</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565.4</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625.6</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 xml:space="preserve"> 678.9</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vertAlign w:val="superscript"/>
                <w:lang w:eastAsia="en-AU"/>
              </w:rPr>
            </w:pPr>
            <w:r w:rsidRPr="00B1599C">
              <w:rPr>
                <w:rFonts w:eastAsiaTheme="minorEastAsia"/>
                <w:sz w:val="20"/>
                <w:lang w:eastAsia="en-AU"/>
              </w:rPr>
              <w:t>Non</w:t>
            </w:r>
            <w:r>
              <w:rPr>
                <w:rFonts w:eastAsiaTheme="minorEastAsia"/>
                <w:sz w:val="20"/>
                <w:lang w:eastAsia="en-AU"/>
              </w:rPr>
              <w:noBreakHyphen/>
            </w:r>
            <w:r w:rsidRPr="00B1599C">
              <w:rPr>
                <w:rFonts w:eastAsiaTheme="minorEastAsia"/>
                <w:sz w:val="20"/>
                <w:lang w:eastAsia="en-AU"/>
              </w:rPr>
              <w:t>financial assets held for sale</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175.3</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137.8</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142.1</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29.9</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23.1</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 xml:space="preserve"> 4.5</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vertAlign w:val="superscript"/>
                <w:lang w:eastAsia="en-AU"/>
              </w:rPr>
            </w:pPr>
            <w:r w:rsidRPr="00B1599C">
              <w:rPr>
                <w:rFonts w:eastAsiaTheme="minorEastAsia"/>
                <w:sz w:val="20"/>
                <w:lang w:eastAsia="en-AU"/>
              </w:rPr>
              <w:t>Land, buildings, infrastructure, plant and equipment</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107 586.4</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104 998.8</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102 740.8</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99 306.9</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93 410.2</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88 605.2</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Other non</w:t>
            </w:r>
            <w:r>
              <w:rPr>
                <w:rFonts w:eastAsiaTheme="minorEastAsia"/>
                <w:sz w:val="20"/>
                <w:lang w:eastAsia="en-AU"/>
              </w:rPr>
              <w:noBreakHyphen/>
            </w:r>
            <w:r w:rsidRPr="00B1599C">
              <w:rPr>
                <w:rFonts w:eastAsiaTheme="minorEastAsia"/>
                <w:sz w:val="20"/>
                <w:lang w:eastAsia="en-AU"/>
              </w:rPr>
              <w:t>financial assets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1 038.3</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1 204.8</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954.3</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1 324.8</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1 302.5</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1 080.2</w:t>
            </w:r>
          </w:p>
        </w:tc>
      </w:tr>
      <w:tr w:rsidR="00336793" w:rsidRPr="00B1599C" w:rsidTr="00DF0B96">
        <w:tc>
          <w:tcPr>
            <w:tcW w:w="3136"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text"/>
              <w:rPr>
                <w:rFonts w:eastAsiaTheme="minorEastAsia"/>
                <w:b/>
                <w:bCs/>
                <w:sz w:val="20"/>
                <w:vertAlign w:val="superscript"/>
                <w:lang w:eastAsia="en-AU"/>
              </w:rPr>
            </w:pPr>
            <w:r w:rsidRPr="00B1599C">
              <w:rPr>
                <w:rFonts w:eastAsiaTheme="minorEastAsia"/>
                <w:b/>
                <w:bCs/>
                <w:sz w:val="20"/>
                <w:lang w:eastAsia="en-AU"/>
              </w:rPr>
              <w:t>Total non</w:t>
            </w:r>
            <w:r>
              <w:rPr>
                <w:rFonts w:eastAsiaTheme="minorEastAsia"/>
                <w:b/>
                <w:bCs/>
                <w:sz w:val="20"/>
                <w:lang w:eastAsia="en-AU"/>
              </w:rPr>
              <w:noBreakHyphen/>
            </w:r>
            <w:r w:rsidRPr="00B1599C">
              <w:rPr>
                <w:rFonts w:eastAsiaTheme="minorEastAsia"/>
                <w:b/>
                <w:bCs/>
                <w:sz w:val="20"/>
                <w:lang w:eastAsia="en-AU"/>
              </w:rPr>
              <w:t>financial assets</w:t>
            </w:r>
          </w:p>
        </w:tc>
        <w:tc>
          <w:tcPr>
            <w:tcW w:w="901"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108 944.5</w:t>
            </w:r>
          </w:p>
        </w:tc>
        <w:tc>
          <w:tcPr>
            <w:tcW w:w="1120"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106 501.3</w:t>
            </w:r>
          </w:p>
        </w:tc>
        <w:tc>
          <w:tcPr>
            <w:tcW w:w="1120" w:type="dxa"/>
            <w:gridSpan w:val="3"/>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104 029.2</w:t>
            </w:r>
          </w:p>
        </w:tc>
        <w:tc>
          <w:tcPr>
            <w:tcW w:w="1120"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101 227.0</w:t>
            </w:r>
          </w:p>
        </w:tc>
        <w:tc>
          <w:tcPr>
            <w:tcW w:w="1120"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95 361.4</w:t>
            </w:r>
          </w:p>
        </w:tc>
        <w:tc>
          <w:tcPr>
            <w:tcW w:w="1850" w:type="dxa"/>
            <w:gridSpan w:val="3"/>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ind w:right="675"/>
              <w:rPr>
                <w:rFonts w:eastAsiaTheme="minorEastAsia"/>
                <w:b/>
                <w:bCs/>
                <w:sz w:val="20"/>
                <w:lang w:eastAsia="en-AU"/>
              </w:rPr>
            </w:pPr>
            <w:r w:rsidRPr="00B1599C">
              <w:rPr>
                <w:rFonts w:eastAsiaTheme="minorEastAsia"/>
                <w:b/>
                <w:bCs/>
                <w:sz w:val="20"/>
                <w:lang w:eastAsia="en-AU"/>
              </w:rPr>
              <w:t>90 368.7</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b/>
                <w:bCs/>
                <w:sz w:val="20"/>
                <w:vertAlign w:val="superscript"/>
                <w:lang w:eastAsia="en-AU"/>
              </w:rPr>
            </w:pPr>
            <w:r w:rsidRPr="00B1599C">
              <w:rPr>
                <w:rFonts w:eastAsiaTheme="minorEastAsia"/>
                <w:b/>
                <w:bCs/>
                <w:sz w:val="20"/>
                <w:lang w:eastAsia="en-AU"/>
              </w:rPr>
              <w:t>Total assets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208 984.7</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199 560.6</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190 826.7</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106 288.9</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100 065.6</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b/>
                <w:bCs/>
                <w:sz w:val="20"/>
                <w:lang w:eastAsia="en-AU"/>
              </w:rPr>
            </w:pPr>
            <w:r w:rsidRPr="00B1599C">
              <w:rPr>
                <w:rFonts w:eastAsiaTheme="minorEastAsia"/>
                <w:b/>
                <w:bCs/>
                <w:sz w:val="20"/>
                <w:lang w:eastAsia="en-AU"/>
              </w:rPr>
              <w:t>94 904.7</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b/>
                <w:bCs/>
                <w:sz w:val="20"/>
                <w:lang w:eastAsia="en-AU"/>
              </w:rPr>
            </w:pPr>
            <w:r w:rsidRPr="00B1599C">
              <w:rPr>
                <w:rFonts w:eastAsiaTheme="minorEastAsia"/>
                <w:b/>
                <w:bCs/>
                <w:sz w:val="20"/>
                <w:lang w:eastAsia="en-AU"/>
              </w:rPr>
              <w:t>Liabilities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b/>
                <w:bCs/>
                <w:sz w:val="20"/>
                <w:lang w:eastAsia="en-AU"/>
              </w:rPr>
            </w:pPr>
            <w:r w:rsidRPr="00B1599C">
              <w:rPr>
                <w:rFonts w:eastAsiaTheme="minorEastAsia"/>
                <w:b/>
                <w:bCs/>
                <w:sz w:val="20"/>
                <w:lang w:eastAsia="en-AU"/>
              </w:rPr>
              <w:t xml:space="preserve"> </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Deposits held and advances received</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517.8</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426.5</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449.0</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425.1</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401.5</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 xml:space="preserve"> 420.0</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Payables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5 704.3</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5 554.8</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5 791.7</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1 663.4</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1 645.7</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1 568.6</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vertAlign w:val="superscript"/>
                <w:lang w:eastAsia="en-AU"/>
              </w:rPr>
            </w:pPr>
            <w:r w:rsidRPr="00B1599C">
              <w:rPr>
                <w:rFonts w:eastAsiaTheme="minorEastAsia"/>
                <w:sz w:val="20"/>
                <w:lang w:eastAsia="en-AU"/>
              </w:rPr>
              <w:t>Borrowings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34 069.0</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32 953.6</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31 345.3</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15 934.1</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16 369.6</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16 249.7</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Employee benefits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5 605.3</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5 266.0</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5 180.0</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379.5</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354.6</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 xml:space="preserve"> 326.4</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vertAlign w:val="superscript"/>
                <w:lang w:eastAsia="en-AU"/>
              </w:rPr>
            </w:pPr>
            <w:r w:rsidRPr="00B1599C">
              <w:rPr>
                <w:rFonts w:eastAsiaTheme="minorEastAsia"/>
                <w:sz w:val="20"/>
                <w:lang w:eastAsia="en-AU"/>
              </w:rPr>
              <w:t>Superannuation</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25 946.6</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26 252.9</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25 721.2</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41.8</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48.3</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 xml:space="preserve"> 83.0</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Other provisions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807.4</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629.4</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603.3</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8 873.5</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8 272.7</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8 491.5</w:t>
            </w:r>
          </w:p>
        </w:tc>
      </w:tr>
      <w:tr w:rsidR="00336793" w:rsidRPr="00B1599C" w:rsidTr="00DF0B96">
        <w:tc>
          <w:tcPr>
            <w:tcW w:w="3136" w:type="dxa"/>
            <w:tcBorders>
              <w:top w:val="single" w:sz="6" w:space="0" w:color="000000"/>
              <w:left w:val="nil"/>
              <w:bottom w:val="nil"/>
              <w:right w:val="nil"/>
            </w:tcBorders>
            <w:shd w:val="solid" w:color="FFFFFF" w:fill="auto"/>
          </w:tcPr>
          <w:p w:rsidR="00336793" w:rsidRPr="00B1599C" w:rsidRDefault="00336793" w:rsidP="00DF0B96">
            <w:pPr>
              <w:pStyle w:val="Tabletext"/>
              <w:rPr>
                <w:rFonts w:eastAsiaTheme="minorEastAsia"/>
                <w:b/>
                <w:bCs/>
                <w:sz w:val="20"/>
                <w:vertAlign w:val="superscript"/>
                <w:lang w:eastAsia="en-AU"/>
              </w:rPr>
            </w:pPr>
            <w:r w:rsidRPr="00B1599C">
              <w:rPr>
                <w:rFonts w:eastAsiaTheme="minorEastAsia"/>
                <w:b/>
                <w:bCs/>
                <w:sz w:val="20"/>
                <w:lang w:eastAsia="en-AU"/>
              </w:rPr>
              <w:t>Total liabilities</w:t>
            </w:r>
          </w:p>
        </w:tc>
        <w:tc>
          <w:tcPr>
            <w:tcW w:w="901" w:type="dxa"/>
            <w:tcBorders>
              <w:top w:val="single" w:sz="6" w:space="0" w:color="000000"/>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72 650.2</w:t>
            </w:r>
          </w:p>
        </w:tc>
        <w:tc>
          <w:tcPr>
            <w:tcW w:w="1120" w:type="dxa"/>
            <w:tcBorders>
              <w:top w:val="single" w:sz="6" w:space="0" w:color="000000"/>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71 083.2</w:t>
            </w:r>
          </w:p>
        </w:tc>
        <w:tc>
          <w:tcPr>
            <w:tcW w:w="1120" w:type="dxa"/>
            <w:gridSpan w:val="3"/>
            <w:tcBorders>
              <w:top w:val="single" w:sz="6" w:space="0" w:color="000000"/>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69 090.5</w:t>
            </w:r>
          </w:p>
        </w:tc>
        <w:tc>
          <w:tcPr>
            <w:tcW w:w="1120" w:type="dxa"/>
            <w:tcBorders>
              <w:top w:val="single" w:sz="6" w:space="0" w:color="000000"/>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27 317.4</w:t>
            </w:r>
          </w:p>
        </w:tc>
        <w:tc>
          <w:tcPr>
            <w:tcW w:w="1120" w:type="dxa"/>
            <w:tcBorders>
              <w:top w:val="single" w:sz="6" w:space="0" w:color="000000"/>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27 092.4</w:t>
            </w:r>
          </w:p>
        </w:tc>
        <w:tc>
          <w:tcPr>
            <w:tcW w:w="1850" w:type="dxa"/>
            <w:gridSpan w:val="3"/>
            <w:tcBorders>
              <w:top w:val="single" w:sz="6" w:space="0" w:color="000000"/>
              <w:left w:val="nil"/>
              <w:bottom w:val="nil"/>
              <w:right w:val="nil"/>
            </w:tcBorders>
            <w:shd w:val="solid" w:color="FFFFFF" w:fill="auto"/>
          </w:tcPr>
          <w:p w:rsidR="00336793" w:rsidRPr="00B1599C" w:rsidRDefault="00336793" w:rsidP="00DF0B96">
            <w:pPr>
              <w:pStyle w:val="TableofFigures"/>
              <w:ind w:right="675"/>
              <w:rPr>
                <w:rFonts w:eastAsiaTheme="minorEastAsia"/>
                <w:b/>
                <w:bCs/>
                <w:sz w:val="20"/>
                <w:lang w:eastAsia="en-AU"/>
              </w:rPr>
            </w:pPr>
            <w:r w:rsidRPr="00B1599C">
              <w:rPr>
                <w:rFonts w:eastAsiaTheme="minorEastAsia"/>
                <w:b/>
                <w:bCs/>
                <w:sz w:val="20"/>
                <w:lang w:eastAsia="en-AU"/>
              </w:rPr>
              <w:t>27 139.2</w:t>
            </w:r>
          </w:p>
        </w:tc>
      </w:tr>
      <w:tr w:rsidR="00336793" w:rsidRPr="00B1599C" w:rsidTr="00DF0B96">
        <w:tc>
          <w:tcPr>
            <w:tcW w:w="3136" w:type="dxa"/>
            <w:tcBorders>
              <w:top w:val="single" w:sz="6" w:space="0" w:color="000000"/>
              <w:left w:val="nil"/>
              <w:bottom w:val="single" w:sz="12" w:space="0" w:color="000000"/>
              <w:right w:val="nil"/>
            </w:tcBorders>
            <w:shd w:val="solid" w:color="FFFFFF" w:fill="auto"/>
          </w:tcPr>
          <w:p w:rsidR="00336793" w:rsidRPr="00CF2791" w:rsidRDefault="00336793" w:rsidP="00DF0B96">
            <w:pPr>
              <w:pStyle w:val="Tabletext"/>
              <w:rPr>
                <w:rFonts w:eastAsiaTheme="minorEastAsia"/>
                <w:b/>
                <w:bCs/>
                <w:sz w:val="20"/>
                <w:vertAlign w:val="superscript"/>
                <w:lang w:eastAsia="en-AU"/>
              </w:rPr>
            </w:pPr>
            <w:r w:rsidRPr="00B1599C">
              <w:rPr>
                <w:rFonts w:eastAsiaTheme="minorEastAsia"/>
                <w:b/>
                <w:bCs/>
                <w:sz w:val="20"/>
                <w:lang w:eastAsia="en-AU"/>
              </w:rPr>
              <w:t>Net assets</w:t>
            </w:r>
            <w:r w:rsidRPr="00E96950">
              <w:rPr>
                <w:rFonts w:eastAsiaTheme="minorEastAsia"/>
                <w:b/>
                <w:bCs/>
                <w:sz w:val="20"/>
                <w:vertAlign w:val="superscript"/>
                <w:lang w:eastAsia="en-AU"/>
              </w:rPr>
              <w:t xml:space="preserve"> (</w:t>
            </w:r>
            <w:r>
              <w:rPr>
                <w:rFonts w:eastAsiaTheme="minorEastAsia"/>
                <w:b/>
                <w:bCs/>
                <w:sz w:val="20"/>
                <w:vertAlign w:val="superscript"/>
                <w:lang w:eastAsia="en-AU"/>
              </w:rPr>
              <w:t>c)</w:t>
            </w:r>
          </w:p>
        </w:tc>
        <w:tc>
          <w:tcPr>
            <w:tcW w:w="901" w:type="dxa"/>
            <w:tcBorders>
              <w:top w:val="single" w:sz="6" w:space="0" w:color="000000"/>
              <w:left w:val="nil"/>
              <w:bottom w:val="single" w:sz="12"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136 334.5</w:t>
            </w:r>
          </w:p>
        </w:tc>
        <w:tc>
          <w:tcPr>
            <w:tcW w:w="1120" w:type="dxa"/>
            <w:tcBorders>
              <w:top w:val="single" w:sz="6" w:space="0" w:color="000000"/>
              <w:left w:val="nil"/>
              <w:bottom w:val="single" w:sz="12"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128 477.4</w:t>
            </w:r>
          </w:p>
        </w:tc>
        <w:tc>
          <w:tcPr>
            <w:tcW w:w="1120" w:type="dxa"/>
            <w:gridSpan w:val="3"/>
            <w:tcBorders>
              <w:top w:val="single" w:sz="6" w:space="0" w:color="000000"/>
              <w:left w:val="nil"/>
              <w:bottom w:val="single" w:sz="12"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121 736.2</w:t>
            </w:r>
          </w:p>
        </w:tc>
        <w:tc>
          <w:tcPr>
            <w:tcW w:w="1120" w:type="dxa"/>
            <w:tcBorders>
              <w:top w:val="single" w:sz="6" w:space="0" w:color="000000"/>
              <w:left w:val="nil"/>
              <w:bottom w:val="single" w:sz="12"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78 971.5</w:t>
            </w:r>
          </w:p>
        </w:tc>
        <w:tc>
          <w:tcPr>
            <w:tcW w:w="1120" w:type="dxa"/>
            <w:tcBorders>
              <w:top w:val="single" w:sz="6" w:space="0" w:color="000000"/>
              <w:left w:val="nil"/>
              <w:bottom w:val="single" w:sz="12" w:space="0" w:color="000000"/>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72 973.2</w:t>
            </w:r>
          </w:p>
        </w:tc>
        <w:tc>
          <w:tcPr>
            <w:tcW w:w="1850" w:type="dxa"/>
            <w:gridSpan w:val="3"/>
            <w:tcBorders>
              <w:top w:val="single" w:sz="6" w:space="0" w:color="000000"/>
              <w:left w:val="nil"/>
              <w:bottom w:val="single" w:sz="12" w:space="0" w:color="000000"/>
              <w:right w:val="nil"/>
            </w:tcBorders>
            <w:shd w:val="solid" w:color="FFFFFF" w:fill="auto"/>
          </w:tcPr>
          <w:p w:rsidR="00336793" w:rsidRPr="00B1599C" w:rsidRDefault="00336793" w:rsidP="00DF0B96">
            <w:pPr>
              <w:pStyle w:val="TableofFigures"/>
              <w:ind w:right="675"/>
              <w:rPr>
                <w:rFonts w:eastAsiaTheme="minorEastAsia"/>
                <w:b/>
                <w:bCs/>
                <w:sz w:val="20"/>
                <w:lang w:eastAsia="en-AU"/>
              </w:rPr>
            </w:pPr>
            <w:r w:rsidRPr="00B1599C">
              <w:rPr>
                <w:rFonts w:eastAsiaTheme="minorEastAsia"/>
                <w:b/>
                <w:bCs/>
                <w:sz w:val="20"/>
                <w:lang w:eastAsia="en-AU"/>
              </w:rPr>
              <w:t>67 765.5</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vertAlign w:val="superscript"/>
                <w:lang w:eastAsia="en-AU"/>
              </w:rPr>
            </w:pPr>
            <w:r w:rsidRPr="00B1599C">
              <w:rPr>
                <w:rFonts w:eastAsiaTheme="minorEastAsia"/>
                <w:sz w:val="20"/>
                <w:lang w:eastAsia="en-AU"/>
              </w:rPr>
              <w:t>Accumulated surplus/(deficit)</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45 788.5</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43 634.6</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42 411.9</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4 429.8</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5 094.5</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5 088.6</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vertAlign w:val="superscript"/>
                <w:lang w:eastAsia="en-AU"/>
              </w:rPr>
            </w:pPr>
            <w:r>
              <w:rPr>
                <w:rFonts w:eastAsiaTheme="minorEastAsia"/>
                <w:sz w:val="20"/>
                <w:lang w:eastAsia="en-AU"/>
              </w:rPr>
              <w:t>R</w:t>
            </w:r>
            <w:r w:rsidRPr="00B1599C">
              <w:rPr>
                <w:rFonts w:eastAsiaTheme="minorEastAsia"/>
                <w:sz w:val="20"/>
                <w:lang w:eastAsia="en-AU"/>
              </w:rPr>
              <w:t>eserves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90 496.0</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84 792.8</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79 274.4</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74 541.7</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67 878.7</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62 676.9</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Non</w:t>
            </w:r>
            <w:r>
              <w:rPr>
                <w:rFonts w:eastAsiaTheme="minorEastAsia"/>
                <w:sz w:val="20"/>
                <w:lang w:eastAsia="en-AU"/>
              </w:rPr>
              <w:noBreakHyphen/>
            </w:r>
            <w:r w:rsidRPr="00B1599C">
              <w:rPr>
                <w:rFonts w:eastAsiaTheme="minorEastAsia"/>
                <w:sz w:val="20"/>
                <w:lang w:eastAsia="en-AU"/>
              </w:rPr>
              <w:t>controlling interest</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50.0</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50.0</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50.0</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w:t>
            </w:r>
          </w:p>
        </w:tc>
      </w:tr>
      <w:tr w:rsidR="00336793" w:rsidRPr="00B1599C" w:rsidTr="00DF0B96">
        <w:tc>
          <w:tcPr>
            <w:tcW w:w="3136" w:type="dxa"/>
            <w:tcBorders>
              <w:top w:val="single" w:sz="6" w:space="0" w:color="000000"/>
              <w:left w:val="nil"/>
              <w:bottom w:val="nil"/>
              <w:right w:val="nil"/>
            </w:tcBorders>
            <w:shd w:val="solid" w:color="FFFFFF" w:fill="auto"/>
          </w:tcPr>
          <w:p w:rsidR="00336793" w:rsidRPr="00B1599C" w:rsidRDefault="00336793" w:rsidP="00DF0B96">
            <w:pPr>
              <w:pStyle w:val="Tabletext"/>
              <w:rPr>
                <w:rFonts w:eastAsiaTheme="minorEastAsia"/>
                <w:b/>
                <w:bCs/>
                <w:sz w:val="20"/>
                <w:vertAlign w:val="superscript"/>
                <w:lang w:eastAsia="en-AU"/>
              </w:rPr>
            </w:pPr>
            <w:r w:rsidRPr="00B1599C">
              <w:rPr>
                <w:rFonts w:eastAsiaTheme="minorEastAsia"/>
                <w:b/>
                <w:bCs/>
                <w:sz w:val="20"/>
                <w:lang w:eastAsia="en-AU"/>
              </w:rPr>
              <w:t>Net worth</w:t>
            </w:r>
            <w:r w:rsidRPr="00E96950">
              <w:rPr>
                <w:rFonts w:eastAsiaTheme="minorEastAsia"/>
                <w:b/>
                <w:bCs/>
                <w:sz w:val="20"/>
                <w:vertAlign w:val="superscript"/>
                <w:lang w:eastAsia="en-AU"/>
              </w:rPr>
              <w:t xml:space="preserve"> (</w:t>
            </w:r>
            <w:r>
              <w:rPr>
                <w:rFonts w:eastAsiaTheme="minorEastAsia"/>
                <w:b/>
                <w:bCs/>
                <w:sz w:val="20"/>
                <w:vertAlign w:val="superscript"/>
                <w:lang w:eastAsia="en-AU"/>
              </w:rPr>
              <w:t>c</w:t>
            </w:r>
            <w:r w:rsidRPr="00B1599C">
              <w:rPr>
                <w:rFonts w:eastAsiaTheme="minorEastAsia"/>
                <w:b/>
                <w:bCs/>
                <w:sz w:val="20"/>
                <w:vertAlign w:val="superscript"/>
                <w:lang w:eastAsia="en-AU"/>
              </w:rPr>
              <w:t>)</w:t>
            </w:r>
          </w:p>
        </w:tc>
        <w:tc>
          <w:tcPr>
            <w:tcW w:w="901" w:type="dxa"/>
            <w:tcBorders>
              <w:top w:val="single" w:sz="6" w:space="0" w:color="000000"/>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136 334.5</w:t>
            </w:r>
          </w:p>
        </w:tc>
        <w:tc>
          <w:tcPr>
            <w:tcW w:w="1120" w:type="dxa"/>
            <w:tcBorders>
              <w:top w:val="single" w:sz="6" w:space="0" w:color="000000"/>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128 477.4</w:t>
            </w:r>
          </w:p>
        </w:tc>
        <w:tc>
          <w:tcPr>
            <w:tcW w:w="1120" w:type="dxa"/>
            <w:gridSpan w:val="3"/>
            <w:tcBorders>
              <w:top w:val="single" w:sz="6" w:space="0" w:color="000000"/>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121 736.2</w:t>
            </w:r>
          </w:p>
        </w:tc>
        <w:tc>
          <w:tcPr>
            <w:tcW w:w="1120" w:type="dxa"/>
            <w:tcBorders>
              <w:top w:val="single" w:sz="6" w:space="0" w:color="000000"/>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78 971.5</w:t>
            </w:r>
          </w:p>
        </w:tc>
        <w:tc>
          <w:tcPr>
            <w:tcW w:w="1120" w:type="dxa"/>
            <w:tcBorders>
              <w:top w:val="single" w:sz="6" w:space="0" w:color="000000"/>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72 973.2</w:t>
            </w:r>
          </w:p>
        </w:tc>
        <w:tc>
          <w:tcPr>
            <w:tcW w:w="1850" w:type="dxa"/>
            <w:gridSpan w:val="3"/>
            <w:tcBorders>
              <w:top w:val="single" w:sz="6" w:space="0" w:color="000000"/>
              <w:left w:val="nil"/>
              <w:bottom w:val="nil"/>
              <w:right w:val="nil"/>
            </w:tcBorders>
            <w:shd w:val="solid" w:color="FFFFFF" w:fill="auto"/>
          </w:tcPr>
          <w:p w:rsidR="00336793" w:rsidRPr="00B1599C" w:rsidRDefault="00336793" w:rsidP="00DF0B96">
            <w:pPr>
              <w:pStyle w:val="TableofFigures"/>
              <w:ind w:right="675"/>
              <w:rPr>
                <w:rFonts w:eastAsiaTheme="minorEastAsia"/>
                <w:b/>
                <w:bCs/>
                <w:sz w:val="20"/>
                <w:lang w:eastAsia="en-AU"/>
              </w:rPr>
            </w:pPr>
            <w:r w:rsidRPr="00B1599C">
              <w:rPr>
                <w:rFonts w:eastAsiaTheme="minorEastAsia"/>
                <w:b/>
                <w:bCs/>
                <w:sz w:val="20"/>
                <w:lang w:eastAsia="en-AU"/>
              </w:rPr>
              <w:t>67 765.5</w:t>
            </w:r>
          </w:p>
        </w:tc>
      </w:tr>
      <w:tr w:rsidR="00336793" w:rsidRPr="00B1599C" w:rsidTr="00DF0B96">
        <w:trPr>
          <w:trHeight w:hRule="exact" w:val="120"/>
        </w:trPr>
        <w:tc>
          <w:tcPr>
            <w:tcW w:w="3136" w:type="dxa"/>
            <w:tcBorders>
              <w:top w:val="single" w:sz="12" w:space="0" w:color="000000"/>
              <w:left w:val="nil"/>
              <w:bottom w:val="nil"/>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 xml:space="preserve"> </w:t>
            </w:r>
          </w:p>
        </w:tc>
        <w:tc>
          <w:tcPr>
            <w:tcW w:w="901" w:type="dxa"/>
            <w:tcBorders>
              <w:top w:val="single" w:sz="12" w:space="0" w:color="000000"/>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w:t>
            </w:r>
          </w:p>
        </w:tc>
        <w:tc>
          <w:tcPr>
            <w:tcW w:w="1120" w:type="dxa"/>
            <w:tcBorders>
              <w:top w:val="single" w:sz="12" w:space="0" w:color="000000"/>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w:t>
            </w:r>
          </w:p>
        </w:tc>
        <w:tc>
          <w:tcPr>
            <w:tcW w:w="1120" w:type="dxa"/>
            <w:gridSpan w:val="3"/>
            <w:tcBorders>
              <w:top w:val="single" w:sz="12" w:space="0" w:color="000000"/>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w:t>
            </w:r>
          </w:p>
        </w:tc>
        <w:tc>
          <w:tcPr>
            <w:tcW w:w="1120" w:type="dxa"/>
            <w:tcBorders>
              <w:top w:val="single" w:sz="12" w:space="0" w:color="000000"/>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w:t>
            </w:r>
          </w:p>
        </w:tc>
        <w:tc>
          <w:tcPr>
            <w:tcW w:w="1120" w:type="dxa"/>
            <w:tcBorders>
              <w:top w:val="single" w:sz="12" w:space="0" w:color="000000"/>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w:t>
            </w:r>
          </w:p>
        </w:tc>
        <w:tc>
          <w:tcPr>
            <w:tcW w:w="1850" w:type="dxa"/>
            <w:gridSpan w:val="3"/>
            <w:tcBorders>
              <w:top w:val="single" w:sz="12" w:space="0" w:color="000000"/>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 xml:space="preserve"> </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b/>
                <w:bCs/>
                <w:sz w:val="20"/>
                <w:lang w:eastAsia="en-AU"/>
              </w:rPr>
            </w:pPr>
            <w:r w:rsidRPr="00B1599C">
              <w:rPr>
                <w:rFonts w:eastAsiaTheme="minorEastAsia"/>
                <w:b/>
                <w:bCs/>
                <w:sz w:val="20"/>
                <w:lang w:eastAsia="en-AU"/>
              </w:rPr>
              <w:t>FISCAL AGGREGATES</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b/>
                <w:bCs/>
                <w:sz w:val="20"/>
                <w:lang w:eastAsia="en-AU"/>
              </w:rPr>
            </w:pPr>
            <w:r w:rsidRPr="00B1599C">
              <w:rPr>
                <w:rFonts w:eastAsiaTheme="minorEastAsia"/>
                <w:b/>
                <w:bCs/>
                <w:sz w:val="20"/>
                <w:lang w:eastAsia="en-AU"/>
              </w:rPr>
              <w:t xml:space="preserve"> </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b/>
                <w:bCs/>
                <w:sz w:val="20"/>
                <w:lang w:eastAsia="en-AU"/>
              </w:rPr>
            </w:pPr>
            <w:r w:rsidRPr="00B1599C">
              <w:rPr>
                <w:rFonts w:eastAsiaTheme="minorEastAsia"/>
                <w:b/>
                <w:bCs/>
                <w:sz w:val="20"/>
                <w:lang w:eastAsia="en-AU"/>
              </w:rPr>
              <w:t xml:space="preserve"> </w:t>
            </w:r>
          </w:p>
        </w:tc>
      </w:tr>
      <w:tr w:rsidR="00336793" w:rsidRPr="00B1599C" w:rsidTr="00DF0B96">
        <w:tc>
          <w:tcPr>
            <w:tcW w:w="3136" w:type="dxa"/>
            <w:tcBorders>
              <w:top w:val="nil"/>
              <w:left w:val="nil"/>
              <w:bottom w:val="nil"/>
              <w:right w:val="nil"/>
            </w:tcBorders>
            <w:shd w:val="solid" w:color="FFFFFF" w:fill="auto"/>
          </w:tcPr>
          <w:p w:rsidR="00336793" w:rsidRPr="00B1599C" w:rsidRDefault="00336793" w:rsidP="00DF0B96">
            <w:pPr>
              <w:pStyle w:val="Tabletext"/>
              <w:rPr>
                <w:rFonts w:eastAsiaTheme="minorEastAsia"/>
                <w:sz w:val="20"/>
                <w:vertAlign w:val="superscript"/>
                <w:lang w:eastAsia="en-AU"/>
              </w:rPr>
            </w:pPr>
            <w:r w:rsidRPr="00B1599C">
              <w:rPr>
                <w:rFonts w:eastAsiaTheme="minorEastAsia"/>
                <w:sz w:val="20"/>
                <w:lang w:eastAsia="en-AU"/>
              </w:rPr>
              <w:t>Net financial worth</w:t>
            </w:r>
          </w:p>
        </w:tc>
        <w:tc>
          <w:tcPr>
            <w:tcW w:w="901"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27 390.1</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21 976.2</w:t>
            </w:r>
          </w:p>
        </w:tc>
        <w:tc>
          <w:tcPr>
            <w:tcW w:w="1120" w:type="dxa"/>
            <w:gridSpan w:val="3"/>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17 707.0</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(22 255.5)</w:t>
            </w:r>
          </w:p>
        </w:tc>
        <w:tc>
          <w:tcPr>
            <w:tcW w:w="1120" w:type="dxa"/>
            <w:tcBorders>
              <w:top w:val="nil"/>
              <w:left w:val="nil"/>
              <w:bottom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 xml:space="preserve"> (22 388.3)</w:t>
            </w:r>
          </w:p>
        </w:tc>
        <w:tc>
          <w:tcPr>
            <w:tcW w:w="1850" w:type="dxa"/>
            <w:gridSpan w:val="3"/>
            <w:tcBorders>
              <w:top w:val="nil"/>
              <w:left w:val="nil"/>
              <w:bottom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 xml:space="preserve"> (22 603.2)</w:t>
            </w:r>
          </w:p>
        </w:tc>
      </w:tr>
      <w:tr w:rsidR="00336793" w:rsidRPr="00B1599C" w:rsidTr="00DF0B96">
        <w:tc>
          <w:tcPr>
            <w:tcW w:w="3136" w:type="dxa"/>
            <w:tcBorders>
              <w:top w:val="nil"/>
              <w:left w:val="nil"/>
              <w:right w:val="nil"/>
            </w:tcBorders>
            <w:shd w:val="solid" w:color="FFFFFF" w:fill="auto"/>
          </w:tcPr>
          <w:p w:rsidR="00336793" w:rsidRPr="00B1599C" w:rsidRDefault="00336793" w:rsidP="00DF0B96">
            <w:pPr>
              <w:pStyle w:val="Tabletext"/>
              <w:rPr>
                <w:rFonts w:eastAsiaTheme="minorEastAsia"/>
                <w:sz w:val="20"/>
                <w:vertAlign w:val="superscript"/>
                <w:lang w:eastAsia="en-AU"/>
              </w:rPr>
            </w:pPr>
            <w:r w:rsidRPr="00B1599C">
              <w:rPr>
                <w:rFonts w:eastAsiaTheme="minorEastAsia"/>
                <w:sz w:val="20"/>
                <w:lang w:eastAsia="en-AU"/>
              </w:rPr>
              <w:t>Net financial liabilities</w:t>
            </w:r>
          </w:p>
        </w:tc>
        <w:tc>
          <w:tcPr>
            <w:tcW w:w="901" w:type="dxa"/>
            <w:tcBorders>
              <w:top w:val="nil"/>
              <w:left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54 791.0</w:t>
            </w:r>
          </w:p>
        </w:tc>
        <w:tc>
          <w:tcPr>
            <w:tcW w:w="1120" w:type="dxa"/>
            <w:tcBorders>
              <w:top w:val="nil"/>
              <w:left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53 893.1</w:t>
            </w:r>
          </w:p>
        </w:tc>
        <w:tc>
          <w:tcPr>
            <w:tcW w:w="1120" w:type="dxa"/>
            <w:gridSpan w:val="3"/>
            <w:tcBorders>
              <w:top w:val="nil"/>
              <w:left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52 007.8</w:t>
            </w:r>
          </w:p>
        </w:tc>
        <w:tc>
          <w:tcPr>
            <w:tcW w:w="1120" w:type="dxa"/>
            <w:tcBorders>
              <w:top w:val="nil"/>
              <w:left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22 255.5</w:t>
            </w:r>
          </w:p>
        </w:tc>
        <w:tc>
          <w:tcPr>
            <w:tcW w:w="1120" w:type="dxa"/>
            <w:tcBorders>
              <w:top w:val="nil"/>
              <w:left w:val="nil"/>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22 388.3</w:t>
            </w:r>
          </w:p>
        </w:tc>
        <w:tc>
          <w:tcPr>
            <w:tcW w:w="1850" w:type="dxa"/>
            <w:gridSpan w:val="3"/>
            <w:tcBorders>
              <w:top w:val="nil"/>
              <w:left w:val="nil"/>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22 603.2</w:t>
            </w:r>
          </w:p>
        </w:tc>
      </w:tr>
      <w:tr w:rsidR="00336793" w:rsidRPr="00B1599C" w:rsidTr="00DF0B96">
        <w:tc>
          <w:tcPr>
            <w:tcW w:w="3136" w:type="dxa"/>
            <w:tcBorders>
              <w:top w:val="nil"/>
              <w:left w:val="nil"/>
              <w:bottom w:val="single" w:sz="12" w:space="0" w:color="000000"/>
              <w:right w:val="nil"/>
            </w:tcBorders>
            <w:shd w:val="solid" w:color="FFFFFF" w:fill="auto"/>
          </w:tcPr>
          <w:p w:rsidR="00336793" w:rsidRPr="00B1599C" w:rsidRDefault="00336793" w:rsidP="00DF0B96">
            <w:pPr>
              <w:pStyle w:val="Tabletext"/>
              <w:rPr>
                <w:rFonts w:eastAsiaTheme="minorEastAsia"/>
                <w:sz w:val="20"/>
                <w:lang w:eastAsia="en-AU"/>
              </w:rPr>
            </w:pPr>
            <w:r w:rsidRPr="00B1599C">
              <w:rPr>
                <w:rFonts w:eastAsiaTheme="minorEastAsia"/>
                <w:sz w:val="20"/>
                <w:lang w:eastAsia="en-AU"/>
              </w:rPr>
              <w:t>Net debt</w:t>
            </w:r>
          </w:p>
        </w:tc>
        <w:tc>
          <w:tcPr>
            <w:tcW w:w="901" w:type="dxa"/>
            <w:tcBorders>
              <w:top w:val="nil"/>
              <w:left w:val="nil"/>
              <w:bottom w:val="single" w:sz="12" w:space="0" w:color="000000"/>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22 327.4</w:t>
            </w:r>
          </w:p>
        </w:tc>
        <w:tc>
          <w:tcPr>
            <w:tcW w:w="1120" w:type="dxa"/>
            <w:tcBorders>
              <w:top w:val="nil"/>
              <w:left w:val="nil"/>
              <w:bottom w:val="single" w:sz="12" w:space="0" w:color="000000"/>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21 174.6</w:t>
            </w:r>
          </w:p>
        </w:tc>
        <w:tc>
          <w:tcPr>
            <w:tcW w:w="1120" w:type="dxa"/>
            <w:gridSpan w:val="3"/>
            <w:tcBorders>
              <w:top w:val="nil"/>
              <w:left w:val="nil"/>
              <w:bottom w:val="single" w:sz="12" w:space="0" w:color="000000"/>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19 822.1</w:t>
            </w:r>
          </w:p>
        </w:tc>
        <w:tc>
          <w:tcPr>
            <w:tcW w:w="1120" w:type="dxa"/>
            <w:tcBorders>
              <w:top w:val="nil"/>
              <w:left w:val="nil"/>
              <w:bottom w:val="single" w:sz="12" w:space="0" w:color="000000"/>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14 223.5</w:t>
            </w:r>
          </w:p>
        </w:tc>
        <w:tc>
          <w:tcPr>
            <w:tcW w:w="1120" w:type="dxa"/>
            <w:tcBorders>
              <w:top w:val="nil"/>
              <w:left w:val="nil"/>
              <w:bottom w:val="single" w:sz="12" w:space="0" w:color="000000"/>
              <w:right w:val="nil"/>
            </w:tcBorders>
            <w:shd w:val="solid" w:color="FFFFFF" w:fill="auto"/>
          </w:tcPr>
          <w:p w:rsidR="00336793" w:rsidRPr="00B1599C" w:rsidRDefault="00336793" w:rsidP="00DF0B96">
            <w:pPr>
              <w:pStyle w:val="TableofFigures"/>
              <w:rPr>
                <w:rFonts w:eastAsiaTheme="minorEastAsia"/>
                <w:sz w:val="20"/>
                <w:lang w:eastAsia="en-AU"/>
              </w:rPr>
            </w:pPr>
            <w:r w:rsidRPr="00B1599C">
              <w:rPr>
                <w:rFonts w:eastAsiaTheme="minorEastAsia"/>
                <w:sz w:val="20"/>
                <w:lang w:eastAsia="en-AU"/>
              </w:rPr>
              <w:t>14 753.8</w:t>
            </w:r>
          </w:p>
        </w:tc>
        <w:tc>
          <w:tcPr>
            <w:tcW w:w="1850" w:type="dxa"/>
            <w:gridSpan w:val="3"/>
            <w:tcBorders>
              <w:top w:val="nil"/>
              <w:left w:val="nil"/>
              <w:bottom w:val="single" w:sz="12" w:space="0" w:color="000000"/>
              <w:right w:val="nil"/>
            </w:tcBorders>
            <w:shd w:val="solid" w:color="FFFFFF" w:fill="auto"/>
          </w:tcPr>
          <w:p w:rsidR="00336793" w:rsidRPr="00B1599C" w:rsidRDefault="00336793" w:rsidP="00DF0B96">
            <w:pPr>
              <w:pStyle w:val="TableofFigures"/>
              <w:ind w:right="675"/>
              <w:rPr>
                <w:rFonts w:eastAsiaTheme="minorEastAsia"/>
                <w:sz w:val="20"/>
                <w:lang w:eastAsia="en-AU"/>
              </w:rPr>
            </w:pPr>
            <w:r w:rsidRPr="00B1599C">
              <w:rPr>
                <w:rFonts w:eastAsiaTheme="minorEastAsia"/>
                <w:sz w:val="20"/>
                <w:lang w:eastAsia="en-AU"/>
              </w:rPr>
              <w:t>14 765.3</w:t>
            </w:r>
          </w:p>
        </w:tc>
      </w:tr>
    </w:tbl>
    <w:p w:rsidR="00336793" w:rsidRDefault="00336793" w:rsidP="00DF0B96">
      <w:pPr>
        <w:pStyle w:val="Notes"/>
      </w:pPr>
      <w:r>
        <w:t>Notes:</w:t>
      </w:r>
    </w:p>
    <w:p w:rsidR="00336793" w:rsidRPr="0000142D" w:rsidRDefault="00336793" w:rsidP="00DF0B96">
      <w:pPr>
        <w:pStyle w:val="Notes"/>
      </w:pPr>
      <w:r w:rsidRPr="0000142D">
        <w:t>(a)</w:t>
      </w:r>
      <w:r w:rsidRPr="0000142D">
        <w:tab/>
        <w:t>Certain 30 June 2014 and 1 July 2013 comparative figures have been restated. See note 37.</w:t>
      </w:r>
    </w:p>
    <w:p w:rsidR="00336793" w:rsidRPr="0000142D" w:rsidRDefault="00336793" w:rsidP="00DF0B96">
      <w:pPr>
        <w:pStyle w:val="Notes"/>
      </w:pPr>
      <w:r w:rsidRPr="0000142D">
        <w:t>(b)</w:t>
      </w:r>
      <w:r>
        <w:tab/>
        <w:t>Loans receivable from the non</w:t>
      </w:r>
      <w:r>
        <w:noBreakHyphen/>
        <w:t>financial public sector are reported at amortised cost.</w:t>
      </w:r>
    </w:p>
    <w:p w:rsidR="00336793" w:rsidRPr="0000142D" w:rsidRDefault="00336793" w:rsidP="00DF0B96">
      <w:pPr>
        <w:pStyle w:val="Notes"/>
      </w:pPr>
      <w:r w:rsidRPr="0000142D">
        <w:t>(</w:t>
      </w:r>
      <w:r>
        <w:t>c</w:t>
      </w:r>
      <w:r w:rsidRPr="0000142D">
        <w:t>)</w:t>
      </w:r>
      <w:r w:rsidRPr="0000142D">
        <w:tab/>
        <w:t>The net assets and net worth of the public financial corporations sector incorporates the impact of Treasury Corporation of Victoria</w:t>
      </w:r>
      <w:r>
        <w:t>’</w:t>
      </w:r>
      <w:r w:rsidRPr="0000142D">
        <w:t>s external loan liabilities being reported at market value while the corresponding assets, that is lending to the non</w:t>
      </w:r>
      <w:r>
        <w:noBreakHyphen/>
      </w:r>
      <w:r w:rsidRPr="0000142D">
        <w:t xml:space="preserve">financial public sector, being reported at amortised cost. This mismatch has contributed to the negative net asset position of the sector. </w:t>
      </w:r>
    </w:p>
    <w:p w:rsidR="00336793" w:rsidRDefault="00336793" w:rsidP="00DF0B96">
      <w:pPr>
        <w:pStyle w:val="Notes"/>
      </w:pPr>
    </w:p>
    <w:p w:rsidR="00336793" w:rsidRDefault="00336793">
      <w:pPr>
        <w:spacing w:after="0"/>
        <w:rPr>
          <w:rFonts w:ascii="Calibri" w:hAnsi="Calibri"/>
          <w:i/>
          <w:sz w:val="16"/>
          <w:lang w:eastAsia="en-AU"/>
        </w:rPr>
      </w:pPr>
      <w:r>
        <w:br w:type="page"/>
      </w:r>
    </w:p>
    <w:p w:rsidR="00336793" w:rsidRPr="006A75A2" w:rsidRDefault="00336793" w:rsidP="00DF0B96">
      <w:pPr>
        <w:pStyle w:val="Heading2NotesContd"/>
      </w:pPr>
    </w:p>
    <w:p w:rsidR="00336793" w:rsidRDefault="00336793" w:rsidP="00DF0B96">
      <w:pPr>
        <w:pStyle w:val="Tableheading"/>
      </w:pPr>
    </w:p>
    <w:p w:rsidR="00336793" w:rsidRDefault="00336793" w:rsidP="00DF0B96">
      <w:pPr>
        <w:pStyle w:val="million"/>
        <w:rPr>
          <w:rFonts w:ascii="Times New Roman" w:hAnsi="Times New Roman"/>
        </w:rPr>
      </w:pPr>
    </w:p>
    <w:tbl>
      <w:tblPr>
        <w:tblW w:w="10268" w:type="dxa"/>
        <w:tblInd w:w="-576" w:type="dxa"/>
        <w:tblLayout w:type="fixed"/>
        <w:tblCellMar>
          <w:left w:w="45" w:type="dxa"/>
          <w:right w:w="45" w:type="dxa"/>
        </w:tblCellMar>
        <w:tblLook w:val="0000" w:firstRow="0" w:lastRow="0" w:firstColumn="0" w:lastColumn="0" w:noHBand="0" w:noVBand="0"/>
      </w:tblPr>
      <w:tblGrid>
        <w:gridCol w:w="1701"/>
        <w:gridCol w:w="1071"/>
        <w:gridCol w:w="1071"/>
        <w:gridCol w:w="313"/>
        <w:gridCol w:w="236"/>
        <w:gridCol w:w="236"/>
        <w:gridCol w:w="286"/>
        <w:gridCol w:w="1070"/>
        <w:gridCol w:w="964"/>
        <w:gridCol w:w="107"/>
        <w:gridCol w:w="157"/>
        <w:gridCol w:w="236"/>
        <w:gridCol w:w="678"/>
        <w:gridCol w:w="1071"/>
        <w:gridCol w:w="541"/>
        <w:gridCol w:w="270"/>
        <w:gridCol w:w="260"/>
      </w:tblGrid>
      <w:tr w:rsidR="00336793" w:rsidRPr="00B1599C" w:rsidTr="00DF0B96">
        <w:trPr>
          <w:tblHeader/>
        </w:trPr>
        <w:tc>
          <w:tcPr>
            <w:tcW w:w="4156" w:type="dxa"/>
            <w:gridSpan w:val="4"/>
            <w:tcBorders>
              <w:top w:val="single" w:sz="6" w:space="0" w:color="auto"/>
              <w:left w:val="single" w:sz="6" w:space="0" w:color="auto"/>
              <w:bottom w:val="nil"/>
              <w:right w:val="nil"/>
            </w:tcBorders>
            <w:shd w:val="clear" w:color="000000" w:fill="000000"/>
            <w:vAlign w:val="bottom"/>
          </w:tcPr>
          <w:p w:rsidR="00336793" w:rsidRPr="00B1599C" w:rsidRDefault="00336793" w:rsidP="00DF0B96">
            <w:pPr>
              <w:pStyle w:val="Tabletextheading"/>
              <w:ind w:left="576"/>
              <w:jc w:val="center"/>
              <w:rPr>
                <w:rFonts w:eastAsiaTheme="minorEastAsia"/>
                <w:sz w:val="20"/>
                <w:vertAlign w:val="superscript"/>
                <w:lang w:eastAsia="en-AU"/>
              </w:rPr>
            </w:pPr>
            <w:r w:rsidRPr="00B1599C">
              <w:rPr>
                <w:rFonts w:eastAsiaTheme="minorEastAsia"/>
                <w:sz w:val="20"/>
                <w:lang w:eastAsia="en-AU"/>
              </w:rPr>
              <w:t xml:space="preserve">Public </w:t>
            </w:r>
            <w:r w:rsidRPr="00B1599C">
              <w:rPr>
                <w:sz w:val="20"/>
              </w:rPr>
              <w:t>financial</w:t>
            </w:r>
            <w:r w:rsidRPr="00B1599C">
              <w:rPr>
                <w:rFonts w:eastAsiaTheme="minorEastAsia"/>
                <w:sz w:val="20"/>
                <w:lang w:eastAsia="en-AU"/>
              </w:rPr>
              <w:t xml:space="preserve"> corporations</w:t>
            </w:r>
          </w:p>
        </w:tc>
        <w:tc>
          <w:tcPr>
            <w:tcW w:w="236" w:type="dxa"/>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 xml:space="preserve"> </w:t>
            </w:r>
          </w:p>
        </w:tc>
        <w:tc>
          <w:tcPr>
            <w:tcW w:w="236" w:type="dxa"/>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 xml:space="preserve"> </w:t>
            </w:r>
          </w:p>
        </w:tc>
        <w:tc>
          <w:tcPr>
            <w:tcW w:w="2320" w:type="dxa"/>
            <w:gridSpan w:val="3"/>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jc w:val="center"/>
              <w:rPr>
                <w:rFonts w:eastAsiaTheme="minorEastAsia"/>
                <w:color w:val="FFFFFF"/>
                <w:sz w:val="20"/>
                <w:lang w:eastAsia="en-AU"/>
              </w:rPr>
            </w:pPr>
            <w:r w:rsidRPr="00B1599C">
              <w:rPr>
                <w:rFonts w:eastAsiaTheme="minorEastAsia"/>
                <w:color w:val="FFFFFF"/>
                <w:sz w:val="20"/>
                <w:lang w:eastAsia="en-AU"/>
              </w:rPr>
              <w:t>Inter</w:t>
            </w:r>
            <w:r>
              <w:rPr>
                <w:rFonts w:eastAsiaTheme="minorEastAsia"/>
                <w:color w:val="FFFFFF"/>
                <w:sz w:val="20"/>
                <w:lang w:eastAsia="en-AU"/>
              </w:rPr>
              <w:noBreakHyphen/>
            </w:r>
            <w:r w:rsidRPr="00B1599C">
              <w:rPr>
                <w:rFonts w:eastAsiaTheme="minorEastAsia"/>
                <w:color w:val="FFFFFF"/>
                <w:sz w:val="20"/>
                <w:lang w:eastAsia="en-AU"/>
              </w:rPr>
              <w:t>sector eliminations</w:t>
            </w:r>
          </w:p>
        </w:tc>
        <w:tc>
          <w:tcPr>
            <w:tcW w:w="264" w:type="dxa"/>
            <w:gridSpan w:val="2"/>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 xml:space="preserve"> </w:t>
            </w:r>
          </w:p>
        </w:tc>
        <w:tc>
          <w:tcPr>
            <w:tcW w:w="236" w:type="dxa"/>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 xml:space="preserve"> </w:t>
            </w:r>
          </w:p>
        </w:tc>
        <w:tc>
          <w:tcPr>
            <w:tcW w:w="2290" w:type="dxa"/>
            <w:gridSpan w:val="3"/>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jc w:val="center"/>
              <w:rPr>
                <w:rFonts w:eastAsiaTheme="minorEastAsia"/>
                <w:color w:val="FFFFFF"/>
                <w:sz w:val="20"/>
                <w:lang w:eastAsia="en-AU"/>
              </w:rPr>
            </w:pPr>
            <w:r w:rsidRPr="00B1599C">
              <w:rPr>
                <w:rFonts w:eastAsiaTheme="minorEastAsia"/>
                <w:color w:val="FFFFFF"/>
                <w:sz w:val="20"/>
                <w:lang w:eastAsia="en-AU"/>
              </w:rPr>
              <w:t>State of Victoria</w:t>
            </w:r>
          </w:p>
        </w:tc>
        <w:tc>
          <w:tcPr>
            <w:tcW w:w="270" w:type="dxa"/>
            <w:tcBorders>
              <w:top w:val="single" w:sz="6" w:space="0" w:color="auto"/>
              <w:left w:val="nil"/>
              <w:bottom w:val="nil"/>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 xml:space="preserve"> </w:t>
            </w:r>
          </w:p>
        </w:tc>
        <w:tc>
          <w:tcPr>
            <w:tcW w:w="260" w:type="dxa"/>
            <w:tcBorders>
              <w:top w:val="single" w:sz="6" w:space="0" w:color="auto"/>
              <w:left w:val="nil"/>
              <w:bottom w:val="nil"/>
              <w:right w:val="single" w:sz="6" w:space="0" w:color="auto"/>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 xml:space="preserve"> </w:t>
            </w:r>
          </w:p>
        </w:tc>
      </w:tr>
      <w:tr w:rsidR="00336793" w:rsidRPr="00B1599C" w:rsidTr="00DF0B96">
        <w:trPr>
          <w:tblHeader/>
        </w:trPr>
        <w:tc>
          <w:tcPr>
            <w:tcW w:w="1701" w:type="dxa"/>
            <w:tcBorders>
              <w:left w:val="single" w:sz="6" w:space="0" w:color="auto"/>
              <w:bottom w:val="single" w:sz="6" w:space="0" w:color="auto"/>
              <w:right w:val="nil"/>
            </w:tcBorders>
            <w:shd w:val="clear" w:color="000000" w:fill="000000"/>
            <w:vAlign w:val="bottom"/>
          </w:tcPr>
          <w:p w:rsidR="00336793" w:rsidRPr="00B1599C" w:rsidRDefault="00336793" w:rsidP="00DF0B96">
            <w:pPr>
              <w:pStyle w:val="Tabletextheading"/>
              <w:ind w:left="576"/>
              <w:rPr>
                <w:rFonts w:eastAsiaTheme="minorEastAsia"/>
                <w:sz w:val="20"/>
                <w:lang w:eastAsia="en-AU"/>
              </w:rPr>
            </w:pPr>
            <w:r w:rsidRPr="00B1599C">
              <w:rPr>
                <w:rFonts w:eastAsiaTheme="minorEastAsia"/>
                <w:sz w:val="20"/>
                <w:lang w:eastAsia="en-AU"/>
              </w:rPr>
              <w:t>2015</w:t>
            </w:r>
          </w:p>
        </w:tc>
        <w:tc>
          <w:tcPr>
            <w:tcW w:w="1071" w:type="dxa"/>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s="Calibri"/>
                <w:iCs/>
                <w:color w:val="FFFFFF"/>
                <w:sz w:val="20"/>
                <w:szCs w:val="22"/>
                <w:vertAlign w:val="superscript"/>
                <w:lang w:eastAsia="en-AU"/>
              </w:rPr>
            </w:pPr>
            <w:r w:rsidRPr="00B1599C">
              <w:rPr>
                <w:rFonts w:eastAsiaTheme="minorEastAsia"/>
                <w:color w:val="FFFFFF"/>
                <w:sz w:val="20"/>
                <w:lang w:eastAsia="en-AU"/>
              </w:rPr>
              <w:t>2014</w:t>
            </w:r>
            <w:r w:rsidRPr="00B1599C">
              <w:rPr>
                <w:rFonts w:eastAsiaTheme="minorEastAsia"/>
                <w:color w:val="FFFFFF"/>
                <w:sz w:val="20"/>
                <w:vertAlign w:val="superscript"/>
                <w:lang w:eastAsia="en-AU"/>
              </w:rPr>
              <w:t>(</w:t>
            </w:r>
            <w:r w:rsidRPr="00B1599C">
              <w:rPr>
                <w:rFonts w:eastAsiaTheme="minorEastAsia" w:cs="Calibri"/>
                <w:iCs/>
                <w:color w:val="FFFFFF"/>
                <w:sz w:val="20"/>
                <w:szCs w:val="22"/>
                <w:vertAlign w:val="superscript"/>
                <w:lang w:eastAsia="en-AU"/>
              </w:rPr>
              <w:t>a)</w:t>
            </w:r>
          </w:p>
        </w:tc>
        <w:tc>
          <w:tcPr>
            <w:tcW w:w="1071" w:type="dxa"/>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s="Calibri"/>
                <w:iCs/>
                <w:color w:val="FFFFFF"/>
                <w:sz w:val="20"/>
                <w:szCs w:val="22"/>
                <w:vertAlign w:val="superscript"/>
                <w:lang w:eastAsia="en-AU"/>
              </w:rPr>
            </w:pPr>
            <w:r w:rsidRPr="00B1599C">
              <w:rPr>
                <w:rFonts w:eastAsiaTheme="minorEastAsia"/>
                <w:color w:val="FFFFFF"/>
                <w:sz w:val="20"/>
                <w:lang w:eastAsia="en-AU"/>
              </w:rPr>
              <w:t>2013</w:t>
            </w:r>
            <w:r w:rsidRPr="00B1599C">
              <w:rPr>
                <w:rFonts w:eastAsiaTheme="minorEastAsia"/>
                <w:color w:val="FFFFFF"/>
                <w:sz w:val="20"/>
                <w:vertAlign w:val="superscript"/>
                <w:lang w:eastAsia="en-AU"/>
              </w:rPr>
              <w:t>(</w:t>
            </w:r>
            <w:r w:rsidRPr="00B1599C">
              <w:rPr>
                <w:rFonts w:eastAsiaTheme="minorEastAsia" w:cs="Calibri"/>
                <w:iCs/>
                <w:color w:val="FFFFFF"/>
                <w:sz w:val="20"/>
                <w:szCs w:val="22"/>
                <w:vertAlign w:val="superscript"/>
                <w:lang w:eastAsia="en-AU"/>
              </w:rPr>
              <w:t>a)</w:t>
            </w:r>
          </w:p>
        </w:tc>
        <w:tc>
          <w:tcPr>
            <w:tcW w:w="1071" w:type="dxa"/>
            <w:gridSpan w:val="4"/>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2015</w:t>
            </w:r>
          </w:p>
        </w:tc>
        <w:tc>
          <w:tcPr>
            <w:tcW w:w="1070" w:type="dxa"/>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s="Calibri"/>
                <w:iCs/>
                <w:color w:val="FFFFFF"/>
                <w:sz w:val="20"/>
                <w:szCs w:val="22"/>
                <w:vertAlign w:val="superscript"/>
                <w:lang w:eastAsia="en-AU"/>
              </w:rPr>
            </w:pPr>
            <w:r w:rsidRPr="00B1599C">
              <w:rPr>
                <w:rFonts w:eastAsiaTheme="minorEastAsia"/>
                <w:color w:val="FFFFFF"/>
                <w:sz w:val="20"/>
                <w:lang w:eastAsia="en-AU"/>
              </w:rPr>
              <w:t>2014</w:t>
            </w:r>
            <w:r w:rsidRPr="00B1599C">
              <w:rPr>
                <w:rFonts w:eastAsiaTheme="minorEastAsia"/>
                <w:color w:val="FFFFFF"/>
                <w:sz w:val="20"/>
                <w:vertAlign w:val="superscript"/>
                <w:lang w:eastAsia="en-AU"/>
              </w:rPr>
              <w:t>(</w:t>
            </w:r>
            <w:r w:rsidRPr="00B1599C">
              <w:rPr>
                <w:rFonts w:eastAsiaTheme="minorEastAsia" w:cs="Calibri"/>
                <w:iCs/>
                <w:color w:val="FFFFFF"/>
                <w:sz w:val="20"/>
                <w:szCs w:val="22"/>
                <w:vertAlign w:val="superscript"/>
                <w:lang w:eastAsia="en-AU"/>
              </w:rPr>
              <w:t>a)</w:t>
            </w:r>
          </w:p>
        </w:tc>
        <w:tc>
          <w:tcPr>
            <w:tcW w:w="1071" w:type="dxa"/>
            <w:gridSpan w:val="2"/>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s="Calibri"/>
                <w:iCs/>
                <w:color w:val="FFFFFF"/>
                <w:sz w:val="20"/>
                <w:szCs w:val="22"/>
                <w:vertAlign w:val="superscript"/>
                <w:lang w:eastAsia="en-AU"/>
              </w:rPr>
            </w:pPr>
            <w:r w:rsidRPr="00B1599C">
              <w:rPr>
                <w:rFonts w:eastAsiaTheme="minorEastAsia"/>
                <w:color w:val="FFFFFF"/>
                <w:sz w:val="20"/>
                <w:lang w:eastAsia="en-AU"/>
              </w:rPr>
              <w:t>2013</w:t>
            </w:r>
            <w:r w:rsidRPr="00B1599C">
              <w:rPr>
                <w:rFonts w:eastAsiaTheme="minorEastAsia"/>
                <w:color w:val="FFFFFF"/>
                <w:sz w:val="20"/>
                <w:vertAlign w:val="superscript"/>
                <w:lang w:eastAsia="en-AU"/>
              </w:rPr>
              <w:t>(</w:t>
            </w:r>
            <w:r w:rsidRPr="00B1599C">
              <w:rPr>
                <w:rFonts w:eastAsiaTheme="minorEastAsia" w:cs="Calibri"/>
                <w:iCs/>
                <w:color w:val="FFFFFF"/>
                <w:sz w:val="20"/>
                <w:szCs w:val="22"/>
                <w:vertAlign w:val="superscript"/>
                <w:lang w:eastAsia="en-AU"/>
              </w:rPr>
              <w:t>a)</w:t>
            </w:r>
          </w:p>
        </w:tc>
        <w:tc>
          <w:tcPr>
            <w:tcW w:w="1071" w:type="dxa"/>
            <w:gridSpan w:val="3"/>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olor w:val="FFFFFF"/>
                <w:sz w:val="20"/>
                <w:lang w:eastAsia="en-AU"/>
              </w:rPr>
            </w:pPr>
            <w:r w:rsidRPr="00B1599C">
              <w:rPr>
                <w:rFonts w:eastAsiaTheme="minorEastAsia"/>
                <w:color w:val="FFFFFF"/>
                <w:sz w:val="20"/>
                <w:lang w:eastAsia="en-AU"/>
              </w:rPr>
              <w:t>2015</w:t>
            </w:r>
          </w:p>
        </w:tc>
        <w:tc>
          <w:tcPr>
            <w:tcW w:w="1071" w:type="dxa"/>
            <w:tcBorders>
              <w:left w:val="nil"/>
              <w:bottom w:val="single" w:sz="6" w:space="0" w:color="auto"/>
              <w:right w:val="nil"/>
            </w:tcBorders>
            <w:shd w:val="clear" w:color="000000" w:fill="000000"/>
            <w:vAlign w:val="bottom"/>
          </w:tcPr>
          <w:p w:rsidR="00336793" w:rsidRPr="00B1599C" w:rsidRDefault="00336793" w:rsidP="00DF0B96">
            <w:pPr>
              <w:pStyle w:val="Tabletextheading"/>
              <w:rPr>
                <w:rFonts w:eastAsiaTheme="minorEastAsia" w:cs="Calibri"/>
                <w:iCs/>
                <w:color w:val="FFFFFF"/>
                <w:sz w:val="20"/>
                <w:szCs w:val="22"/>
                <w:vertAlign w:val="superscript"/>
                <w:lang w:eastAsia="en-AU"/>
              </w:rPr>
            </w:pPr>
            <w:r w:rsidRPr="00B1599C">
              <w:rPr>
                <w:rFonts w:eastAsiaTheme="minorEastAsia"/>
                <w:color w:val="FFFFFF"/>
                <w:sz w:val="20"/>
                <w:lang w:eastAsia="en-AU"/>
              </w:rPr>
              <w:t>2014</w:t>
            </w:r>
            <w:r w:rsidRPr="00B1599C">
              <w:rPr>
                <w:rFonts w:eastAsiaTheme="minorEastAsia"/>
                <w:color w:val="FFFFFF"/>
                <w:sz w:val="20"/>
                <w:vertAlign w:val="superscript"/>
                <w:lang w:eastAsia="en-AU"/>
              </w:rPr>
              <w:t>(</w:t>
            </w:r>
            <w:r w:rsidRPr="00B1599C">
              <w:rPr>
                <w:rFonts w:eastAsiaTheme="minorEastAsia" w:cs="Calibri"/>
                <w:iCs/>
                <w:color w:val="FFFFFF"/>
                <w:sz w:val="20"/>
                <w:szCs w:val="22"/>
                <w:vertAlign w:val="superscript"/>
                <w:lang w:eastAsia="en-AU"/>
              </w:rPr>
              <w:t>a)</w:t>
            </w:r>
          </w:p>
        </w:tc>
        <w:tc>
          <w:tcPr>
            <w:tcW w:w="1071" w:type="dxa"/>
            <w:gridSpan w:val="3"/>
            <w:tcBorders>
              <w:left w:val="nil"/>
              <w:bottom w:val="single" w:sz="6" w:space="0" w:color="auto"/>
              <w:right w:val="single" w:sz="6" w:space="0" w:color="auto"/>
            </w:tcBorders>
            <w:shd w:val="clear" w:color="000000" w:fill="000000"/>
            <w:vAlign w:val="bottom"/>
          </w:tcPr>
          <w:p w:rsidR="00336793" w:rsidRPr="00B1599C" w:rsidRDefault="00336793" w:rsidP="00DF0B96">
            <w:pPr>
              <w:pStyle w:val="Tabletextheading"/>
              <w:rPr>
                <w:rFonts w:eastAsiaTheme="minorEastAsia" w:cs="Calibri"/>
                <w:iCs/>
                <w:color w:val="FFFFFF"/>
                <w:sz w:val="20"/>
                <w:szCs w:val="22"/>
                <w:vertAlign w:val="superscript"/>
                <w:lang w:eastAsia="en-AU"/>
              </w:rPr>
            </w:pPr>
            <w:r w:rsidRPr="00B1599C">
              <w:rPr>
                <w:rFonts w:eastAsiaTheme="minorEastAsia"/>
                <w:color w:val="FFFFFF"/>
                <w:sz w:val="20"/>
                <w:lang w:eastAsia="en-AU"/>
              </w:rPr>
              <w:t>2013</w:t>
            </w:r>
            <w:r w:rsidRPr="00B1599C">
              <w:rPr>
                <w:rFonts w:eastAsiaTheme="minorEastAsia"/>
                <w:color w:val="FFFFFF"/>
                <w:sz w:val="20"/>
                <w:vertAlign w:val="superscript"/>
                <w:lang w:eastAsia="en-AU"/>
              </w:rPr>
              <w:t>(</w:t>
            </w:r>
            <w:r w:rsidRPr="00B1599C">
              <w:rPr>
                <w:rFonts w:eastAsiaTheme="minorEastAsia" w:cs="Calibri"/>
                <w:iCs/>
                <w:color w:val="FFFFFF"/>
                <w:sz w:val="20"/>
                <w:szCs w:val="22"/>
                <w:vertAlign w:val="superscript"/>
                <w:lang w:eastAsia="en-AU"/>
              </w:rPr>
              <w:t>a)</w:t>
            </w:r>
          </w:p>
        </w:tc>
      </w:tr>
      <w:tr w:rsidR="00336793" w:rsidRPr="00B1599C" w:rsidTr="00DF0B96">
        <w:tc>
          <w:tcPr>
            <w:tcW w:w="1701" w:type="dxa"/>
            <w:tcBorders>
              <w:top w:val="single" w:sz="6" w:space="0" w:color="auto"/>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w:t>
            </w:r>
          </w:p>
        </w:tc>
        <w:tc>
          <w:tcPr>
            <w:tcW w:w="1071" w:type="dxa"/>
            <w:tcBorders>
              <w:top w:val="single" w:sz="6" w:space="0" w:color="auto"/>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tcBorders>
              <w:top w:val="single" w:sz="6" w:space="0" w:color="auto"/>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4"/>
            <w:tcBorders>
              <w:top w:val="single" w:sz="6" w:space="0" w:color="auto"/>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0" w:type="dxa"/>
            <w:tcBorders>
              <w:top w:val="single" w:sz="6" w:space="0" w:color="auto"/>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2"/>
            <w:tcBorders>
              <w:top w:val="single" w:sz="6" w:space="0" w:color="auto"/>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3"/>
            <w:tcBorders>
              <w:top w:val="single" w:sz="6" w:space="0" w:color="auto"/>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tcBorders>
              <w:top w:val="single" w:sz="6" w:space="0" w:color="auto"/>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3"/>
            <w:tcBorders>
              <w:top w:val="single" w:sz="6" w:space="0" w:color="auto"/>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4 719.1</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5 691.4</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4 158.4</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(3 571.5)</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(2 976.1)</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(2 665.4)</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6 521.1</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8 282.0</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6 252.9</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45.7</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1 727.9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1 674.5</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(4 550.4)</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(4 573.7)</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(4 624.4)</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121.4</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1 795.1</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1 727.3</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1 600.9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1 432.1</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2 653.3</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(1 728.3)</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(1 419.8)</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(1 623.7)</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6 789.2</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6 396.5</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7 402.9</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32 121.6</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27 458.3</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24 096.1</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(2 199.8)</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(1 718.3)</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(2 407.1)</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34 317.1</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29 755.3</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26 128.7</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36 047.9</w:t>
            </w:r>
            <w:r>
              <w:rPr>
                <w:rFonts w:eastAsiaTheme="minorEastAsia"/>
                <w:sz w:val="20"/>
                <w:lang w:eastAsia="en-AU"/>
              </w:rPr>
              <w:br/>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35 585.9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33 501.6</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(36 047.9)</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(35 585.9)</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(33 501.6)</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w:t>
            </w:r>
            <w:r>
              <w:rPr>
                <w:rFonts w:eastAsiaTheme="minorEastAsia"/>
                <w:sz w:val="20"/>
                <w:lang w:eastAsia="en-AU"/>
              </w:rPr>
              <w:br/>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411.3</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267.8</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297.4</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2 020.8</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1 555.1</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1 666.1</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(82 181.0)</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(75 869.2)</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(69 714.8)</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r>
      <w:tr w:rsidR="00336793" w:rsidRPr="00B1599C" w:rsidTr="00DF0B96">
        <w:tc>
          <w:tcPr>
            <w:tcW w:w="1701"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ind w:left="486"/>
              <w:rPr>
                <w:rFonts w:eastAsiaTheme="minorEastAsia"/>
                <w:b/>
                <w:sz w:val="20"/>
                <w:lang w:eastAsia="en-AU"/>
              </w:rPr>
            </w:pPr>
            <w:r w:rsidRPr="00B1599C">
              <w:rPr>
                <w:rFonts w:eastAsiaTheme="minorEastAsia"/>
                <w:b/>
                <w:sz w:val="20"/>
                <w:lang w:eastAsia="en-AU"/>
              </w:rPr>
              <w:t>74 535.1</w:t>
            </w:r>
          </w:p>
        </w:tc>
        <w:tc>
          <w:tcPr>
            <w:tcW w:w="1071" w:type="dxa"/>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71 895.7</w:t>
            </w:r>
          </w:p>
        </w:tc>
        <w:tc>
          <w:tcPr>
            <w:tcW w:w="1071" w:type="dxa"/>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66 083.9</w:t>
            </w:r>
          </w:p>
        </w:tc>
        <w:tc>
          <w:tcPr>
            <w:tcW w:w="1071" w:type="dxa"/>
            <w:gridSpan w:val="4"/>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(129 867.7)</w:t>
            </w:r>
          </w:p>
        </w:tc>
        <w:tc>
          <w:tcPr>
            <w:tcW w:w="1070" w:type="dxa"/>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(121 875.2)</w:t>
            </w:r>
          </w:p>
        </w:tc>
        <w:tc>
          <w:tcPr>
            <w:tcW w:w="1071" w:type="dxa"/>
            <w:gridSpan w:val="2"/>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(114 239.6)</w:t>
            </w:r>
          </w:p>
        </w:tc>
        <w:tc>
          <w:tcPr>
            <w:tcW w:w="1071" w:type="dxa"/>
            <w:gridSpan w:val="3"/>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49 769.6</w:t>
            </w:r>
          </w:p>
        </w:tc>
        <w:tc>
          <w:tcPr>
            <w:tcW w:w="1071" w:type="dxa"/>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47 784.1</w:t>
            </w:r>
          </w:p>
        </w:tc>
        <w:tc>
          <w:tcPr>
            <w:tcW w:w="1071" w:type="dxa"/>
            <w:gridSpan w:val="3"/>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43 177.7</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709.9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785.4</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871.0</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1.0</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26.4</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205.2</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161.9</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173.0</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79.6</w:t>
            </w:r>
            <w:r>
              <w:rPr>
                <w:rFonts w:eastAsiaTheme="minorEastAsia"/>
                <w:sz w:val="20"/>
                <w:lang w:eastAsia="en-AU"/>
              </w:rPr>
              <w:br/>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82.7</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63.8</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206 972.9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198 491.7</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191 409.7</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1 036.2</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1 104.8</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1 710.2</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(1 272.0)</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(1 154.1)</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(1 691.6)</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2 127.3</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2 458.1</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2 053.1</w:t>
            </w:r>
          </w:p>
        </w:tc>
      </w:tr>
      <w:tr w:rsidR="00336793" w:rsidRPr="00B1599C" w:rsidTr="00DF0B96">
        <w:tc>
          <w:tcPr>
            <w:tcW w:w="1701" w:type="dxa"/>
            <w:tcBorders>
              <w:top w:val="single" w:sz="6" w:space="0" w:color="000000"/>
              <w:left w:val="nil"/>
              <w:bottom w:val="single" w:sz="6" w:space="0" w:color="000000"/>
              <w:right w:val="nil"/>
            </w:tcBorders>
            <w:shd w:val="solid" w:color="FFFFFF" w:fill="auto"/>
          </w:tcPr>
          <w:p w:rsidR="00336793" w:rsidRPr="00B1599C" w:rsidRDefault="00336793" w:rsidP="00DF0B96">
            <w:pPr>
              <w:pStyle w:val="TableofFigures"/>
              <w:ind w:left="486"/>
              <w:rPr>
                <w:rFonts w:eastAsiaTheme="minorEastAsia"/>
                <w:b/>
                <w:sz w:val="20"/>
                <w:lang w:eastAsia="en-AU"/>
              </w:rPr>
            </w:pPr>
            <w:r w:rsidRPr="00B1599C">
              <w:rPr>
                <w:rFonts w:eastAsiaTheme="minorEastAsia"/>
                <w:b/>
                <w:sz w:val="20"/>
                <w:lang w:eastAsia="en-AU"/>
              </w:rPr>
              <w:t>1 115.8</w:t>
            </w:r>
          </w:p>
        </w:tc>
        <w:tc>
          <w:tcPr>
            <w:tcW w:w="1071" w:type="dxa"/>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1 188.5</w:t>
            </w:r>
          </w:p>
        </w:tc>
        <w:tc>
          <w:tcPr>
            <w:tcW w:w="1071" w:type="dxa"/>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1 800.4</w:t>
            </w:r>
          </w:p>
        </w:tc>
        <w:tc>
          <w:tcPr>
            <w:tcW w:w="1071" w:type="dxa"/>
            <w:gridSpan w:val="4"/>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(1 272.0)</w:t>
            </w:r>
          </w:p>
        </w:tc>
        <w:tc>
          <w:tcPr>
            <w:tcW w:w="1070" w:type="dxa"/>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(1 154.1)</w:t>
            </w:r>
          </w:p>
        </w:tc>
        <w:tc>
          <w:tcPr>
            <w:tcW w:w="1071" w:type="dxa"/>
            <w:gridSpan w:val="2"/>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(1 691.6)</w:t>
            </w:r>
          </w:p>
        </w:tc>
        <w:tc>
          <w:tcPr>
            <w:tcW w:w="1071" w:type="dxa"/>
            <w:gridSpan w:val="3"/>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210 015.3</w:t>
            </w:r>
          </w:p>
        </w:tc>
        <w:tc>
          <w:tcPr>
            <w:tcW w:w="1071" w:type="dxa"/>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201 897.1</w:t>
            </w:r>
          </w:p>
        </w:tc>
        <w:tc>
          <w:tcPr>
            <w:tcW w:w="1071" w:type="dxa"/>
            <w:gridSpan w:val="3"/>
            <w:tcBorders>
              <w:top w:val="single" w:sz="6" w:space="0" w:color="000000"/>
              <w:left w:val="nil"/>
              <w:bottom w:val="single" w:sz="6"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194 506.8</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b/>
                <w:sz w:val="20"/>
                <w:lang w:eastAsia="en-AU"/>
              </w:rPr>
            </w:pPr>
            <w:r w:rsidRPr="00B1599C">
              <w:rPr>
                <w:rFonts w:eastAsiaTheme="minorEastAsia"/>
                <w:b/>
                <w:sz w:val="20"/>
                <w:lang w:eastAsia="en-AU"/>
              </w:rPr>
              <w:t>75 650.9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73 084.2</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67 884.3</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(131 139.7)</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(123 029.3)</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(115 931.1)</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259 784.9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249 681.2</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237 684.5</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6 744.8</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5 926.9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5 986.4</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(5 367.6)</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(4 684.3)</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(4 766.5)</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2 320.0</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2 070.7</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2 088.9</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1 718.8</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1 496.0</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1 829.7</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(1 495.6)</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(1 155.9)</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(1 159.6)</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7 590.9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7 540.5</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8 030.5</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42 720.9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42 221.5</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38 303.9</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(41 036.2)</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(40 199.4)</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(38 461.9)</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51 687.7</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51 345.3</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47 437.0</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91.2</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87.8</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89.5</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6 075.9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5 708.4</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5 595.8</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25 988.4</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26 301.2</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25 804.1</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25 169.4</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23 664.4</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22 527.5</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(8 637.4)</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(7 934.6)</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(8 079.9)</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26 212.8</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24 631.8</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23 542.4</w:t>
            </w:r>
          </w:p>
        </w:tc>
      </w:tr>
      <w:tr w:rsidR="00336793" w:rsidRPr="00B1599C" w:rsidTr="00DF0B96">
        <w:tc>
          <w:tcPr>
            <w:tcW w:w="1701" w:type="dxa"/>
            <w:tcBorders>
              <w:top w:val="single" w:sz="6" w:space="0" w:color="000000"/>
              <w:left w:val="nil"/>
              <w:bottom w:val="nil"/>
              <w:right w:val="nil"/>
            </w:tcBorders>
            <w:shd w:val="solid" w:color="FFFFFF" w:fill="auto"/>
          </w:tcPr>
          <w:p w:rsidR="00336793" w:rsidRPr="00B1599C" w:rsidRDefault="00336793" w:rsidP="00DF0B96">
            <w:pPr>
              <w:pStyle w:val="TableofFigures"/>
              <w:ind w:left="486"/>
              <w:rPr>
                <w:rFonts w:eastAsiaTheme="minorEastAsia"/>
                <w:b/>
                <w:sz w:val="20"/>
                <w:lang w:eastAsia="en-AU"/>
              </w:rPr>
            </w:pPr>
            <w:r w:rsidRPr="00B1599C">
              <w:rPr>
                <w:rFonts w:eastAsiaTheme="minorEastAsia"/>
                <w:b/>
                <w:sz w:val="20"/>
                <w:lang w:eastAsia="en-AU"/>
              </w:rPr>
              <w:t>76 445.0</w:t>
            </w:r>
          </w:p>
        </w:tc>
        <w:tc>
          <w:tcPr>
            <w:tcW w:w="1071" w:type="dxa"/>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73 396.6</w:t>
            </w:r>
          </w:p>
        </w:tc>
        <w:tc>
          <w:tcPr>
            <w:tcW w:w="1071" w:type="dxa"/>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68 737.1</w:t>
            </w:r>
          </w:p>
        </w:tc>
        <w:tc>
          <w:tcPr>
            <w:tcW w:w="1071" w:type="dxa"/>
            <w:gridSpan w:val="4"/>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(56 536.9)</w:t>
            </w:r>
          </w:p>
        </w:tc>
        <w:tc>
          <w:tcPr>
            <w:tcW w:w="1070" w:type="dxa"/>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(53 974.3)</w:t>
            </w:r>
          </w:p>
        </w:tc>
        <w:tc>
          <w:tcPr>
            <w:tcW w:w="1071" w:type="dxa"/>
            <w:gridSpan w:val="2"/>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(52 467.9)</w:t>
            </w:r>
          </w:p>
        </w:tc>
        <w:tc>
          <w:tcPr>
            <w:tcW w:w="1071" w:type="dxa"/>
            <w:gridSpan w:val="3"/>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119 875.7</w:t>
            </w:r>
          </w:p>
        </w:tc>
        <w:tc>
          <w:tcPr>
            <w:tcW w:w="1071" w:type="dxa"/>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117 597.9</w:t>
            </w:r>
          </w:p>
        </w:tc>
        <w:tc>
          <w:tcPr>
            <w:tcW w:w="1071" w:type="dxa"/>
            <w:gridSpan w:val="3"/>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112 498.8</w:t>
            </w:r>
          </w:p>
        </w:tc>
      </w:tr>
      <w:tr w:rsidR="00336793" w:rsidRPr="00B1599C" w:rsidTr="00DF0B96">
        <w:tc>
          <w:tcPr>
            <w:tcW w:w="1701" w:type="dxa"/>
            <w:tcBorders>
              <w:top w:val="single" w:sz="6" w:space="0" w:color="000000"/>
              <w:left w:val="nil"/>
              <w:bottom w:val="single" w:sz="12" w:space="0" w:color="000000"/>
              <w:right w:val="nil"/>
            </w:tcBorders>
            <w:shd w:val="solid" w:color="FFFFFF" w:fill="auto"/>
          </w:tcPr>
          <w:p w:rsidR="00336793" w:rsidRPr="00B1599C" w:rsidRDefault="00336793" w:rsidP="00DF0B96">
            <w:pPr>
              <w:pStyle w:val="TableofFigures"/>
              <w:ind w:left="486"/>
              <w:rPr>
                <w:rFonts w:eastAsiaTheme="minorEastAsia" w:cs="Calibri"/>
                <w:b/>
                <w:bCs/>
                <w:color w:val="000000"/>
                <w:sz w:val="20"/>
                <w:szCs w:val="22"/>
                <w:lang w:eastAsia="en-AU"/>
              </w:rPr>
            </w:pPr>
            <w:r>
              <w:rPr>
                <w:rFonts w:eastAsiaTheme="minorEastAsia"/>
                <w:b/>
                <w:sz w:val="20"/>
                <w:lang w:eastAsia="en-AU"/>
              </w:rPr>
              <w:t>(</w:t>
            </w:r>
            <w:r w:rsidRPr="00B1599C">
              <w:rPr>
                <w:rFonts w:eastAsiaTheme="minorEastAsia" w:cs="Calibri"/>
                <w:b/>
                <w:bCs/>
                <w:color w:val="000000"/>
                <w:sz w:val="20"/>
                <w:szCs w:val="22"/>
                <w:lang w:eastAsia="en-AU"/>
              </w:rPr>
              <w:t>794.0)</w:t>
            </w:r>
          </w:p>
        </w:tc>
        <w:tc>
          <w:tcPr>
            <w:tcW w:w="1071" w:type="dxa"/>
            <w:tcBorders>
              <w:top w:val="single" w:sz="6" w:space="0" w:color="000000"/>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Pr>
                <w:rFonts w:ascii="Calibri" w:eastAsiaTheme="minorEastAsia" w:hAnsi="Calibri" w:cs="Calibri"/>
                <w:b/>
                <w:bCs/>
                <w:sz w:val="20"/>
                <w:szCs w:val="22"/>
                <w:lang w:eastAsia="en-AU"/>
              </w:rPr>
              <w:t>(</w:t>
            </w:r>
            <w:r w:rsidRPr="00B1599C">
              <w:rPr>
                <w:rFonts w:ascii="Calibri" w:eastAsiaTheme="minorEastAsia" w:hAnsi="Calibri" w:cs="Calibri"/>
                <w:b/>
                <w:bCs/>
                <w:color w:val="000000"/>
                <w:sz w:val="20"/>
                <w:szCs w:val="22"/>
                <w:lang w:eastAsia="en-AU"/>
              </w:rPr>
              <w:t>312.3)</w:t>
            </w:r>
          </w:p>
        </w:tc>
        <w:tc>
          <w:tcPr>
            <w:tcW w:w="1071" w:type="dxa"/>
            <w:tcBorders>
              <w:top w:val="single" w:sz="6" w:space="0" w:color="000000"/>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Pr>
                <w:rFonts w:ascii="Calibri" w:eastAsiaTheme="minorEastAsia" w:hAnsi="Calibri" w:cs="Calibri"/>
                <w:b/>
                <w:bCs/>
                <w:sz w:val="20"/>
                <w:szCs w:val="22"/>
                <w:lang w:eastAsia="en-AU"/>
              </w:rPr>
              <w:t>(</w:t>
            </w:r>
            <w:r w:rsidRPr="00B1599C">
              <w:rPr>
                <w:rFonts w:ascii="Calibri" w:eastAsiaTheme="minorEastAsia" w:hAnsi="Calibri" w:cs="Calibri"/>
                <w:b/>
                <w:bCs/>
                <w:color w:val="000000"/>
                <w:sz w:val="20"/>
                <w:szCs w:val="22"/>
                <w:lang w:eastAsia="en-AU"/>
              </w:rPr>
              <w:t>852.8)</w:t>
            </w:r>
          </w:p>
        </w:tc>
        <w:tc>
          <w:tcPr>
            <w:tcW w:w="1071" w:type="dxa"/>
            <w:gridSpan w:val="4"/>
            <w:tcBorders>
              <w:top w:val="single" w:sz="6" w:space="0" w:color="000000"/>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(74 602.8)</w:t>
            </w:r>
          </w:p>
        </w:tc>
        <w:tc>
          <w:tcPr>
            <w:tcW w:w="1070" w:type="dxa"/>
            <w:tcBorders>
              <w:top w:val="single" w:sz="6" w:space="0" w:color="000000"/>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(69 055.1)</w:t>
            </w:r>
          </w:p>
        </w:tc>
        <w:tc>
          <w:tcPr>
            <w:tcW w:w="1071" w:type="dxa"/>
            <w:gridSpan w:val="2"/>
            <w:tcBorders>
              <w:top w:val="single" w:sz="6" w:space="0" w:color="000000"/>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(63 463.2)</w:t>
            </w:r>
          </w:p>
        </w:tc>
        <w:tc>
          <w:tcPr>
            <w:tcW w:w="1071" w:type="dxa"/>
            <w:gridSpan w:val="3"/>
            <w:tcBorders>
              <w:top w:val="single" w:sz="6" w:space="0" w:color="000000"/>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139 909.2</w:t>
            </w:r>
          </w:p>
        </w:tc>
        <w:tc>
          <w:tcPr>
            <w:tcW w:w="1071" w:type="dxa"/>
            <w:tcBorders>
              <w:top w:val="single" w:sz="6" w:space="0" w:color="000000"/>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132 083.2</w:t>
            </w:r>
          </w:p>
        </w:tc>
        <w:tc>
          <w:tcPr>
            <w:tcW w:w="1071" w:type="dxa"/>
            <w:gridSpan w:val="3"/>
            <w:tcBorders>
              <w:top w:val="single" w:sz="6" w:space="0" w:color="000000"/>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125 185.7</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(1 008.6)</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Pr>
                <w:rFonts w:ascii="Calibri" w:eastAsiaTheme="minorEastAsia" w:hAnsi="Calibri" w:cs="Calibri"/>
                <w:sz w:val="20"/>
                <w:szCs w:val="22"/>
                <w:lang w:eastAsia="en-AU"/>
              </w:rPr>
              <w:t>(</w:t>
            </w:r>
            <w:r w:rsidRPr="00B1599C">
              <w:rPr>
                <w:rFonts w:ascii="Calibri" w:eastAsiaTheme="minorEastAsia" w:hAnsi="Calibri" w:cs="Calibri"/>
                <w:color w:val="000000"/>
                <w:sz w:val="20"/>
                <w:szCs w:val="22"/>
                <w:lang w:eastAsia="en-AU"/>
              </w:rPr>
              <w:t>749.2)</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(1 765.4)</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12 019.1</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(2 544.0)</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(2 932.8)</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61 228.8</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45 435.9</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42 802.2</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214.5</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436.9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912.6</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(86 621.9)</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(66 511.1)</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(60 530.4)</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78 630.4</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86 597.3</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82 333.5</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50.0</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50.0</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50.0</w:t>
            </w:r>
          </w:p>
        </w:tc>
      </w:tr>
      <w:tr w:rsidR="00336793" w:rsidRPr="00B1599C" w:rsidTr="00DF0B96">
        <w:tc>
          <w:tcPr>
            <w:tcW w:w="1701" w:type="dxa"/>
            <w:tcBorders>
              <w:top w:val="single" w:sz="6" w:space="0" w:color="000000"/>
              <w:left w:val="nil"/>
              <w:bottom w:val="nil"/>
              <w:right w:val="nil"/>
            </w:tcBorders>
            <w:shd w:val="solid" w:color="FFFFFF" w:fill="auto"/>
          </w:tcPr>
          <w:p w:rsidR="00336793" w:rsidRPr="00B1599C" w:rsidRDefault="00336793" w:rsidP="00DF0B96">
            <w:pPr>
              <w:pStyle w:val="TableofFigures"/>
              <w:ind w:left="486"/>
              <w:rPr>
                <w:rFonts w:eastAsiaTheme="minorEastAsia" w:cs="Calibri"/>
                <w:b/>
                <w:bCs/>
                <w:color w:val="000000"/>
                <w:sz w:val="20"/>
                <w:szCs w:val="22"/>
                <w:lang w:eastAsia="en-AU"/>
              </w:rPr>
            </w:pPr>
            <w:r>
              <w:rPr>
                <w:rFonts w:eastAsiaTheme="minorEastAsia"/>
                <w:b/>
                <w:sz w:val="20"/>
                <w:lang w:eastAsia="en-AU"/>
              </w:rPr>
              <w:t>(</w:t>
            </w:r>
            <w:r w:rsidRPr="00B1599C">
              <w:rPr>
                <w:rFonts w:eastAsiaTheme="minorEastAsia" w:cs="Calibri"/>
                <w:b/>
                <w:bCs/>
                <w:color w:val="000000"/>
                <w:sz w:val="20"/>
                <w:szCs w:val="22"/>
                <w:lang w:eastAsia="en-AU"/>
              </w:rPr>
              <w:t>794.0)</w:t>
            </w:r>
          </w:p>
        </w:tc>
        <w:tc>
          <w:tcPr>
            <w:tcW w:w="1071" w:type="dxa"/>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Pr>
                <w:rFonts w:ascii="Calibri" w:eastAsiaTheme="minorEastAsia" w:hAnsi="Calibri" w:cs="Calibri"/>
                <w:b/>
                <w:bCs/>
                <w:sz w:val="20"/>
                <w:szCs w:val="22"/>
                <w:lang w:eastAsia="en-AU"/>
              </w:rPr>
              <w:t>(</w:t>
            </w:r>
            <w:r w:rsidRPr="00B1599C">
              <w:rPr>
                <w:rFonts w:ascii="Calibri" w:eastAsiaTheme="minorEastAsia" w:hAnsi="Calibri" w:cs="Calibri"/>
                <w:b/>
                <w:bCs/>
                <w:color w:val="000000"/>
                <w:sz w:val="20"/>
                <w:szCs w:val="22"/>
                <w:lang w:eastAsia="en-AU"/>
              </w:rPr>
              <w:t>312.3)</w:t>
            </w:r>
          </w:p>
        </w:tc>
        <w:tc>
          <w:tcPr>
            <w:tcW w:w="1071" w:type="dxa"/>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Pr>
                <w:rFonts w:ascii="Calibri" w:eastAsiaTheme="minorEastAsia" w:hAnsi="Calibri" w:cs="Calibri"/>
                <w:b/>
                <w:bCs/>
                <w:sz w:val="20"/>
                <w:szCs w:val="22"/>
                <w:lang w:eastAsia="en-AU"/>
              </w:rPr>
              <w:t>(</w:t>
            </w:r>
            <w:r w:rsidRPr="00B1599C">
              <w:rPr>
                <w:rFonts w:ascii="Calibri" w:eastAsiaTheme="minorEastAsia" w:hAnsi="Calibri" w:cs="Calibri"/>
                <w:b/>
                <w:bCs/>
                <w:color w:val="000000"/>
                <w:sz w:val="20"/>
                <w:szCs w:val="22"/>
                <w:lang w:eastAsia="en-AU"/>
              </w:rPr>
              <w:t>852.8)</w:t>
            </w:r>
          </w:p>
        </w:tc>
        <w:tc>
          <w:tcPr>
            <w:tcW w:w="1071" w:type="dxa"/>
            <w:gridSpan w:val="4"/>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(74 602.8)</w:t>
            </w:r>
          </w:p>
        </w:tc>
        <w:tc>
          <w:tcPr>
            <w:tcW w:w="1070" w:type="dxa"/>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(69 055.1)</w:t>
            </w:r>
          </w:p>
        </w:tc>
        <w:tc>
          <w:tcPr>
            <w:tcW w:w="1071" w:type="dxa"/>
            <w:gridSpan w:val="2"/>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(63 463.2)</w:t>
            </w:r>
          </w:p>
        </w:tc>
        <w:tc>
          <w:tcPr>
            <w:tcW w:w="1071" w:type="dxa"/>
            <w:gridSpan w:val="3"/>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139 909.2</w:t>
            </w:r>
          </w:p>
        </w:tc>
        <w:tc>
          <w:tcPr>
            <w:tcW w:w="1071" w:type="dxa"/>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132 083.2</w:t>
            </w:r>
          </w:p>
        </w:tc>
        <w:tc>
          <w:tcPr>
            <w:tcW w:w="1071" w:type="dxa"/>
            <w:gridSpan w:val="3"/>
            <w:tcBorders>
              <w:top w:val="single" w:sz="6" w:space="0" w:color="000000"/>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125 185.7</w:t>
            </w:r>
          </w:p>
        </w:tc>
      </w:tr>
      <w:tr w:rsidR="00336793" w:rsidRPr="00B1599C" w:rsidTr="00DF0B96">
        <w:trPr>
          <w:trHeight w:hRule="exact" w:val="120"/>
        </w:trPr>
        <w:tc>
          <w:tcPr>
            <w:tcW w:w="1701" w:type="dxa"/>
            <w:tcBorders>
              <w:top w:val="single" w:sz="12" w:space="0" w:color="000000"/>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w:t>
            </w:r>
          </w:p>
        </w:tc>
        <w:tc>
          <w:tcPr>
            <w:tcW w:w="1071" w:type="dxa"/>
            <w:tcBorders>
              <w:top w:val="single" w:sz="12" w:space="0" w:color="000000"/>
              <w:left w:val="nil"/>
              <w:bottom w:val="nil"/>
              <w:right w:val="nil"/>
            </w:tcBorders>
            <w:shd w:val="solid" w:color="FFFFFF" w:fill="auto"/>
          </w:tcPr>
          <w:p w:rsidR="00336793" w:rsidRPr="00B1599C" w:rsidRDefault="00336793" w:rsidP="00DF0B96">
            <w:pPr>
              <w:autoSpaceDE w:val="0"/>
              <w:autoSpaceDN w:val="0"/>
              <w:adjustRightInd w:val="0"/>
              <w:spacing w:after="0"/>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w:t>
            </w:r>
          </w:p>
        </w:tc>
        <w:tc>
          <w:tcPr>
            <w:tcW w:w="1071" w:type="dxa"/>
            <w:tcBorders>
              <w:top w:val="single" w:sz="12" w:space="0" w:color="000000"/>
              <w:left w:val="nil"/>
              <w:bottom w:val="nil"/>
              <w:right w:val="nil"/>
            </w:tcBorders>
            <w:shd w:val="solid" w:color="FFFFFF" w:fill="auto"/>
          </w:tcPr>
          <w:p w:rsidR="00336793" w:rsidRPr="00B1599C" w:rsidRDefault="00336793" w:rsidP="00DF0B96">
            <w:pPr>
              <w:autoSpaceDE w:val="0"/>
              <w:autoSpaceDN w:val="0"/>
              <w:adjustRightInd w:val="0"/>
              <w:spacing w:after="0"/>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w:t>
            </w:r>
          </w:p>
        </w:tc>
        <w:tc>
          <w:tcPr>
            <w:tcW w:w="1071" w:type="dxa"/>
            <w:gridSpan w:val="4"/>
            <w:tcBorders>
              <w:top w:val="single" w:sz="12" w:space="0" w:color="000000"/>
              <w:left w:val="nil"/>
              <w:bottom w:val="nil"/>
              <w:right w:val="nil"/>
            </w:tcBorders>
            <w:shd w:val="solid" w:color="FFFFFF" w:fill="auto"/>
          </w:tcPr>
          <w:p w:rsidR="00336793" w:rsidRPr="00B1599C" w:rsidRDefault="00336793" w:rsidP="00DF0B96">
            <w:pPr>
              <w:autoSpaceDE w:val="0"/>
              <w:autoSpaceDN w:val="0"/>
              <w:adjustRightInd w:val="0"/>
              <w:spacing w:after="0"/>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w:t>
            </w:r>
          </w:p>
        </w:tc>
        <w:tc>
          <w:tcPr>
            <w:tcW w:w="1070" w:type="dxa"/>
            <w:tcBorders>
              <w:top w:val="single" w:sz="12" w:space="0" w:color="000000"/>
              <w:left w:val="nil"/>
              <w:bottom w:val="nil"/>
              <w:right w:val="nil"/>
            </w:tcBorders>
            <w:shd w:val="solid" w:color="FFFFFF" w:fill="auto"/>
          </w:tcPr>
          <w:p w:rsidR="00336793" w:rsidRPr="00B1599C" w:rsidRDefault="00336793" w:rsidP="00DF0B96">
            <w:pPr>
              <w:autoSpaceDE w:val="0"/>
              <w:autoSpaceDN w:val="0"/>
              <w:adjustRightInd w:val="0"/>
              <w:spacing w:after="0"/>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w:t>
            </w:r>
          </w:p>
        </w:tc>
        <w:tc>
          <w:tcPr>
            <w:tcW w:w="1071" w:type="dxa"/>
            <w:gridSpan w:val="2"/>
            <w:tcBorders>
              <w:top w:val="single" w:sz="12" w:space="0" w:color="000000"/>
              <w:left w:val="nil"/>
              <w:bottom w:val="nil"/>
              <w:right w:val="nil"/>
            </w:tcBorders>
            <w:shd w:val="solid" w:color="FFFFFF" w:fill="auto"/>
          </w:tcPr>
          <w:p w:rsidR="00336793" w:rsidRPr="00B1599C" w:rsidRDefault="00336793" w:rsidP="00DF0B96">
            <w:pPr>
              <w:autoSpaceDE w:val="0"/>
              <w:autoSpaceDN w:val="0"/>
              <w:adjustRightInd w:val="0"/>
              <w:spacing w:after="0"/>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w:t>
            </w:r>
          </w:p>
        </w:tc>
        <w:tc>
          <w:tcPr>
            <w:tcW w:w="1071" w:type="dxa"/>
            <w:gridSpan w:val="3"/>
            <w:tcBorders>
              <w:top w:val="single" w:sz="12" w:space="0" w:color="000000"/>
              <w:left w:val="nil"/>
              <w:bottom w:val="nil"/>
              <w:right w:val="nil"/>
            </w:tcBorders>
            <w:shd w:val="solid" w:color="FFFFFF" w:fill="auto"/>
          </w:tcPr>
          <w:p w:rsidR="00336793" w:rsidRPr="00B1599C" w:rsidRDefault="00336793" w:rsidP="00DF0B96">
            <w:pPr>
              <w:autoSpaceDE w:val="0"/>
              <w:autoSpaceDN w:val="0"/>
              <w:adjustRightInd w:val="0"/>
              <w:spacing w:after="0"/>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w:t>
            </w:r>
          </w:p>
        </w:tc>
        <w:tc>
          <w:tcPr>
            <w:tcW w:w="1071" w:type="dxa"/>
            <w:tcBorders>
              <w:top w:val="single" w:sz="12" w:space="0" w:color="000000"/>
              <w:left w:val="nil"/>
              <w:bottom w:val="nil"/>
              <w:right w:val="nil"/>
            </w:tcBorders>
            <w:shd w:val="solid" w:color="FFFFFF" w:fill="auto"/>
          </w:tcPr>
          <w:p w:rsidR="00336793" w:rsidRPr="00B1599C" w:rsidRDefault="00336793" w:rsidP="00DF0B96">
            <w:pPr>
              <w:autoSpaceDE w:val="0"/>
              <w:autoSpaceDN w:val="0"/>
              <w:adjustRightInd w:val="0"/>
              <w:spacing w:after="0"/>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w:t>
            </w:r>
          </w:p>
        </w:tc>
        <w:tc>
          <w:tcPr>
            <w:tcW w:w="1071" w:type="dxa"/>
            <w:gridSpan w:val="3"/>
            <w:tcBorders>
              <w:top w:val="single" w:sz="12" w:space="0" w:color="000000"/>
              <w:left w:val="nil"/>
              <w:bottom w:val="nil"/>
              <w:right w:val="nil"/>
            </w:tcBorders>
            <w:shd w:val="solid" w:color="FFFFFF" w:fill="auto"/>
          </w:tcPr>
          <w:p w:rsidR="00336793" w:rsidRPr="00B1599C" w:rsidRDefault="00336793" w:rsidP="00DF0B96">
            <w:pPr>
              <w:autoSpaceDE w:val="0"/>
              <w:autoSpaceDN w:val="0"/>
              <w:adjustRightInd w:val="0"/>
              <w:spacing w:after="0"/>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B1599C">
              <w:rPr>
                <w:rFonts w:ascii="Calibri" w:eastAsiaTheme="minorEastAsia" w:hAnsi="Calibri" w:cs="Calibri"/>
                <w:b/>
                <w:bCs/>
                <w:sz w:val="20"/>
                <w:szCs w:val="22"/>
                <w:lang w:eastAsia="en-AU"/>
              </w:rPr>
              <w:t xml:space="preserve"> </w:t>
            </w:r>
          </w:p>
        </w:tc>
      </w:tr>
      <w:tr w:rsidR="00336793" w:rsidRPr="00B1599C" w:rsidTr="00DF0B96">
        <w:tc>
          <w:tcPr>
            <w:tcW w:w="1701" w:type="dxa"/>
            <w:tcBorders>
              <w:top w:val="nil"/>
              <w:left w:val="nil"/>
              <w:bottom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(1 909.9)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(1 500.9)</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(2 653.2)</w:t>
            </w:r>
          </w:p>
        </w:tc>
        <w:tc>
          <w:tcPr>
            <w:tcW w:w="1071" w:type="dxa"/>
            <w:gridSpan w:val="4"/>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(73 330.8)</w:t>
            </w:r>
          </w:p>
        </w:tc>
        <w:tc>
          <w:tcPr>
            <w:tcW w:w="1070"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(67 900.9)</w:t>
            </w:r>
          </w:p>
        </w:tc>
        <w:tc>
          <w:tcPr>
            <w:tcW w:w="1071" w:type="dxa"/>
            <w:gridSpan w:val="2"/>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(61 771.6)</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(70 106.1)</w:t>
            </w:r>
          </w:p>
        </w:tc>
        <w:tc>
          <w:tcPr>
            <w:tcW w:w="1071" w:type="dxa"/>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(69 813.9)</w:t>
            </w:r>
          </w:p>
        </w:tc>
        <w:tc>
          <w:tcPr>
            <w:tcW w:w="1071" w:type="dxa"/>
            <w:gridSpan w:val="3"/>
            <w:tcBorders>
              <w:top w:val="nil"/>
              <w:left w:val="nil"/>
              <w:bottom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(69 321.0)</w:t>
            </w:r>
          </w:p>
        </w:tc>
      </w:tr>
      <w:tr w:rsidR="00336793" w:rsidRPr="00B1599C" w:rsidTr="00DF0B96">
        <w:tc>
          <w:tcPr>
            <w:tcW w:w="1701" w:type="dxa"/>
            <w:tcBorders>
              <w:top w:val="nil"/>
              <w:left w:val="nil"/>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1 909.9</w:t>
            </w:r>
          </w:p>
        </w:tc>
        <w:tc>
          <w:tcPr>
            <w:tcW w:w="1071" w:type="dxa"/>
            <w:tcBorders>
              <w:top w:val="nil"/>
              <w:left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1 500.9</w:t>
            </w:r>
          </w:p>
        </w:tc>
        <w:tc>
          <w:tcPr>
            <w:tcW w:w="1071" w:type="dxa"/>
            <w:tcBorders>
              <w:top w:val="nil"/>
              <w:left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2 653.2</w:t>
            </w:r>
          </w:p>
        </w:tc>
        <w:tc>
          <w:tcPr>
            <w:tcW w:w="1071" w:type="dxa"/>
            <w:gridSpan w:val="4"/>
            <w:tcBorders>
              <w:top w:val="nil"/>
              <w:left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(8 850.2)</w:t>
            </w:r>
          </w:p>
        </w:tc>
        <w:tc>
          <w:tcPr>
            <w:tcW w:w="1070" w:type="dxa"/>
            <w:tcBorders>
              <w:top w:val="nil"/>
              <w:left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(7 968.3)</w:t>
            </w:r>
          </w:p>
        </w:tc>
        <w:tc>
          <w:tcPr>
            <w:tcW w:w="1071" w:type="dxa"/>
            <w:gridSpan w:val="2"/>
            <w:tcBorders>
              <w:top w:val="nil"/>
              <w:left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(7 943.2)</w:t>
            </w:r>
          </w:p>
        </w:tc>
        <w:tc>
          <w:tcPr>
            <w:tcW w:w="1071" w:type="dxa"/>
            <w:gridSpan w:val="3"/>
            <w:tcBorders>
              <w:top w:val="nil"/>
              <w:left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70 106.1</w:t>
            </w:r>
          </w:p>
        </w:tc>
        <w:tc>
          <w:tcPr>
            <w:tcW w:w="1071" w:type="dxa"/>
            <w:tcBorders>
              <w:top w:val="nil"/>
              <w:left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69 813.9</w:t>
            </w:r>
          </w:p>
        </w:tc>
        <w:tc>
          <w:tcPr>
            <w:tcW w:w="1071" w:type="dxa"/>
            <w:gridSpan w:val="3"/>
            <w:tcBorders>
              <w:top w:val="nil"/>
              <w:left w:val="nil"/>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69 321.0</w:t>
            </w:r>
          </w:p>
        </w:tc>
      </w:tr>
      <w:tr w:rsidR="00336793" w:rsidRPr="00B1599C" w:rsidTr="00DF0B96">
        <w:tc>
          <w:tcPr>
            <w:tcW w:w="1701" w:type="dxa"/>
            <w:tcBorders>
              <w:top w:val="nil"/>
              <w:left w:val="nil"/>
              <w:bottom w:val="single" w:sz="12" w:space="0" w:color="000000"/>
              <w:right w:val="nil"/>
            </w:tcBorders>
            <w:shd w:val="solid" w:color="FFFFFF" w:fill="auto"/>
          </w:tcPr>
          <w:p w:rsidR="00336793" w:rsidRPr="00B1599C" w:rsidRDefault="00336793" w:rsidP="00DF0B96">
            <w:pPr>
              <w:pStyle w:val="TableofFigures"/>
              <w:ind w:left="486"/>
              <w:rPr>
                <w:rFonts w:eastAsiaTheme="minorEastAsia"/>
                <w:sz w:val="20"/>
                <w:lang w:eastAsia="en-AU"/>
              </w:rPr>
            </w:pPr>
            <w:r w:rsidRPr="00B1599C">
              <w:rPr>
                <w:rFonts w:eastAsiaTheme="minorEastAsia"/>
                <w:sz w:val="20"/>
                <w:lang w:eastAsia="en-AU"/>
              </w:rPr>
              <w:t xml:space="preserve"> (23 468.5)</w:t>
            </w:r>
          </w:p>
        </w:tc>
        <w:tc>
          <w:tcPr>
            <w:tcW w:w="1071" w:type="dxa"/>
            <w:tcBorders>
              <w:top w:val="nil"/>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(22 315.1)</w:t>
            </w:r>
          </w:p>
        </w:tc>
        <w:tc>
          <w:tcPr>
            <w:tcW w:w="1071" w:type="dxa"/>
            <w:tcBorders>
              <w:top w:val="nil"/>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 xml:space="preserve"> (19 140.3)</w:t>
            </w:r>
          </w:p>
        </w:tc>
        <w:tc>
          <w:tcPr>
            <w:tcW w:w="1071" w:type="dxa"/>
            <w:gridSpan w:val="4"/>
            <w:tcBorders>
              <w:top w:val="nil"/>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Pr>
                <w:rFonts w:ascii="Calibri" w:eastAsiaTheme="minorEastAsia" w:hAnsi="Calibri" w:cs="Calibri"/>
                <w:sz w:val="20"/>
                <w:szCs w:val="22"/>
                <w:lang w:eastAsia="en-AU"/>
              </w:rPr>
              <w:t>(</w:t>
            </w:r>
            <w:r w:rsidRPr="00B1599C">
              <w:rPr>
                <w:rFonts w:ascii="Calibri" w:eastAsiaTheme="minorEastAsia" w:hAnsi="Calibri" w:cs="Calibri"/>
                <w:color w:val="000000"/>
                <w:sz w:val="20"/>
                <w:szCs w:val="22"/>
                <w:lang w:eastAsia="en-AU"/>
              </w:rPr>
              <w:t>34.2)</w:t>
            </w:r>
          </w:p>
        </w:tc>
        <w:tc>
          <w:tcPr>
            <w:tcW w:w="1070" w:type="dxa"/>
            <w:tcBorders>
              <w:top w:val="nil"/>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Pr>
                <w:rFonts w:ascii="Calibri" w:eastAsiaTheme="minorEastAsia" w:hAnsi="Calibri" w:cs="Calibri"/>
                <w:sz w:val="20"/>
                <w:szCs w:val="22"/>
                <w:lang w:eastAsia="en-AU"/>
              </w:rPr>
              <w:t>(</w:t>
            </w:r>
            <w:r w:rsidRPr="00B1599C">
              <w:rPr>
                <w:rFonts w:ascii="Calibri" w:eastAsiaTheme="minorEastAsia" w:hAnsi="Calibri" w:cs="Calibri"/>
                <w:color w:val="000000"/>
                <w:sz w:val="20"/>
                <w:szCs w:val="22"/>
                <w:lang w:eastAsia="en-AU"/>
              </w:rPr>
              <w:t>29.8)</w:t>
            </w:r>
          </w:p>
        </w:tc>
        <w:tc>
          <w:tcPr>
            <w:tcW w:w="1071" w:type="dxa"/>
            <w:gridSpan w:val="2"/>
            <w:tcBorders>
              <w:top w:val="nil"/>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Pr>
                <w:rFonts w:ascii="Calibri" w:eastAsiaTheme="minorEastAsia" w:hAnsi="Calibri" w:cs="Calibri"/>
                <w:sz w:val="20"/>
                <w:szCs w:val="22"/>
                <w:lang w:eastAsia="en-AU"/>
              </w:rPr>
              <w:t>(</w:t>
            </w:r>
            <w:r w:rsidRPr="00B1599C">
              <w:rPr>
                <w:rFonts w:ascii="Calibri" w:eastAsiaTheme="minorEastAsia" w:hAnsi="Calibri" w:cs="Calibri"/>
                <w:color w:val="000000"/>
                <w:sz w:val="20"/>
                <w:szCs w:val="22"/>
                <w:lang w:eastAsia="en-AU"/>
              </w:rPr>
              <w:t>30.0)</w:t>
            </w:r>
          </w:p>
        </w:tc>
        <w:tc>
          <w:tcPr>
            <w:tcW w:w="1071" w:type="dxa"/>
            <w:gridSpan w:val="3"/>
            <w:tcBorders>
              <w:top w:val="nil"/>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13 048.1</w:t>
            </w:r>
          </w:p>
        </w:tc>
        <w:tc>
          <w:tcPr>
            <w:tcW w:w="1071" w:type="dxa"/>
            <w:tcBorders>
              <w:top w:val="nil"/>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13 583.6</w:t>
            </w:r>
          </w:p>
        </w:tc>
        <w:tc>
          <w:tcPr>
            <w:tcW w:w="1071" w:type="dxa"/>
            <w:gridSpan w:val="3"/>
            <w:tcBorders>
              <w:top w:val="nil"/>
              <w:left w:val="nil"/>
              <w:bottom w:val="single" w:sz="12" w:space="0" w:color="000000"/>
              <w:right w:val="nil"/>
            </w:tcBorders>
            <w:shd w:val="solid" w:color="FFFFFF" w:fill="auto"/>
          </w:tcPr>
          <w:p w:rsidR="00336793" w:rsidRPr="00B1599C"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B1599C">
              <w:rPr>
                <w:rFonts w:ascii="Calibri" w:eastAsiaTheme="minorEastAsia" w:hAnsi="Calibri" w:cs="Calibri"/>
                <w:sz w:val="20"/>
                <w:szCs w:val="22"/>
                <w:lang w:eastAsia="en-AU"/>
              </w:rPr>
              <w:t>15 417.1</w:t>
            </w:r>
          </w:p>
        </w:tc>
      </w:tr>
    </w:tbl>
    <w:p w:rsidR="00336793" w:rsidRDefault="00336793" w:rsidP="00DF0B96">
      <w:pPr>
        <w:pStyle w:val="Notes"/>
      </w:pPr>
    </w:p>
    <w:p w:rsidR="00336793" w:rsidRPr="006A75A2" w:rsidRDefault="00336793" w:rsidP="00DF0B96">
      <w:pPr>
        <w:spacing w:after="0"/>
        <w:rPr>
          <w:rFonts w:ascii="Calibri" w:hAnsi="Calibri"/>
          <w:b/>
          <w:sz w:val="28"/>
          <w:szCs w:val="22"/>
        </w:rPr>
      </w:pPr>
      <w:r w:rsidRPr="006A75A2">
        <w:br w:type="page"/>
      </w:r>
    </w:p>
    <w:p w:rsidR="00336793" w:rsidRPr="006B2B2E" w:rsidRDefault="00336793" w:rsidP="00DF0B96">
      <w:pPr>
        <w:pStyle w:val="Heading2NotesContd"/>
        <w:rPr>
          <w:i/>
        </w:rPr>
      </w:pPr>
      <w:r w:rsidRPr="006A75A2">
        <w:lastRenderedPageBreak/>
        <w:t>Note 2:</w:t>
      </w:r>
      <w:r w:rsidRPr="006A75A2">
        <w:tab/>
        <w:t>Disaggregated information</w:t>
      </w:r>
      <w:r>
        <w:t xml:space="preserve"> </w:t>
      </w:r>
      <w:r>
        <w:rPr>
          <w:i/>
        </w:rPr>
        <w:t>(continued)</w:t>
      </w:r>
    </w:p>
    <w:p w:rsidR="00336793" w:rsidRPr="006A75A2" w:rsidRDefault="00336793" w:rsidP="00DF0B96">
      <w:pPr>
        <w:pStyle w:val="Tableheading"/>
        <w:spacing w:before="160" w:after="60"/>
      </w:pPr>
      <w:r w:rsidRPr="006A75A2">
        <w:t>Disaggregated cash flow statement for the financial year ended 30 June</w:t>
      </w:r>
    </w:p>
    <w:p w:rsidR="00336793" w:rsidRPr="00B762D0" w:rsidRDefault="00336793" w:rsidP="00DF0B96">
      <w:pPr>
        <w:pStyle w:val="million"/>
      </w:pPr>
      <w:r w:rsidRPr="006A75A2">
        <w:t>($</w:t>
      </w:r>
      <w:r>
        <w:t> million)</w:t>
      </w:r>
    </w:p>
    <w:tbl>
      <w:tblPr>
        <w:tblW w:w="10364" w:type="dxa"/>
        <w:tblInd w:w="29" w:type="dxa"/>
        <w:tblLayout w:type="fixed"/>
        <w:tblCellMar>
          <w:left w:w="43" w:type="dxa"/>
          <w:right w:w="43" w:type="dxa"/>
        </w:tblCellMar>
        <w:tblLook w:val="0000" w:firstRow="0" w:lastRow="0" w:firstColumn="0" w:lastColumn="0" w:noHBand="0" w:noVBand="0"/>
      </w:tblPr>
      <w:tblGrid>
        <w:gridCol w:w="5144"/>
        <w:gridCol w:w="270"/>
        <w:gridCol w:w="629"/>
        <w:gridCol w:w="227"/>
        <w:gridCol w:w="1126"/>
        <w:gridCol w:w="268"/>
        <w:gridCol w:w="858"/>
        <w:gridCol w:w="1842"/>
      </w:tblGrid>
      <w:tr w:rsidR="00336793" w:rsidRPr="003C06CE" w:rsidTr="00DF0B96">
        <w:tc>
          <w:tcPr>
            <w:tcW w:w="5144" w:type="dxa"/>
            <w:tcBorders>
              <w:top w:val="single" w:sz="4" w:space="0" w:color="auto"/>
              <w:left w:val="single" w:sz="4" w:space="0" w:color="auto"/>
              <w:bottom w:val="nil"/>
              <w:right w:val="nil"/>
            </w:tcBorders>
            <w:shd w:val="clear" w:color="auto" w:fill="000000"/>
          </w:tcPr>
          <w:p w:rsidR="00336793" w:rsidRPr="003C06CE" w:rsidRDefault="00336793" w:rsidP="00DF0B96">
            <w:pPr>
              <w:pStyle w:val="Tabletext"/>
              <w:rPr>
                <w:rFonts w:eastAsiaTheme="minorEastAsia"/>
                <w:sz w:val="16"/>
                <w:lang w:eastAsia="en-AU"/>
              </w:rPr>
            </w:pPr>
            <w:r w:rsidRPr="003C06CE">
              <w:rPr>
                <w:rFonts w:eastAsiaTheme="minorEastAsia"/>
                <w:sz w:val="16"/>
                <w:lang w:eastAsia="en-AU"/>
              </w:rPr>
              <w:t xml:space="preserve"> </w:t>
            </w:r>
          </w:p>
        </w:tc>
        <w:tc>
          <w:tcPr>
            <w:tcW w:w="270" w:type="dxa"/>
            <w:tcBorders>
              <w:top w:val="single" w:sz="4" w:space="0" w:color="auto"/>
              <w:left w:val="nil"/>
              <w:bottom w:val="nil"/>
              <w:right w:val="nil"/>
            </w:tcBorders>
            <w:shd w:val="clear" w:color="auto" w:fill="000000"/>
          </w:tcPr>
          <w:p w:rsidR="00336793" w:rsidRPr="003C06CE" w:rsidRDefault="00336793" w:rsidP="00DF0B96">
            <w:pPr>
              <w:pStyle w:val="TabletextheadingCentred"/>
              <w:rPr>
                <w:rFonts w:eastAsiaTheme="minorEastAsia"/>
                <w:sz w:val="16"/>
                <w:lang w:eastAsia="en-AU"/>
              </w:rPr>
            </w:pPr>
            <w:r w:rsidRPr="003C06CE">
              <w:rPr>
                <w:rFonts w:eastAsiaTheme="minorEastAsia"/>
                <w:sz w:val="16"/>
                <w:lang w:eastAsia="en-AU"/>
              </w:rPr>
              <w:t xml:space="preserve"> </w:t>
            </w:r>
          </w:p>
        </w:tc>
        <w:tc>
          <w:tcPr>
            <w:tcW w:w="1982" w:type="dxa"/>
            <w:gridSpan w:val="3"/>
            <w:tcBorders>
              <w:top w:val="single" w:sz="4" w:space="0" w:color="auto"/>
              <w:left w:val="nil"/>
              <w:bottom w:val="nil"/>
              <w:right w:val="nil"/>
            </w:tcBorders>
            <w:shd w:val="clear" w:color="auto" w:fill="000000"/>
          </w:tcPr>
          <w:p w:rsidR="00336793" w:rsidRPr="003C06CE" w:rsidRDefault="00336793" w:rsidP="00DF0B96">
            <w:pPr>
              <w:pStyle w:val="TabletextheadingCentred"/>
              <w:rPr>
                <w:rFonts w:eastAsiaTheme="minorEastAsia"/>
                <w:sz w:val="16"/>
                <w:lang w:eastAsia="en-AU"/>
              </w:rPr>
            </w:pPr>
            <w:r w:rsidRPr="003C06CE">
              <w:rPr>
                <w:rFonts w:eastAsiaTheme="minorEastAsia"/>
                <w:sz w:val="16"/>
                <w:lang w:eastAsia="en-AU"/>
              </w:rPr>
              <w:t xml:space="preserve">General </w:t>
            </w:r>
          </w:p>
          <w:p w:rsidR="00336793" w:rsidRPr="003C06CE" w:rsidRDefault="00336793" w:rsidP="00DF0B96">
            <w:pPr>
              <w:pStyle w:val="TabletextheadingCentred"/>
              <w:rPr>
                <w:rFonts w:eastAsiaTheme="minorEastAsia"/>
                <w:sz w:val="16"/>
                <w:lang w:eastAsia="en-AU"/>
              </w:rPr>
            </w:pPr>
            <w:r w:rsidRPr="003C06CE">
              <w:rPr>
                <w:rFonts w:eastAsiaTheme="minorEastAsia"/>
                <w:sz w:val="16"/>
                <w:lang w:eastAsia="en-AU"/>
              </w:rPr>
              <w:t>government sector</w:t>
            </w:r>
          </w:p>
        </w:tc>
        <w:tc>
          <w:tcPr>
            <w:tcW w:w="268" w:type="dxa"/>
            <w:tcBorders>
              <w:top w:val="single" w:sz="4" w:space="0" w:color="auto"/>
              <w:left w:val="nil"/>
              <w:bottom w:val="nil"/>
              <w:right w:val="nil"/>
            </w:tcBorders>
            <w:shd w:val="clear" w:color="auto" w:fill="000000"/>
          </w:tcPr>
          <w:p w:rsidR="00336793" w:rsidRPr="003C06CE" w:rsidRDefault="00336793" w:rsidP="00DF0B96">
            <w:pPr>
              <w:pStyle w:val="TabletextheadingCentred"/>
              <w:rPr>
                <w:rFonts w:eastAsiaTheme="minorEastAsia"/>
                <w:sz w:val="16"/>
                <w:lang w:eastAsia="en-AU"/>
              </w:rPr>
            </w:pPr>
            <w:r w:rsidRPr="003C06CE">
              <w:rPr>
                <w:rFonts w:eastAsiaTheme="minorEastAsia"/>
                <w:sz w:val="16"/>
                <w:lang w:eastAsia="en-AU"/>
              </w:rPr>
              <w:t xml:space="preserve"> </w:t>
            </w:r>
          </w:p>
        </w:tc>
        <w:tc>
          <w:tcPr>
            <w:tcW w:w="2700" w:type="dxa"/>
            <w:gridSpan w:val="2"/>
            <w:tcBorders>
              <w:top w:val="single" w:sz="4" w:space="0" w:color="auto"/>
              <w:left w:val="nil"/>
              <w:bottom w:val="nil"/>
              <w:right w:val="single" w:sz="4" w:space="0" w:color="auto"/>
            </w:tcBorders>
            <w:shd w:val="clear" w:color="auto" w:fill="000000"/>
          </w:tcPr>
          <w:p w:rsidR="00336793" w:rsidRPr="003C06CE" w:rsidRDefault="00336793" w:rsidP="00DF0B96">
            <w:pPr>
              <w:pStyle w:val="TabletextheadingCentred"/>
              <w:ind w:right="587"/>
              <w:rPr>
                <w:rFonts w:eastAsiaTheme="minorEastAsia"/>
                <w:sz w:val="16"/>
                <w:lang w:eastAsia="en-AU"/>
              </w:rPr>
            </w:pPr>
            <w:r w:rsidRPr="003C06CE">
              <w:rPr>
                <w:rFonts w:eastAsiaTheme="minorEastAsia"/>
                <w:sz w:val="16"/>
                <w:lang w:eastAsia="en-AU"/>
              </w:rPr>
              <w:t>Public non</w:t>
            </w:r>
            <w:r>
              <w:rPr>
                <w:rFonts w:eastAsiaTheme="minorEastAsia"/>
                <w:sz w:val="16"/>
                <w:lang w:eastAsia="en-AU"/>
              </w:rPr>
              <w:noBreakHyphen/>
            </w:r>
            <w:r w:rsidRPr="003C06CE">
              <w:rPr>
                <w:rFonts w:eastAsiaTheme="minorEastAsia"/>
                <w:sz w:val="16"/>
                <w:lang w:eastAsia="en-AU"/>
              </w:rPr>
              <w:t>financial corporations</w:t>
            </w:r>
          </w:p>
        </w:tc>
      </w:tr>
      <w:tr w:rsidR="00336793" w:rsidRPr="003C06CE" w:rsidTr="00DF0B96">
        <w:tc>
          <w:tcPr>
            <w:tcW w:w="5144" w:type="dxa"/>
            <w:tcBorders>
              <w:top w:val="nil"/>
              <w:left w:val="single" w:sz="4" w:space="0" w:color="auto"/>
              <w:bottom w:val="single" w:sz="4" w:space="0" w:color="auto"/>
              <w:right w:val="nil"/>
            </w:tcBorders>
            <w:shd w:val="clear" w:color="auto" w:fill="000000"/>
          </w:tcPr>
          <w:p w:rsidR="00336793" w:rsidRPr="003C06CE" w:rsidRDefault="00336793" w:rsidP="00DF0B96">
            <w:pPr>
              <w:pStyle w:val="Tabletext"/>
              <w:rPr>
                <w:rFonts w:eastAsiaTheme="minorEastAsia"/>
                <w:sz w:val="16"/>
                <w:lang w:eastAsia="en-AU"/>
              </w:rPr>
            </w:pPr>
            <w:r w:rsidRPr="003C06CE">
              <w:rPr>
                <w:rFonts w:eastAsiaTheme="minorEastAsia"/>
                <w:sz w:val="16"/>
                <w:lang w:eastAsia="en-AU"/>
              </w:rPr>
              <w:t xml:space="preserve"> </w:t>
            </w:r>
          </w:p>
        </w:tc>
        <w:tc>
          <w:tcPr>
            <w:tcW w:w="1126" w:type="dxa"/>
            <w:gridSpan w:val="3"/>
            <w:tcBorders>
              <w:top w:val="nil"/>
              <w:left w:val="nil"/>
              <w:bottom w:val="single" w:sz="4" w:space="0" w:color="auto"/>
              <w:right w:val="nil"/>
            </w:tcBorders>
            <w:shd w:val="clear" w:color="auto" w:fill="000000"/>
          </w:tcPr>
          <w:p w:rsidR="00336793" w:rsidRPr="003C06CE" w:rsidRDefault="00336793" w:rsidP="00DF0B96">
            <w:pPr>
              <w:pStyle w:val="Tabletextheading"/>
              <w:rPr>
                <w:rFonts w:eastAsiaTheme="minorEastAsia"/>
                <w:sz w:val="16"/>
                <w:lang w:eastAsia="en-AU"/>
              </w:rPr>
            </w:pPr>
            <w:r w:rsidRPr="003C06CE">
              <w:rPr>
                <w:rFonts w:eastAsiaTheme="minorEastAsia"/>
                <w:sz w:val="16"/>
                <w:lang w:eastAsia="en-AU"/>
              </w:rPr>
              <w:t>2015</w:t>
            </w:r>
          </w:p>
        </w:tc>
        <w:tc>
          <w:tcPr>
            <w:tcW w:w="1126" w:type="dxa"/>
            <w:tcBorders>
              <w:top w:val="nil"/>
              <w:left w:val="nil"/>
              <w:bottom w:val="single" w:sz="4" w:space="0" w:color="auto"/>
              <w:right w:val="nil"/>
            </w:tcBorders>
            <w:shd w:val="clear" w:color="auto" w:fill="000000"/>
          </w:tcPr>
          <w:p w:rsidR="00336793" w:rsidRPr="003C06CE" w:rsidRDefault="00336793" w:rsidP="00DF0B96">
            <w:pPr>
              <w:pStyle w:val="Tabletextheading"/>
              <w:rPr>
                <w:rFonts w:eastAsiaTheme="minorEastAsia"/>
                <w:sz w:val="16"/>
                <w:lang w:eastAsia="en-AU"/>
              </w:rPr>
            </w:pPr>
            <w:r w:rsidRPr="003C06CE">
              <w:rPr>
                <w:rFonts w:eastAsiaTheme="minorEastAsia"/>
                <w:sz w:val="16"/>
                <w:lang w:eastAsia="en-AU"/>
              </w:rPr>
              <w:t>2014</w:t>
            </w:r>
          </w:p>
        </w:tc>
        <w:tc>
          <w:tcPr>
            <w:tcW w:w="1126" w:type="dxa"/>
            <w:gridSpan w:val="2"/>
            <w:tcBorders>
              <w:top w:val="nil"/>
              <w:left w:val="nil"/>
              <w:bottom w:val="single" w:sz="4" w:space="0" w:color="auto"/>
              <w:right w:val="nil"/>
            </w:tcBorders>
            <w:shd w:val="clear" w:color="auto" w:fill="000000"/>
          </w:tcPr>
          <w:p w:rsidR="00336793" w:rsidRPr="003C06CE" w:rsidRDefault="00336793" w:rsidP="00DF0B96">
            <w:pPr>
              <w:pStyle w:val="Tabletextheading"/>
              <w:rPr>
                <w:rFonts w:eastAsiaTheme="minorEastAsia"/>
                <w:sz w:val="16"/>
                <w:lang w:eastAsia="en-AU"/>
              </w:rPr>
            </w:pPr>
            <w:r w:rsidRPr="003C06CE">
              <w:rPr>
                <w:rFonts w:eastAsiaTheme="minorEastAsia"/>
                <w:sz w:val="16"/>
                <w:lang w:eastAsia="en-AU"/>
              </w:rPr>
              <w:t>2015</w:t>
            </w:r>
          </w:p>
        </w:tc>
        <w:tc>
          <w:tcPr>
            <w:tcW w:w="1842" w:type="dxa"/>
            <w:tcBorders>
              <w:top w:val="nil"/>
              <w:left w:val="nil"/>
              <w:bottom w:val="single" w:sz="4" w:space="0" w:color="auto"/>
              <w:right w:val="single" w:sz="4" w:space="0" w:color="auto"/>
            </w:tcBorders>
            <w:shd w:val="clear" w:color="auto" w:fill="000000"/>
          </w:tcPr>
          <w:p w:rsidR="00336793" w:rsidRPr="003C06CE" w:rsidRDefault="00336793" w:rsidP="00DF0B96">
            <w:pPr>
              <w:pStyle w:val="Tabletextheading"/>
              <w:ind w:right="677"/>
              <w:rPr>
                <w:rFonts w:eastAsiaTheme="minorEastAsia"/>
                <w:sz w:val="16"/>
                <w:lang w:eastAsia="en-AU"/>
              </w:rPr>
            </w:pPr>
            <w:r w:rsidRPr="003C06CE">
              <w:rPr>
                <w:rFonts w:eastAsiaTheme="minorEastAsia"/>
                <w:sz w:val="16"/>
                <w:lang w:eastAsia="en-AU"/>
              </w:rPr>
              <w:t>2014</w:t>
            </w:r>
          </w:p>
        </w:tc>
      </w:tr>
      <w:tr w:rsidR="00336793" w:rsidRPr="003C06CE" w:rsidTr="00DF0B96">
        <w:tc>
          <w:tcPr>
            <w:tcW w:w="5144" w:type="dxa"/>
            <w:tcBorders>
              <w:top w:val="single" w:sz="4" w:space="0" w:color="auto"/>
              <w:left w:val="nil"/>
              <w:bottom w:val="nil"/>
              <w:right w:val="nil"/>
            </w:tcBorders>
          </w:tcPr>
          <w:p w:rsidR="00336793" w:rsidRPr="003C06CE" w:rsidRDefault="00336793" w:rsidP="00DF0B96">
            <w:pPr>
              <w:pStyle w:val="Tabletext"/>
              <w:rPr>
                <w:rFonts w:eastAsiaTheme="minorEastAsia"/>
                <w:b/>
                <w:bCs/>
                <w:color w:val="000000"/>
                <w:sz w:val="16"/>
                <w:lang w:eastAsia="en-AU"/>
              </w:rPr>
            </w:pPr>
            <w:r w:rsidRPr="003C06CE">
              <w:rPr>
                <w:rFonts w:eastAsiaTheme="minorEastAsia"/>
                <w:b/>
                <w:bCs/>
                <w:color w:val="000000"/>
                <w:sz w:val="16"/>
                <w:lang w:eastAsia="en-AU"/>
              </w:rPr>
              <w:t>Cash flows from operating activities</w:t>
            </w:r>
          </w:p>
        </w:tc>
        <w:tc>
          <w:tcPr>
            <w:tcW w:w="1126" w:type="dxa"/>
            <w:gridSpan w:val="3"/>
            <w:tcBorders>
              <w:top w:val="single" w:sz="4" w:space="0" w:color="auto"/>
              <w:left w:val="nil"/>
              <w:bottom w:val="nil"/>
              <w:right w:val="nil"/>
            </w:tcBorders>
          </w:tcPr>
          <w:p w:rsidR="00336793" w:rsidRPr="003C06CE" w:rsidRDefault="00336793" w:rsidP="00DF0B96">
            <w:pPr>
              <w:pStyle w:val="TableTextCentred"/>
              <w:rPr>
                <w:rFonts w:eastAsiaTheme="minorEastAsia"/>
                <w:color w:val="FFFFFF" w:themeColor="background1"/>
                <w:sz w:val="16"/>
                <w:lang w:eastAsia="en-AU"/>
              </w:rPr>
            </w:pPr>
            <w:r w:rsidRPr="003C06CE">
              <w:rPr>
                <w:rFonts w:eastAsiaTheme="minorEastAsia"/>
                <w:color w:val="FFFFFF" w:themeColor="background1"/>
                <w:sz w:val="16"/>
                <w:lang w:eastAsia="en-AU"/>
              </w:rPr>
              <w:t xml:space="preserve">  </w:t>
            </w:r>
          </w:p>
        </w:tc>
        <w:tc>
          <w:tcPr>
            <w:tcW w:w="1126" w:type="dxa"/>
            <w:tcBorders>
              <w:top w:val="single" w:sz="4"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gridSpan w:val="2"/>
            <w:tcBorders>
              <w:top w:val="single" w:sz="4"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842" w:type="dxa"/>
            <w:tcBorders>
              <w:top w:val="single" w:sz="4" w:space="0" w:color="auto"/>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b/>
                <w:bCs/>
                <w:color w:val="000000"/>
                <w:sz w:val="16"/>
                <w:lang w:eastAsia="en-AU"/>
              </w:rPr>
            </w:pPr>
            <w:r w:rsidRPr="003C06CE">
              <w:rPr>
                <w:rFonts w:eastAsiaTheme="minorEastAsia"/>
                <w:b/>
                <w:bCs/>
                <w:color w:val="000000"/>
                <w:sz w:val="16"/>
                <w:lang w:eastAsia="en-AU"/>
              </w:rPr>
              <w:t>Receipts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Taxes received</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18 415.8</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16 719.4</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Grants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24 499.1</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25 140.4</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2 870.1</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2 810.3</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vertAlign w:val="superscript"/>
                <w:lang w:eastAsia="en-AU"/>
              </w:rPr>
            </w:pPr>
            <w:r w:rsidRPr="003C06CE">
              <w:rPr>
                <w:rFonts w:eastAsiaTheme="minorEastAsia"/>
                <w:color w:val="000000"/>
                <w:sz w:val="16"/>
                <w:lang w:eastAsia="en-AU"/>
              </w:rPr>
              <w:t>Sales of goods and services</w:t>
            </w:r>
            <w:r w:rsidRPr="00E96950">
              <w:rPr>
                <w:rFonts w:eastAsiaTheme="minorEastAsia"/>
                <w:color w:val="000000"/>
                <w:sz w:val="16"/>
                <w:vertAlign w:val="superscript"/>
                <w:lang w:eastAsia="en-AU"/>
              </w:rPr>
              <w:t xml:space="preserve"> (</w:t>
            </w:r>
            <w:r w:rsidRPr="003C06CE">
              <w:rPr>
                <w:rFonts w:eastAsiaTheme="minorEastAsia"/>
                <w:color w:val="000000"/>
                <w:sz w:val="16"/>
                <w:vertAlign w:val="superscript"/>
                <w:lang w:eastAsia="en-AU"/>
              </w:rPr>
              <w:t>a)</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7 001.8</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7 381.1</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6 736.4</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6 659.2</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Interest received</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812.3</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807.8</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37.3</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49.3</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s="Calibri"/>
                <w:color w:val="000000"/>
                <w:sz w:val="16"/>
                <w:szCs w:val="22"/>
                <w:vertAlign w:val="superscript"/>
                <w:lang w:eastAsia="en-AU"/>
              </w:rPr>
            </w:pPr>
            <w:r w:rsidRPr="003C06CE">
              <w:rPr>
                <w:rFonts w:eastAsiaTheme="minorEastAsia"/>
                <w:color w:val="000000"/>
                <w:sz w:val="16"/>
                <w:lang w:eastAsia="en-AU"/>
              </w:rPr>
              <w:t>Dividends and income tax equivalent and rate equivalent receipts</w:t>
            </w:r>
            <w:r w:rsidRPr="003C06CE">
              <w:rPr>
                <w:rFonts w:eastAsiaTheme="minorEastAsia"/>
                <w:color w:val="000000"/>
                <w:sz w:val="16"/>
                <w:vertAlign w:val="superscript"/>
                <w:lang w:eastAsia="en-AU"/>
              </w:rPr>
              <w:t xml:space="preserve"> (b)</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1 014.8</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591.8</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25.1</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15.6</w:t>
            </w:r>
          </w:p>
        </w:tc>
      </w:tr>
      <w:tr w:rsidR="00336793" w:rsidRPr="003C06CE" w:rsidTr="00DF0B96">
        <w:tc>
          <w:tcPr>
            <w:tcW w:w="5144" w:type="dxa"/>
            <w:tcBorders>
              <w:top w:val="nil"/>
              <w:left w:val="nil"/>
              <w:bottom w:val="single" w:sz="6" w:space="0" w:color="auto"/>
              <w:right w:val="nil"/>
            </w:tcBorders>
          </w:tcPr>
          <w:p w:rsidR="00336793" w:rsidRPr="003C06CE" w:rsidRDefault="00336793" w:rsidP="00DF0B96">
            <w:pPr>
              <w:pStyle w:val="Tabletext"/>
              <w:rPr>
                <w:rFonts w:eastAsiaTheme="minorEastAsia"/>
                <w:color w:val="000000"/>
                <w:sz w:val="16"/>
                <w:vertAlign w:val="superscript"/>
                <w:lang w:eastAsia="en-AU"/>
              </w:rPr>
            </w:pPr>
            <w:r w:rsidRPr="003C06CE">
              <w:rPr>
                <w:rFonts w:eastAsiaTheme="minorEastAsia"/>
                <w:color w:val="000000"/>
                <w:sz w:val="16"/>
                <w:lang w:eastAsia="en-AU"/>
              </w:rPr>
              <w:t>Other receipts</w:t>
            </w:r>
            <w:r w:rsidRPr="003C06CE">
              <w:rPr>
                <w:rFonts w:eastAsiaTheme="minorEastAsia"/>
                <w:color w:val="000000"/>
                <w:sz w:val="16"/>
                <w:vertAlign w:val="superscript"/>
                <w:lang w:eastAsia="en-AU"/>
              </w:rPr>
              <w:t xml:space="preserve"> </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1 983.7</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1 803.8</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295.8</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131.6</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b/>
                <w:bCs/>
                <w:color w:val="000000"/>
                <w:sz w:val="16"/>
                <w:vertAlign w:val="superscript"/>
                <w:lang w:eastAsia="en-AU"/>
              </w:rPr>
            </w:pPr>
            <w:r w:rsidRPr="003C06CE">
              <w:rPr>
                <w:rFonts w:eastAsiaTheme="minorEastAsia"/>
                <w:b/>
                <w:bCs/>
                <w:color w:val="000000"/>
                <w:sz w:val="16"/>
                <w:lang w:eastAsia="en-AU"/>
              </w:rPr>
              <w:t>Total receipts</w:t>
            </w:r>
            <w:r w:rsidRPr="00E96950">
              <w:rPr>
                <w:rFonts w:eastAsiaTheme="minorEastAsia"/>
                <w:color w:val="000000"/>
                <w:sz w:val="16"/>
                <w:vertAlign w:val="superscript"/>
                <w:lang w:eastAsia="en-AU"/>
              </w:rPr>
              <w:t xml:space="preserve"> (</w:t>
            </w:r>
            <w:r w:rsidRPr="003C06CE">
              <w:rPr>
                <w:rFonts w:eastAsiaTheme="minorEastAsia"/>
                <w:color w:val="000000"/>
                <w:sz w:val="16"/>
                <w:vertAlign w:val="superscript"/>
                <w:lang w:eastAsia="en-AU"/>
              </w:rPr>
              <w:t>b)</w:t>
            </w:r>
          </w:p>
        </w:tc>
        <w:tc>
          <w:tcPr>
            <w:tcW w:w="1126" w:type="dxa"/>
            <w:gridSpan w:val="3"/>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53 727.5</w:t>
            </w:r>
          </w:p>
        </w:tc>
        <w:tc>
          <w:tcPr>
            <w:tcW w:w="1126"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52 444.2</w:t>
            </w:r>
          </w:p>
        </w:tc>
        <w:tc>
          <w:tcPr>
            <w:tcW w:w="1126"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9 964.8</w:t>
            </w:r>
          </w:p>
        </w:tc>
        <w:tc>
          <w:tcPr>
            <w:tcW w:w="1842" w:type="dxa"/>
            <w:tcBorders>
              <w:top w:val="single" w:sz="6" w:space="0" w:color="auto"/>
              <w:left w:val="nil"/>
              <w:bottom w:val="nil"/>
              <w:right w:val="nil"/>
            </w:tcBorders>
          </w:tcPr>
          <w:p w:rsidR="00336793" w:rsidRPr="003C06CE" w:rsidRDefault="00336793" w:rsidP="00DF0B96">
            <w:pPr>
              <w:pStyle w:val="TableofFigures"/>
              <w:ind w:right="677"/>
              <w:rPr>
                <w:rFonts w:eastAsiaTheme="minorEastAsia"/>
                <w:b/>
                <w:bCs/>
                <w:sz w:val="16"/>
                <w:lang w:eastAsia="en-AU"/>
              </w:rPr>
            </w:pPr>
            <w:r w:rsidRPr="003C06CE">
              <w:rPr>
                <w:rFonts w:eastAsiaTheme="minorEastAsia"/>
                <w:b/>
                <w:bCs/>
                <w:sz w:val="16"/>
                <w:lang w:eastAsia="en-AU"/>
              </w:rPr>
              <w:t>9 666.0</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b/>
                <w:bCs/>
                <w:color w:val="000000"/>
                <w:sz w:val="16"/>
                <w:lang w:eastAsia="en-AU"/>
              </w:rPr>
            </w:pPr>
            <w:r w:rsidRPr="003C06CE">
              <w:rPr>
                <w:rFonts w:eastAsiaTheme="minorEastAsia"/>
                <w:b/>
                <w:bCs/>
                <w:color w:val="000000"/>
                <w:sz w:val="16"/>
                <w:lang w:eastAsia="en-AU"/>
              </w:rPr>
              <w:t>Payments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Payments for employees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(18 </w:t>
            </w:r>
            <w:r w:rsidRPr="003C06CE">
              <w:rPr>
                <w:rFonts w:eastAsiaTheme="minorEastAsia" w:cs="Calibri"/>
                <w:sz w:val="16"/>
                <w:szCs w:val="22"/>
                <w:lang w:eastAsia="en-AU"/>
              </w:rPr>
              <w:t>619.4)</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(17 926.6)</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(1 </w:t>
            </w:r>
            <w:r w:rsidRPr="003C06CE">
              <w:rPr>
                <w:rFonts w:eastAsiaTheme="minorEastAsia" w:cs="Calibri"/>
                <w:sz w:val="16"/>
                <w:szCs w:val="22"/>
                <w:lang w:eastAsia="en-AU"/>
              </w:rPr>
              <w:t>053.7)</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(1 029.9)</w:t>
            </w:r>
          </w:p>
        </w:tc>
      </w:tr>
      <w:tr w:rsidR="00336793" w:rsidRPr="003C06CE" w:rsidTr="00DF0B96">
        <w:trPr>
          <w:trHeight w:val="180"/>
        </w:trPr>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Superannuation</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(2 </w:t>
            </w:r>
            <w:r w:rsidRPr="003C06CE">
              <w:rPr>
                <w:rFonts w:eastAsiaTheme="minorEastAsia" w:cs="Calibri"/>
                <w:sz w:val="16"/>
                <w:szCs w:val="22"/>
                <w:lang w:eastAsia="en-AU"/>
              </w:rPr>
              <w:t>771.1)</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(2 676.5)</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106.5)</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111.9)</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Interest paid</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(2 </w:t>
            </w:r>
            <w:r w:rsidRPr="003C06CE">
              <w:rPr>
                <w:rFonts w:eastAsiaTheme="minorEastAsia" w:cs="Calibri"/>
                <w:sz w:val="16"/>
                <w:szCs w:val="22"/>
                <w:lang w:eastAsia="en-AU"/>
              </w:rPr>
              <w:t>062.2)</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(2 081.6)</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(1 </w:t>
            </w:r>
            <w:r w:rsidRPr="003C06CE">
              <w:rPr>
                <w:rFonts w:eastAsiaTheme="minorEastAsia" w:cs="Calibri"/>
                <w:sz w:val="16"/>
                <w:szCs w:val="22"/>
                <w:lang w:eastAsia="en-AU"/>
              </w:rPr>
              <w:t>158.4)</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(1 127.8)</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Grants and subsidies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(8 </w:t>
            </w:r>
            <w:r w:rsidRPr="003C06CE">
              <w:rPr>
                <w:rFonts w:eastAsiaTheme="minorEastAsia" w:cs="Calibri"/>
                <w:sz w:val="16"/>
                <w:szCs w:val="22"/>
                <w:lang w:eastAsia="en-AU"/>
              </w:rPr>
              <w:t>563.8)</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(7 647.0)</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68.7)</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129.9)</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s="Calibri"/>
                <w:color w:val="000000"/>
                <w:sz w:val="16"/>
                <w:szCs w:val="22"/>
                <w:vertAlign w:val="superscript"/>
                <w:lang w:eastAsia="en-AU"/>
              </w:rPr>
            </w:pPr>
            <w:r w:rsidRPr="003C06CE">
              <w:rPr>
                <w:rFonts w:eastAsiaTheme="minorEastAsia"/>
                <w:color w:val="000000"/>
                <w:sz w:val="16"/>
                <w:lang w:eastAsia="en-AU"/>
              </w:rPr>
              <w:t>Goods and services</w:t>
            </w:r>
            <w:r w:rsidRPr="00E96950">
              <w:rPr>
                <w:rFonts w:eastAsiaTheme="minorEastAsia"/>
                <w:color w:val="000000"/>
                <w:sz w:val="16"/>
                <w:vertAlign w:val="superscript"/>
                <w:lang w:eastAsia="en-AU"/>
              </w:rPr>
              <w:t xml:space="preserve"> (</w:t>
            </w:r>
            <w:r w:rsidRPr="003C06CE">
              <w:rPr>
                <w:rFonts w:eastAsiaTheme="minorEastAsia"/>
                <w:color w:val="000000"/>
                <w:sz w:val="16"/>
                <w:vertAlign w:val="superscript"/>
                <w:lang w:eastAsia="en-AU"/>
              </w:rPr>
              <w:t>a)(</w:t>
            </w:r>
            <w:r w:rsidRPr="003C06CE">
              <w:rPr>
                <w:rFonts w:eastAsiaTheme="minorEastAsia" w:cs="Calibri"/>
                <w:color w:val="000000"/>
                <w:sz w:val="16"/>
                <w:szCs w:val="22"/>
                <w:vertAlign w:val="superscript"/>
                <w:lang w:eastAsia="en-AU"/>
              </w:rPr>
              <w:t>b)</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(16 </w:t>
            </w:r>
            <w:r w:rsidRPr="003C06CE">
              <w:rPr>
                <w:rFonts w:eastAsiaTheme="minorEastAsia" w:cs="Calibri"/>
                <w:sz w:val="16"/>
                <w:szCs w:val="22"/>
                <w:lang w:eastAsia="en-AU"/>
              </w:rPr>
              <w:t>834.8)</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(16 949.4)</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(3 </w:t>
            </w:r>
            <w:r w:rsidRPr="003C06CE">
              <w:rPr>
                <w:rFonts w:eastAsiaTheme="minorEastAsia" w:cs="Calibri"/>
                <w:sz w:val="16"/>
                <w:szCs w:val="22"/>
                <w:lang w:eastAsia="en-AU"/>
              </w:rPr>
              <w:t>954.4)</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(3 884.7)</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Other payments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sz w:val="16"/>
                <w:szCs w:val="22"/>
                <w:lang w:eastAsia="en-AU"/>
              </w:rPr>
              <w:t>1</w:t>
            </w:r>
            <w:r w:rsidRPr="003C06CE">
              <w:rPr>
                <w:rFonts w:eastAsiaTheme="minorEastAsia" w:cs="Calibri"/>
                <w:color w:val="000000"/>
                <w:sz w:val="16"/>
                <w:szCs w:val="22"/>
                <w:lang w:eastAsia="en-AU"/>
              </w:rPr>
              <w:t xml:space="preserve"> 057.1)</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(1 220.6)</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(1 </w:t>
            </w:r>
            <w:r w:rsidRPr="003C06CE">
              <w:rPr>
                <w:rFonts w:eastAsiaTheme="minorEastAsia" w:cs="Calibri"/>
                <w:sz w:val="16"/>
                <w:szCs w:val="22"/>
                <w:lang w:eastAsia="en-AU"/>
              </w:rPr>
              <w:t>967.5)</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(1 484.3)</w:t>
            </w:r>
          </w:p>
        </w:tc>
      </w:tr>
      <w:tr w:rsidR="00336793" w:rsidRPr="003C06CE" w:rsidTr="00DF0B96">
        <w:tc>
          <w:tcPr>
            <w:tcW w:w="5144" w:type="dxa"/>
            <w:tcBorders>
              <w:top w:val="single" w:sz="6" w:space="0" w:color="auto"/>
              <w:left w:val="nil"/>
              <w:bottom w:val="single" w:sz="6" w:space="0" w:color="auto"/>
              <w:right w:val="nil"/>
            </w:tcBorders>
            <w:shd w:val="solid" w:color="FFFFFF" w:fill="auto"/>
          </w:tcPr>
          <w:p w:rsidR="00336793" w:rsidRPr="003C06CE" w:rsidRDefault="00336793" w:rsidP="00DF0B96">
            <w:pPr>
              <w:pStyle w:val="Tabletext"/>
              <w:rPr>
                <w:rFonts w:eastAsiaTheme="minorEastAsia"/>
                <w:b/>
                <w:bCs/>
                <w:color w:val="000000"/>
                <w:sz w:val="16"/>
                <w:lang w:eastAsia="en-AU"/>
              </w:rPr>
            </w:pPr>
            <w:r w:rsidRPr="003C06CE">
              <w:rPr>
                <w:rFonts w:eastAsiaTheme="minorEastAsia"/>
                <w:b/>
                <w:bCs/>
                <w:color w:val="000000"/>
                <w:sz w:val="16"/>
                <w:lang w:eastAsia="en-AU"/>
              </w:rPr>
              <w:t>Total payments</w:t>
            </w:r>
          </w:p>
        </w:tc>
        <w:tc>
          <w:tcPr>
            <w:tcW w:w="1126" w:type="dxa"/>
            <w:gridSpan w:val="3"/>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(49 </w:t>
            </w:r>
            <w:r w:rsidRPr="003C06CE">
              <w:rPr>
                <w:rFonts w:eastAsiaTheme="minorEastAsia" w:cs="Calibri"/>
                <w:b/>
                <w:bCs/>
                <w:sz w:val="16"/>
                <w:szCs w:val="22"/>
                <w:lang w:eastAsia="en-AU"/>
              </w:rPr>
              <w:t>908.4)</w:t>
            </w:r>
          </w:p>
        </w:tc>
        <w:tc>
          <w:tcPr>
            <w:tcW w:w="1126" w:type="dxa"/>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(48 501.7)</w:t>
            </w:r>
          </w:p>
        </w:tc>
        <w:tc>
          <w:tcPr>
            <w:tcW w:w="1126" w:type="dxa"/>
            <w:gridSpan w:val="2"/>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(8 </w:t>
            </w:r>
            <w:r w:rsidRPr="003C06CE">
              <w:rPr>
                <w:rFonts w:eastAsiaTheme="minorEastAsia" w:cs="Calibri"/>
                <w:b/>
                <w:bCs/>
                <w:sz w:val="16"/>
                <w:szCs w:val="22"/>
                <w:lang w:eastAsia="en-AU"/>
              </w:rPr>
              <w:t>309.1)</w:t>
            </w:r>
          </w:p>
        </w:tc>
        <w:tc>
          <w:tcPr>
            <w:tcW w:w="1842" w:type="dxa"/>
            <w:tcBorders>
              <w:top w:val="single" w:sz="6" w:space="0" w:color="auto"/>
              <w:left w:val="nil"/>
              <w:bottom w:val="single" w:sz="6" w:space="0" w:color="auto"/>
              <w:right w:val="nil"/>
            </w:tcBorders>
          </w:tcPr>
          <w:p w:rsidR="00336793" w:rsidRPr="003C06CE" w:rsidRDefault="00336793" w:rsidP="00DF0B96">
            <w:pPr>
              <w:pStyle w:val="TableofFigures"/>
              <w:ind w:right="677"/>
              <w:rPr>
                <w:rFonts w:eastAsiaTheme="minorEastAsia"/>
                <w:b/>
                <w:bCs/>
                <w:sz w:val="16"/>
                <w:lang w:eastAsia="en-AU"/>
              </w:rPr>
            </w:pPr>
            <w:r w:rsidRPr="003C06CE">
              <w:rPr>
                <w:rFonts w:eastAsiaTheme="minorEastAsia"/>
                <w:b/>
                <w:bCs/>
                <w:sz w:val="16"/>
                <w:lang w:eastAsia="en-AU"/>
              </w:rPr>
              <w:t>(7 768.6)</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b/>
                <w:bCs/>
                <w:color w:val="000000"/>
                <w:sz w:val="16"/>
                <w:vertAlign w:val="superscript"/>
                <w:lang w:eastAsia="en-AU"/>
              </w:rPr>
            </w:pPr>
            <w:r w:rsidRPr="003C06CE">
              <w:rPr>
                <w:rFonts w:eastAsiaTheme="minorEastAsia"/>
                <w:b/>
                <w:bCs/>
                <w:color w:val="000000"/>
                <w:sz w:val="16"/>
                <w:lang w:eastAsia="en-AU"/>
              </w:rPr>
              <w:t>Net cash flows from operating activities</w:t>
            </w:r>
            <w:r w:rsidRPr="00E96950">
              <w:rPr>
                <w:rFonts w:eastAsiaTheme="minorEastAsia"/>
                <w:color w:val="000000"/>
                <w:sz w:val="16"/>
                <w:vertAlign w:val="superscript"/>
                <w:lang w:eastAsia="en-AU"/>
              </w:rPr>
              <w:t xml:space="preserve"> (</w:t>
            </w:r>
            <w:r w:rsidRPr="003C06CE">
              <w:rPr>
                <w:rFonts w:eastAsiaTheme="minorEastAsia"/>
                <w:color w:val="000000"/>
                <w:sz w:val="16"/>
                <w:vertAlign w:val="superscript"/>
                <w:lang w:eastAsia="en-AU"/>
              </w:rPr>
              <w:t>b)</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3 819.1</w:t>
            </w:r>
          </w:p>
        </w:tc>
        <w:tc>
          <w:tcPr>
            <w:tcW w:w="1126" w:type="dxa"/>
            <w:tcBorders>
              <w:top w:val="nil"/>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3 942.5</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1 655.6</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b/>
                <w:bCs/>
                <w:sz w:val="16"/>
                <w:lang w:eastAsia="en-AU"/>
              </w:rPr>
            </w:pPr>
            <w:r w:rsidRPr="003C06CE">
              <w:rPr>
                <w:rFonts w:eastAsiaTheme="minorEastAsia"/>
                <w:b/>
                <w:bCs/>
                <w:sz w:val="16"/>
                <w:lang w:eastAsia="en-AU"/>
              </w:rPr>
              <w:t>1 897.3</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b/>
                <w:bCs/>
                <w:color w:val="000000"/>
                <w:sz w:val="16"/>
                <w:lang w:eastAsia="en-AU"/>
              </w:rPr>
            </w:pPr>
            <w:r w:rsidRPr="003C06CE">
              <w:rPr>
                <w:rFonts w:eastAsiaTheme="minorEastAsia"/>
                <w:b/>
                <w:bCs/>
                <w:color w:val="000000"/>
                <w:sz w:val="16"/>
                <w:lang w:eastAsia="en-AU"/>
              </w:rPr>
              <w:t>Cash flows from investing activities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s="Calibri"/>
                <w:color w:val="000000"/>
                <w:sz w:val="16"/>
                <w:szCs w:val="22"/>
                <w:vertAlign w:val="superscript"/>
                <w:lang w:eastAsia="en-AU"/>
              </w:rPr>
            </w:pPr>
            <w:r w:rsidRPr="003C06CE">
              <w:rPr>
                <w:rFonts w:eastAsiaTheme="minorEastAsia"/>
                <w:color w:val="000000"/>
                <w:sz w:val="16"/>
                <w:lang w:eastAsia="en-AU"/>
              </w:rPr>
              <w:t>Purchases of non</w:t>
            </w:r>
            <w:r>
              <w:rPr>
                <w:rFonts w:eastAsiaTheme="minorEastAsia"/>
                <w:color w:val="000000"/>
                <w:sz w:val="16"/>
                <w:lang w:eastAsia="en-AU"/>
              </w:rPr>
              <w:noBreakHyphen/>
            </w:r>
            <w:r w:rsidRPr="003C06CE">
              <w:rPr>
                <w:rFonts w:eastAsiaTheme="minorEastAsia"/>
                <w:color w:val="000000"/>
                <w:sz w:val="16"/>
                <w:lang w:eastAsia="en-AU"/>
              </w:rPr>
              <w:t>financial assets</w:t>
            </w:r>
            <w:r w:rsidRPr="00E96950">
              <w:rPr>
                <w:rFonts w:eastAsiaTheme="minorEastAsia"/>
                <w:color w:val="000000"/>
                <w:sz w:val="16"/>
                <w:vertAlign w:val="superscript"/>
                <w:lang w:eastAsia="en-AU"/>
              </w:rPr>
              <w:t xml:space="preserve"> (</w:t>
            </w:r>
            <w:r w:rsidRPr="003C06CE">
              <w:rPr>
                <w:rFonts w:eastAsiaTheme="minorEastAsia" w:cs="Calibri"/>
                <w:color w:val="000000"/>
                <w:sz w:val="16"/>
                <w:szCs w:val="22"/>
                <w:vertAlign w:val="superscript"/>
                <w:lang w:eastAsia="en-AU"/>
              </w:rPr>
              <w:t>b)</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(4 </w:t>
            </w:r>
            <w:r w:rsidRPr="003C06CE">
              <w:rPr>
                <w:rFonts w:eastAsiaTheme="minorEastAsia" w:cs="Calibri"/>
                <w:sz w:val="16"/>
                <w:szCs w:val="22"/>
                <w:lang w:eastAsia="en-AU"/>
              </w:rPr>
              <w:t>393.7)</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(3 997.3)</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(2 </w:t>
            </w:r>
            <w:r w:rsidRPr="003C06CE">
              <w:rPr>
                <w:rFonts w:eastAsiaTheme="minorEastAsia" w:cs="Calibri"/>
                <w:sz w:val="16"/>
                <w:szCs w:val="22"/>
                <w:lang w:eastAsia="en-AU"/>
              </w:rPr>
              <w:t>210.8)</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(3 300.1)</w:t>
            </w:r>
          </w:p>
        </w:tc>
      </w:tr>
      <w:tr w:rsidR="00336793" w:rsidRPr="003C06CE" w:rsidTr="00DF0B96">
        <w:tc>
          <w:tcPr>
            <w:tcW w:w="5144" w:type="dxa"/>
            <w:tcBorders>
              <w:top w:val="nil"/>
              <w:left w:val="nil"/>
              <w:bottom w:val="single" w:sz="6" w:space="0" w:color="auto"/>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Sales of non</w:t>
            </w:r>
            <w:r>
              <w:rPr>
                <w:rFonts w:eastAsiaTheme="minorEastAsia"/>
                <w:color w:val="000000"/>
                <w:sz w:val="16"/>
                <w:lang w:eastAsia="en-AU"/>
              </w:rPr>
              <w:noBreakHyphen/>
            </w:r>
            <w:r w:rsidRPr="003C06CE">
              <w:rPr>
                <w:rFonts w:eastAsiaTheme="minorEastAsia"/>
                <w:color w:val="000000"/>
                <w:sz w:val="16"/>
                <w:lang w:eastAsia="en-AU"/>
              </w:rPr>
              <w:t>financial assets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397.7</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270.9</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196.0</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206.4</w:t>
            </w:r>
          </w:p>
        </w:tc>
      </w:tr>
      <w:tr w:rsidR="00336793" w:rsidRPr="003C06CE" w:rsidTr="00DF0B96">
        <w:tc>
          <w:tcPr>
            <w:tcW w:w="5144" w:type="dxa"/>
            <w:tcBorders>
              <w:top w:val="nil"/>
              <w:left w:val="nil"/>
              <w:bottom w:val="nil"/>
              <w:right w:val="nil"/>
            </w:tcBorders>
            <w:shd w:val="solid" w:color="FFFFFF" w:fill="auto"/>
          </w:tcPr>
          <w:p w:rsidR="00336793" w:rsidRPr="003C06CE" w:rsidRDefault="00336793" w:rsidP="00DF0B96">
            <w:pPr>
              <w:pStyle w:val="Tabletext"/>
              <w:rPr>
                <w:rFonts w:eastAsiaTheme="minorEastAsia"/>
                <w:b/>
                <w:bCs/>
                <w:color w:val="000000"/>
                <w:sz w:val="16"/>
                <w:lang w:eastAsia="en-AU"/>
              </w:rPr>
            </w:pPr>
            <w:r w:rsidRPr="003C06CE">
              <w:rPr>
                <w:rFonts w:eastAsiaTheme="minorEastAsia"/>
                <w:b/>
                <w:bCs/>
                <w:color w:val="000000"/>
                <w:sz w:val="16"/>
                <w:lang w:eastAsia="en-AU"/>
              </w:rPr>
              <w:t>Cash flows from investments in non</w:t>
            </w:r>
            <w:r>
              <w:rPr>
                <w:rFonts w:eastAsiaTheme="minorEastAsia"/>
                <w:b/>
                <w:bCs/>
                <w:color w:val="000000"/>
                <w:sz w:val="16"/>
                <w:lang w:eastAsia="en-AU"/>
              </w:rPr>
              <w:noBreakHyphen/>
            </w:r>
            <w:r w:rsidRPr="003C06CE">
              <w:rPr>
                <w:rFonts w:eastAsiaTheme="minorEastAsia"/>
                <w:b/>
                <w:bCs/>
                <w:color w:val="000000"/>
                <w:sz w:val="16"/>
                <w:lang w:eastAsia="en-AU"/>
              </w:rPr>
              <w:t>financial assets</w:t>
            </w:r>
          </w:p>
        </w:tc>
        <w:tc>
          <w:tcPr>
            <w:tcW w:w="1126" w:type="dxa"/>
            <w:gridSpan w:val="3"/>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(3 </w:t>
            </w:r>
            <w:r w:rsidRPr="003C06CE">
              <w:rPr>
                <w:rFonts w:eastAsiaTheme="minorEastAsia" w:cs="Calibri"/>
                <w:b/>
                <w:bCs/>
                <w:sz w:val="16"/>
                <w:szCs w:val="22"/>
                <w:lang w:eastAsia="en-AU"/>
              </w:rPr>
              <w:t>996.0)</w:t>
            </w:r>
          </w:p>
        </w:tc>
        <w:tc>
          <w:tcPr>
            <w:tcW w:w="1126"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(3 726.4)</w:t>
            </w:r>
          </w:p>
        </w:tc>
        <w:tc>
          <w:tcPr>
            <w:tcW w:w="1126"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(2 </w:t>
            </w:r>
            <w:r w:rsidRPr="003C06CE">
              <w:rPr>
                <w:rFonts w:eastAsiaTheme="minorEastAsia" w:cs="Calibri"/>
                <w:b/>
                <w:bCs/>
                <w:sz w:val="16"/>
                <w:szCs w:val="22"/>
                <w:lang w:eastAsia="en-AU"/>
              </w:rPr>
              <w:t>014.9)</w:t>
            </w:r>
          </w:p>
        </w:tc>
        <w:tc>
          <w:tcPr>
            <w:tcW w:w="1842" w:type="dxa"/>
            <w:tcBorders>
              <w:top w:val="single" w:sz="6" w:space="0" w:color="auto"/>
              <w:left w:val="nil"/>
              <w:bottom w:val="nil"/>
              <w:right w:val="nil"/>
            </w:tcBorders>
          </w:tcPr>
          <w:p w:rsidR="00336793" w:rsidRPr="003C06CE" w:rsidRDefault="00336793" w:rsidP="00DF0B96">
            <w:pPr>
              <w:pStyle w:val="TableofFigures"/>
              <w:ind w:right="677"/>
              <w:rPr>
                <w:rFonts w:eastAsiaTheme="minorEastAsia"/>
                <w:b/>
                <w:bCs/>
                <w:sz w:val="16"/>
                <w:lang w:eastAsia="en-AU"/>
              </w:rPr>
            </w:pPr>
            <w:r w:rsidRPr="003C06CE">
              <w:rPr>
                <w:rFonts w:eastAsiaTheme="minorEastAsia"/>
                <w:b/>
                <w:bCs/>
                <w:sz w:val="16"/>
                <w:lang w:eastAsia="en-AU"/>
              </w:rPr>
              <w:t>(3 093.8)</w:t>
            </w:r>
          </w:p>
        </w:tc>
      </w:tr>
      <w:tr w:rsidR="00336793" w:rsidRPr="003C06CE" w:rsidTr="00DF0B96">
        <w:tc>
          <w:tcPr>
            <w:tcW w:w="5144" w:type="dxa"/>
            <w:tcBorders>
              <w:top w:val="nil"/>
              <w:left w:val="nil"/>
              <w:bottom w:val="nil"/>
              <w:right w:val="nil"/>
            </w:tcBorders>
            <w:shd w:val="solid" w:color="FFFFFF" w:fill="auto"/>
          </w:tcPr>
          <w:p w:rsidR="00336793" w:rsidRPr="003C06CE" w:rsidRDefault="00336793" w:rsidP="00DF0B96">
            <w:pPr>
              <w:pStyle w:val="Tabletext"/>
              <w:rPr>
                <w:rFonts w:eastAsiaTheme="minorEastAsia"/>
                <w:color w:val="000000"/>
                <w:sz w:val="16"/>
                <w:vertAlign w:val="superscript"/>
                <w:lang w:eastAsia="en-AU"/>
              </w:rPr>
            </w:pPr>
            <w:r w:rsidRPr="003C06CE">
              <w:rPr>
                <w:rFonts w:eastAsiaTheme="minorEastAsia"/>
                <w:b/>
                <w:bCs/>
                <w:color w:val="000000"/>
                <w:sz w:val="16"/>
                <w:lang w:eastAsia="en-AU"/>
              </w:rPr>
              <w:t>Cash flows from investments in financial assets for policy purposes</w:t>
            </w:r>
            <w:r w:rsidRPr="00E96950">
              <w:rPr>
                <w:rFonts w:eastAsiaTheme="minorEastAsia"/>
                <w:b/>
                <w:bCs/>
                <w:color w:val="000000"/>
                <w:sz w:val="16"/>
                <w:vertAlign w:val="superscript"/>
                <w:lang w:eastAsia="en-AU"/>
              </w:rPr>
              <w:t xml:space="preserve"> (</w:t>
            </w:r>
            <w:r w:rsidRPr="003C06CE">
              <w:rPr>
                <w:rFonts w:eastAsiaTheme="minorEastAsia"/>
                <w:b/>
                <w:bCs/>
                <w:color w:val="000000"/>
                <w:sz w:val="16"/>
                <w:vertAlign w:val="superscript"/>
                <w:lang w:eastAsia="en-AU"/>
              </w:rPr>
              <w:t>b)</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Cash inflows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360.6</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3.2</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62.1</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182.5</w:t>
            </w:r>
          </w:p>
        </w:tc>
      </w:tr>
      <w:tr w:rsidR="00336793" w:rsidRPr="003C06CE" w:rsidTr="00DF0B96">
        <w:tc>
          <w:tcPr>
            <w:tcW w:w="5144" w:type="dxa"/>
            <w:tcBorders>
              <w:top w:val="nil"/>
              <w:left w:val="nil"/>
              <w:bottom w:val="single" w:sz="6" w:space="0" w:color="auto"/>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Cash outflows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(1 218.7)</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(1 481.5)</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26.5)</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82.9)</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s="Calibri"/>
                <w:b/>
                <w:bCs/>
                <w:color w:val="000000"/>
                <w:sz w:val="16"/>
                <w:szCs w:val="22"/>
                <w:vertAlign w:val="superscript"/>
                <w:lang w:eastAsia="en-AU"/>
              </w:rPr>
            </w:pPr>
            <w:r w:rsidRPr="003C06CE">
              <w:rPr>
                <w:rFonts w:eastAsiaTheme="minorEastAsia"/>
                <w:b/>
                <w:bCs/>
                <w:color w:val="000000"/>
                <w:sz w:val="16"/>
                <w:lang w:eastAsia="en-AU"/>
              </w:rPr>
              <w:t xml:space="preserve">Net cash flows from investments in financial assets for policy purposes </w:t>
            </w:r>
          </w:p>
        </w:tc>
        <w:tc>
          <w:tcPr>
            <w:tcW w:w="1126" w:type="dxa"/>
            <w:gridSpan w:val="3"/>
            <w:tcBorders>
              <w:top w:val="single" w:sz="6" w:space="0" w:color="auto"/>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858.1)</w:t>
            </w:r>
          </w:p>
        </w:tc>
        <w:tc>
          <w:tcPr>
            <w:tcW w:w="1126"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(1 478.3)</w:t>
            </w:r>
          </w:p>
        </w:tc>
        <w:tc>
          <w:tcPr>
            <w:tcW w:w="1126"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35.7</w:t>
            </w:r>
          </w:p>
        </w:tc>
        <w:tc>
          <w:tcPr>
            <w:tcW w:w="1842" w:type="dxa"/>
            <w:tcBorders>
              <w:top w:val="single" w:sz="6" w:space="0" w:color="auto"/>
              <w:left w:val="nil"/>
              <w:bottom w:val="nil"/>
              <w:right w:val="nil"/>
            </w:tcBorders>
          </w:tcPr>
          <w:p w:rsidR="00336793" w:rsidRPr="003C06CE" w:rsidRDefault="00336793" w:rsidP="00DF0B96">
            <w:pPr>
              <w:pStyle w:val="TableofFigures"/>
              <w:ind w:right="677"/>
              <w:rPr>
                <w:rFonts w:eastAsiaTheme="minorEastAsia"/>
                <w:b/>
                <w:bCs/>
                <w:sz w:val="16"/>
                <w:lang w:eastAsia="en-AU"/>
              </w:rPr>
            </w:pPr>
            <w:r w:rsidRPr="003C06CE">
              <w:rPr>
                <w:rFonts w:eastAsiaTheme="minorEastAsia"/>
                <w:b/>
                <w:bCs/>
                <w:sz w:val="16"/>
                <w:lang w:eastAsia="en-AU"/>
              </w:rPr>
              <w:t xml:space="preserve"> 99.7</w:t>
            </w:r>
          </w:p>
        </w:tc>
      </w:tr>
      <w:tr w:rsidR="00336793" w:rsidRPr="003C06CE" w:rsidTr="00DF0B96">
        <w:tc>
          <w:tcPr>
            <w:tcW w:w="6043" w:type="dxa"/>
            <w:gridSpan w:val="3"/>
            <w:tcBorders>
              <w:top w:val="nil"/>
              <w:left w:val="nil"/>
              <w:bottom w:val="nil"/>
              <w:right w:val="nil"/>
            </w:tcBorders>
          </w:tcPr>
          <w:p w:rsidR="00336793" w:rsidRPr="003C06CE" w:rsidRDefault="00336793" w:rsidP="00DF0B96">
            <w:pPr>
              <w:pStyle w:val="Tabletext"/>
              <w:rPr>
                <w:rFonts w:eastAsiaTheme="minorEastAsia"/>
                <w:b/>
                <w:bCs/>
                <w:color w:val="000000"/>
                <w:sz w:val="16"/>
                <w:vertAlign w:val="superscript"/>
                <w:lang w:eastAsia="en-AU"/>
              </w:rPr>
            </w:pPr>
            <w:r w:rsidRPr="003C06CE">
              <w:rPr>
                <w:rFonts w:eastAsiaTheme="minorEastAsia"/>
                <w:b/>
                <w:bCs/>
                <w:color w:val="000000"/>
                <w:sz w:val="16"/>
                <w:lang w:eastAsia="en-AU"/>
              </w:rPr>
              <w:t>Cash flows from investments in financial assets for liquidity management purposes</w:t>
            </w:r>
            <w:r w:rsidRPr="00E96950">
              <w:rPr>
                <w:rFonts w:eastAsiaTheme="minorEastAsia"/>
                <w:b/>
                <w:bCs/>
                <w:color w:val="000000"/>
                <w:sz w:val="16"/>
                <w:vertAlign w:val="superscript"/>
                <w:lang w:eastAsia="en-AU"/>
              </w:rPr>
              <w:t xml:space="preserve"> (</w:t>
            </w:r>
            <w:r w:rsidRPr="003C06CE">
              <w:rPr>
                <w:rFonts w:eastAsiaTheme="minorEastAsia"/>
                <w:b/>
                <w:bCs/>
                <w:color w:val="000000"/>
                <w:sz w:val="16"/>
                <w:vertAlign w:val="superscript"/>
                <w:lang w:eastAsia="en-AU"/>
              </w:rPr>
              <w:t>b)(c)(d)</w:t>
            </w:r>
          </w:p>
        </w:tc>
        <w:tc>
          <w:tcPr>
            <w:tcW w:w="227"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Cash inflows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890.9</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1 122.5</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242.1</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384.2</w:t>
            </w:r>
          </w:p>
        </w:tc>
      </w:tr>
      <w:tr w:rsidR="00336793" w:rsidRPr="003C06CE" w:rsidTr="00DF0B96">
        <w:tc>
          <w:tcPr>
            <w:tcW w:w="5144" w:type="dxa"/>
            <w:tcBorders>
              <w:top w:val="nil"/>
              <w:left w:val="nil"/>
              <w:bottom w:val="single" w:sz="6" w:space="0" w:color="auto"/>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Cash outflows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(1 260.9)</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709.3)</w:t>
            </w:r>
          </w:p>
        </w:tc>
        <w:tc>
          <w:tcPr>
            <w:tcW w:w="1126" w:type="dxa"/>
            <w:gridSpan w:val="2"/>
            <w:tcBorders>
              <w:top w:val="nil"/>
              <w:left w:val="nil"/>
              <w:bottom w:val="single" w:sz="6" w:space="0" w:color="auto"/>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145.0)</w:t>
            </w:r>
          </w:p>
        </w:tc>
        <w:tc>
          <w:tcPr>
            <w:tcW w:w="1842" w:type="dxa"/>
            <w:tcBorders>
              <w:top w:val="nil"/>
              <w:left w:val="nil"/>
              <w:bottom w:val="single" w:sz="6" w:space="0" w:color="auto"/>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463.3)</w:t>
            </w:r>
          </w:p>
        </w:tc>
      </w:tr>
      <w:tr w:rsidR="00336793" w:rsidRPr="003C06CE" w:rsidTr="00DF0B96">
        <w:tc>
          <w:tcPr>
            <w:tcW w:w="5144" w:type="dxa"/>
            <w:tcBorders>
              <w:top w:val="single" w:sz="6" w:space="0" w:color="auto"/>
              <w:left w:val="nil"/>
              <w:bottom w:val="single" w:sz="6" w:space="0" w:color="auto"/>
              <w:right w:val="nil"/>
            </w:tcBorders>
          </w:tcPr>
          <w:p w:rsidR="00336793" w:rsidRPr="003C06CE" w:rsidRDefault="00336793" w:rsidP="00DF0B96">
            <w:pPr>
              <w:pStyle w:val="Tabletext"/>
              <w:rPr>
                <w:rFonts w:eastAsiaTheme="minorEastAsia"/>
                <w:b/>
                <w:bCs/>
                <w:color w:val="000000"/>
                <w:sz w:val="16"/>
                <w:vertAlign w:val="superscript"/>
                <w:lang w:eastAsia="en-AU"/>
              </w:rPr>
            </w:pPr>
            <w:r w:rsidRPr="003C06CE">
              <w:rPr>
                <w:rFonts w:eastAsiaTheme="minorEastAsia"/>
                <w:b/>
                <w:bCs/>
                <w:color w:val="000000"/>
                <w:sz w:val="16"/>
                <w:lang w:eastAsia="en-AU"/>
              </w:rPr>
              <w:t>Net cash flows from investments in financial assets for liquidity management purposes</w:t>
            </w:r>
          </w:p>
        </w:tc>
        <w:tc>
          <w:tcPr>
            <w:tcW w:w="1126" w:type="dxa"/>
            <w:gridSpan w:val="3"/>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370.1)</w:t>
            </w:r>
          </w:p>
        </w:tc>
        <w:tc>
          <w:tcPr>
            <w:tcW w:w="1126" w:type="dxa"/>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413.1</w:t>
            </w:r>
          </w:p>
        </w:tc>
        <w:tc>
          <w:tcPr>
            <w:tcW w:w="1126" w:type="dxa"/>
            <w:gridSpan w:val="2"/>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b/>
                <w:bCs/>
                <w:color w:val="000000"/>
                <w:sz w:val="16"/>
                <w:szCs w:val="22"/>
                <w:lang w:eastAsia="en-AU"/>
              </w:rPr>
            </w:pPr>
            <w:r w:rsidRPr="003C06CE">
              <w:rPr>
                <w:rFonts w:eastAsiaTheme="minorEastAsia"/>
                <w:b/>
                <w:bCs/>
                <w:sz w:val="16"/>
                <w:lang w:eastAsia="en-AU"/>
              </w:rPr>
              <w:t xml:space="preserve"> </w:t>
            </w:r>
            <w:r w:rsidRPr="003C06CE">
              <w:rPr>
                <w:rFonts w:eastAsiaTheme="minorEastAsia" w:cs="Calibri"/>
                <w:b/>
                <w:bCs/>
                <w:sz w:val="16"/>
                <w:szCs w:val="22"/>
                <w:lang w:eastAsia="en-AU"/>
              </w:rPr>
              <w:t>97.2</w:t>
            </w:r>
          </w:p>
        </w:tc>
        <w:tc>
          <w:tcPr>
            <w:tcW w:w="1842" w:type="dxa"/>
            <w:tcBorders>
              <w:top w:val="single" w:sz="6" w:space="0" w:color="auto"/>
              <w:left w:val="nil"/>
              <w:bottom w:val="single" w:sz="6" w:space="0" w:color="auto"/>
              <w:right w:val="nil"/>
            </w:tcBorders>
          </w:tcPr>
          <w:p w:rsidR="00336793" w:rsidRPr="003C06CE" w:rsidRDefault="00336793" w:rsidP="00DF0B96">
            <w:pPr>
              <w:pStyle w:val="TableofFigures"/>
              <w:ind w:right="677"/>
              <w:rPr>
                <w:rFonts w:eastAsiaTheme="minorEastAsia"/>
                <w:b/>
                <w:sz w:val="16"/>
              </w:rPr>
            </w:pPr>
            <w:r>
              <w:rPr>
                <w:rFonts w:eastAsiaTheme="minorEastAsia"/>
                <w:b/>
                <w:sz w:val="16"/>
              </w:rPr>
              <w:t>(</w:t>
            </w:r>
            <w:r w:rsidRPr="003C06CE">
              <w:rPr>
                <w:rFonts w:eastAsiaTheme="minorEastAsia"/>
                <w:b/>
                <w:sz w:val="16"/>
              </w:rPr>
              <w:t>79.1)</w:t>
            </w:r>
          </w:p>
        </w:tc>
      </w:tr>
      <w:tr w:rsidR="00336793" w:rsidRPr="003C06CE" w:rsidTr="00DF0B96">
        <w:tc>
          <w:tcPr>
            <w:tcW w:w="5144" w:type="dxa"/>
            <w:tcBorders>
              <w:top w:val="single" w:sz="6" w:space="0" w:color="auto"/>
              <w:left w:val="nil"/>
              <w:bottom w:val="nil"/>
              <w:right w:val="nil"/>
            </w:tcBorders>
          </w:tcPr>
          <w:p w:rsidR="00336793" w:rsidRPr="003C06CE" w:rsidRDefault="00336793" w:rsidP="00DF0B96">
            <w:pPr>
              <w:pStyle w:val="Tabletext"/>
              <w:rPr>
                <w:rFonts w:eastAsiaTheme="minorEastAsia"/>
                <w:b/>
                <w:bCs/>
                <w:color w:val="000000"/>
                <w:sz w:val="16"/>
                <w:vertAlign w:val="superscript"/>
                <w:lang w:eastAsia="en-AU"/>
              </w:rPr>
            </w:pPr>
            <w:r w:rsidRPr="003C06CE">
              <w:rPr>
                <w:rFonts w:eastAsiaTheme="minorEastAsia"/>
                <w:b/>
                <w:bCs/>
                <w:color w:val="000000"/>
                <w:sz w:val="16"/>
                <w:lang w:eastAsia="en-AU"/>
              </w:rPr>
              <w:t>Net cash flows from investing activities</w:t>
            </w:r>
            <w:r w:rsidRPr="00E96950">
              <w:rPr>
                <w:rFonts w:eastAsiaTheme="minorEastAsia"/>
                <w:b/>
                <w:color w:val="000000"/>
                <w:sz w:val="16"/>
                <w:vertAlign w:val="superscript"/>
                <w:lang w:eastAsia="en-AU"/>
              </w:rPr>
              <w:t xml:space="preserve"> (b)</w:t>
            </w:r>
          </w:p>
        </w:tc>
        <w:tc>
          <w:tcPr>
            <w:tcW w:w="1126" w:type="dxa"/>
            <w:gridSpan w:val="3"/>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(5 </w:t>
            </w:r>
            <w:r w:rsidRPr="003C06CE">
              <w:rPr>
                <w:rFonts w:eastAsiaTheme="minorEastAsia" w:cs="Calibri"/>
                <w:b/>
                <w:bCs/>
                <w:sz w:val="16"/>
                <w:szCs w:val="22"/>
                <w:lang w:eastAsia="en-AU"/>
              </w:rPr>
              <w:t>224.2)</w:t>
            </w:r>
          </w:p>
        </w:tc>
        <w:tc>
          <w:tcPr>
            <w:tcW w:w="1126"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(4 791.5)</w:t>
            </w:r>
          </w:p>
        </w:tc>
        <w:tc>
          <w:tcPr>
            <w:tcW w:w="1126"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(1 </w:t>
            </w:r>
            <w:r w:rsidRPr="003C06CE">
              <w:rPr>
                <w:rFonts w:eastAsiaTheme="minorEastAsia" w:cs="Calibri"/>
                <w:b/>
                <w:bCs/>
                <w:sz w:val="16"/>
                <w:szCs w:val="22"/>
                <w:lang w:eastAsia="en-AU"/>
              </w:rPr>
              <w:t>882.0)</w:t>
            </w:r>
          </w:p>
        </w:tc>
        <w:tc>
          <w:tcPr>
            <w:tcW w:w="1842" w:type="dxa"/>
            <w:tcBorders>
              <w:top w:val="single" w:sz="6" w:space="0" w:color="auto"/>
              <w:left w:val="nil"/>
              <w:bottom w:val="nil"/>
              <w:right w:val="nil"/>
            </w:tcBorders>
          </w:tcPr>
          <w:p w:rsidR="00336793" w:rsidRPr="003C06CE" w:rsidRDefault="00336793" w:rsidP="00DF0B96">
            <w:pPr>
              <w:pStyle w:val="TableofFigures"/>
              <w:ind w:right="677"/>
              <w:rPr>
                <w:rFonts w:eastAsiaTheme="minorEastAsia"/>
                <w:b/>
                <w:bCs/>
                <w:sz w:val="16"/>
                <w:lang w:eastAsia="en-AU"/>
              </w:rPr>
            </w:pPr>
            <w:r w:rsidRPr="003C06CE">
              <w:rPr>
                <w:rFonts w:eastAsiaTheme="minorEastAsia"/>
                <w:b/>
                <w:bCs/>
                <w:sz w:val="16"/>
                <w:lang w:eastAsia="en-AU"/>
              </w:rPr>
              <w:t>(3 073.2)</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b/>
                <w:bCs/>
                <w:color w:val="000000"/>
                <w:sz w:val="16"/>
                <w:lang w:eastAsia="en-AU"/>
              </w:rPr>
            </w:pPr>
            <w:r w:rsidRPr="003C06CE">
              <w:rPr>
                <w:rFonts w:eastAsiaTheme="minorEastAsia"/>
                <w:b/>
                <w:bCs/>
                <w:color w:val="000000"/>
                <w:sz w:val="16"/>
                <w:lang w:eastAsia="en-AU"/>
              </w:rPr>
              <w:t>Cash flows from financing activities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Advances received</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color w:val="000000"/>
                <w:sz w:val="16"/>
                <w:szCs w:val="22"/>
                <w:lang w:eastAsia="en-AU"/>
              </w:rPr>
              <w:t>.</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color w:val="000000"/>
                <w:sz w:val="16"/>
                <w:szCs w:val="22"/>
                <w:lang w:eastAsia="en-AU"/>
              </w:rPr>
              <w:t>.</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16.5</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1.9</w:t>
            </w:r>
          </w:p>
        </w:tc>
      </w:tr>
      <w:tr w:rsidR="00336793" w:rsidRPr="003C06CE" w:rsidTr="00DF0B96">
        <w:tc>
          <w:tcPr>
            <w:tcW w:w="5144" w:type="dxa"/>
            <w:tcBorders>
              <w:top w:val="nil"/>
              <w:left w:val="nil"/>
              <w:bottom w:val="single" w:sz="6" w:space="0" w:color="auto"/>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Advances repaid</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color w:val="000000"/>
                <w:sz w:val="16"/>
                <w:szCs w:val="22"/>
                <w:lang w:eastAsia="en-AU"/>
              </w:rPr>
              <w:t>.</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1.8)</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0.6)</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vertAlign w:val="superscript"/>
                <w:lang w:eastAsia="en-AU"/>
              </w:rPr>
            </w:pPr>
            <w:r w:rsidRPr="003C06CE">
              <w:rPr>
                <w:rFonts w:eastAsiaTheme="minorEastAsia"/>
                <w:color w:val="000000"/>
                <w:sz w:val="16"/>
                <w:lang w:eastAsia="en-AU"/>
              </w:rPr>
              <w:t>Advances received (net)</w:t>
            </w:r>
            <w:r w:rsidRPr="00E96950">
              <w:rPr>
                <w:rFonts w:eastAsiaTheme="minorEastAsia"/>
                <w:color w:val="000000"/>
                <w:sz w:val="16"/>
                <w:vertAlign w:val="superscript"/>
                <w:lang w:eastAsia="en-AU"/>
              </w:rPr>
              <w:t xml:space="preserve"> (</w:t>
            </w:r>
            <w:r w:rsidRPr="003C06CE">
              <w:rPr>
                <w:rFonts w:eastAsiaTheme="minorEastAsia"/>
                <w:color w:val="000000"/>
                <w:sz w:val="16"/>
                <w:vertAlign w:val="superscript"/>
                <w:lang w:eastAsia="en-AU"/>
              </w:rPr>
              <w:t>c)</w:t>
            </w:r>
          </w:p>
        </w:tc>
        <w:tc>
          <w:tcPr>
            <w:tcW w:w="1126" w:type="dxa"/>
            <w:gridSpan w:val="3"/>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126" w:type="dxa"/>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Pr>
                <w:rFonts w:eastAsiaTheme="minorEastAsia"/>
                <w:sz w:val="16"/>
                <w:lang w:eastAsia="en-AU"/>
              </w:rPr>
              <w:t>..</w:t>
            </w:r>
          </w:p>
        </w:tc>
        <w:tc>
          <w:tcPr>
            <w:tcW w:w="1126"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14.6</w:t>
            </w:r>
          </w:p>
        </w:tc>
        <w:tc>
          <w:tcPr>
            <w:tcW w:w="1842" w:type="dxa"/>
            <w:tcBorders>
              <w:top w:val="single" w:sz="6" w:space="0" w:color="auto"/>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1.3</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Borrowings received</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1 306.3</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2 851.3</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736.5</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847.9</w:t>
            </w:r>
          </w:p>
        </w:tc>
      </w:tr>
      <w:tr w:rsidR="00336793" w:rsidRPr="003C06CE" w:rsidTr="00DF0B96">
        <w:tc>
          <w:tcPr>
            <w:tcW w:w="5144" w:type="dxa"/>
            <w:tcBorders>
              <w:top w:val="nil"/>
              <w:left w:val="nil"/>
              <w:bottom w:val="single" w:sz="6" w:space="0" w:color="auto"/>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Borrowings repaid</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292.9)</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(1 359.5)</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color w:val="000000"/>
                <w:sz w:val="16"/>
                <w:szCs w:val="22"/>
                <w:lang w:eastAsia="en-AU"/>
              </w:rPr>
              <w:t>1 211.5)</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720.1)</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szCs w:val="12"/>
                <w:vertAlign w:val="superscript"/>
                <w:lang w:eastAsia="en-AU"/>
              </w:rPr>
            </w:pPr>
            <w:r w:rsidRPr="003C06CE">
              <w:rPr>
                <w:rFonts w:eastAsiaTheme="minorEastAsia"/>
                <w:color w:val="000000"/>
                <w:sz w:val="16"/>
                <w:lang w:eastAsia="en-AU"/>
              </w:rPr>
              <w:t>Net borrowings</w:t>
            </w:r>
            <w:r w:rsidRPr="00E96950">
              <w:rPr>
                <w:rFonts w:eastAsiaTheme="minorEastAsia"/>
                <w:color w:val="000000"/>
                <w:sz w:val="16"/>
                <w:vertAlign w:val="superscript"/>
                <w:lang w:eastAsia="en-AU"/>
              </w:rPr>
              <w:t xml:space="preserve"> (</w:t>
            </w:r>
            <w:r w:rsidRPr="003C06CE">
              <w:rPr>
                <w:rFonts w:eastAsiaTheme="minorEastAsia"/>
                <w:color w:val="000000"/>
                <w:sz w:val="16"/>
                <w:vertAlign w:val="superscript"/>
                <w:lang w:eastAsia="en-AU"/>
              </w:rPr>
              <w:t>c)</w:t>
            </w:r>
          </w:p>
        </w:tc>
        <w:tc>
          <w:tcPr>
            <w:tcW w:w="1126" w:type="dxa"/>
            <w:gridSpan w:val="3"/>
            <w:tcBorders>
              <w:top w:val="single" w:sz="6" w:space="0" w:color="auto"/>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1 013.4</w:t>
            </w:r>
          </w:p>
        </w:tc>
        <w:tc>
          <w:tcPr>
            <w:tcW w:w="1126" w:type="dxa"/>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1 491.8</w:t>
            </w:r>
          </w:p>
        </w:tc>
        <w:tc>
          <w:tcPr>
            <w:tcW w:w="1126"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475.1)</w:t>
            </w:r>
          </w:p>
        </w:tc>
        <w:tc>
          <w:tcPr>
            <w:tcW w:w="1842" w:type="dxa"/>
            <w:tcBorders>
              <w:top w:val="single" w:sz="6" w:space="0" w:color="auto"/>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127.8</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Deposits received</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430.8</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373.1</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60.5</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47.8</w:t>
            </w:r>
          </w:p>
        </w:tc>
      </w:tr>
      <w:tr w:rsidR="00336793" w:rsidRPr="003C06CE" w:rsidTr="00DF0B96">
        <w:tc>
          <w:tcPr>
            <w:tcW w:w="5144" w:type="dxa"/>
            <w:tcBorders>
              <w:top w:val="nil"/>
              <w:left w:val="nil"/>
              <w:bottom w:val="single" w:sz="6" w:space="0" w:color="auto"/>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Deposits repaid</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339.6)</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395.8)</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51.5)</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67.6)</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vertAlign w:val="superscript"/>
                <w:lang w:eastAsia="en-AU"/>
              </w:rPr>
            </w:pPr>
            <w:r w:rsidRPr="003C06CE">
              <w:rPr>
                <w:rFonts w:eastAsiaTheme="minorEastAsia"/>
                <w:color w:val="000000"/>
                <w:sz w:val="16"/>
                <w:lang w:eastAsia="en-AU"/>
              </w:rPr>
              <w:t>Deposits received (net)</w:t>
            </w:r>
            <w:r w:rsidRPr="00E96950">
              <w:rPr>
                <w:rFonts w:eastAsiaTheme="minorEastAsia"/>
                <w:color w:val="000000"/>
                <w:sz w:val="16"/>
                <w:vertAlign w:val="superscript"/>
                <w:lang w:eastAsia="en-AU"/>
              </w:rPr>
              <w:t xml:space="preserve"> (</w:t>
            </w:r>
            <w:r w:rsidRPr="003C06CE">
              <w:rPr>
                <w:rFonts w:eastAsiaTheme="minorEastAsia"/>
                <w:color w:val="000000"/>
                <w:sz w:val="16"/>
                <w:vertAlign w:val="superscript"/>
                <w:lang w:eastAsia="en-AU"/>
              </w:rPr>
              <w:t>c)</w:t>
            </w:r>
          </w:p>
        </w:tc>
        <w:tc>
          <w:tcPr>
            <w:tcW w:w="1126" w:type="dxa"/>
            <w:gridSpan w:val="3"/>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91.3</w:t>
            </w:r>
          </w:p>
        </w:tc>
        <w:tc>
          <w:tcPr>
            <w:tcW w:w="1126" w:type="dxa"/>
            <w:tcBorders>
              <w:top w:val="single" w:sz="6" w:space="0" w:color="auto"/>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22.7)</w:t>
            </w:r>
          </w:p>
        </w:tc>
        <w:tc>
          <w:tcPr>
            <w:tcW w:w="1126"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8.9</w:t>
            </w:r>
          </w:p>
        </w:tc>
        <w:tc>
          <w:tcPr>
            <w:tcW w:w="1842" w:type="dxa"/>
            <w:tcBorders>
              <w:top w:val="single" w:sz="6" w:space="0" w:color="auto"/>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19.8)</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Other financing inflows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color w:val="000000"/>
                <w:sz w:val="16"/>
                <w:szCs w:val="22"/>
                <w:lang w:eastAsia="en-AU"/>
              </w:rPr>
              <w:t>.</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1</w:t>
            </w:r>
            <w:r w:rsidRPr="003C06CE">
              <w:rPr>
                <w:rFonts w:eastAsiaTheme="minorEastAsia" w:cs="Calibri"/>
                <w:color w:val="000000"/>
                <w:sz w:val="16"/>
                <w:szCs w:val="22"/>
                <w:lang w:eastAsia="en-AU"/>
              </w:rPr>
              <w:t xml:space="preserve"> 001.9</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sidRPr="003C06CE">
              <w:rPr>
                <w:rFonts w:eastAsiaTheme="minorEastAsia" w:cs="Calibri"/>
                <w:color w:val="000000"/>
                <w:sz w:val="16"/>
                <w:szCs w:val="22"/>
                <w:lang w:eastAsia="en-AU"/>
              </w:rPr>
              <w:t>1 511.0</w:t>
            </w:r>
          </w:p>
        </w:tc>
      </w:tr>
      <w:tr w:rsidR="00336793" w:rsidRPr="003C06CE" w:rsidTr="00DF0B96">
        <w:tc>
          <w:tcPr>
            <w:tcW w:w="5144" w:type="dxa"/>
            <w:tcBorders>
              <w:top w:val="nil"/>
              <w:left w:val="nil"/>
              <w:bottom w:val="single" w:sz="6" w:space="0" w:color="auto"/>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Other financing outflows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w:t>
            </w:r>
          </w:p>
        </w:tc>
        <w:tc>
          <w:tcPr>
            <w:tcW w:w="1126"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color w:val="000000"/>
                <w:sz w:val="16"/>
                <w:szCs w:val="22"/>
                <w:lang w:eastAsia="en-AU"/>
              </w:rPr>
              <w:t>.</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215.9)</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258.7)</w:t>
            </w:r>
          </w:p>
        </w:tc>
      </w:tr>
      <w:tr w:rsidR="00336793" w:rsidRPr="003C06CE" w:rsidTr="00DF0B96">
        <w:tc>
          <w:tcPr>
            <w:tcW w:w="5144" w:type="dxa"/>
            <w:tcBorders>
              <w:top w:val="single" w:sz="6" w:space="0" w:color="auto"/>
              <w:left w:val="nil"/>
              <w:bottom w:val="single" w:sz="6" w:space="0" w:color="auto"/>
              <w:right w:val="nil"/>
            </w:tcBorders>
            <w:shd w:val="solid" w:color="FFFFFF" w:fill="auto"/>
          </w:tcPr>
          <w:p w:rsidR="00336793" w:rsidRPr="003C06CE" w:rsidRDefault="00336793" w:rsidP="00DF0B96">
            <w:pPr>
              <w:pStyle w:val="Tabletext"/>
              <w:rPr>
                <w:rFonts w:eastAsiaTheme="minorEastAsia"/>
                <w:color w:val="000000"/>
                <w:sz w:val="16"/>
                <w:vertAlign w:val="superscript"/>
                <w:lang w:eastAsia="en-AU"/>
              </w:rPr>
            </w:pPr>
            <w:r w:rsidRPr="003C06CE">
              <w:rPr>
                <w:rFonts w:eastAsiaTheme="minorEastAsia"/>
                <w:color w:val="000000"/>
                <w:sz w:val="16"/>
                <w:lang w:eastAsia="en-AU"/>
              </w:rPr>
              <w:t>Other financing (net)</w:t>
            </w:r>
            <w:r w:rsidRPr="00E96950">
              <w:rPr>
                <w:rFonts w:eastAsiaTheme="minorEastAsia"/>
                <w:color w:val="000000"/>
                <w:sz w:val="16"/>
                <w:vertAlign w:val="superscript"/>
                <w:lang w:eastAsia="en-AU"/>
              </w:rPr>
              <w:t xml:space="preserve"> (</w:t>
            </w:r>
            <w:r w:rsidRPr="003C06CE">
              <w:rPr>
                <w:rFonts w:eastAsiaTheme="minorEastAsia"/>
                <w:color w:val="000000"/>
                <w:sz w:val="16"/>
                <w:vertAlign w:val="superscript"/>
                <w:lang w:eastAsia="en-AU"/>
              </w:rPr>
              <w:t>c)</w:t>
            </w:r>
          </w:p>
        </w:tc>
        <w:tc>
          <w:tcPr>
            <w:tcW w:w="1126" w:type="dxa"/>
            <w:gridSpan w:val="3"/>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p>
        </w:tc>
        <w:tc>
          <w:tcPr>
            <w:tcW w:w="1126" w:type="dxa"/>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sz w:val="16"/>
                <w:lang w:eastAsia="en-AU"/>
              </w:rPr>
            </w:pPr>
            <w:r>
              <w:rPr>
                <w:rFonts w:eastAsiaTheme="minorEastAsia"/>
                <w:sz w:val="16"/>
                <w:lang w:eastAsia="en-AU"/>
              </w:rPr>
              <w:t>..</w:t>
            </w:r>
          </w:p>
        </w:tc>
        <w:tc>
          <w:tcPr>
            <w:tcW w:w="1126" w:type="dxa"/>
            <w:gridSpan w:val="2"/>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786.0</w:t>
            </w:r>
          </w:p>
        </w:tc>
        <w:tc>
          <w:tcPr>
            <w:tcW w:w="1842" w:type="dxa"/>
            <w:tcBorders>
              <w:top w:val="single" w:sz="6" w:space="0" w:color="auto"/>
              <w:left w:val="nil"/>
              <w:bottom w:val="single" w:sz="6" w:space="0" w:color="auto"/>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1 252.4</w:t>
            </w:r>
          </w:p>
        </w:tc>
      </w:tr>
      <w:tr w:rsidR="00336793" w:rsidRPr="003C06CE" w:rsidTr="00DF0B96">
        <w:tc>
          <w:tcPr>
            <w:tcW w:w="5144" w:type="dxa"/>
            <w:tcBorders>
              <w:top w:val="nil"/>
              <w:left w:val="nil"/>
              <w:bottom w:val="single" w:sz="6" w:space="0" w:color="auto"/>
              <w:right w:val="nil"/>
            </w:tcBorders>
          </w:tcPr>
          <w:p w:rsidR="00336793" w:rsidRPr="003C06CE" w:rsidRDefault="00336793" w:rsidP="00DF0B96">
            <w:pPr>
              <w:pStyle w:val="Tabletext"/>
              <w:rPr>
                <w:rFonts w:eastAsiaTheme="minorEastAsia"/>
                <w:b/>
                <w:bCs/>
                <w:color w:val="000000"/>
                <w:sz w:val="16"/>
                <w:lang w:eastAsia="en-AU"/>
              </w:rPr>
            </w:pPr>
            <w:r w:rsidRPr="003C06CE">
              <w:rPr>
                <w:rFonts w:eastAsiaTheme="minorEastAsia"/>
                <w:b/>
                <w:bCs/>
                <w:color w:val="000000"/>
                <w:sz w:val="16"/>
                <w:lang w:eastAsia="en-AU"/>
              </w:rPr>
              <w:t>Net cash flows from financing activities</w:t>
            </w:r>
          </w:p>
        </w:tc>
        <w:tc>
          <w:tcPr>
            <w:tcW w:w="1126" w:type="dxa"/>
            <w:gridSpan w:val="3"/>
            <w:tcBorders>
              <w:top w:val="nil"/>
              <w:left w:val="nil"/>
              <w:bottom w:val="single" w:sz="6" w:space="0" w:color="auto"/>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1 104.6</w:t>
            </w:r>
          </w:p>
        </w:tc>
        <w:tc>
          <w:tcPr>
            <w:tcW w:w="1126" w:type="dxa"/>
            <w:tcBorders>
              <w:top w:val="nil"/>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1 469.2</w:t>
            </w:r>
          </w:p>
        </w:tc>
        <w:tc>
          <w:tcPr>
            <w:tcW w:w="1126" w:type="dxa"/>
            <w:gridSpan w:val="2"/>
            <w:tcBorders>
              <w:top w:val="nil"/>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334.5</w:t>
            </w:r>
          </w:p>
        </w:tc>
        <w:tc>
          <w:tcPr>
            <w:tcW w:w="1842" w:type="dxa"/>
            <w:tcBorders>
              <w:top w:val="nil"/>
              <w:left w:val="nil"/>
              <w:bottom w:val="single" w:sz="6" w:space="0" w:color="auto"/>
              <w:right w:val="nil"/>
            </w:tcBorders>
          </w:tcPr>
          <w:p w:rsidR="00336793" w:rsidRPr="003C06CE" w:rsidRDefault="00336793" w:rsidP="00DF0B96">
            <w:pPr>
              <w:pStyle w:val="TableofFigures"/>
              <w:ind w:right="677"/>
              <w:rPr>
                <w:rFonts w:eastAsiaTheme="minorEastAsia"/>
                <w:b/>
                <w:bCs/>
                <w:sz w:val="16"/>
                <w:lang w:eastAsia="en-AU"/>
              </w:rPr>
            </w:pPr>
            <w:r w:rsidRPr="003C06CE">
              <w:rPr>
                <w:rFonts w:eastAsiaTheme="minorEastAsia"/>
                <w:b/>
                <w:bCs/>
                <w:sz w:val="16"/>
                <w:lang w:eastAsia="en-AU"/>
              </w:rPr>
              <w:t>1 361.7</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b/>
                <w:bCs/>
                <w:color w:val="000000"/>
                <w:sz w:val="16"/>
                <w:lang w:eastAsia="en-AU"/>
              </w:rPr>
            </w:pPr>
            <w:r w:rsidRPr="003C06CE">
              <w:rPr>
                <w:rFonts w:eastAsiaTheme="minorEastAsia"/>
                <w:b/>
                <w:bCs/>
                <w:color w:val="000000"/>
                <w:sz w:val="16"/>
                <w:lang w:eastAsia="en-AU"/>
              </w:rPr>
              <w:t>Net increase/(decrease) in cash and cash equivalents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300.5)</w:t>
            </w:r>
          </w:p>
        </w:tc>
        <w:tc>
          <w:tcPr>
            <w:tcW w:w="1126" w:type="dxa"/>
            <w:tcBorders>
              <w:top w:val="nil"/>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620.2</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sidRPr="003C06CE">
              <w:rPr>
                <w:rFonts w:eastAsiaTheme="minorEastAsia"/>
                <w:b/>
                <w:bCs/>
                <w:sz w:val="16"/>
                <w:lang w:eastAsia="en-AU"/>
              </w:rPr>
              <w:t xml:space="preserve"> </w:t>
            </w:r>
            <w:r w:rsidRPr="003C06CE">
              <w:rPr>
                <w:rFonts w:eastAsiaTheme="minorEastAsia" w:cs="Calibri"/>
                <w:b/>
                <w:bCs/>
                <w:sz w:val="16"/>
                <w:szCs w:val="22"/>
                <w:lang w:eastAsia="en-AU"/>
              </w:rPr>
              <w:t>108.1</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b/>
                <w:bCs/>
                <w:sz w:val="16"/>
                <w:lang w:eastAsia="en-AU"/>
              </w:rPr>
            </w:pPr>
            <w:r w:rsidRPr="003C06CE">
              <w:rPr>
                <w:rFonts w:eastAsiaTheme="minorEastAsia"/>
                <w:b/>
                <w:bCs/>
                <w:sz w:val="16"/>
                <w:lang w:eastAsia="en-AU"/>
              </w:rPr>
              <w:t xml:space="preserve"> 185.8</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Cash and cash equivalents at beginning of the financial year</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4 582.2</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3 962.0</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983.7</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797.9</w:t>
            </w:r>
          </w:p>
        </w:tc>
      </w:tr>
      <w:tr w:rsidR="00336793" w:rsidRPr="003C06CE" w:rsidTr="00DF0B96">
        <w:tc>
          <w:tcPr>
            <w:tcW w:w="5144" w:type="dxa"/>
            <w:tcBorders>
              <w:top w:val="single" w:sz="6" w:space="0" w:color="auto"/>
              <w:left w:val="nil"/>
              <w:bottom w:val="single" w:sz="12" w:space="0" w:color="auto"/>
              <w:right w:val="nil"/>
            </w:tcBorders>
          </w:tcPr>
          <w:p w:rsidR="00336793" w:rsidRPr="003C06CE" w:rsidRDefault="00336793" w:rsidP="00DF0B96">
            <w:pPr>
              <w:pStyle w:val="Tabletext"/>
              <w:rPr>
                <w:rFonts w:eastAsiaTheme="minorEastAsia"/>
                <w:b/>
                <w:bCs/>
                <w:color w:val="000000"/>
                <w:sz w:val="16"/>
                <w:vertAlign w:val="superscript"/>
                <w:lang w:eastAsia="en-AU"/>
              </w:rPr>
            </w:pPr>
            <w:r w:rsidRPr="003C06CE">
              <w:rPr>
                <w:rFonts w:eastAsiaTheme="minorEastAsia"/>
                <w:b/>
                <w:bCs/>
                <w:color w:val="000000"/>
                <w:sz w:val="16"/>
                <w:lang w:eastAsia="en-AU"/>
              </w:rPr>
              <w:t>Cash and cash equivalents at end of the financial year</w:t>
            </w:r>
            <w:r w:rsidRPr="00E96950">
              <w:rPr>
                <w:rFonts w:eastAsiaTheme="minorEastAsia"/>
                <w:b/>
                <w:bCs/>
                <w:color w:val="000000"/>
                <w:sz w:val="16"/>
                <w:vertAlign w:val="superscript"/>
                <w:lang w:eastAsia="en-AU"/>
              </w:rPr>
              <w:t xml:space="preserve"> (</w:t>
            </w:r>
            <w:r w:rsidRPr="003C06CE">
              <w:rPr>
                <w:rFonts w:eastAsiaTheme="minorEastAsia"/>
                <w:b/>
                <w:bCs/>
                <w:color w:val="000000"/>
                <w:sz w:val="16"/>
                <w:vertAlign w:val="superscript"/>
                <w:lang w:eastAsia="en-AU"/>
              </w:rPr>
              <w:t>e)</w:t>
            </w:r>
          </w:p>
        </w:tc>
        <w:tc>
          <w:tcPr>
            <w:tcW w:w="1126" w:type="dxa"/>
            <w:gridSpan w:val="3"/>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4 281.7</w:t>
            </w:r>
          </w:p>
        </w:tc>
        <w:tc>
          <w:tcPr>
            <w:tcW w:w="1126" w:type="dxa"/>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4 582.2</w:t>
            </w:r>
          </w:p>
        </w:tc>
        <w:tc>
          <w:tcPr>
            <w:tcW w:w="1126" w:type="dxa"/>
            <w:gridSpan w:val="2"/>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cs="Calibri"/>
                <w:b/>
                <w:bCs/>
                <w:color w:val="000000"/>
                <w:sz w:val="16"/>
                <w:szCs w:val="22"/>
                <w:lang w:eastAsia="en-AU"/>
              </w:rPr>
            </w:pPr>
            <w:r w:rsidRPr="003C06CE">
              <w:rPr>
                <w:rFonts w:eastAsiaTheme="minorEastAsia"/>
                <w:b/>
                <w:bCs/>
                <w:sz w:val="16"/>
                <w:lang w:eastAsia="en-AU"/>
              </w:rPr>
              <w:t>1 091.8</w:t>
            </w:r>
          </w:p>
        </w:tc>
        <w:tc>
          <w:tcPr>
            <w:tcW w:w="1842" w:type="dxa"/>
            <w:tcBorders>
              <w:top w:val="single" w:sz="6" w:space="0" w:color="auto"/>
              <w:left w:val="nil"/>
              <w:bottom w:val="single" w:sz="12" w:space="0" w:color="auto"/>
              <w:right w:val="nil"/>
            </w:tcBorders>
          </w:tcPr>
          <w:p w:rsidR="00336793" w:rsidRPr="003C06CE" w:rsidRDefault="00336793" w:rsidP="00DF0B96">
            <w:pPr>
              <w:pStyle w:val="TableofFigures"/>
              <w:ind w:right="677"/>
              <w:rPr>
                <w:rFonts w:eastAsiaTheme="minorEastAsia"/>
                <w:b/>
                <w:bCs/>
                <w:sz w:val="16"/>
                <w:lang w:eastAsia="en-AU"/>
              </w:rPr>
            </w:pPr>
            <w:r w:rsidRPr="003C06CE">
              <w:rPr>
                <w:rFonts w:eastAsiaTheme="minorEastAsia"/>
                <w:b/>
                <w:bCs/>
                <w:sz w:val="16"/>
                <w:lang w:eastAsia="en-AU"/>
              </w:rPr>
              <w:t xml:space="preserve"> 983.7</w:t>
            </w:r>
          </w:p>
        </w:tc>
      </w:tr>
      <w:tr w:rsidR="00336793" w:rsidRPr="003C06CE" w:rsidTr="00DF0B96">
        <w:trPr>
          <w:trHeight w:hRule="exact" w:val="60"/>
        </w:trPr>
        <w:tc>
          <w:tcPr>
            <w:tcW w:w="5144" w:type="dxa"/>
            <w:tcBorders>
              <w:top w:val="nil"/>
              <w:left w:val="nil"/>
              <w:bottom w:val="nil"/>
              <w:right w:val="nil"/>
            </w:tcBorders>
          </w:tcPr>
          <w:p w:rsidR="00336793" w:rsidRPr="003C06CE" w:rsidRDefault="00336793" w:rsidP="00DF0B96">
            <w:pPr>
              <w:pStyle w:val="Tabletext"/>
              <w:rPr>
                <w:rFonts w:eastAsiaTheme="minorEastAsia"/>
                <w:sz w:val="16"/>
              </w:rPr>
            </w:pPr>
            <w:r w:rsidRPr="003C06CE">
              <w:rPr>
                <w:rFonts w:eastAsiaTheme="minorEastAsia"/>
                <w:sz w:val="16"/>
                <w:lang w:eastAsia="en-AU"/>
              </w:rPr>
              <w:t xml:space="preserve">         </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b/>
                <w:bCs/>
                <w:color w:val="000000"/>
                <w:sz w:val="16"/>
                <w:lang w:eastAsia="en-AU"/>
              </w:rPr>
            </w:pPr>
            <w:r w:rsidRPr="003C06CE">
              <w:rPr>
                <w:rFonts w:eastAsiaTheme="minorEastAsia"/>
                <w:b/>
                <w:bCs/>
                <w:color w:val="000000"/>
                <w:sz w:val="16"/>
                <w:lang w:eastAsia="en-AU"/>
              </w:rPr>
              <w:t>FISCAL AGGREGATES</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vertAlign w:val="superscript"/>
                <w:lang w:eastAsia="en-AU"/>
              </w:rPr>
            </w:pPr>
            <w:r w:rsidRPr="003C06CE">
              <w:rPr>
                <w:rFonts w:eastAsiaTheme="minorEastAsia"/>
                <w:color w:val="000000"/>
                <w:sz w:val="16"/>
                <w:lang w:eastAsia="en-AU"/>
              </w:rPr>
              <w:t>Net cash flows from operating activities</w:t>
            </w:r>
            <w:r w:rsidRPr="00E96950">
              <w:rPr>
                <w:rFonts w:eastAsiaTheme="minorEastAsia"/>
                <w:color w:val="000000"/>
                <w:sz w:val="16"/>
                <w:vertAlign w:val="superscript"/>
                <w:lang w:eastAsia="en-AU"/>
              </w:rPr>
              <w:t xml:space="preserve"> (</w:t>
            </w:r>
            <w:r w:rsidRPr="003C06CE">
              <w:rPr>
                <w:rFonts w:eastAsiaTheme="minorEastAsia"/>
                <w:color w:val="000000"/>
                <w:sz w:val="16"/>
                <w:vertAlign w:val="superscript"/>
                <w:lang w:eastAsia="en-AU"/>
              </w:rPr>
              <w:t>b)</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3 819.1</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3 942.5</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1 655.6</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1 897.3</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olor w:val="000000"/>
                <w:sz w:val="16"/>
                <w:lang w:eastAsia="en-AU"/>
              </w:rPr>
            </w:pPr>
            <w:r w:rsidRPr="003C06CE">
              <w:rPr>
                <w:rFonts w:eastAsiaTheme="minorEastAsia"/>
                <w:color w:val="000000"/>
                <w:sz w:val="16"/>
                <w:lang w:eastAsia="en-AU"/>
              </w:rPr>
              <w:t>Dividends paid</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255.5)</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84.5)</w:t>
            </w:r>
          </w:p>
        </w:tc>
      </w:tr>
      <w:tr w:rsidR="00336793" w:rsidRPr="003C06CE" w:rsidTr="00DF0B96">
        <w:tc>
          <w:tcPr>
            <w:tcW w:w="5144" w:type="dxa"/>
            <w:tcBorders>
              <w:top w:val="nil"/>
              <w:left w:val="nil"/>
              <w:bottom w:val="nil"/>
              <w:right w:val="nil"/>
            </w:tcBorders>
          </w:tcPr>
          <w:p w:rsidR="00336793" w:rsidRPr="003C06CE" w:rsidRDefault="00336793" w:rsidP="00DF0B96">
            <w:pPr>
              <w:pStyle w:val="Tabletext"/>
              <w:rPr>
                <w:rFonts w:eastAsiaTheme="minorEastAsia" w:cs="Calibri"/>
                <w:color w:val="000000"/>
                <w:sz w:val="16"/>
                <w:szCs w:val="22"/>
                <w:vertAlign w:val="superscript"/>
                <w:lang w:eastAsia="en-AU"/>
              </w:rPr>
            </w:pPr>
            <w:r w:rsidRPr="003C06CE">
              <w:rPr>
                <w:rFonts w:eastAsiaTheme="minorEastAsia"/>
                <w:color w:val="000000"/>
                <w:sz w:val="16"/>
                <w:lang w:eastAsia="en-AU"/>
              </w:rPr>
              <w:t>Net cash flows from investments in non</w:t>
            </w:r>
            <w:r>
              <w:rPr>
                <w:rFonts w:eastAsiaTheme="minorEastAsia"/>
                <w:color w:val="000000"/>
                <w:sz w:val="16"/>
                <w:lang w:eastAsia="en-AU"/>
              </w:rPr>
              <w:noBreakHyphen/>
            </w:r>
            <w:r w:rsidRPr="003C06CE">
              <w:rPr>
                <w:rFonts w:eastAsiaTheme="minorEastAsia"/>
                <w:color w:val="000000"/>
                <w:sz w:val="16"/>
                <w:lang w:eastAsia="en-AU"/>
              </w:rPr>
              <w:t>financial assets</w:t>
            </w:r>
            <w:r w:rsidRPr="00E96950">
              <w:rPr>
                <w:rFonts w:eastAsiaTheme="minorEastAsia"/>
                <w:color w:val="000000"/>
                <w:sz w:val="16"/>
                <w:vertAlign w:val="superscript"/>
                <w:lang w:eastAsia="en-AU"/>
              </w:rPr>
              <w:t xml:space="preserve"> (</w:t>
            </w:r>
            <w:r w:rsidRPr="003C06CE">
              <w:rPr>
                <w:rFonts w:eastAsiaTheme="minorEastAsia" w:cs="Calibri"/>
                <w:color w:val="000000"/>
                <w:sz w:val="16"/>
                <w:szCs w:val="22"/>
                <w:vertAlign w:val="superscript"/>
                <w:lang w:eastAsia="en-AU"/>
              </w:rPr>
              <w:t>b)</w:t>
            </w:r>
          </w:p>
        </w:tc>
        <w:tc>
          <w:tcPr>
            <w:tcW w:w="1126" w:type="dxa"/>
            <w:gridSpan w:val="3"/>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(3 </w:t>
            </w:r>
            <w:r w:rsidRPr="003C06CE">
              <w:rPr>
                <w:rFonts w:eastAsiaTheme="minorEastAsia" w:cs="Calibri"/>
                <w:sz w:val="16"/>
                <w:szCs w:val="22"/>
                <w:lang w:eastAsia="en-AU"/>
              </w:rPr>
              <w:t>996.0)</w:t>
            </w:r>
          </w:p>
        </w:tc>
        <w:tc>
          <w:tcPr>
            <w:tcW w:w="1126"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(3 726.4)</w:t>
            </w:r>
          </w:p>
        </w:tc>
        <w:tc>
          <w:tcPr>
            <w:tcW w:w="1126"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(2 </w:t>
            </w:r>
            <w:r w:rsidRPr="003C06CE">
              <w:rPr>
                <w:rFonts w:eastAsiaTheme="minorEastAsia" w:cs="Calibri"/>
                <w:sz w:val="16"/>
                <w:szCs w:val="22"/>
                <w:lang w:eastAsia="en-AU"/>
              </w:rPr>
              <w:t>014.9)</w:t>
            </w:r>
          </w:p>
        </w:tc>
        <w:tc>
          <w:tcPr>
            <w:tcW w:w="1842" w:type="dxa"/>
            <w:tcBorders>
              <w:top w:val="nil"/>
              <w:left w:val="nil"/>
              <w:bottom w:val="nil"/>
              <w:right w:val="nil"/>
            </w:tcBorders>
          </w:tcPr>
          <w:p w:rsidR="00336793" w:rsidRPr="003C06CE" w:rsidRDefault="00336793" w:rsidP="00DF0B96">
            <w:pPr>
              <w:pStyle w:val="TableofFigures"/>
              <w:ind w:right="677"/>
              <w:rPr>
                <w:rFonts w:eastAsiaTheme="minorEastAsia"/>
                <w:sz w:val="16"/>
                <w:lang w:eastAsia="en-AU"/>
              </w:rPr>
            </w:pPr>
            <w:r w:rsidRPr="003C06CE">
              <w:rPr>
                <w:rFonts w:eastAsiaTheme="minorEastAsia"/>
                <w:sz w:val="16"/>
                <w:lang w:eastAsia="en-AU"/>
              </w:rPr>
              <w:t>(3 093.8)</w:t>
            </w:r>
          </w:p>
        </w:tc>
      </w:tr>
      <w:tr w:rsidR="00336793" w:rsidRPr="003C06CE" w:rsidTr="00DF0B96">
        <w:tc>
          <w:tcPr>
            <w:tcW w:w="5144" w:type="dxa"/>
            <w:tcBorders>
              <w:top w:val="single" w:sz="6" w:space="0" w:color="auto"/>
              <w:left w:val="nil"/>
              <w:bottom w:val="single" w:sz="12" w:space="0" w:color="auto"/>
              <w:right w:val="nil"/>
            </w:tcBorders>
          </w:tcPr>
          <w:p w:rsidR="00336793" w:rsidRPr="003C06CE" w:rsidRDefault="00336793" w:rsidP="00DF0B96">
            <w:pPr>
              <w:pStyle w:val="Tabletext"/>
              <w:rPr>
                <w:rFonts w:eastAsiaTheme="minorEastAsia"/>
                <w:color w:val="000000"/>
                <w:sz w:val="16"/>
                <w:vertAlign w:val="superscript"/>
                <w:lang w:eastAsia="en-AU"/>
              </w:rPr>
            </w:pPr>
            <w:r w:rsidRPr="003C06CE">
              <w:rPr>
                <w:rFonts w:eastAsiaTheme="minorEastAsia"/>
                <w:b/>
                <w:bCs/>
                <w:color w:val="000000"/>
                <w:sz w:val="16"/>
                <w:lang w:eastAsia="en-AU"/>
              </w:rPr>
              <w:t>Cash surplus/(deficit)</w:t>
            </w:r>
            <w:r w:rsidRPr="00E96950">
              <w:rPr>
                <w:rFonts w:eastAsiaTheme="minorEastAsia"/>
                <w:color w:val="000000"/>
                <w:sz w:val="16"/>
                <w:vertAlign w:val="superscript"/>
                <w:lang w:eastAsia="en-AU"/>
              </w:rPr>
              <w:t xml:space="preserve"> (</w:t>
            </w:r>
            <w:r w:rsidRPr="003C06CE">
              <w:rPr>
                <w:rFonts w:eastAsiaTheme="minorEastAsia"/>
                <w:color w:val="000000"/>
                <w:sz w:val="16"/>
                <w:vertAlign w:val="superscript"/>
                <w:lang w:eastAsia="en-AU"/>
              </w:rPr>
              <w:t>b)</w:t>
            </w:r>
          </w:p>
        </w:tc>
        <w:tc>
          <w:tcPr>
            <w:tcW w:w="1126" w:type="dxa"/>
            <w:gridSpan w:val="3"/>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176.9)</w:t>
            </w:r>
          </w:p>
        </w:tc>
        <w:tc>
          <w:tcPr>
            <w:tcW w:w="1126" w:type="dxa"/>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216.1</w:t>
            </w:r>
          </w:p>
        </w:tc>
        <w:tc>
          <w:tcPr>
            <w:tcW w:w="1126" w:type="dxa"/>
            <w:gridSpan w:val="2"/>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614.7)</w:t>
            </w:r>
          </w:p>
        </w:tc>
        <w:tc>
          <w:tcPr>
            <w:tcW w:w="1842" w:type="dxa"/>
            <w:tcBorders>
              <w:top w:val="single" w:sz="6" w:space="0" w:color="auto"/>
              <w:left w:val="nil"/>
              <w:bottom w:val="single" w:sz="12" w:space="0" w:color="auto"/>
              <w:right w:val="nil"/>
            </w:tcBorders>
          </w:tcPr>
          <w:p w:rsidR="00336793" w:rsidRPr="003C06CE" w:rsidRDefault="00336793" w:rsidP="00DF0B96">
            <w:pPr>
              <w:pStyle w:val="TableofFigures"/>
              <w:ind w:right="677"/>
              <w:rPr>
                <w:rFonts w:eastAsiaTheme="minorEastAsia" w:cs="Calibri"/>
                <w:b/>
                <w:bCs/>
                <w:color w:val="000000"/>
                <w:sz w:val="16"/>
                <w:szCs w:val="22"/>
                <w:lang w:eastAsia="en-AU"/>
              </w:rPr>
            </w:pPr>
            <w:r w:rsidRPr="003C06CE">
              <w:rPr>
                <w:rFonts w:eastAsiaTheme="minorEastAsia"/>
                <w:b/>
                <w:bCs/>
                <w:sz w:val="16"/>
                <w:lang w:eastAsia="en-AU"/>
              </w:rPr>
              <w:t>(1 280.9)</w:t>
            </w:r>
          </w:p>
        </w:tc>
      </w:tr>
    </w:tbl>
    <w:p w:rsidR="00336793" w:rsidRPr="006A75A2" w:rsidRDefault="00336793" w:rsidP="00DF0B96">
      <w:pPr>
        <w:pStyle w:val="Notes"/>
      </w:pPr>
      <w:r>
        <w:t>Notes</w:t>
      </w:r>
      <w:r w:rsidRPr="006A75A2">
        <w:t>:</w:t>
      </w:r>
    </w:p>
    <w:p w:rsidR="00336793" w:rsidRPr="008E2A57" w:rsidRDefault="00336793" w:rsidP="00DF0B96">
      <w:pPr>
        <w:pStyle w:val="Notes"/>
        <w:rPr>
          <w:sz w:val="15"/>
          <w:szCs w:val="15"/>
        </w:rPr>
      </w:pPr>
      <w:r w:rsidRPr="008E2A57">
        <w:rPr>
          <w:sz w:val="15"/>
          <w:szCs w:val="15"/>
        </w:rPr>
        <w:t>(a)</w:t>
      </w:r>
      <w:r w:rsidRPr="008E2A57">
        <w:rPr>
          <w:sz w:val="15"/>
          <w:szCs w:val="15"/>
        </w:rPr>
        <w:tab/>
        <w:t>These items are inclusive of goods and services tax.</w:t>
      </w:r>
    </w:p>
    <w:p w:rsidR="00336793" w:rsidRPr="008E2A57" w:rsidRDefault="00336793" w:rsidP="00DF0B96">
      <w:pPr>
        <w:pStyle w:val="Notes"/>
        <w:rPr>
          <w:sz w:val="15"/>
          <w:szCs w:val="15"/>
        </w:rPr>
      </w:pPr>
      <w:r w:rsidRPr="008E2A57">
        <w:rPr>
          <w:sz w:val="15"/>
          <w:szCs w:val="15"/>
        </w:rPr>
        <w:t xml:space="preserve">(b) </w:t>
      </w:r>
      <w:r w:rsidRPr="008E2A57">
        <w:rPr>
          <w:sz w:val="15"/>
          <w:szCs w:val="15"/>
        </w:rPr>
        <w:tab/>
        <w:t>June 2014 comparative figures have been restated. See Note 37.</w:t>
      </w:r>
    </w:p>
    <w:p w:rsidR="00336793" w:rsidRPr="008E2A57" w:rsidRDefault="00336793" w:rsidP="00DF0B96">
      <w:pPr>
        <w:pStyle w:val="Notes"/>
        <w:rPr>
          <w:sz w:val="15"/>
          <w:szCs w:val="15"/>
        </w:rPr>
      </w:pPr>
      <w:r w:rsidRPr="008E2A57">
        <w:rPr>
          <w:sz w:val="15"/>
          <w:szCs w:val="15"/>
        </w:rPr>
        <w:t>(c)</w:t>
      </w:r>
      <w:r w:rsidRPr="008E2A57">
        <w:rPr>
          <w:sz w:val="15"/>
          <w:szCs w:val="15"/>
        </w:rPr>
        <w:tab/>
        <w:t xml:space="preserve">In accordance with AASB 107, Treasury Corporation of Victoria is not required to gross up their cash flow information for whole of government consolidation purposes. The net cash movements for Treasury Corporation Victoria have been added to cash inflows or outflows for both financial years ended 30 June 2015 and 30 June 2014. </w:t>
      </w:r>
    </w:p>
    <w:p w:rsidR="00336793" w:rsidRPr="007F6AD7" w:rsidRDefault="00336793" w:rsidP="00DF0B96">
      <w:pPr>
        <w:pStyle w:val="Notes"/>
        <w:rPr>
          <w:sz w:val="15"/>
        </w:rPr>
      </w:pPr>
      <w:r>
        <w:rPr>
          <w:sz w:val="15"/>
        </w:rPr>
        <w:t>(d</w:t>
      </w:r>
      <w:r w:rsidRPr="007F6AD7">
        <w:rPr>
          <w:sz w:val="15"/>
        </w:rPr>
        <w:t>)</w:t>
      </w:r>
      <w:r w:rsidRPr="007F6AD7">
        <w:rPr>
          <w:sz w:val="15"/>
        </w:rPr>
        <w:tab/>
        <w:t>The cash flows resulting from schools</w:t>
      </w:r>
      <w:r>
        <w:rPr>
          <w:sz w:val="15"/>
        </w:rPr>
        <w:t>’</w:t>
      </w:r>
      <w:r w:rsidRPr="007F6AD7">
        <w:rPr>
          <w:sz w:val="15"/>
        </w:rPr>
        <w:t xml:space="preserve"> investments in financial assets for liquidity management purposes are reported on a net basis, with the net cash movement added to cash inflows or outflows.</w:t>
      </w:r>
    </w:p>
    <w:p w:rsidR="00336793" w:rsidRPr="006A75A2" w:rsidRDefault="00336793" w:rsidP="00DF0B96">
      <w:pPr>
        <w:pStyle w:val="Notes"/>
        <w:rPr>
          <w:i w:val="0"/>
        </w:rPr>
      </w:pPr>
      <w:r>
        <w:rPr>
          <w:sz w:val="15"/>
        </w:rPr>
        <w:t>(e</w:t>
      </w:r>
      <w:r w:rsidRPr="007F6AD7">
        <w:rPr>
          <w:sz w:val="15"/>
        </w:rPr>
        <w:t>)</w:t>
      </w:r>
      <w:r w:rsidRPr="007F6AD7">
        <w:rPr>
          <w:sz w:val="15"/>
        </w:rPr>
        <w:tab/>
        <w:t>Cash and cash equivalents at the end of the reporting period does not equal cash and deposits on the balance sheet. This is due to overdrafts being included in the cash flow statement balances. See Note 30(a)</w:t>
      </w:r>
      <w:r>
        <w:rPr>
          <w:sz w:val="15"/>
        </w:rPr>
        <w:t xml:space="preserve">. </w:t>
      </w:r>
    </w:p>
    <w:p w:rsidR="00336793" w:rsidRPr="006B2B2E" w:rsidRDefault="00336793" w:rsidP="00DF0B96">
      <w:pPr>
        <w:pStyle w:val="Heading2NotesContd"/>
      </w:pPr>
    </w:p>
    <w:p w:rsidR="00336793" w:rsidRPr="006B2B2E" w:rsidRDefault="00336793" w:rsidP="00DF0B96">
      <w:pPr>
        <w:pStyle w:val="Tableheading"/>
        <w:spacing w:before="160" w:after="40"/>
      </w:pPr>
    </w:p>
    <w:p w:rsidR="00336793" w:rsidRPr="00A92FEE" w:rsidRDefault="00336793" w:rsidP="00DF0B96">
      <w:pPr>
        <w:pStyle w:val="million"/>
        <w:rPr>
          <w:lang w:eastAsia="en-AU"/>
        </w:rPr>
      </w:pPr>
    </w:p>
    <w:tbl>
      <w:tblPr>
        <w:tblW w:w="10099" w:type="dxa"/>
        <w:tblInd w:w="-576" w:type="dxa"/>
        <w:tblLayout w:type="fixed"/>
        <w:tblCellMar>
          <w:left w:w="43" w:type="dxa"/>
          <w:right w:w="43" w:type="dxa"/>
        </w:tblCellMar>
        <w:tblLook w:val="0000" w:firstRow="0" w:lastRow="0" w:firstColumn="0" w:lastColumn="0" w:noHBand="0" w:noVBand="0"/>
      </w:tblPr>
      <w:tblGrid>
        <w:gridCol w:w="889"/>
        <w:gridCol w:w="1170"/>
        <w:gridCol w:w="1608"/>
        <w:gridCol w:w="236"/>
        <w:gridCol w:w="1372"/>
        <w:gridCol w:w="1608"/>
        <w:gridCol w:w="242"/>
        <w:gridCol w:w="1366"/>
        <w:gridCol w:w="1608"/>
      </w:tblGrid>
      <w:tr w:rsidR="00336793" w:rsidRPr="003C06CE" w:rsidTr="00DF0B96">
        <w:tc>
          <w:tcPr>
            <w:tcW w:w="889" w:type="dxa"/>
            <w:tcBorders>
              <w:top w:val="single" w:sz="4" w:space="0" w:color="auto"/>
              <w:left w:val="single" w:sz="4" w:space="0" w:color="auto"/>
              <w:bottom w:val="nil"/>
              <w:right w:val="nil"/>
            </w:tcBorders>
            <w:shd w:val="clear" w:color="auto" w:fill="000000"/>
          </w:tcPr>
          <w:p w:rsidR="00336793" w:rsidRPr="003C06CE" w:rsidRDefault="00336793" w:rsidP="00DF0B96">
            <w:pPr>
              <w:pStyle w:val="Tabletextheading"/>
              <w:rPr>
                <w:rFonts w:eastAsiaTheme="minorEastAsia"/>
                <w:sz w:val="16"/>
                <w:lang w:eastAsia="en-AU"/>
              </w:rPr>
            </w:pPr>
            <w:r w:rsidRPr="003C06CE">
              <w:rPr>
                <w:rFonts w:eastAsiaTheme="minorEastAsia"/>
                <w:sz w:val="16"/>
                <w:lang w:eastAsia="en-AU"/>
              </w:rPr>
              <w:t xml:space="preserve"> </w:t>
            </w:r>
          </w:p>
        </w:tc>
        <w:tc>
          <w:tcPr>
            <w:tcW w:w="2778" w:type="dxa"/>
            <w:gridSpan w:val="2"/>
            <w:tcBorders>
              <w:top w:val="single" w:sz="4" w:space="0" w:color="auto"/>
              <w:left w:val="nil"/>
              <w:bottom w:val="nil"/>
              <w:right w:val="nil"/>
            </w:tcBorders>
            <w:shd w:val="clear" w:color="auto" w:fill="000000"/>
          </w:tcPr>
          <w:p w:rsidR="00336793" w:rsidRPr="003C06CE" w:rsidRDefault="00336793" w:rsidP="00DF0B96">
            <w:pPr>
              <w:pStyle w:val="TabletextheadingCentred"/>
              <w:rPr>
                <w:rFonts w:eastAsiaTheme="minorEastAsia"/>
                <w:sz w:val="16"/>
                <w:lang w:eastAsia="en-AU"/>
              </w:rPr>
            </w:pPr>
            <w:r w:rsidRPr="003C06CE">
              <w:rPr>
                <w:rFonts w:eastAsiaTheme="minorEastAsia"/>
                <w:sz w:val="16"/>
                <w:lang w:eastAsia="en-AU"/>
              </w:rPr>
              <w:t xml:space="preserve">Public </w:t>
            </w:r>
          </w:p>
          <w:p w:rsidR="00336793" w:rsidRPr="003C06CE" w:rsidRDefault="00336793" w:rsidP="00DF0B96">
            <w:pPr>
              <w:pStyle w:val="TabletextheadingCentred"/>
              <w:rPr>
                <w:rFonts w:eastAsiaTheme="minorEastAsia"/>
                <w:sz w:val="16"/>
                <w:lang w:eastAsia="en-AU"/>
              </w:rPr>
            </w:pPr>
            <w:r w:rsidRPr="003C06CE">
              <w:rPr>
                <w:rFonts w:eastAsiaTheme="minorEastAsia"/>
                <w:sz w:val="16"/>
                <w:lang w:eastAsia="en-AU"/>
              </w:rPr>
              <w:t>financial corporations</w:t>
            </w:r>
          </w:p>
        </w:tc>
        <w:tc>
          <w:tcPr>
            <w:tcW w:w="236" w:type="dxa"/>
            <w:tcBorders>
              <w:top w:val="single" w:sz="4" w:space="0" w:color="auto"/>
              <w:left w:val="nil"/>
              <w:bottom w:val="nil"/>
              <w:right w:val="nil"/>
            </w:tcBorders>
            <w:shd w:val="clear" w:color="auto" w:fill="000000"/>
          </w:tcPr>
          <w:p w:rsidR="00336793" w:rsidRPr="003C06CE" w:rsidRDefault="00336793" w:rsidP="00DF0B96">
            <w:pPr>
              <w:pStyle w:val="TabletextheadingCentred"/>
              <w:rPr>
                <w:rFonts w:eastAsiaTheme="minorEastAsia"/>
                <w:sz w:val="16"/>
                <w:lang w:eastAsia="en-AU"/>
              </w:rPr>
            </w:pPr>
            <w:r w:rsidRPr="003C06CE">
              <w:rPr>
                <w:rFonts w:eastAsiaTheme="minorEastAsia"/>
                <w:sz w:val="16"/>
                <w:lang w:eastAsia="en-AU"/>
              </w:rPr>
              <w:t xml:space="preserve"> </w:t>
            </w:r>
          </w:p>
        </w:tc>
        <w:tc>
          <w:tcPr>
            <w:tcW w:w="2980" w:type="dxa"/>
            <w:gridSpan w:val="2"/>
            <w:tcBorders>
              <w:top w:val="single" w:sz="4" w:space="0" w:color="auto"/>
              <w:left w:val="nil"/>
              <w:bottom w:val="nil"/>
              <w:right w:val="nil"/>
            </w:tcBorders>
            <w:shd w:val="clear" w:color="auto" w:fill="000000"/>
          </w:tcPr>
          <w:p w:rsidR="00336793" w:rsidRPr="003C06CE" w:rsidRDefault="00336793" w:rsidP="00DF0B96">
            <w:pPr>
              <w:pStyle w:val="TabletextheadingCentred"/>
              <w:rPr>
                <w:rFonts w:eastAsiaTheme="minorEastAsia"/>
                <w:sz w:val="16"/>
                <w:lang w:eastAsia="en-AU"/>
              </w:rPr>
            </w:pPr>
          </w:p>
          <w:p w:rsidR="00336793" w:rsidRPr="003C06CE" w:rsidRDefault="00336793" w:rsidP="00DF0B96">
            <w:pPr>
              <w:pStyle w:val="TabletextheadingCentred"/>
              <w:rPr>
                <w:rFonts w:eastAsiaTheme="minorEastAsia"/>
                <w:sz w:val="16"/>
                <w:lang w:eastAsia="en-AU"/>
              </w:rPr>
            </w:pPr>
            <w:r w:rsidRPr="003C06CE">
              <w:rPr>
                <w:rFonts w:eastAsiaTheme="minorEastAsia"/>
                <w:sz w:val="16"/>
                <w:lang w:eastAsia="en-AU"/>
              </w:rPr>
              <w:t>Inter</w:t>
            </w:r>
            <w:r>
              <w:rPr>
                <w:rFonts w:eastAsiaTheme="minorEastAsia"/>
                <w:sz w:val="16"/>
                <w:lang w:eastAsia="en-AU"/>
              </w:rPr>
              <w:noBreakHyphen/>
            </w:r>
            <w:r w:rsidRPr="003C06CE">
              <w:rPr>
                <w:rFonts w:eastAsiaTheme="minorEastAsia"/>
                <w:sz w:val="16"/>
                <w:lang w:eastAsia="en-AU"/>
              </w:rPr>
              <w:t>sector eliminations</w:t>
            </w:r>
          </w:p>
        </w:tc>
        <w:tc>
          <w:tcPr>
            <w:tcW w:w="242" w:type="dxa"/>
            <w:tcBorders>
              <w:top w:val="single" w:sz="4" w:space="0" w:color="auto"/>
              <w:left w:val="nil"/>
              <w:bottom w:val="nil"/>
              <w:right w:val="nil"/>
            </w:tcBorders>
            <w:shd w:val="clear" w:color="auto" w:fill="000000"/>
          </w:tcPr>
          <w:p w:rsidR="00336793" w:rsidRPr="003C06CE" w:rsidRDefault="00336793" w:rsidP="00DF0B96">
            <w:pPr>
              <w:pStyle w:val="TabletextheadingCentred"/>
              <w:rPr>
                <w:rFonts w:eastAsiaTheme="minorEastAsia"/>
                <w:sz w:val="16"/>
                <w:lang w:eastAsia="en-AU"/>
              </w:rPr>
            </w:pPr>
            <w:r w:rsidRPr="003C06CE">
              <w:rPr>
                <w:rFonts w:eastAsiaTheme="minorEastAsia"/>
                <w:sz w:val="16"/>
                <w:lang w:eastAsia="en-AU"/>
              </w:rPr>
              <w:t xml:space="preserve"> </w:t>
            </w:r>
          </w:p>
        </w:tc>
        <w:tc>
          <w:tcPr>
            <w:tcW w:w="2974" w:type="dxa"/>
            <w:gridSpan w:val="2"/>
            <w:tcBorders>
              <w:top w:val="single" w:sz="4" w:space="0" w:color="auto"/>
              <w:left w:val="nil"/>
              <w:bottom w:val="nil"/>
              <w:right w:val="single" w:sz="4" w:space="0" w:color="auto"/>
            </w:tcBorders>
            <w:shd w:val="clear" w:color="auto" w:fill="000000"/>
          </w:tcPr>
          <w:p w:rsidR="00336793" w:rsidRPr="003C06CE" w:rsidRDefault="00336793" w:rsidP="00DF0B96">
            <w:pPr>
              <w:pStyle w:val="TabletextheadingCentred"/>
              <w:rPr>
                <w:rFonts w:eastAsiaTheme="minorEastAsia"/>
                <w:sz w:val="16"/>
                <w:lang w:eastAsia="en-AU"/>
              </w:rPr>
            </w:pPr>
          </w:p>
          <w:p w:rsidR="00336793" w:rsidRPr="003C06CE" w:rsidRDefault="00336793" w:rsidP="00DF0B96">
            <w:pPr>
              <w:pStyle w:val="TabletextheadingCentred"/>
              <w:rPr>
                <w:rFonts w:eastAsiaTheme="minorEastAsia"/>
                <w:sz w:val="16"/>
                <w:lang w:eastAsia="en-AU"/>
              </w:rPr>
            </w:pPr>
            <w:r w:rsidRPr="003C06CE">
              <w:rPr>
                <w:rFonts w:eastAsiaTheme="minorEastAsia"/>
                <w:sz w:val="16"/>
                <w:lang w:eastAsia="en-AU"/>
              </w:rPr>
              <w:t>State of Victoria</w:t>
            </w:r>
          </w:p>
        </w:tc>
      </w:tr>
      <w:tr w:rsidR="00336793" w:rsidRPr="003C06CE" w:rsidTr="00DF0B96">
        <w:tc>
          <w:tcPr>
            <w:tcW w:w="2059" w:type="dxa"/>
            <w:gridSpan w:val="2"/>
            <w:tcBorders>
              <w:top w:val="nil"/>
              <w:left w:val="single" w:sz="4" w:space="0" w:color="auto"/>
              <w:bottom w:val="single" w:sz="4" w:space="0" w:color="auto"/>
              <w:right w:val="nil"/>
            </w:tcBorders>
            <w:shd w:val="clear" w:color="auto" w:fill="000000"/>
          </w:tcPr>
          <w:p w:rsidR="00336793" w:rsidRPr="003C06CE" w:rsidRDefault="00336793" w:rsidP="00DF0B96">
            <w:pPr>
              <w:pStyle w:val="Tabletextheading"/>
              <w:rPr>
                <w:rFonts w:eastAsiaTheme="minorEastAsia"/>
                <w:sz w:val="16"/>
                <w:lang w:eastAsia="en-AU"/>
              </w:rPr>
            </w:pPr>
            <w:r w:rsidRPr="003C06CE">
              <w:rPr>
                <w:rFonts w:eastAsiaTheme="minorEastAsia"/>
                <w:sz w:val="16"/>
                <w:lang w:eastAsia="en-AU"/>
              </w:rPr>
              <w:t>2015</w:t>
            </w:r>
          </w:p>
        </w:tc>
        <w:tc>
          <w:tcPr>
            <w:tcW w:w="1608" w:type="dxa"/>
            <w:tcBorders>
              <w:top w:val="nil"/>
              <w:left w:val="nil"/>
              <w:bottom w:val="single" w:sz="4" w:space="0" w:color="auto"/>
              <w:right w:val="nil"/>
            </w:tcBorders>
            <w:shd w:val="clear" w:color="auto" w:fill="000000"/>
          </w:tcPr>
          <w:p w:rsidR="00336793" w:rsidRPr="003C06CE" w:rsidRDefault="00336793" w:rsidP="00DF0B96">
            <w:pPr>
              <w:pStyle w:val="Tabletextheading"/>
              <w:rPr>
                <w:rFonts w:eastAsiaTheme="minorEastAsia"/>
                <w:sz w:val="16"/>
                <w:lang w:eastAsia="en-AU"/>
              </w:rPr>
            </w:pPr>
            <w:r w:rsidRPr="003C06CE">
              <w:rPr>
                <w:rFonts w:eastAsiaTheme="minorEastAsia"/>
                <w:sz w:val="16"/>
                <w:lang w:eastAsia="en-AU"/>
              </w:rPr>
              <w:t>2014</w:t>
            </w:r>
          </w:p>
        </w:tc>
        <w:tc>
          <w:tcPr>
            <w:tcW w:w="1608" w:type="dxa"/>
            <w:gridSpan w:val="2"/>
            <w:tcBorders>
              <w:top w:val="nil"/>
              <w:left w:val="nil"/>
              <w:bottom w:val="single" w:sz="4" w:space="0" w:color="auto"/>
              <w:right w:val="nil"/>
            </w:tcBorders>
            <w:shd w:val="clear" w:color="auto" w:fill="000000"/>
          </w:tcPr>
          <w:p w:rsidR="00336793" w:rsidRPr="003C06CE" w:rsidRDefault="00336793" w:rsidP="00DF0B96">
            <w:pPr>
              <w:pStyle w:val="Tabletextheading"/>
              <w:rPr>
                <w:rFonts w:eastAsiaTheme="minorEastAsia"/>
                <w:sz w:val="16"/>
                <w:lang w:eastAsia="en-AU"/>
              </w:rPr>
            </w:pPr>
            <w:r w:rsidRPr="003C06CE">
              <w:rPr>
                <w:rFonts w:eastAsiaTheme="minorEastAsia"/>
                <w:sz w:val="16"/>
                <w:lang w:eastAsia="en-AU"/>
              </w:rPr>
              <w:t>2015</w:t>
            </w:r>
          </w:p>
        </w:tc>
        <w:tc>
          <w:tcPr>
            <w:tcW w:w="1608" w:type="dxa"/>
            <w:tcBorders>
              <w:top w:val="nil"/>
              <w:left w:val="nil"/>
              <w:bottom w:val="single" w:sz="4" w:space="0" w:color="auto"/>
              <w:right w:val="nil"/>
            </w:tcBorders>
            <w:shd w:val="clear" w:color="auto" w:fill="000000"/>
          </w:tcPr>
          <w:p w:rsidR="00336793" w:rsidRPr="003C06CE" w:rsidRDefault="00336793" w:rsidP="00DF0B96">
            <w:pPr>
              <w:pStyle w:val="Tabletextheading"/>
              <w:rPr>
                <w:rFonts w:eastAsiaTheme="minorEastAsia"/>
                <w:sz w:val="16"/>
                <w:lang w:eastAsia="en-AU"/>
              </w:rPr>
            </w:pPr>
            <w:r w:rsidRPr="003C06CE">
              <w:rPr>
                <w:rFonts w:eastAsiaTheme="minorEastAsia"/>
                <w:sz w:val="16"/>
                <w:lang w:eastAsia="en-AU"/>
              </w:rPr>
              <w:t>2014</w:t>
            </w:r>
          </w:p>
        </w:tc>
        <w:tc>
          <w:tcPr>
            <w:tcW w:w="1608" w:type="dxa"/>
            <w:gridSpan w:val="2"/>
            <w:tcBorders>
              <w:top w:val="nil"/>
              <w:left w:val="nil"/>
              <w:bottom w:val="single" w:sz="4" w:space="0" w:color="auto"/>
              <w:right w:val="nil"/>
            </w:tcBorders>
            <w:shd w:val="clear" w:color="auto" w:fill="000000"/>
          </w:tcPr>
          <w:p w:rsidR="00336793" w:rsidRPr="003C06CE" w:rsidRDefault="00336793" w:rsidP="00DF0B96">
            <w:pPr>
              <w:pStyle w:val="Tabletextheading"/>
              <w:rPr>
                <w:rFonts w:eastAsiaTheme="minorEastAsia"/>
                <w:sz w:val="16"/>
                <w:lang w:eastAsia="en-AU"/>
              </w:rPr>
            </w:pPr>
            <w:r w:rsidRPr="003C06CE">
              <w:rPr>
                <w:rFonts w:eastAsiaTheme="minorEastAsia"/>
                <w:sz w:val="16"/>
                <w:lang w:eastAsia="en-AU"/>
              </w:rPr>
              <w:t>2015</w:t>
            </w:r>
          </w:p>
        </w:tc>
        <w:tc>
          <w:tcPr>
            <w:tcW w:w="1608" w:type="dxa"/>
            <w:tcBorders>
              <w:top w:val="nil"/>
              <w:left w:val="nil"/>
              <w:bottom w:val="single" w:sz="4" w:space="0" w:color="auto"/>
              <w:right w:val="single" w:sz="4" w:space="0" w:color="auto"/>
            </w:tcBorders>
            <w:shd w:val="clear" w:color="auto" w:fill="000000"/>
          </w:tcPr>
          <w:p w:rsidR="00336793" w:rsidRPr="003C06CE" w:rsidRDefault="00336793" w:rsidP="00DF0B96">
            <w:pPr>
              <w:pStyle w:val="Tabletextheading"/>
              <w:rPr>
                <w:rFonts w:eastAsiaTheme="minorEastAsia"/>
                <w:sz w:val="16"/>
                <w:lang w:eastAsia="en-AU"/>
              </w:rPr>
            </w:pPr>
            <w:r w:rsidRPr="003C06CE">
              <w:rPr>
                <w:rFonts w:eastAsiaTheme="minorEastAsia"/>
                <w:sz w:val="16"/>
                <w:lang w:eastAsia="en-AU"/>
              </w:rPr>
              <w:t>2014</w:t>
            </w:r>
          </w:p>
        </w:tc>
      </w:tr>
      <w:tr w:rsidR="00336793" w:rsidRPr="003C06CE" w:rsidTr="00DF0B96">
        <w:tc>
          <w:tcPr>
            <w:tcW w:w="2059" w:type="dxa"/>
            <w:gridSpan w:val="2"/>
            <w:tcBorders>
              <w:top w:val="single" w:sz="4"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single" w:sz="4"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single" w:sz="4"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single" w:sz="4"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single" w:sz="4"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single" w:sz="4"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402.7)</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410.5)</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18 013.1</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16 308.9</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0.1</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(3 </w:t>
            </w:r>
            <w:r w:rsidRPr="003C06CE">
              <w:rPr>
                <w:rFonts w:eastAsiaTheme="minorEastAsia" w:cs="Calibri"/>
                <w:sz w:val="16"/>
                <w:szCs w:val="22"/>
                <w:lang w:eastAsia="en-AU"/>
              </w:rPr>
              <w:t>006.5)</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(2 905.3)</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24 362.7</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25 045.5</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4 442.2</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4 277.2</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(2 </w:t>
            </w:r>
            <w:r w:rsidRPr="003C06CE">
              <w:rPr>
                <w:rFonts w:eastAsiaTheme="minorEastAsia" w:cs="Calibri"/>
                <w:sz w:val="16"/>
                <w:szCs w:val="22"/>
                <w:lang w:eastAsia="en-AU"/>
              </w:rPr>
              <w:t>855.3)</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(2 419.0)</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15 325.1</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15 898.4</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2 465.6</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2 428.6</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(2 </w:t>
            </w:r>
            <w:r w:rsidRPr="003C06CE">
              <w:rPr>
                <w:rFonts w:eastAsiaTheme="minorEastAsia" w:cs="Calibri"/>
                <w:sz w:val="16"/>
                <w:szCs w:val="22"/>
                <w:lang w:eastAsia="en-AU"/>
              </w:rPr>
              <w:t>449.6)</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(2 431.7)</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865.6</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853.9</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723.8</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805.5</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995.9)</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570.8)</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767.8</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842.1</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51.6</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285.7</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6.2</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69.2)</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2 337.3</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2 151.9</w:t>
            </w:r>
          </w:p>
        </w:tc>
      </w:tr>
      <w:tr w:rsidR="00336793" w:rsidRPr="003C06CE" w:rsidTr="00DF0B96">
        <w:tc>
          <w:tcPr>
            <w:tcW w:w="2059"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7 683.1</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7 797.0</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(9 </w:t>
            </w:r>
            <w:r w:rsidRPr="003C06CE">
              <w:rPr>
                <w:rFonts w:eastAsiaTheme="minorEastAsia" w:cs="Calibri"/>
                <w:b/>
                <w:bCs/>
                <w:sz w:val="16"/>
                <w:szCs w:val="22"/>
                <w:lang w:eastAsia="en-AU"/>
              </w:rPr>
              <w:t>703.8)</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(8 806.5)</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61 671.6</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61 100.7</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273.9)</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310.8)</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353.8</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343.1</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(19 </w:t>
            </w:r>
            <w:r w:rsidRPr="003C06CE">
              <w:rPr>
                <w:rFonts w:eastAsiaTheme="minorEastAsia" w:cs="Calibri"/>
                <w:sz w:val="16"/>
                <w:szCs w:val="22"/>
                <w:lang w:eastAsia="en-AU"/>
              </w:rPr>
              <w:t>593.2)</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(18 924.3)</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22.6)</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23.6)</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(2 </w:t>
            </w:r>
            <w:r w:rsidRPr="003C06CE">
              <w:rPr>
                <w:rFonts w:eastAsiaTheme="minorEastAsia" w:cs="Calibri"/>
                <w:sz w:val="16"/>
                <w:szCs w:val="22"/>
                <w:lang w:eastAsia="en-AU"/>
              </w:rPr>
              <w:t>900.2)</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(2 812.0)</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(2 </w:t>
            </w:r>
            <w:r w:rsidRPr="003C06CE">
              <w:rPr>
                <w:rFonts w:eastAsiaTheme="minorEastAsia" w:cs="Calibri"/>
                <w:sz w:val="16"/>
                <w:szCs w:val="22"/>
                <w:lang w:eastAsia="en-AU"/>
              </w:rPr>
              <w:t>110.8)</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(2 118.1)</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2 449.6</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2 431.7</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(2 </w:t>
            </w:r>
            <w:r w:rsidRPr="003C06CE">
              <w:rPr>
                <w:rFonts w:eastAsiaTheme="minorEastAsia" w:cs="Calibri"/>
                <w:sz w:val="16"/>
                <w:szCs w:val="22"/>
                <w:lang w:eastAsia="en-AU"/>
              </w:rPr>
              <w:t>881.7)</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(2 895.8)</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2 885.9</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2 739.6</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(5 </w:t>
            </w:r>
            <w:r w:rsidRPr="003C06CE">
              <w:rPr>
                <w:rFonts w:eastAsiaTheme="minorEastAsia" w:cs="Calibri"/>
                <w:sz w:val="16"/>
                <w:szCs w:val="22"/>
                <w:lang w:eastAsia="en-AU"/>
              </w:rPr>
              <w:t>746.6)</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(5 037.3)</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(4 </w:t>
            </w:r>
            <w:r w:rsidRPr="003C06CE">
              <w:rPr>
                <w:rFonts w:eastAsiaTheme="minorEastAsia" w:cs="Calibri"/>
                <w:sz w:val="16"/>
                <w:szCs w:val="22"/>
                <w:lang w:eastAsia="en-AU"/>
              </w:rPr>
              <w:t>257.3)</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(3 922.8)</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1 211.1</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1 000.1</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(23 </w:t>
            </w:r>
            <w:r w:rsidRPr="003C06CE">
              <w:rPr>
                <w:rFonts w:eastAsiaTheme="minorEastAsia" w:cs="Calibri"/>
                <w:sz w:val="16"/>
                <w:szCs w:val="22"/>
                <w:lang w:eastAsia="en-AU"/>
              </w:rPr>
              <w:t>835.5)</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(23 756.8)</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22.9)</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20.9)</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1 985.7</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1 907.4</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(1 </w:t>
            </w:r>
            <w:r w:rsidRPr="003C06CE">
              <w:rPr>
                <w:rFonts w:eastAsiaTheme="minorEastAsia" w:cs="Calibri"/>
                <w:sz w:val="16"/>
                <w:szCs w:val="22"/>
                <w:lang w:eastAsia="en-AU"/>
              </w:rPr>
              <w:t>061.9)</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818.3)</w:t>
            </w:r>
          </w:p>
        </w:tc>
      </w:tr>
      <w:tr w:rsidR="00336793" w:rsidRPr="003C06CE" w:rsidTr="00DF0B96">
        <w:tc>
          <w:tcPr>
            <w:tcW w:w="2059" w:type="dxa"/>
            <w:gridSpan w:val="2"/>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(6 </w:t>
            </w:r>
            <w:r w:rsidRPr="003C06CE">
              <w:rPr>
                <w:rFonts w:eastAsiaTheme="minorEastAsia" w:cs="Calibri"/>
                <w:b/>
                <w:bCs/>
                <w:sz w:val="16"/>
                <w:szCs w:val="22"/>
                <w:lang w:eastAsia="en-AU"/>
              </w:rPr>
              <w:t>687.5)</w:t>
            </w:r>
          </w:p>
        </w:tc>
        <w:tc>
          <w:tcPr>
            <w:tcW w:w="1608" w:type="dxa"/>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(6 396.1)</w:t>
            </w:r>
          </w:p>
        </w:tc>
        <w:tc>
          <w:tcPr>
            <w:tcW w:w="1608" w:type="dxa"/>
            <w:gridSpan w:val="2"/>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8 886.1</w:t>
            </w:r>
          </w:p>
        </w:tc>
        <w:tc>
          <w:tcPr>
            <w:tcW w:w="1608" w:type="dxa"/>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8 421.9</w:t>
            </w:r>
          </w:p>
        </w:tc>
        <w:tc>
          <w:tcPr>
            <w:tcW w:w="1608" w:type="dxa"/>
            <w:gridSpan w:val="2"/>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(56 </w:t>
            </w:r>
            <w:r w:rsidRPr="003C06CE">
              <w:rPr>
                <w:rFonts w:eastAsiaTheme="minorEastAsia" w:cs="Calibri"/>
                <w:b/>
                <w:bCs/>
                <w:sz w:val="16"/>
                <w:szCs w:val="22"/>
                <w:lang w:eastAsia="en-AU"/>
              </w:rPr>
              <w:t>018.9)</w:t>
            </w:r>
          </w:p>
        </w:tc>
        <w:tc>
          <w:tcPr>
            <w:tcW w:w="1608" w:type="dxa"/>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(54 244.5)</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995.7</w:t>
            </w:r>
          </w:p>
        </w:tc>
        <w:tc>
          <w:tcPr>
            <w:tcW w:w="1608" w:type="dxa"/>
            <w:tcBorders>
              <w:top w:val="nil"/>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1 400.9</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817.8)</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384.6)</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5 652.6</w:t>
            </w:r>
          </w:p>
        </w:tc>
        <w:tc>
          <w:tcPr>
            <w:tcW w:w="1608" w:type="dxa"/>
            <w:tcBorders>
              <w:top w:val="nil"/>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6 856.2</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31.7)</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37.3)</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20.6</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(6 </w:t>
            </w:r>
            <w:r w:rsidRPr="003C06CE">
              <w:rPr>
                <w:rFonts w:eastAsiaTheme="minorEastAsia" w:cs="Calibri"/>
                <w:sz w:val="16"/>
                <w:szCs w:val="22"/>
                <w:lang w:eastAsia="en-AU"/>
              </w:rPr>
              <w:t>615.6)</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(7 334.7)</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1.3</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19.0</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Pr>
                <w:rFonts w:eastAsiaTheme="minorEastAsia"/>
                <w:sz w:val="16"/>
                <w:lang w:eastAsia="en-AU"/>
              </w:rPr>
              <w:t>..</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595.0</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496.4</w:t>
            </w:r>
          </w:p>
        </w:tc>
      </w:tr>
      <w:tr w:rsidR="00336793" w:rsidRPr="003C06CE" w:rsidTr="00DF0B96">
        <w:tc>
          <w:tcPr>
            <w:tcW w:w="2059"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30.4)</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18.2)</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20.6</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Pr>
                <w:rFonts w:eastAsiaTheme="minorEastAsia"/>
                <w:b/>
                <w:bCs/>
                <w:sz w:val="16"/>
                <w:lang w:eastAsia="en-AU"/>
              </w:rPr>
              <w:t>..</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(6 </w:t>
            </w:r>
            <w:r w:rsidRPr="003C06CE">
              <w:rPr>
                <w:rFonts w:eastAsiaTheme="minorEastAsia" w:cs="Calibri"/>
                <w:b/>
                <w:bCs/>
                <w:sz w:val="16"/>
                <w:szCs w:val="22"/>
                <w:lang w:eastAsia="en-AU"/>
              </w:rPr>
              <w:t>020.6)</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(6 838.3)</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1 </w:t>
            </w:r>
            <w:r w:rsidRPr="003C06CE">
              <w:rPr>
                <w:rFonts w:eastAsiaTheme="minorEastAsia" w:cs="Calibri"/>
                <w:color w:val="000000"/>
                <w:sz w:val="16"/>
                <w:szCs w:val="22"/>
                <w:lang w:eastAsia="en-AU"/>
              </w:rPr>
              <w:t>767.7</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812.3</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46.7)</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5.5)</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2 143.7</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992.5</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346.0)</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866.4)</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1</w:t>
            </w:r>
            <w:r w:rsidRPr="003C06CE">
              <w:rPr>
                <w:rFonts w:eastAsiaTheme="minorEastAsia" w:cs="Calibri"/>
                <w:color w:val="000000"/>
                <w:sz w:val="16"/>
                <w:szCs w:val="22"/>
                <w:lang w:eastAsia="en-AU"/>
              </w:rPr>
              <w:t xml:space="preserve"> 042.5</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1</w:t>
            </w:r>
            <w:r w:rsidRPr="003C06CE">
              <w:rPr>
                <w:rFonts w:eastAsiaTheme="minorEastAsia" w:cs="Calibri"/>
                <w:color w:val="000000"/>
                <w:sz w:val="16"/>
                <w:szCs w:val="22"/>
                <w:lang w:eastAsia="en-AU"/>
              </w:rPr>
              <w:t xml:space="preserve"> 472.3</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548.8)</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958.5)</w:t>
            </w:r>
          </w:p>
        </w:tc>
      </w:tr>
      <w:tr w:rsidR="00336793" w:rsidRPr="003C06CE" w:rsidTr="00DF0B96">
        <w:tc>
          <w:tcPr>
            <w:tcW w:w="2059"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1 421.6</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54.1)</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995.8</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1 466.8</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1 595.0</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34.0</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22 </w:t>
            </w:r>
            <w:r w:rsidRPr="003C06CE">
              <w:rPr>
                <w:rFonts w:eastAsiaTheme="minorEastAsia" w:cs="Calibri"/>
                <w:color w:val="000000"/>
                <w:sz w:val="16"/>
                <w:szCs w:val="22"/>
                <w:lang w:eastAsia="en-AU"/>
              </w:rPr>
              <w:t>005.5</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10 564.1</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480.5)</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783.4)</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22 658.0</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11 287.4</w:t>
            </w:r>
          </w:p>
        </w:tc>
      </w:tr>
      <w:tr w:rsidR="00336793" w:rsidRPr="003C06CE" w:rsidTr="00DF0B96">
        <w:tc>
          <w:tcPr>
            <w:tcW w:w="2059" w:type="dxa"/>
            <w:gridSpan w:val="2"/>
            <w:tcBorders>
              <w:top w:val="nil"/>
              <w:left w:val="nil"/>
              <w:bottom w:val="single" w:sz="6" w:space="0" w:color="auto"/>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(25</w:t>
            </w:r>
            <w:r w:rsidRPr="003C06CE">
              <w:rPr>
                <w:rFonts w:eastAsiaTheme="minorEastAsia" w:cs="Calibri"/>
                <w:color w:val="000000"/>
                <w:sz w:val="16"/>
                <w:szCs w:val="22"/>
                <w:lang w:eastAsia="en-AU"/>
              </w:rPr>
              <w:t xml:space="preserve"> 056.1)</w:t>
            </w:r>
          </w:p>
        </w:tc>
        <w:tc>
          <w:tcPr>
            <w:tcW w:w="1608" w:type="dxa"/>
            <w:tcBorders>
              <w:top w:val="nil"/>
              <w:left w:val="nil"/>
              <w:bottom w:val="single" w:sz="6" w:space="0" w:color="auto"/>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(14 046.3)</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1</w:t>
            </w:r>
            <w:r w:rsidRPr="003C06CE">
              <w:rPr>
                <w:rFonts w:eastAsiaTheme="minorEastAsia" w:cs="Calibri"/>
                <w:color w:val="000000"/>
                <w:sz w:val="16"/>
                <w:szCs w:val="22"/>
                <w:lang w:eastAsia="en-AU"/>
              </w:rPr>
              <w:t xml:space="preserve"> 359.8</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2 161.6</w:t>
            </w:r>
          </w:p>
        </w:tc>
        <w:tc>
          <w:tcPr>
            <w:tcW w:w="1608" w:type="dxa"/>
            <w:gridSpan w:val="2"/>
            <w:tcBorders>
              <w:top w:val="nil"/>
              <w:left w:val="nil"/>
              <w:bottom w:val="single" w:sz="6" w:space="0" w:color="auto"/>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(25 102.2)</w:t>
            </w:r>
          </w:p>
        </w:tc>
        <w:tc>
          <w:tcPr>
            <w:tcW w:w="1608" w:type="dxa"/>
            <w:tcBorders>
              <w:top w:val="nil"/>
              <w:left w:val="nil"/>
              <w:bottom w:val="single" w:sz="6" w:space="0" w:color="auto"/>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(13 057.3)</w:t>
            </w:r>
          </w:p>
        </w:tc>
      </w:tr>
      <w:tr w:rsidR="00336793" w:rsidRPr="003C06CE" w:rsidTr="00DF0B96">
        <w:tc>
          <w:tcPr>
            <w:tcW w:w="2059" w:type="dxa"/>
            <w:gridSpan w:val="2"/>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(3 050.6</w:t>
            </w:r>
            <w:r w:rsidRPr="003C06CE">
              <w:rPr>
                <w:rFonts w:eastAsiaTheme="minorEastAsia" w:cs="Calibri"/>
                <w:b/>
                <w:bCs/>
                <w:sz w:val="16"/>
                <w:szCs w:val="22"/>
                <w:lang w:eastAsia="en-AU"/>
              </w:rPr>
              <w:t>)</w:t>
            </w:r>
            <w:r>
              <w:rPr>
                <w:rFonts w:eastAsiaTheme="minorEastAsia" w:cs="Calibri"/>
                <w:b/>
                <w:bCs/>
                <w:sz w:val="16"/>
                <w:szCs w:val="22"/>
                <w:lang w:eastAsia="en-AU"/>
              </w:rPr>
              <w:br/>
            </w:r>
          </w:p>
        </w:tc>
        <w:tc>
          <w:tcPr>
            <w:tcW w:w="1608" w:type="dxa"/>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(3 482.2)</w:t>
            </w:r>
          </w:p>
        </w:tc>
        <w:tc>
          <w:tcPr>
            <w:tcW w:w="1608" w:type="dxa"/>
            <w:gridSpan w:val="2"/>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879.3</w:t>
            </w:r>
          </w:p>
        </w:tc>
        <w:tc>
          <w:tcPr>
            <w:tcW w:w="1608" w:type="dxa"/>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1 378.2</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(2 </w:t>
            </w:r>
            <w:r w:rsidRPr="003C06CE">
              <w:rPr>
                <w:rFonts w:eastAsiaTheme="minorEastAsia" w:cs="Calibri"/>
                <w:b/>
                <w:bCs/>
                <w:sz w:val="16"/>
                <w:szCs w:val="22"/>
                <w:lang w:eastAsia="en-AU"/>
              </w:rPr>
              <w:t>444.1)</w:t>
            </w:r>
          </w:p>
        </w:tc>
        <w:tc>
          <w:tcPr>
            <w:tcW w:w="1608" w:type="dxa"/>
            <w:tcBorders>
              <w:top w:val="nil"/>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(1 769.8)</w:t>
            </w:r>
          </w:p>
        </w:tc>
      </w:tr>
      <w:tr w:rsidR="00336793" w:rsidRPr="003C06CE" w:rsidTr="00DF0B96">
        <w:tc>
          <w:tcPr>
            <w:tcW w:w="2059"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(1 </w:t>
            </w:r>
            <w:r w:rsidRPr="003C06CE">
              <w:rPr>
                <w:rFonts w:eastAsiaTheme="minorEastAsia" w:cs="Calibri"/>
                <w:b/>
                <w:bCs/>
                <w:sz w:val="16"/>
                <w:szCs w:val="22"/>
                <w:lang w:eastAsia="en-AU"/>
              </w:rPr>
              <w:t>659.4)</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(3 554.4)</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sidRPr="003C06CE">
              <w:rPr>
                <w:rFonts w:eastAsiaTheme="minorEastAsia"/>
                <w:b/>
                <w:bCs/>
                <w:sz w:val="16"/>
                <w:lang w:eastAsia="en-AU"/>
              </w:rPr>
              <w:t>1 895.7</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2 845.0</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(6 </w:t>
            </w:r>
            <w:r w:rsidRPr="003C06CE">
              <w:rPr>
                <w:rFonts w:eastAsiaTheme="minorEastAsia" w:cs="Calibri"/>
                <w:b/>
                <w:bCs/>
                <w:sz w:val="16"/>
                <w:szCs w:val="22"/>
                <w:lang w:eastAsia="en-AU"/>
              </w:rPr>
              <w:t>869.8)</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(8 574.1)</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64.1</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55.9</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35.8)</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26.8)</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44.7</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31.0</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30.3)</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25.2)</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26.6</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25.2</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5.5)</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0.6)</w:t>
            </w:r>
          </w:p>
        </w:tc>
      </w:tr>
      <w:tr w:rsidR="00336793" w:rsidRPr="003C06CE" w:rsidTr="00DF0B96">
        <w:tc>
          <w:tcPr>
            <w:tcW w:w="2059"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33.8</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30.7</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9.2)</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1.6)</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39.2</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30.4</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78.3</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4 163.2</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color w:val="000000"/>
                <w:sz w:val="16"/>
                <w:szCs w:val="22"/>
                <w:lang w:eastAsia="en-AU"/>
              </w:rPr>
              <w:t>1 858.5)</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(3 435.4)</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262.5</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4 427.0</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649.4)</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283.7)</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1</w:t>
            </w:r>
            <w:r w:rsidRPr="003C06CE">
              <w:rPr>
                <w:rFonts w:eastAsiaTheme="minorEastAsia" w:cs="Calibri"/>
                <w:color w:val="000000"/>
                <w:sz w:val="16"/>
                <w:szCs w:val="22"/>
                <w:lang w:eastAsia="en-AU"/>
              </w:rPr>
              <w:t xml:space="preserve"> 088.2</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1 697.9</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(1 065.7)</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665.4)</w:t>
            </w:r>
          </w:p>
        </w:tc>
      </w:tr>
      <w:tr w:rsidR="00336793" w:rsidRPr="003C06CE" w:rsidTr="00DF0B96">
        <w:tc>
          <w:tcPr>
            <w:tcW w:w="2059"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571.1)</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3 879.5</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770.3)</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(1 737.5)</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803.1)</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3 761.7</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934.9</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25.2</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758.1)</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4.5)</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 xml:space="preserve"> 668.1</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441.6</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150.8)</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115.4)</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83.9</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88.4</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458.0)</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490.4)</w:t>
            </w:r>
          </w:p>
        </w:tc>
      </w:tr>
      <w:tr w:rsidR="00336793" w:rsidRPr="003C06CE" w:rsidTr="00DF0B96">
        <w:tc>
          <w:tcPr>
            <w:tcW w:w="2059"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784.0</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90.2)</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674.2)</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83.9</w:t>
            </w:r>
          </w:p>
        </w:tc>
        <w:tc>
          <w:tcPr>
            <w:tcW w:w="1608" w:type="dxa"/>
            <w:gridSpan w:val="2"/>
            <w:tcBorders>
              <w:top w:val="single" w:sz="6" w:space="0" w:color="auto"/>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210.0</w:t>
            </w:r>
          </w:p>
        </w:tc>
        <w:tc>
          <w:tcPr>
            <w:tcW w:w="1608" w:type="dxa"/>
            <w:tcBorders>
              <w:top w:val="single" w:sz="6" w:space="0" w:color="auto"/>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48.7)</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color w:val="000000"/>
                <w:sz w:val="16"/>
                <w:szCs w:val="22"/>
                <w:lang w:eastAsia="en-AU"/>
              </w:rPr>
              <w:t>.</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color w:val="000000"/>
                <w:sz w:val="16"/>
                <w:szCs w:val="22"/>
                <w:lang w:eastAsia="en-AU"/>
              </w:rPr>
              <w:t>1 001.9)</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(1 508.0)</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color w:val="000000"/>
                <w:sz w:val="16"/>
                <w:szCs w:val="22"/>
                <w:lang w:eastAsia="en-AU"/>
              </w:rPr>
              <w:t>.</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3.0</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566.2)</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cs="Calibri"/>
                <w:color w:val="000000"/>
                <w:sz w:val="16"/>
                <w:szCs w:val="22"/>
                <w:lang w:eastAsia="en-AU"/>
              </w:rPr>
              <w:t>(</w:t>
            </w:r>
            <w:r w:rsidRPr="003C06CE">
              <w:rPr>
                <w:rFonts w:eastAsiaTheme="minorEastAsia" w:cs="Calibri"/>
                <w:color w:val="000000"/>
                <w:sz w:val="16"/>
                <w:szCs w:val="22"/>
                <w:lang w:eastAsia="en-AU"/>
              </w:rPr>
              <w:t>133.5)</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782.2</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 xml:space="preserve"> </w:t>
            </w:r>
            <w:r w:rsidRPr="003C06CE">
              <w:rPr>
                <w:rFonts w:eastAsiaTheme="minorEastAsia" w:cs="Calibri"/>
                <w:color w:val="000000"/>
                <w:sz w:val="16"/>
                <w:szCs w:val="22"/>
                <w:lang w:eastAsia="en-AU"/>
              </w:rPr>
              <w:t>392.2</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cs="Calibri"/>
                <w:color w:val="000000"/>
                <w:sz w:val="16"/>
                <w:szCs w:val="22"/>
                <w:lang w:eastAsia="en-AU"/>
              </w:rPr>
              <w:t>..</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sidRPr="003C06CE">
              <w:rPr>
                <w:rFonts w:eastAsiaTheme="minorEastAsia"/>
                <w:sz w:val="16"/>
                <w:lang w:eastAsia="en-AU"/>
              </w:rPr>
              <w:t>.</w:t>
            </w:r>
            <w:r w:rsidRPr="003C06CE">
              <w:rPr>
                <w:rFonts w:eastAsiaTheme="minorEastAsia" w:cs="Calibri"/>
                <w:color w:val="000000"/>
                <w:sz w:val="16"/>
                <w:szCs w:val="22"/>
                <w:lang w:eastAsia="en-AU"/>
              </w:rPr>
              <w:t>.</w:t>
            </w:r>
          </w:p>
        </w:tc>
      </w:tr>
      <w:tr w:rsidR="00336793" w:rsidRPr="003C06CE" w:rsidTr="00DF0B96">
        <w:tc>
          <w:tcPr>
            <w:tcW w:w="2059" w:type="dxa"/>
            <w:gridSpan w:val="2"/>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566.2)</w:t>
            </w:r>
          </w:p>
        </w:tc>
        <w:tc>
          <w:tcPr>
            <w:tcW w:w="1608" w:type="dxa"/>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133.5)</w:t>
            </w:r>
          </w:p>
        </w:tc>
        <w:tc>
          <w:tcPr>
            <w:tcW w:w="1608" w:type="dxa"/>
            <w:gridSpan w:val="2"/>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219.8)</w:t>
            </w:r>
          </w:p>
        </w:tc>
        <w:tc>
          <w:tcPr>
            <w:tcW w:w="1608" w:type="dxa"/>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(1 115.9)</w:t>
            </w:r>
          </w:p>
        </w:tc>
        <w:tc>
          <w:tcPr>
            <w:tcW w:w="1608" w:type="dxa"/>
            <w:gridSpan w:val="2"/>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p>
        </w:tc>
        <w:tc>
          <w:tcPr>
            <w:tcW w:w="1608" w:type="dxa"/>
            <w:tcBorders>
              <w:top w:val="single" w:sz="6" w:space="0" w:color="auto"/>
              <w:left w:val="nil"/>
              <w:bottom w:val="single" w:sz="6" w:space="0" w:color="auto"/>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3.0</w:t>
            </w:r>
          </w:p>
        </w:tc>
      </w:tr>
      <w:tr w:rsidR="00336793" w:rsidRPr="003C06CE" w:rsidTr="00DF0B96">
        <w:tc>
          <w:tcPr>
            <w:tcW w:w="2059" w:type="dxa"/>
            <w:gridSpan w:val="2"/>
            <w:tcBorders>
              <w:top w:val="nil"/>
              <w:left w:val="nil"/>
              <w:bottom w:val="single" w:sz="6" w:space="0" w:color="auto"/>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319.5)</w:t>
            </w:r>
          </w:p>
        </w:tc>
        <w:tc>
          <w:tcPr>
            <w:tcW w:w="1608" w:type="dxa"/>
            <w:tcBorders>
              <w:top w:val="nil"/>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3 686.5</w:t>
            </w:r>
          </w:p>
        </w:tc>
        <w:tc>
          <w:tcPr>
            <w:tcW w:w="1608" w:type="dxa"/>
            <w:gridSpan w:val="2"/>
            <w:tcBorders>
              <w:top w:val="nil"/>
              <w:left w:val="nil"/>
              <w:bottom w:val="single" w:sz="6" w:space="0" w:color="auto"/>
              <w:right w:val="nil"/>
            </w:tcBorders>
          </w:tcPr>
          <w:p w:rsidR="00336793" w:rsidRPr="003C06CE" w:rsidRDefault="00336793" w:rsidP="00DF0B96">
            <w:pPr>
              <w:pStyle w:val="TableofFigures"/>
              <w:rPr>
                <w:rFonts w:eastAsiaTheme="minorEastAsia" w:cs="Calibri"/>
                <w:b/>
                <w:bCs/>
                <w:color w:val="000000"/>
                <w:sz w:val="16"/>
                <w:szCs w:val="22"/>
                <w:lang w:eastAsia="en-AU"/>
              </w:rPr>
            </w:pPr>
            <w:r w:rsidRPr="003C06CE">
              <w:rPr>
                <w:rFonts w:eastAsiaTheme="minorEastAsia"/>
                <w:b/>
                <w:bCs/>
                <w:sz w:val="16"/>
                <w:lang w:eastAsia="en-AU"/>
              </w:rPr>
              <w:t xml:space="preserve">(1 </w:t>
            </w:r>
            <w:r w:rsidRPr="003C06CE">
              <w:rPr>
                <w:rFonts w:eastAsiaTheme="minorEastAsia" w:cs="Calibri"/>
                <w:b/>
                <w:bCs/>
                <w:color w:val="000000"/>
                <w:sz w:val="16"/>
                <w:szCs w:val="22"/>
                <w:lang w:eastAsia="en-AU"/>
              </w:rPr>
              <w:t>673.4)</w:t>
            </w:r>
          </w:p>
        </w:tc>
        <w:tc>
          <w:tcPr>
            <w:tcW w:w="1608" w:type="dxa"/>
            <w:tcBorders>
              <w:top w:val="nil"/>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(2 771.1)</w:t>
            </w:r>
          </w:p>
        </w:tc>
        <w:tc>
          <w:tcPr>
            <w:tcW w:w="1608" w:type="dxa"/>
            <w:gridSpan w:val="2"/>
            <w:tcBorders>
              <w:top w:val="nil"/>
              <w:left w:val="nil"/>
              <w:bottom w:val="single" w:sz="6" w:space="0" w:color="auto"/>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553.8)</w:t>
            </w:r>
          </w:p>
        </w:tc>
        <w:tc>
          <w:tcPr>
            <w:tcW w:w="1608" w:type="dxa"/>
            <w:tcBorders>
              <w:top w:val="nil"/>
              <w:left w:val="nil"/>
              <w:bottom w:val="single" w:sz="6"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3 746.3</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983.2)</w:t>
            </w:r>
          </w:p>
        </w:tc>
        <w:tc>
          <w:tcPr>
            <w:tcW w:w="1608" w:type="dxa"/>
            <w:tcBorders>
              <w:top w:val="nil"/>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1 533.0</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595.4)</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310.7)</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b/>
                <w:bCs/>
                <w:color w:val="000000"/>
                <w:sz w:val="16"/>
                <w:szCs w:val="22"/>
                <w:lang w:eastAsia="en-AU"/>
              </w:rPr>
            </w:pPr>
            <w:r w:rsidRPr="003C06CE">
              <w:rPr>
                <w:rFonts w:eastAsiaTheme="minorEastAsia"/>
                <w:b/>
                <w:bCs/>
                <w:sz w:val="16"/>
                <w:lang w:eastAsia="en-AU"/>
              </w:rPr>
              <w:t xml:space="preserve">(1 </w:t>
            </w:r>
            <w:r w:rsidRPr="003C06CE">
              <w:rPr>
                <w:rFonts w:eastAsiaTheme="minorEastAsia" w:cs="Calibri"/>
                <w:b/>
                <w:bCs/>
                <w:sz w:val="16"/>
                <w:szCs w:val="22"/>
                <w:lang w:eastAsia="en-AU"/>
              </w:rPr>
              <w:t>771.0)</w:t>
            </w:r>
          </w:p>
        </w:tc>
        <w:tc>
          <w:tcPr>
            <w:tcW w:w="1608" w:type="dxa"/>
            <w:tcBorders>
              <w:top w:val="nil"/>
              <w:left w:val="nil"/>
              <w:bottom w:val="nil"/>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2 028.4</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5 691.4</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4 158.4</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(2 </w:t>
            </w:r>
            <w:r w:rsidRPr="003C06CE">
              <w:rPr>
                <w:rFonts w:eastAsiaTheme="minorEastAsia" w:cs="Calibri"/>
                <w:sz w:val="16"/>
                <w:szCs w:val="22"/>
                <w:lang w:eastAsia="en-AU"/>
              </w:rPr>
              <w:t>976.1)</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(2 665.4)</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8 281.3</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6 252.9</w:t>
            </w:r>
          </w:p>
        </w:tc>
      </w:tr>
      <w:tr w:rsidR="00336793" w:rsidRPr="003C06CE" w:rsidTr="00DF0B96">
        <w:tc>
          <w:tcPr>
            <w:tcW w:w="2059" w:type="dxa"/>
            <w:gridSpan w:val="2"/>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4 708.2</w:t>
            </w:r>
          </w:p>
        </w:tc>
        <w:tc>
          <w:tcPr>
            <w:tcW w:w="1608" w:type="dxa"/>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5 691.4</w:t>
            </w:r>
          </w:p>
        </w:tc>
        <w:tc>
          <w:tcPr>
            <w:tcW w:w="1608" w:type="dxa"/>
            <w:gridSpan w:val="2"/>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 xml:space="preserve">(3 </w:t>
            </w:r>
            <w:r w:rsidRPr="003C06CE">
              <w:rPr>
                <w:rFonts w:eastAsiaTheme="minorEastAsia" w:cs="Calibri"/>
                <w:b/>
                <w:bCs/>
                <w:sz w:val="16"/>
                <w:szCs w:val="22"/>
                <w:lang w:eastAsia="en-AU"/>
              </w:rPr>
              <w:t>571.5)</w:t>
            </w:r>
          </w:p>
        </w:tc>
        <w:tc>
          <w:tcPr>
            <w:tcW w:w="1608" w:type="dxa"/>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(2 976.1)</w:t>
            </w:r>
          </w:p>
        </w:tc>
        <w:tc>
          <w:tcPr>
            <w:tcW w:w="1608" w:type="dxa"/>
            <w:gridSpan w:val="2"/>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cs="Calibri"/>
                <w:b/>
                <w:bCs/>
                <w:sz w:val="16"/>
                <w:szCs w:val="22"/>
                <w:lang w:eastAsia="en-AU"/>
              </w:rPr>
            </w:pPr>
            <w:r w:rsidRPr="003C06CE">
              <w:rPr>
                <w:rFonts w:eastAsiaTheme="minorEastAsia"/>
                <w:b/>
                <w:bCs/>
                <w:sz w:val="16"/>
                <w:lang w:eastAsia="en-AU"/>
              </w:rPr>
              <w:t>6 510.3</w:t>
            </w:r>
          </w:p>
        </w:tc>
        <w:tc>
          <w:tcPr>
            <w:tcW w:w="1608" w:type="dxa"/>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8 281.3</w:t>
            </w:r>
          </w:p>
        </w:tc>
      </w:tr>
      <w:tr w:rsidR="00336793" w:rsidRPr="003C06CE" w:rsidTr="00DF0B96">
        <w:trPr>
          <w:trHeight w:hRule="exact" w:val="60"/>
        </w:trPr>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995.7</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1 400.9</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817.8)</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384.6)</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5 652.6</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6 856.2</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566.2)</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136.0)</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821.7</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220.5</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w:t>
            </w:r>
          </w:p>
        </w:tc>
      </w:tr>
      <w:tr w:rsidR="00336793" w:rsidRPr="003C06CE" w:rsidTr="00DF0B96">
        <w:tc>
          <w:tcPr>
            <w:tcW w:w="2059" w:type="dxa"/>
            <w:gridSpan w:val="2"/>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30.4)</w:t>
            </w:r>
          </w:p>
        </w:tc>
        <w:tc>
          <w:tcPr>
            <w:tcW w:w="1608" w:type="dxa"/>
            <w:tcBorders>
              <w:top w:val="nil"/>
              <w:left w:val="nil"/>
              <w:bottom w:val="nil"/>
              <w:right w:val="nil"/>
            </w:tcBorders>
          </w:tcPr>
          <w:p w:rsidR="00336793" w:rsidRPr="003C06CE" w:rsidRDefault="00336793" w:rsidP="00DF0B96">
            <w:pPr>
              <w:pStyle w:val="TableofFigures"/>
              <w:rPr>
                <w:rFonts w:eastAsiaTheme="minorEastAsia" w:cs="Calibri"/>
                <w:color w:val="000000"/>
                <w:sz w:val="16"/>
                <w:szCs w:val="22"/>
                <w:lang w:eastAsia="en-AU"/>
              </w:rPr>
            </w:pPr>
            <w:r>
              <w:rPr>
                <w:rFonts w:eastAsiaTheme="minorEastAsia"/>
                <w:sz w:val="16"/>
                <w:lang w:eastAsia="en-AU"/>
              </w:rPr>
              <w:t>(</w:t>
            </w:r>
            <w:r w:rsidRPr="003C06CE">
              <w:rPr>
                <w:rFonts w:eastAsiaTheme="minorEastAsia" w:cs="Calibri"/>
                <w:color w:val="000000"/>
                <w:sz w:val="16"/>
                <w:szCs w:val="22"/>
                <w:lang w:eastAsia="en-AU"/>
              </w:rPr>
              <w:t>18.2)</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 xml:space="preserve"> 20.6</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Pr>
                <w:rFonts w:eastAsiaTheme="minorEastAsia"/>
                <w:sz w:val="16"/>
                <w:lang w:eastAsia="en-AU"/>
              </w:rPr>
              <w:t>..</w:t>
            </w:r>
          </w:p>
        </w:tc>
        <w:tc>
          <w:tcPr>
            <w:tcW w:w="1608" w:type="dxa"/>
            <w:gridSpan w:val="2"/>
            <w:tcBorders>
              <w:top w:val="nil"/>
              <w:left w:val="nil"/>
              <w:bottom w:val="nil"/>
              <w:right w:val="nil"/>
            </w:tcBorders>
          </w:tcPr>
          <w:p w:rsidR="00336793" w:rsidRPr="003C06CE" w:rsidRDefault="00336793" w:rsidP="00DF0B96">
            <w:pPr>
              <w:pStyle w:val="TableofFigures"/>
              <w:rPr>
                <w:rFonts w:eastAsiaTheme="minorEastAsia" w:cs="Calibri"/>
                <w:sz w:val="16"/>
                <w:szCs w:val="22"/>
                <w:lang w:eastAsia="en-AU"/>
              </w:rPr>
            </w:pPr>
            <w:r w:rsidRPr="003C06CE">
              <w:rPr>
                <w:rFonts w:eastAsiaTheme="minorEastAsia"/>
                <w:sz w:val="16"/>
                <w:lang w:eastAsia="en-AU"/>
              </w:rPr>
              <w:t xml:space="preserve">(6 </w:t>
            </w:r>
            <w:r w:rsidRPr="003C06CE">
              <w:rPr>
                <w:rFonts w:eastAsiaTheme="minorEastAsia" w:cs="Calibri"/>
                <w:sz w:val="16"/>
                <w:szCs w:val="22"/>
                <w:lang w:eastAsia="en-AU"/>
              </w:rPr>
              <w:t>020.6)</w:t>
            </w:r>
          </w:p>
        </w:tc>
        <w:tc>
          <w:tcPr>
            <w:tcW w:w="1608" w:type="dxa"/>
            <w:tcBorders>
              <w:top w:val="nil"/>
              <w:left w:val="nil"/>
              <w:bottom w:val="nil"/>
              <w:right w:val="nil"/>
            </w:tcBorders>
          </w:tcPr>
          <w:p w:rsidR="00336793" w:rsidRPr="003C06CE" w:rsidRDefault="00336793" w:rsidP="00DF0B96">
            <w:pPr>
              <w:pStyle w:val="TableofFigures"/>
              <w:rPr>
                <w:rFonts w:eastAsiaTheme="minorEastAsia"/>
                <w:sz w:val="16"/>
                <w:lang w:eastAsia="en-AU"/>
              </w:rPr>
            </w:pPr>
            <w:r w:rsidRPr="003C06CE">
              <w:rPr>
                <w:rFonts w:eastAsiaTheme="minorEastAsia"/>
                <w:sz w:val="16"/>
                <w:lang w:eastAsia="en-AU"/>
              </w:rPr>
              <w:t>(6 838.3)</w:t>
            </w:r>
          </w:p>
        </w:tc>
      </w:tr>
      <w:tr w:rsidR="00336793" w:rsidRPr="003C06CE" w:rsidTr="00DF0B96">
        <w:tc>
          <w:tcPr>
            <w:tcW w:w="2059" w:type="dxa"/>
            <w:gridSpan w:val="2"/>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399.1</w:t>
            </w:r>
          </w:p>
        </w:tc>
        <w:tc>
          <w:tcPr>
            <w:tcW w:w="1608" w:type="dxa"/>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1 246.7</w:t>
            </w:r>
          </w:p>
        </w:tc>
        <w:tc>
          <w:tcPr>
            <w:tcW w:w="1608" w:type="dxa"/>
            <w:gridSpan w:val="2"/>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24.5</w:t>
            </w:r>
          </w:p>
        </w:tc>
        <w:tc>
          <w:tcPr>
            <w:tcW w:w="1608" w:type="dxa"/>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164.0)</w:t>
            </w:r>
          </w:p>
        </w:tc>
        <w:tc>
          <w:tcPr>
            <w:tcW w:w="1608" w:type="dxa"/>
            <w:gridSpan w:val="2"/>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cs="Calibri"/>
                <w:b/>
                <w:bCs/>
                <w:color w:val="000000"/>
                <w:sz w:val="16"/>
                <w:szCs w:val="22"/>
                <w:lang w:eastAsia="en-AU"/>
              </w:rPr>
            </w:pPr>
            <w:r>
              <w:rPr>
                <w:rFonts w:eastAsiaTheme="minorEastAsia"/>
                <w:b/>
                <w:bCs/>
                <w:sz w:val="16"/>
                <w:lang w:eastAsia="en-AU"/>
              </w:rPr>
              <w:t>(</w:t>
            </w:r>
            <w:r w:rsidRPr="003C06CE">
              <w:rPr>
                <w:rFonts w:eastAsiaTheme="minorEastAsia" w:cs="Calibri"/>
                <w:b/>
                <w:bCs/>
                <w:color w:val="000000"/>
                <w:sz w:val="16"/>
                <w:szCs w:val="22"/>
                <w:lang w:eastAsia="en-AU"/>
              </w:rPr>
              <w:t>368.0)</w:t>
            </w:r>
          </w:p>
        </w:tc>
        <w:tc>
          <w:tcPr>
            <w:tcW w:w="1608" w:type="dxa"/>
            <w:tcBorders>
              <w:top w:val="single" w:sz="6" w:space="0" w:color="auto"/>
              <w:left w:val="nil"/>
              <w:bottom w:val="single" w:sz="12" w:space="0" w:color="auto"/>
              <w:right w:val="nil"/>
            </w:tcBorders>
          </w:tcPr>
          <w:p w:rsidR="00336793" w:rsidRPr="003C06CE" w:rsidRDefault="00336793" w:rsidP="00DF0B96">
            <w:pPr>
              <w:pStyle w:val="TableofFigures"/>
              <w:rPr>
                <w:rFonts w:eastAsiaTheme="minorEastAsia"/>
                <w:b/>
                <w:bCs/>
                <w:sz w:val="16"/>
                <w:lang w:eastAsia="en-AU"/>
              </w:rPr>
            </w:pPr>
            <w:r w:rsidRPr="003C06CE">
              <w:rPr>
                <w:rFonts w:eastAsiaTheme="minorEastAsia"/>
                <w:b/>
                <w:bCs/>
                <w:sz w:val="16"/>
                <w:lang w:eastAsia="en-AU"/>
              </w:rPr>
              <w:t xml:space="preserve"> 17.9</w:t>
            </w:r>
          </w:p>
        </w:tc>
      </w:tr>
    </w:tbl>
    <w:p w:rsidR="00336793" w:rsidRDefault="00336793" w:rsidP="00DF0B96"/>
    <w:p w:rsidR="00336793" w:rsidRDefault="00336793" w:rsidP="00DF0B96">
      <w:pPr>
        <w:sectPr w:rsidR="00336793" w:rsidSect="00DF0B96">
          <w:headerReference w:type="even" r:id="rId40"/>
          <w:headerReference w:type="default" r:id="rId41"/>
          <w:footerReference w:type="even" r:id="rId42"/>
          <w:footerReference w:type="default" r:id="rId43"/>
          <w:headerReference w:type="first" r:id="rId44"/>
          <w:footerReference w:type="first" r:id="rId45"/>
          <w:pgSz w:w="11906" w:h="16838" w:code="9"/>
          <w:pgMar w:top="1152" w:right="1152" w:bottom="1152" w:left="1152" w:header="720" w:footer="720" w:gutter="0"/>
          <w:cols w:space="708"/>
          <w:docGrid w:linePitch="360"/>
        </w:sectPr>
      </w:pPr>
    </w:p>
    <w:p w:rsidR="00336793" w:rsidRPr="006B2B2E" w:rsidRDefault="00336793" w:rsidP="00146F9C">
      <w:pPr>
        <w:pStyle w:val="Heading2NotesContd"/>
        <w:spacing w:before="120" w:after="240"/>
        <w:rPr>
          <w:i/>
        </w:rPr>
      </w:pPr>
      <w:r w:rsidRPr="006A75A2">
        <w:lastRenderedPageBreak/>
        <w:t>Note 2:</w:t>
      </w:r>
      <w:r w:rsidRPr="006A75A2">
        <w:tab/>
        <w:t>Disaggregated information</w:t>
      </w:r>
      <w:r>
        <w:t xml:space="preserve"> </w:t>
      </w:r>
      <w:r>
        <w:rPr>
          <w:i/>
        </w:rPr>
        <w:t>(continued)</w:t>
      </w:r>
    </w:p>
    <w:p w:rsidR="00336793" w:rsidRDefault="00336793" w:rsidP="00DF0B96">
      <w:pPr>
        <w:pStyle w:val="Tableheading"/>
      </w:pPr>
      <w:r w:rsidRPr="006A75A2">
        <w:t>Disaggregated statement of changes in equity for the financial year ended 30 June</w:t>
      </w:r>
    </w:p>
    <w:p w:rsidR="00336793" w:rsidRPr="00941F2A"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4517"/>
        <w:gridCol w:w="270"/>
        <w:gridCol w:w="45"/>
        <w:gridCol w:w="45"/>
        <w:gridCol w:w="1080"/>
        <w:gridCol w:w="1440"/>
        <w:gridCol w:w="1440"/>
        <w:gridCol w:w="1956"/>
        <w:gridCol w:w="1822"/>
        <w:gridCol w:w="869"/>
        <w:gridCol w:w="1086"/>
      </w:tblGrid>
      <w:tr w:rsidR="00336793" w:rsidRPr="00941F2A" w:rsidTr="003453EB">
        <w:tc>
          <w:tcPr>
            <w:tcW w:w="4517" w:type="dxa"/>
            <w:tcBorders>
              <w:top w:val="single" w:sz="6" w:space="0" w:color="auto"/>
              <w:left w:val="single" w:sz="6" w:space="0" w:color="auto"/>
              <w:bottom w:val="single" w:sz="6" w:space="0" w:color="auto"/>
              <w:right w:val="nil"/>
            </w:tcBorders>
            <w:shd w:val="clear" w:color="000000" w:fill="000000"/>
          </w:tcPr>
          <w:p w:rsidR="00336793" w:rsidRPr="00941F2A" w:rsidRDefault="00336793" w:rsidP="00DF0B96">
            <w:pPr>
              <w:pStyle w:val="Tabletext"/>
              <w:rPr>
                <w:rFonts w:eastAsiaTheme="minorEastAsia"/>
                <w:i/>
                <w:sz w:val="21"/>
                <w:lang w:eastAsia="en-AU"/>
              </w:rPr>
            </w:pPr>
          </w:p>
          <w:p w:rsidR="00336793" w:rsidRPr="00941F2A" w:rsidRDefault="00336793" w:rsidP="00DF0B96">
            <w:pPr>
              <w:pStyle w:val="Tabletext"/>
              <w:rPr>
                <w:rFonts w:eastAsiaTheme="minorEastAsia"/>
                <w:i/>
                <w:sz w:val="21"/>
                <w:lang w:eastAsia="en-AU"/>
              </w:rPr>
            </w:pPr>
          </w:p>
          <w:p w:rsidR="00336793" w:rsidRPr="00941F2A" w:rsidRDefault="00336793" w:rsidP="00DF0B96">
            <w:pPr>
              <w:pStyle w:val="Tabletext"/>
              <w:rPr>
                <w:rFonts w:eastAsiaTheme="minorEastAsia"/>
                <w:i/>
                <w:sz w:val="21"/>
                <w:lang w:eastAsia="en-AU"/>
              </w:rPr>
            </w:pPr>
            <w:r w:rsidRPr="00941F2A">
              <w:rPr>
                <w:rFonts w:eastAsiaTheme="minorEastAsia"/>
                <w:i/>
                <w:sz w:val="21"/>
                <w:lang w:eastAsia="en-AU"/>
              </w:rPr>
              <w:t>2015</w:t>
            </w:r>
          </w:p>
        </w:tc>
        <w:tc>
          <w:tcPr>
            <w:tcW w:w="1440" w:type="dxa"/>
            <w:gridSpan w:val="4"/>
            <w:tcBorders>
              <w:top w:val="single" w:sz="6" w:space="0" w:color="auto"/>
              <w:left w:val="nil"/>
              <w:bottom w:val="single" w:sz="6" w:space="0" w:color="auto"/>
              <w:right w:val="nil"/>
            </w:tcBorders>
            <w:shd w:val="clear" w:color="000000" w:fill="000000"/>
          </w:tcPr>
          <w:p w:rsidR="00336793" w:rsidRPr="00941F2A" w:rsidRDefault="00336793" w:rsidP="00DF0B96">
            <w:pPr>
              <w:pStyle w:val="Tabletextheading"/>
              <w:rPr>
                <w:rFonts w:eastAsiaTheme="minorEastAsia"/>
                <w:color w:val="FFFFFF"/>
                <w:sz w:val="21"/>
                <w:lang w:eastAsia="en-AU"/>
              </w:rPr>
            </w:pPr>
          </w:p>
          <w:p w:rsidR="00336793" w:rsidRPr="00941F2A" w:rsidRDefault="00336793" w:rsidP="00DF0B96">
            <w:pPr>
              <w:pStyle w:val="Tabletextheading"/>
              <w:rPr>
                <w:rFonts w:eastAsiaTheme="minorEastAsia"/>
                <w:color w:val="FFFFFF"/>
                <w:sz w:val="21"/>
                <w:lang w:eastAsia="en-AU"/>
              </w:rPr>
            </w:pPr>
            <w:r w:rsidRPr="00941F2A">
              <w:rPr>
                <w:rFonts w:eastAsiaTheme="minorEastAsia"/>
                <w:color w:val="FFFFFF"/>
                <w:sz w:val="21"/>
                <w:lang w:eastAsia="en-AU"/>
              </w:rPr>
              <w:t>Accumulated surplus/(deficit)</w:t>
            </w:r>
          </w:p>
        </w:tc>
        <w:tc>
          <w:tcPr>
            <w:tcW w:w="1440" w:type="dxa"/>
            <w:tcBorders>
              <w:top w:val="single" w:sz="6" w:space="0" w:color="auto"/>
              <w:left w:val="nil"/>
              <w:bottom w:val="single" w:sz="6" w:space="0" w:color="auto"/>
              <w:right w:val="nil"/>
            </w:tcBorders>
            <w:shd w:val="clear" w:color="000000" w:fill="000000"/>
          </w:tcPr>
          <w:p w:rsidR="00336793" w:rsidRPr="00941F2A" w:rsidRDefault="00336793" w:rsidP="00DF0B96">
            <w:pPr>
              <w:pStyle w:val="Tabletextheading"/>
              <w:rPr>
                <w:rFonts w:eastAsiaTheme="minorEastAsia"/>
                <w:color w:val="FFFFFF"/>
                <w:sz w:val="21"/>
                <w:lang w:eastAsia="en-AU"/>
              </w:rPr>
            </w:pPr>
          </w:p>
          <w:p w:rsidR="00336793" w:rsidRPr="00941F2A" w:rsidRDefault="00336793" w:rsidP="00DF0B96">
            <w:pPr>
              <w:pStyle w:val="Tabletextheading"/>
              <w:rPr>
                <w:rFonts w:eastAsiaTheme="minorEastAsia"/>
                <w:color w:val="FFFFFF"/>
                <w:sz w:val="21"/>
                <w:lang w:eastAsia="en-AU"/>
              </w:rPr>
            </w:pPr>
            <w:r w:rsidRPr="00941F2A">
              <w:rPr>
                <w:rFonts w:eastAsiaTheme="minorEastAsia"/>
                <w:color w:val="FFFFFF"/>
                <w:sz w:val="21"/>
                <w:lang w:eastAsia="en-AU"/>
              </w:rPr>
              <w:t>Contribution by owners</w:t>
            </w:r>
          </w:p>
        </w:tc>
        <w:tc>
          <w:tcPr>
            <w:tcW w:w="1440" w:type="dxa"/>
            <w:tcBorders>
              <w:top w:val="single" w:sz="6" w:space="0" w:color="auto"/>
              <w:left w:val="nil"/>
              <w:bottom w:val="single" w:sz="6" w:space="0" w:color="auto"/>
              <w:right w:val="nil"/>
            </w:tcBorders>
            <w:shd w:val="clear" w:color="000000" w:fill="000000"/>
            <w:vAlign w:val="bottom"/>
          </w:tcPr>
          <w:p w:rsidR="00336793" w:rsidRPr="00941F2A" w:rsidRDefault="00336793" w:rsidP="003453EB">
            <w:pPr>
              <w:pStyle w:val="Tabletextheading"/>
              <w:rPr>
                <w:rFonts w:eastAsiaTheme="minorEastAsia"/>
                <w:color w:val="FFFFFF"/>
                <w:sz w:val="21"/>
                <w:lang w:eastAsia="en-AU"/>
              </w:rPr>
            </w:pPr>
            <w:r w:rsidRPr="00941F2A">
              <w:rPr>
                <w:rFonts w:eastAsiaTheme="minorEastAsia"/>
                <w:color w:val="FFFFFF"/>
                <w:sz w:val="21"/>
                <w:lang w:eastAsia="en-AU"/>
              </w:rPr>
              <w:t>Non</w:t>
            </w:r>
            <w:r>
              <w:rPr>
                <w:rFonts w:eastAsiaTheme="minorEastAsia"/>
                <w:color w:val="FFFFFF"/>
                <w:sz w:val="21"/>
                <w:lang w:eastAsia="en-AU"/>
              </w:rPr>
              <w:noBreakHyphen/>
            </w:r>
            <w:r w:rsidRPr="00941F2A">
              <w:rPr>
                <w:rFonts w:eastAsiaTheme="minorEastAsia"/>
                <w:color w:val="FFFFFF"/>
                <w:sz w:val="21"/>
                <w:lang w:eastAsia="en-AU"/>
              </w:rPr>
              <w:t>controlling Interest</w:t>
            </w:r>
          </w:p>
        </w:tc>
        <w:tc>
          <w:tcPr>
            <w:tcW w:w="1956" w:type="dxa"/>
            <w:tcBorders>
              <w:top w:val="single" w:sz="6" w:space="0" w:color="auto"/>
              <w:left w:val="nil"/>
              <w:bottom w:val="single" w:sz="6" w:space="0" w:color="auto"/>
              <w:right w:val="nil"/>
            </w:tcBorders>
            <w:shd w:val="clear" w:color="000000" w:fill="000000"/>
            <w:vAlign w:val="bottom"/>
          </w:tcPr>
          <w:p w:rsidR="00336793" w:rsidRPr="00941F2A" w:rsidRDefault="00336793" w:rsidP="003453EB">
            <w:pPr>
              <w:pStyle w:val="Tabletextheading"/>
              <w:rPr>
                <w:rFonts w:eastAsiaTheme="minorEastAsia"/>
                <w:color w:val="FFFFFF"/>
                <w:sz w:val="21"/>
                <w:lang w:eastAsia="en-AU"/>
              </w:rPr>
            </w:pPr>
            <w:r w:rsidRPr="00941F2A">
              <w:rPr>
                <w:rFonts w:eastAsiaTheme="minorEastAsia"/>
                <w:color w:val="FFFFFF"/>
                <w:sz w:val="21"/>
                <w:lang w:eastAsia="en-AU"/>
              </w:rPr>
              <w:t>Non</w:t>
            </w:r>
            <w:r>
              <w:rPr>
                <w:rFonts w:eastAsiaTheme="minorEastAsia"/>
                <w:color w:val="FFFFFF"/>
                <w:sz w:val="21"/>
                <w:lang w:eastAsia="en-AU"/>
              </w:rPr>
              <w:noBreakHyphen/>
            </w:r>
            <w:r w:rsidRPr="00941F2A">
              <w:rPr>
                <w:rFonts w:eastAsiaTheme="minorEastAsia"/>
                <w:color w:val="FFFFFF"/>
                <w:sz w:val="21"/>
                <w:lang w:eastAsia="en-AU"/>
              </w:rPr>
              <w:t>financial assets</w:t>
            </w:r>
          </w:p>
          <w:p w:rsidR="00336793" w:rsidRPr="00941F2A" w:rsidRDefault="00336793" w:rsidP="003453EB">
            <w:pPr>
              <w:pStyle w:val="Tabletextheading"/>
              <w:rPr>
                <w:rFonts w:eastAsiaTheme="minorEastAsia"/>
                <w:color w:val="FFFFFF"/>
                <w:sz w:val="21"/>
                <w:lang w:eastAsia="en-AU"/>
              </w:rPr>
            </w:pPr>
            <w:r w:rsidRPr="00941F2A">
              <w:rPr>
                <w:rFonts w:eastAsiaTheme="minorEastAsia"/>
                <w:color w:val="FFFFFF"/>
                <w:sz w:val="21"/>
                <w:lang w:eastAsia="en-AU"/>
              </w:rPr>
              <w:t xml:space="preserve"> revaluation surplus</w:t>
            </w:r>
            <w:r w:rsidRPr="00941F2A">
              <w:rPr>
                <w:rFonts w:eastAsiaTheme="minorEastAsia"/>
                <w:color w:val="FFFFFF"/>
                <w:sz w:val="21"/>
                <w:vertAlign w:val="superscript"/>
                <w:lang w:eastAsia="en-AU"/>
              </w:rPr>
              <w:t>(a)</w:t>
            </w:r>
          </w:p>
        </w:tc>
        <w:tc>
          <w:tcPr>
            <w:tcW w:w="1822" w:type="dxa"/>
            <w:tcBorders>
              <w:top w:val="single" w:sz="6" w:space="0" w:color="auto"/>
              <w:left w:val="nil"/>
              <w:bottom w:val="single" w:sz="6" w:space="0" w:color="auto"/>
              <w:right w:val="nil"/>
            </w:tcBorders>
            <w:shd w:val="clear" w:color="000000" w:fill="000000"/>
            <w:vAlign w:val="bottom"/>
          </w:tcPr>
          <w:p w:rsidR="00336793" w:rsidRPr="00941F2A" w:rsidRDefault="00336793" w:rsidP="003453EB">
            <w:pPr>
              <w:pStyle w:val="Tabletextheading"/>
              <w:rPr>
                <w:rFonts w:eastAsiaTheme="minorEastAsia"/>
                <w:color w:val="FFFFFF"/>
                <w:sz w:val="21"/>
                <w:lang w:eastAsia="en-AU"/>
              </w:rPr>
            </w:pPr>
            <w:r w:rsidRPr="00941F2A">
              <w:rPr>
                <w:rFonts w:eastAsiaTheme="minorEastAsia"/>
                <w:color w:val="FFFFFF"/>
                <w:sz w:val="21"/>
                <w:lang w:eastAsia="en-AU"/>
              </w:rPr>
              <w:t>Investment in other sector entities revaluation surplus</w:t>
            </w:r>
          </w:p>
        </w:tc>
        <w:tc>
          <w:tcPr>
            <w:tcW w:w="869" w:type="dxa"/>
            <w:tcBorders>
              <w:top w:val="single" w:sz="6" w:space="0" w:color="auto"/>
              <w:left w:val="nil"/>
              <w:bottom w:val="single" w:sz="6" w:space="0" w:color="auto"/>
              <w:right w:val="nil"/>
            </w:tcBorders>
            <w:shd w:val="clear" w:color="000000" w:fill="000000"/>
            <w:vAlign w:val="bottom"/>
          </w:tcPr>
          <w:p w:rsidR="00336793" w:rsidRPr="00941F2A" w:rsidRDefault="00336793" w:rsidP="003453EB">
            <w:pPr>
              <w:pStyle w:val="Tabletextheading"/>
              <w:rPr>
                <w:rFonts w:eastAsiaTheme="minorEastAsia"/>
                <w:color w:val="FFFFFF"/>
                <w:sz w:val="21"/>
                <w:lang w:eastAsia="en-AU"/>
              </w:rPr>
            </w:pPr>
          </w:p>
          <w:p w:rsidR="00336793" w:rsidRPr="00941F2A" w:rsidRDefault="00336793" w:rsidP="003453EB">
            <w:pPr>
              <w:pStyle w:val="Tabletextheading"/>
              <w:rPr>
                <w:rFonts w:eastAsiaTheme="minorEastAsia"/>
                <w:color w:val="FFFFFF"/>
                <w:sz w:val="21"/>
                <w:lang w:eastAsia="en-AU"/>
              </w:rPr>
            </w:pPr>
            <w:r w:rsidRPr="00941F2A">
              <w:rPr>
                <w:rFonts w:eastAsiaTheme="minorEastAsia"/>
                <w:color w:val="FFFFFF"/>
                <w:sz w:val="21"/>
                <w:lang w:eastAsia="en-AU"/>
              </w:rPr>
              <w:t xml:space="preserve">Other </w:t>
            </w:r>
          </w:p>
          <w:p w:rsidR="00336793" w:rsidRPr="00941F2A" w:rsidRDefault="00336793" w:rsidP="003453EB">
            <w:pPr>
              <w:pStyle w:val="Tabletextheading"/>
              <w:rPr>
                <w:rFonts w:eastAsiaTheme="minorEastAsia"/>
                <w:color w:val="FFFFFF"/>
                <w:sz w:val="21"/>
                <w:lang w:eastAsia="en-AU"/>
              </w:rPr>
            </w:pPr>
            <w:r w:rsidRPr="00941F2A">
              <w:rPr>
                <w:rFonts w:eastAsiaTheme="minorEastAsia"/>
                <w:color w:val="FFFFFF"/>
                <w:sz w:val="21"/>
                <w:lang w:eastAsia="en-AU"/>
              </w:rPr>
              <w:t>reserves</w:t>
            </w:r>
          </w:p>
        </w:tc>
        <w:tc>
          <w:tcPr>
            <w:tcW w:w="1086" w:type="dxa"/>
            <w:tcBorders>
              <w:top w:val="single" w:sz="6" w:space="0" w:color="auto"/>
              <w:left w:val="nil"/>
              <w:bottom w:val="single" w:sz="6" w:space="0" w:color="auto"/>
              <w:right w:val="single" w:sz="6" w:space="0" w:color="auto"/>
            </w:tcBorders>
            <w:shd w:val="clear" w:color="000000" w:fill="000000"/>
            <w:vAlign w:val="bottom"/>
          </w:tcPr>
          <w:p w:rsidR="00336793" w:rsidRPr="00941F2A" w:rsidRDefault="00336793" w:rsidP="003453EB">
            <w:pPr>
              <w:pStyle w:val="Tabletextheading"/>
              <w:rPr>
                <w:rFonts w:eastAsiaTheme="minorEastAsia"/>
                <w:color w:val="FFFFFF"/>
                <w:sz w:val="21"/>
                <w:lang w:eastAsia="en-AU"/>
              </w:rPr>
            </w:pPr>
          </w:p>
          <w:p w:rsidR="00336793" w:rsidRPr="00941F2A" w:rsidRDefault="00336793" w:rsidP="003453EB">
            <w:pPr>
              <w:pStyle w:val="Tabletextheading"/>
              <w:rPr>
                <w:rFonts w:eastAsiaTheme="minorEastAsia"/>
                <w:color w:val="FFFFFF"/>
                <w:sz w:val="21"/>
                <w:lang w:eastAsia="en-AU"/>
              </w:rPr>
            </w:pPr>
          </w:p>
          <w:p w:rsidR="00336793" w:rsidRPr="00941F2A" w:rsidRDefault="00336793" w:rsidP="003453EB">
            <w:pPr>
              <w:pStyle w:val="Tabletextheading"/>
              <w:rPr>
                <w:rFonts w:eastAsiaTheme="minorEastAsia"/>
                <w:color w:val="FFFFFF"/>
                <w:sz w:val="21"/>
                <w:lang w:eastAsia="en-AU"/>
              </w:rPr>
            </w:pPr>
            <w:r w:rsidRPr="00941F2A">
              <w:rPr>
                <w:rFonts w:eastAsiaTheme="minorEastAsia"/>
                <w:color w:val="FFFFFF"/>
                <w:sz w:val="21"/>
                <w:lang w:eastAsia="en-AU"/>
              </w:rPr>
              <w:t>Total</w:t>
            </w:r>
          </w:p>
        </w:tc>
      </w:tr>
      <w:tr w:rsidR="00336793" w:rsidRPr="00941F2A" w:rsidTr="00DF0B96">
        <w:tc>
          <w:tcPr>
            <w:tcW w:w="4517" w:type="dxa"/>
            <w:tcBorders>
              <w:top w:val="single" w:sz="6" w:space="0" w:color="auto"/>
              <w:left w:val="nil"/>
              <w:bottom w:val="nil"/>
              <w:right w:val="nil"/>
            </w:tcBorders>
          </w:tcPr>
          <w:p w:rsidR="00336793" w:rsidRPr="00941F2A" w:rsidRDefault="00336793" w:rsidP="00DF0B96">
            <w:pPr>
              <w:pStyle w:val="Tabletext"/>
              <w:rPr>
                <w:rFonts w:eastAsiaTheme="minorEastAsia"/>
                <w:b/>
                <w:bCs/>
                <w:sz w:val="21"/>
                <w:lang w:eastAsia="en-AU"/>
              </w:rPr>
            </w:pPr>
            <w:r w:rsidRPr="00941F2A">
              <w:rPr>
                <w:rFonts w:eastAsiaTheme="minorEastAsia"/>
                <w:b/>
                <w:bCs/>
                <w:sz w:val="21"/>
                <w:lang w:eastAsia="en-AU"/>
              </w:rPr>
              <w:t>General government sector</w:t>
            </w:r>
          </w:p>
        </w:tc>
        <w:tc>
          <w:tcPr>
            <w:tcW w:w="1440" w:type="dxa"/>
            <w:gridSpan w:val="4"/>
            <w:tcBorders>
              <w:top w:val="single" w:sz="6" w:space="0" w:color="auto"/>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440"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440"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956"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822"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869"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086" w:type="dxa"/>
            <w:tcBorders>
              <w:top w:val="single" w:sz="6" w:space="0" w:color="auto"/>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Balance at 1 July 2014</w:t>
            </w:r>
            <w:r w:rsidRPr="00E96950">
              <w:rPr>
                <w:rFonts w:eastAsiaTheme="minorEastAsia"/>
                <w:sz w:val="21"/>
                <w:vertAlign w:val="superscript"/>
                <w:lang w:eastAsia="en-AU"/>
              </w:rPr>
              <w:t xml:space="preserve"> (</w:t>
            </w:r>
            <w:r w:rsidRPr="00941F2A">
              <w:rPr>
                <w:rFonts w:eastAsiaTheme="minorEastAsia"/>
                <w:sz w:val="21"/>
                <w:vertAlign w:val="superscript"/>
                <w:lang w:eastAsia="en-AU"/>
              </w:rPr>
              <w:t>b)</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43 634.6</w:t>
            </w:r>
          </w:p>
        </w:tc>
        <w:tc>
          <w:tcPr>
            <w:tcW w:w="1440" w:type="dxa"/>
            <w:tcBorders>
              <w:top w:val="nil"/>
              <w:left w:val="nil"/>
              <w:bottom w:val="nil"/>
              <w:right w:val="nil"/>
            </w:tcBorders>
            <w:shd w:val="solid" w:color="FFFFFF" w:fill="auto"/>
          </w:tcPr>
          <w:p w:rsidR="00336793" w:rsidRPr="00941F2A" w:rsidRDefault="00336793" w:rsidP="00DF0B96">
            <w:pPr>
              <w:pStyle w:val="TableofFigures"/>
              <w:rPr>
                <w:rFonts w:eastAsiaTheme="minorEastAsia"/>
                <w:sz w:val="21"/>
                <w:lang w:eastAsia="en-AU"/>
              </w:rPr>
            </w:pPr>
            <w:r>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50.0</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41 965.2</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42 187.3</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640.3</w:t>
            </w:r>
          </w:p>
        </w:tc>
        <w:tc>
          <w:tcPr>
            <w:tcW w:w="108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128 477.4</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Net result for the year</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748.8</w:t>
            </w:r>
          </w:p>
        </w:tc>
        <w:tc>
          <w:tcPr>
            <w:tcW w:w="1440" w:type="dxa"/>
            <w:tcBorders>
              <w:top w:val="nil"/>
              <w:left w:val="nil"/>
              <w:bottom w:val="nil"/>
              <w:right w:val="nil"/>
            </w:tcBorders>
            <w:shd w:val="solid" w:color="FFFFFF" w:fill="auto"/>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08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748.8</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Other comprehensive income for the year</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270.4</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cs="Calibri"/>
                <w:color w:val="000000"/>
                <w:sz w:val="21"/>
                <w:szCs w:val="22"/>
                <w:lang w:eastAsia="en-AU"/>
              </w:rPr>
            </w:pPr>
            <w:r w:rsidRPr="00941F2A">
              <w:rPr>
                <w:rFonts w:eastAsiaTheme="minorEastAsia"/>
                <w:sz w:val="21"/>
                <w:lang w:eastAsia="en-AU"/>
              </w:rPr>
              <w:t>2 524.4</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4 225.6</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87.9</w:t>
            </w:r>
          </w:p>
        </w:tc>
        <w:tc>
          <w:tcPr>
            <w:tcW w:w="108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7 108.3</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Transfer to accumulated surplus</w:t>
            </w:r>
            <w:r w:rsidRPr="00E96950">
              <w:rPr>
                <w:rFonts w:eastAsiaTheme="minorEastAsia"/>
                <w:sz w:val="21"/>
                <w:vertAlign w:val="superscript"/>
                <w:lang w:eastAsia="en-AU"/>
              </w:rPr>
              <w:t xml:space="preserve"> (</w:t>
            </w:r>
            <w:r w:rsidRPr="00941F2A">
              <w:rPr>
                <w:rFonts w:eastAsiaTheme="minorEastAsia"/>
                <w:sz w:val="21"/>
                <w:vertAlign w:val="superscript"/>
                <w:lang w:eastAsia="en-AU"/>
              </w:rPr>
              <w:t>c)</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cs="Calibri"/>
                <w:color w:val="000000"/>
                <w:sz w:val="21"/>
                <w:szCs w:val="22"/>
                <w:lang w:eastAsia="en-AU"/>
              </w:rPr>
            </w:pPr>
            <w:r w:rsidRPr="00941F2A">
              <w:rPr>
                <w:rFonts w:eastAsiaTheme="minorEastAsia"/>
                <w:sz w:val="21"/>
                <w:lang w:eastAsia="en-AU"/>
              </w:rPr>
              <w:t>1 134.7</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cs="Calibri"/>
                <w:color w:val="000000"/>
                <w:sz w:val="21"/>
                <w:szCs w:val="22"/>
                <w:lang w:eastAsia="en-AU"/>
              </w:rPr>
            </w:pPr>
            <w:r w:rsidRPr="00941F2A">
              <w:rPr>
                <w:rFonts w:eastAsiaTheme="minorEastAsia"/>
                <w:sz w:val="21"/>
                <w:lang w:eastAsia="en-AU"/>
              </w:rPr>
              <w:t xml:space="preserve">(1 </w:t>
            </w:r>
            <w:r w:rsidRPr="00941F2A">
              <w:rPr>
                <w:rFonts w:eastAsiaTheme="minorEastAsia" w:cs="Calibri"/>
                <w:color w:val="000000"/>
                <w:sz w:val="21"/>
                <w:szCs w:val="22"/>
                <w:lang w:eastAsia="en-AU"/>
              </w:rPr>
              <w:t>134.7)</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086"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p>
        </w:tc>
      </w:tr>
      <w:tr w:rsidR="00336793" w:rsidRPr="00941F2A" w:rsidTr="00DF0B96">
        <w:tc>
          <w:tcPr>
            <w:tcW w:w="4832" w:type="dxa"/>
            <w:gridSpan w:val="3"/>
            <w:tcBorders>
              <w:top w:val="nil"/>
              <w:left w:val="nil"/>
              <w:bottom w:val="single" w:sz="6" w:space="0" w:color="auto"/>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Transactions with owners in their capacity as owners</w:t>
            </w:r>
          </w:p>
        </w:tc>
        <w:tc>
          <w:tcPr>
            <w:tcW w:w="1125" w:type="dxa"/>
            <w:gridSpan w:val="2"/>
            <w:tcBorders>
              <w:top w:val="nil"/>
              <w:left w:val="nil"/>
              <w:bottom w:val="single" w:sz="6" w:space="0" w:color="auto"/>
              <w:right w:val="nil"/>
            </w:tcBorders>
            <w:shd w:val="solid" w:color="FFFFFF" w:fill="auto"/>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822"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086"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r>
      <w:tr w:rsidR="00336793" w:rsidRPr="00941F2A" w:rsidTr="00DF0B96">
        <w:tc>
          <w:tcPr>
            <w:tcW w:w="4517" w:type="dxa"/>
            <w:tcBorders>
              <w:top w:val="nil"/>
              <w:left w:val="nil"/>
              <w:bottom w:val="single" w:sz="12" w:space="0" w:color="auto"/>
              <w:right w:val="nil"/>
            </w:tcBorders>
          </w:tcPr>
          <w:p w:rsidR="00336793" w:rsidRPr="00941F2A" w:rsidRDefault="00336793" w:rsidP="00DF0B96">
            <w:pPr>
              <w:pStyle w:val="Tabletext"/>
              <w:rPr>
                <w:rFonts w:eastAsiaTheme="minorEastAsia"/>
                <w:b/>
                <w:bCs/>
                <w:sz w:val="21"/>
                <w:lang w:eastAsia="en-AU"/>
              </w:rPr>
            </w:pPr>
            <w:r w:rsidRPr="00941F2A">
              <w:rPr>
                <w:rFonts w:eastAsiaTheme="minorEastAsia"/>
                <w:b/>
                <w:bCs/>
                <w:sz w:val="21"/>
                <w:lang w:eastAsia="en-AU"/>
              </w:rPr>
              <w:t>Total equity as at 30 June 2015</w:t>
            </w:r>
          </w:p>
        </w:tc>
        <w:tc>
          <w:tcPr>
            <w:tcW w:w="1440" w:type="dxa"/>
            <w:gridSpan w:val="4"/>
            <w:tcBorders>
              <w:top w:val="nil"/>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45 788.5</w:t>
            </w:r>
          </w:p>
        </w:tc>
        <w:tc>
          <w:tcPr>
            <w:tcW w:w="1440" w:type="dxa"/>
            <w:tcBorders>
              <w:top w:val="nil"/>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Pr>
                <w:rFonts w:eastAsiaTheme="minorEastAsia"/>
                <w:b/>
                <w:bCs/>
                <w:sz w:val="21"/>
                <w:lang w:eastAsia="en-AU"/>
              </w:rPr>
              <w:t>..</w:t>
            </w:r>
          </w:p>
        </w:tc>
        <w:tc>
          <w:tcPr>
            <w:tcW w:w="1440" w:type="dxa"/>
            <w:tcBorders>
              <w:top w:val="nil"/>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50.0</w:t>
            </w:r>
          </w:p>
        </w:tc>
        <w:tc>
          <w:tcPr>
            <w:tcW w:w="1956" w:type="dxa"/>
            <w:tcBorders>
              <w:top w:val="nil"/>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43 354.8</w:t>
            </w:r>
          </w:p>
        </w:tc>
        <w:tc>
          <w:tcPr>
            <w:tcW w:w="1822" w:type="dxa"/>
            <w:tcBorders>
              <w:top w:val="nil"/>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46 413.0</w:t>
            </w:r>
          </w:p>
        </w:tc>
        <w:tc>
          <w:tcPr>
            <w:tcW w:w="869" w:type="dxa"/>
            <w:tcBorders>
              <w:top w:val="nil"/>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728.2</w:t>
            </w:r>
          </w:p>
        </w:tc>
        <w:tc>
          <w:tcPr>
            <w:tcW w:w="1086" w:type="dxa"/>
            <w:tcBorders>
              <w:top w:val="nil"/>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136 334.5</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b/>
                <w:bCs/>
                <w:sz w:val="21"/>
                <w:lang w:eastAsia="en-AU"/>
              </w:rPr>
            </w:pPr>
            <w:r w:rsidRPr="00941F2A">
              <w:rPr>
                <w:rFonts w:eastAsiaTheme="minorEastAsia"/>
                <w:b/>
                <w:bCs/>
                <w:sz w:val="21"/>
                <w:lang w:eastAsia="en-AU"/>
              </w:rPr>
              <w:t>PNFC sector</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440" w:type="dxa"/>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440" w:type="dxa"/>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956" w:type="dxa"/>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822" w:type="dxa"/>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869" w:type="dxa"/>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086" w:type="dxa"/>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Balance at 1 July 2014</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5 094.5</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32 963.0</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34 576.1</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339.6</w:t>
            </w:r>
          </w:p>
        </w:tc>
        <w:tc>
          <w:tcPr>
            <w:tcW w:w="108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72 973.2</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Net result for the year</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49.8)</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086"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49.8)</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Other comprehensive income for the year</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62.5)</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cs="Calibri"/>
                <w:color w:val="000000"/>
                <w:sz w:val="21"/>
                <w:szCs w:val="22"/>
                <w:lang w:eastAsia="en-AU"/>
              </w:rPr>
            </w:pPr>
            <w:r w:rsidRPr="00941F2A">
              <w:rPr>
                <w:rFonts w:eastAsiaTheme="minorEastAsia"/>
                <w:sz w:val="21"/>
                <w:lang w:eastAsia="en-AU"/>
              </w:rPr>
              <w:t>3 862.2</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97.7</w:t>
            </w:r>
          </w:p>
        </w:tc>
        <w:tc>
          <w:tcPr>
            <w:tcW w:w="1086" w:type="dxa"/>
            <w:tcBorders>
              <w:top w:val="nil"/>
              <w:left w:val="nil"/>
              <w:bottom w:val="nil"/>
              <w:right w:val="nil"/>
            </w:tcBorders>
          </w:tcPr>
          <w:p w:rsidR="00336793" w:rsidRPr="00941F2A" w:rsidRDefault="00336793" w:rsidP="00DF0B96">
            <w:pPr>
              <w:pStyle w:val="TableofFigures"/>
              <w:rPr>
                <w:rFonts w:eastAsiaTheme="minorEastAsia" w:cs="Calibri"/>
                <w:color w:val="000000"/>
                <w:sz w:val="21"/>
                <w:szCs w:val="22"/>
                <w:lang w:eastAsia="en-AU"/>
              </w:rPr>
            </w:pPr>
            <w:r w:rsidRPr="00941F2A">
              <w:rPr>
                <w:rFonts w:eastAsiaTheme="minorEastAsia"/>
                <w:sz w:val="21"/>
                <w:lang w:eastAsia="en-AU"/>
              </w:rPr>
              <w:t>3 897.5</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Transfer to accumulated surplus</w:t>
            </w:r>
            <w:r w:rsidRPr="00E96950">
              <w:rPr>
                <w:rFonts w:eastAsiaTheme="minorEastAsia"/>
                <w:sz w:val="21"/>
                <w:vertAlign w:val="superscript"/>
                <w:lang w:eastAsia="en-AU"/>
              </w:rPr>
              <w:t xml:space="preserve"> (</w:t>
            </w:r>
            <w:r w:rsidRPr="00941F2A">
              <w:rPr>
                <w:rFonts w:eastAsiaTheme="minorEastAsia"/>
                <w:sz w:val="21"/>
                <w:vertAlign w:val="superscript"/>
                <w:lang w:eastAsia="en-AU"/>
              </w:rPr>
              <w:t>c)</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297.0)</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14 573.8</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(14 276.8)</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08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Dividends paid</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255.5)</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086"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255.5)</w:t>
            </w:r>
          </w:p>
        </w:tc>
      </w:tr>
      <w:tr w:rsidR="00336793" w:rsidRPr="00941F2A" w:rsidTr="00DF0B96">
        <w:tc>
          <w:tcPr>
            <w:tcW w:w="4877" w:type="dxa"/>
            <w:gridSpan w:val="4"/>
            <w:tcBorders>
              <w:top w:val="nil"/>
              <w:left w:val="nil"/>
              <w:bottom w:val="nil"/>
              <w:right w:val="nil"/>
            </w:tcBorders>
          </w:tcPr>
          <w:p w:rsidR="00336793" w:rsidRPr="00941F2A" w:rsidRDefault="00336793" w:rsidP="00DF0B96">
            <w:pPr>
              <w:pStyle w:val="Tabletext"/>
              <w:rPr>
                <w:rFonts w:eastAsiaTheme="minorEastAsia"/>
                <w:sz w:val="21"/>
                <w:vertAlign w:val="superscript"/>
                <w:lang w:eastAsia="en-AU"/>
              </w:rPr>
            </w:pPr>
            <w:r w:rsidRPr="00941F2A">
              <w:rPr>
                <w:rFonts w:eastAsiaTheme="minorEastAsia"/>
                <w:sz w:val="21"/>
                <w:lang w:eastAsia="en-AU"/>
              </w:rPr>
              <w:t>Transactions with owners in their capacity as owners</w:t>
            </w:r>
          </w:p>
        </w:tc>
        <w:tc>
          <w:tcPr>
            <w:tcW w:w="1080" w:type="dxa"/>
            <w:tcBorders>
              <w:top w:val="nil"/>
              <w:left w:val="nil"/>
              <w:bottom w:val="single" w:sz="6" w:space="0" w:color="auto"/>
              <w:right w:val="nil"/>
            </w:tcBorders>
            <w:shd w:val="solid" w:color="FFFFFF" w:fill="auto"/>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2 406.1</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086"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2 406.1</w:t>
            </w:r>
          </w:p>
        </w:tc>
      </w:tr>
      <w:tr w:rsidR="00336793" w:rsidRPr="00941F2A" w:rsidTr="00DF0B96">
        <w:tc>
          <w:tcPr>
            <w:tcW w:w="4517" w:type="dxa"/>
            <w:tcBorders>
              <w:top w:val="single" w:sz="6" w:space="0" w:color="auto"/>
              <w:left w:val="nil"/>
              <w:bottom w:val="single" w:sz="12" w:space="0" w:color="auto"/>
              <w:right w:val="nil"/>
            </w:tcBorders>
          </w:tcPr>
          <w:p w:rsidR="00336793" w:rsidRPr="00941F2A" w:rsidRDefault="00336793" w:rsidP="00DF0B96">
            <w:pPr>
              <w:pStyle w:val="Tabletext"/>
              <w:rPr>
                <w:rFonts w:eastAsiaTheme="minorEastAsia"/>
                <w:b/>
                <w:bCs/>
                <w:sz w:val="21"/>
                <w:lang w:eastAsia="en-AU"/>
              </w:rPr>
            </w:pPr>
            <w:r w:rsidRPr="00941F2A">
              <w:rPr>
                <w:rFonts w:eastAsiaTheme="minorEastAsia"/>
                <w:b/>
                <w:bCs/>
                <w:sz w:val="21"/>
                <w:lang w:eastAsia="en-AU"/>
              </w:rPr>
              <w:t>Total equity as at 30 June 2015</w:t>
            </w:r>
          </w:p>
        </w:tc>
        <w:tc>
          <w:tcPr>
            <w:tcW w:w="1440" w:type="dxa"/>
            <w:gridSpan w:val="4"/>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4 429.8</w:t>
            </w:r>
          </w:p>
        </w:tc>
        <w:tc>
          <w:tcPr>
            <w:tcW w:w="1440"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49 942.9</w:t>
            </w:r>
          </w:p>
        </w:tc>
        <w:tc>
          <w:tcPr>
            <w:tcW w:w="1440" w:type="dxa"/>
            <w:tcBorders>
              <w:top w:val="single" w:sz="6" w:space="0" w:color="auto"/>
              <w:left w:val="nil"/>
              <w:bottom w:val="single" w:sz="12" w:space="0" w:color="auto"/>
              <w:right w:val="nil"/>
            </w:tcBorders>
            <w:shd w:val="solid" w:color="FFFFFF"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w:t>
            </w:r>
          </w:p>
        </w:tc>
        <w:tc>
          <w:tcPr>
            <w:tcW w:w="1956"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24 161.5</w:t>
            </w:r>
          </w:p>
        </w:tc>
        <w:tc>
          <w:tcPr>
            <w:tcW w:w="1822" w:type="dxa"/>
            <w:tcBorders>
              <w:top w:val="single" w:sz="6" w:space="0" w:color="auto"/>
              <w:left w:val="nil"/>
              <w:bottom w:val="single" w:sz="12" w:space="0" w:color="auto"/>
              <w:right w:val="nil"/>
            </w:tcBorders>
            <w:shd w:val="solid" w:color="FFFFFF"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w:t>
            </w:r>
          </w:p>
        </w:tc>
        <w:tc>
          <w:tcPr>
            <w:tcW w:w="869"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437.3</w:t>
            </w:r>
          </w:p>
        </w:tc>
        <w:tc>
          <w:tcPr>
            <w:tcW w:w="1086"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78 971.5</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b/>
                <w:bCs/>
                <w:sz w:val="21"/>
                <w:lang w:eastAsia="en-AU"/>
              </w:rPr>
            </w:pPr>
            <w:r w:rsidRPr="00941F2A">
              <w:rPr>
                <w:rFonts w:eastAsiaTheme="minorEastAsia"/>
                <w:b/>
                <w:bCs/>
                <w:sz w:val="21"/>
                <w:lang w:eastAsia="en-AU"/>
              </w:rPr>
              <w:t>PFC sector</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440" w:type="dxa"/>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440" w:type="dxa"/>
            <w:tcBorders>
              <w:top w:val="nil"/>
              <w:left w:val="nil"/>
              <w:bottom w:val="nil"/>
              <w:right w:val="nil"/>
            </w:tcBorders>
            <w:shd w:val="solid" w:color="FFFFFF"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956" w:type="dxa"/>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822" w:type="dxa"/>
            <w:tcBorders>
              <w:top w:val="nil"/>
              <w:left w:val="nil"/>
              <w:bottom w:val="nil"/>
              <w:right w:val="nil"/>
            </w:tcBorders>
            <w:shd w:val="solid" w:color="FFFFFF"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869" w:type="dxa"/>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c>
          <w:tcPr>
            <w:tcW w:w="1086" w:type="dxa"/>
            <w:tcBorders>
              <w:top w:val="nil"/>
              <w:left w:val="nil"/>
              <w:bottom w:val="nil"/>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Balance at 1 July 2014</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749.2)</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254.3</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2.1</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180.6</w:t>
            </w:r>
          </w:p>
        </w:tc>
        <w:tc>
          <w:tcPr>
            <w:tcW w:w="1086"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312.3)</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Net result for the year</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429.5</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08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 xml:space="preserve"> 429.5</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Other comprehensive income for the year</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122.6)</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145.2)</w:t>
            </w:r>
          </w:p>
        </w:tc>
        <w:tc>
          <w:tcPr>
            <w:tcW w:w="1086"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267.9)</w:t>
            </w:r>
          </w:p>
        </w:tc>
      </w:tr>
      <w:tr w:rsidR="00336793" w:rsidRPr="00941F2A" w:rsidTr="00DF0B96">
        <w:tc>
          <w:tcPr>
            <w:tcW w:w="4517" w:type="dxa"/>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Dividends paid</w:t>
            </w:r>
          </w:p>
        </w:tc>
        <w:tc>
          <w:tcPr>
            <w:tcW w:w="1440" w:type="dxa"/>
            <w:gridSpan w:val="4"/>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566.2)</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086"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566.2)</w:t>
            </w:r>
          </w:p>
        </w:tc>
      </w:tr>
      <w:tr w:rsidR="00336793" w:rsidRPr="00941F2A" w:rsidTr="00DF0B96">
        <w:tc>
          <w:tcPr>
            <w:tcW w:w="4787" w:type="dxa"/>
            <w:gridSpan w:val="2"/>
            <w:tcBorders>
              <w:top w:val="nil"/>
              <w:left w:val="nil"/>
              <w:bottom w:val="nil"/>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Transactions with owners in their capacity as owners</w:t>
            </w:r>
          </w:p>
        </w:tc>
        <w:tc>
          <w:tcPr>
            <w:tcW w:w="1170" w:type="dxa"/>
            <w:gridSpan w:val="3"/>
            <w:tcBorders>
              <w:top w:val="nil"/>
              <w:left w:val="nil"/>
              <w:bottom w:val="single" w:sz="6" w:space="0" w:color="auto"/>
              <w:right w:val="nil"/>
            </w:tcBorders>
            <w:shd w:val="solid" w:color="FFFFFF" w:fill="auto"/>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440"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77.1)</w:t>
            </w:r>
          </w:p>
        </w:tc>
        <w:tc>
          <w:tcPr>
            <w:tcW w:w="1440"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822"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869" w:type="dxa"/>
            <w:tcBorders>
              <w:top w:val="nil"/>
              <w:left w:val="nil"/>
              <w:bottom w:val="nil"/>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086" w:type="dxa"/>
            <w:tcBorders>
              <w:top w:val="nil"/>
              <w:left w:val="nil"/>
              <w:bottom w:val="single" w:sz="6" w:space="0" w:color="auto"/>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941F2A">
              <w:rPr>
                <w:rFonts w:eastAsiaTheme="minorEastAsia" w:cs="Calibri"/>
                <w:color w:val="000000"/>
                <w:szCs w:val="22"/>
                <w:lang w:eastAsia="en-AU"/>
              </w:rPr>
              <w:t>77.1)</w:t>
            </w:r>
          </w:p>
        </w:tc>
      </w:tr>
      <w:tr w:rsidR="00336793" w:rsidRPr="00941F2A" w:rsidTr="00DF0B96">
        <w:tc>
          <w:tcPr>
            <w:tcW w:w="4517" w:type="dxa"/>
            <w:tcBorders>
              <w:top w:val="single" w:sz="6" w:space="0" w:color="auto"/>
              <w:left w:val="nil"/>
              <w:bottom w:val="single" w:sz="12" w:space="0" w:color="auto"/>
              <w:right w:val="nil"/>
            </w:tcBorders>
          </w:tcPr>
          <w:p w:rsidR="00336793" w:rsidRPr="00941F2A" w:rsidRDefault="00336793" w:rsidP="00DF0B96">
            <w:pPr>
              <w:pStyle w:val="Tabletext"/>
              <w:rPr>
                <w:rFonts w:eastAsiaTheme="minorEastAsia"/>
                <w:b/>
                <w:bCs/>
                <w:sz w:val="21"/>
                <w:lang w:eastAsia="en-AU"/>
              </w:rPr>
            </w:pPr>
            <w:r w:rsidRPr="00941F2A">
              <w:rPr>
                <w:rFonts w:eastAsiaTheme="minorEastAsia"/>
                <w:b/>
                <w:bCs/>
                <w:sz w:val="21"/>
                <w:lang w:eastAsia="en-AU"/>
              </w:rPr>
              <w:t>Total equity as at 30 June 2015</w:t>
            </w:r>
          </w:p>
        </w:tc>
        <w:tc>
          <w:tcPr>
            <w:tcW w:w="1440" w:type="dxa"/>
            <w:gridSpan w:val="4"/>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cs="Calibri"/>
                <w:b/>
                <w:bCs/>
                <w:color w:val="000000"/>
                <w:sz w:val="21"/>
                <w:szCs w:val="22"/>
                <w:lang w:eastAsia="en-AU"/>
              </w:rPr>
            </w:pPr>
            <w:r w:rsidRPr="00941F2A">
              <w:rPr>
                <w:rFonts w:eastAsiaTheme="minorEastAsia"/>
                <w:b/>
                <w:bCs/>
                <w:sz w:val="21"/>
                <w:lang w:eastAsia="en-AU"/>
              </w:rPr>
              <w:t>(1 008.6</w:t>
            </w:r>
            <w:r w:rsidRPr="00941F2A">
              <w:rPr>
                <w:rFonts w:eastAsiaTheme="minorEastAsia" w:cs="Calibri"/>
                <w:b/>
                <w:bCs/>
                <w:color w:val="000000"/>
                <w:sz w:val="21"/>
                <w:szCs w:val="22"/>
                <w:lang w:eastAsia="en-AU"/>
              </w:rPr>
              <w:t>)</w:t>
            </w:r>
          </w:p>
        </w:tc>
        <w:tc>
          <w:tcPr>
            <w:tcW w:w="1440"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177.1</w:t>
            </w:r>
          </w:p>
        </w:tc>
        <w:tc>
          <w:tcPr>
            <w:tcW w:w="1440" w:type="dxa"/>
            <w:tcBorders>
              <w:top w:val="single" w:sz="6" w:space="0" w:color="auto"/>
              <w:left w:val="nil"/>
              <w:bottom w:val="single" w:sz="12" w:space="0" w:color="auto"/>
              <w:right w:val="nil"/>
            </w:tcBorders>
            <w:shd w:val="solid" w:color="FFFFFF"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w:t>
            </w:r>
          </w:p>
        </w:tc>
        <w:tc>
          <w:tcPr>
            <w:tcW w:w="1956"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2.1</w:t>
            </w:r>
          </w:p>
        </w:tc>
        <w:tc>
          <w:tcPr>
            <w:tcW w:w="1822" w:type="dxa"/>
            <w:tcBorders>
              <w:top w:val="single" w:sz="6" w:space="0" w:color="auto"/>
              <w:left w:val="nil"/>
              <w:bottom w:val="single" w:sz="12" w:space="0" w:color="auto"/>
              <w:right w:val="nil"/>
            </w:tcBorders>
            <w:shd w:val="solid" w:color="FFFFFF"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w:t>
            </w:r>
          </w:p>
        </w:tc>
        <w:tc>
          <w:tcPr>
            <w:tcW w:w="869"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35.3</w:t>
            </w:r>
          </w:p>
        </w:tc>
        <w:tc>
          <w:tcPr>
            <w:tcW w:w="1086"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cs="Calibri"/>
                <w:b/>
                <w:bCs/>
                <w:color w:val="000000"/>
                <w:szCs w:val="22"/>
                <w:lang w:eastAsia="en-AU"/>
              </w:rPr>
            </w:pPr>
            <w:r>
              <w:rPr>
                <w:rFonts w:eastAsiaTheme="minorEastAsia"/>
                <w:b/>
                <w:bCs/>
                <w:sz w:val="21"/>
                <w:lang w:eastAsia="en-AU"/>
              </w:rPr>
              <w:t>(</w:t>
            </w:r>
            <w:r w:rsidRPr="00941F2A">
              <w:rPr>
                <w:rFonts w:eastAsiaTheme="minorEastAsia" w:cs="Calibri"/>
                <w:b/>
                <w:bCs/>
                <w:color w:val="000000"/>
                <w:szCs w:val="22"/>
                <w:lang w:eastAsia="en-AU"/>
              </w:rPr>
              <w:t>794.0)</w:t>
            </w:r>
          </w:p>
        </w:tc>
      </w:tr>
      <w:tr w:rsidR="00336793" w:rsidRPr="00941F2A" w:rsidTr="00DF0B96">
        <w:tc>
          <w:tcPr>
            <w:tcW w:w="4517" w:type="dxa"/>
            <w:tcBorders>
              <w:top w:val="nil"/>
              <w:left w:val="nil"/>
              <w:bottom w:val="single" w:sz="6" w:space="0" w:color="auto"/>
              <w:right w:val="nil"/>
            </w:tcBorders>
          </w:tcPr>
          <w:p w:rsidR="00336793" w:rsidRPr="00941F2A" w:rsidRDefault="00336793" w:rsidP="00DF0B96">
            <w:pPr>
              <w:pStyle w:val="Tabletext"/>
              <w:rPr>
                <w:rFonts w:eastAsiaTheme="minorEastAsia"/>
                <w:sz w:val="21"/>
                <w:lang w:eastAsia="en-AU"/>
              </w:rPr>
            </w:pPr>
            <w:r w:rsidRPr="00941F2A">
              <w:rPr>
                <w:rFonts w:eastAsiaTheme="minorEastAsia"/>
                <w:sz w:val="21"/>
                <w:lang w:eastAsia="en-AU"/>
              </w:rPr>
              <w:t>Eliminations</w:t>
            </w:r>
          </w:p>
        </w:tc>
        <w:tc>
          <w:tcPr>
            <w:tcW w:w="1440" w:type="dxa"/>
            <w:gridSpan w:val="4"/>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12 019.1</w:t>
            </w:r>
          </w:p>
        </w:tc>
        <w:tc>
          <w:tcPr>
            <w:tcW w:w="1440"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(50 120.0)</w:t>
            </w:r>
          </w:p>
        </w:tc>
        <w:tc>
          <w:tcPr>
            <w:tcW w:w="1440"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956"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9 911.1</w:t>
            </w:r>
          </w:p>
        </w:tc>
        <w:tc>
          <w:tcPr>
            <w:tcW w:w="1822"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(46 413.0)</w:t>
            </w:r>
          </w:p>
        </w:tc>
        <w:tc>
          <w:tcPr>
            <w:tcW w:w="869"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w:t>
            </w:r>
          </w:p>
        </w:tc>
        <w:tc>
          <w:tcPr>
            <w:tcW w:w="1086" w:type="dxa"/>
            <w:tcBorders>
              <w:top w:val="nil"/>
              <w:left w:val="nil"/>
              <w:bottom w:val="single" w:sz="6" w:space="0" w:color="auto"/>
              <w:right w:val="nil"/>
            </w:tcBorders>
          </w:tcPr>
          <w:p w:rsidR="00336793" w:rsidRPr="00941F2A" w:rsidRDefault="00336793" w:rsidP="00DF0B96">
            <w:pPr>
              <w:pStyle w:val="TableofFigures"/>
              <w:rPr>
                <w:rFonts w:eastAsiaTheme="minorEastAsia"/>
                <w:sz w:val="21"/>
                <w:lang w:eastAsia="en-AU"/>
              </w:rPr>
            </w:pPr>
            <w:r w:rsidRPr="00941F2A">
              <w:rPr>
                <w:rFonts w:eastAsiaTheme="minorEastAsia"/>
                <w:sz w:val="21"/>
                <w:lang w:eastAsia="en-AU"/>
              </w:rPr>
              <w:t>(74 602.8)</w:t>
            </w:r>
          </w:p>
        </w:tc>
      </w:tr>
      <w:tr w:rsidR="00336793" w:rsidRPr="00941F2A" w:rsidTr="00DF0B96">
        <w:tc>
          <w:tcPr>
            <w:tcW w:w="4517"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text"/>
              <w:rPr>
                <w:rFonts w:eastAsiaTheme="minorEastAsia"/>
                <w:b/>
                <w:bCs/>
                <w:sz w:val="21"/>
                <w:lang w:eastAsia="en-AU"/>
              </w:rPr>
            </w:pPr>
            <w:r w:rsidRPr="00941F2A">
              <w:rPr>
                <w:rFonts w:eastAsiaTheme="minorEastAsia"/>
                <w:b/>
                <w:bCs/>
                <w:sz w:val="21"/>
                <w:lang w:eastAsia="en-AU"/>
              </w:rPr>
              <w:t>Total State of Victoria</w:t>
            </w:r>
          </w:p>
        </w:tc>
        <w:tc>
          <w:tcPr>
            <w:tcW w:w="1440" w:type="dxa"/>
            <w:gridSpan w:val="4"/>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61 228.8</w:t>
            </w:r>
          </w:p>
        </w:tc>
        <w:tc>
          <w:tcPr>
            <w:tcW w:w="1440"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1"/>
                <w:lang w:eastAsia="en-AU"/>
              </w:rPr>
            </w:pPr>
            <w:r>
              <w:rPr>
                <w:rFonts w:eastAsiaTheme="minorEastAsia"/>
                <w:b/>
                <w:bCs/>
                <w:sz w:val="21"/>
                <w:lang w:eastAsia="en-AU"/>
              </w:rPr>
              <w:t>..</w:t>
            </w:r>
          </w:p>
        </w:tc>
        <w:tc>
          <w:tcPr>
            <w:tcW w:w="1440"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 xml:space="preserve"> 50.0</w:t>
            </w:r>
          </w:p>
        </w:tc>
        <w:tc>
          <w:tcPr>
            <w:tcW w:w="1956"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77 429.5</w:t>
            </w:r>
          </w:p>
        </w:tc>
        <w:tc>
          <w:tcPr>
            <w:tcW w:w="1822"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w:t>
            </w:r>
          </w:p>
        </w:tc>
        <w:tc>
          <w:tcPr>
            <w:tcW w:w="869"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1 200.9</w:t>
            </w:r>
          </w:p>
        </w:tc>
        <w:tc>
          <w:tcPr>
            <w:tcW w:w="1086"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21"/>
                <w:lang w:eastAsia="en-AU"/>
              </w:rPr>
            </w:pPr>
            <w:r w:rsidRPr="00941F2A">
              <w:rPr>
                <w:rFonts w:eastAsiaTheme="minorEastAsia"/>
                <w:b/>
                <w:bCs/>
                <w:sz w:val="21"/>
                <w:lang w:eastAsia="en-AU"/>
              </w:rPr>
              <w:t>139 909.2</w:t>
            </w:r>
          </w:p>
        </w:tc>
      </w:tr>
    </w:tbl>
    <w:p w:rsidR="00336793" w:rsidRDefault="00336793" w:rsidP="00DF0B96">
      <w:pPr>
        <w:pStyle w:val="Notes"/>
      </w:pPr>
      <w:r>
        <w:t>Notes:</w:t>
      </w:r>
    </w:p>
    <w:p w:rsidR="00336793" w:rsidRDefault="00336793" w:rsidP="00DF0B96">
      <w:pPr>
        <w:pStyle w:val="Notes"/>
      </w:pPr>
      <w:r>
        <w:t>(a)</w:t>
      </w:r>
      <w:r>
        <w:tab/>
        <w:t>Non</w:t>
      </w:r>
      <w:r>
        <w:noBreakHyphen/>
        <w:t>financial assets revaluation surplus relates to revaluation of land, buildings, infrastructure, plant and equipment.</w:t>
      </w:r>
    </w:p>
    <w:p w:rsidR="00336793" w:rsidRDefault="00336793" w:rsidP="00DF0B96">
      <w:pPr>
        <w:pStyle w:val="Notes"/>
      </w:pPr>
      <w:r>
        <w:t>(b)</w:t>
      </w:r>
      <w:r>
        <w:tab/>
        <w:t>June 2014 comparative figures have been restated. See Note 37.</w:t>
      </w:r>
    </w:p>
    <w:p w:rsidR="00336793" w:rsidRDefault="00336793" w:rsidP="00DF0B96">
      <w:pPr>
        <w:pStyle w:val="Notes"/>
      </w:pPr>
      <w:r>
        <w:t>(c)</w:t>
      </w:r>
      <w:r>
        <w:tab/>
        <w:t>Transfer of reserves to accumulated surplus for ceased departments as part of the announced machinery of government changes effective from 1 January 2015. See Note 42.</w:t>
      </w:r>
    </w:p>
    <w:p w:rsidR="00336793" w:rsidRPr="006B2B2E" w:rsidRDefault="00336793" w:rsidP="00DF0B96">
      <w:pPr>
        <w:pStyle w:val="Heading2NotesContd"/>
        <w:rPr>
          <w:i/>
        </w:rPr>
      </w:pPr>
      <w:r w:rsidRPr="006A75A2">
        <w:lastRenderedPageBreak/>
        <w:t>Note 2:</w:t>
      </w:r>
      <w:r w:rsidRPr="006A75A2">
        <w:tab/>
        <w:t>Disaggregated information</w:t>
      </w:r>
      <w:r>
        <w:t xml:space="preserve"> </w:t>
      </w:r>
      <w:r>
        <w:rPr>
          <w:i/>
        </w:rPr>
        <w:t>(continued)</w:t>
      </w:r>
    </w:p>
    <w:p w:rsidR="00336793" w:rsidRDefault="00336793" w:rsidP="00DF0B96">
      <w:pPr>
        <w:pStyle w:val="Tableheading"/>
      </w:pPr>
      <w:r w:rsidRPr="006A75A2">
        <w:t>Disaggregated statement of changes in equity for the financial year ended 30 June</w:t>
      </w:r>
      <w:r>
        <w:t xml:space="preserve"> </w:t>
      </w:r>
      <w:r w:rsidRPr="00102243">
        <w:rPr>
          <w:i/>
        </w:rPr>
        <w:t>(continued)</w:t>
      </w:r>
    </w:p>
    <w:p w:rsidR="00336793" w:rsidRPr="00563803"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4787"/>
        <w:gridCol w:w="1440"/>
        <w:gridCol w:w="1170"/>
        <w:gridCol w:w="1440"/>
        <w:gridCol w:w="1954"/>
        <w:gridCol w:w="1824"/>
        <w:gridCol w:w="869"/>
        <w:gridCol w:w="1086"/>
      </w:tblGrid>
      <w:tr w:rsidR="00336793" w:rsidRPr="00563803" w:rsidTr="00DF0B96">
        <w:tc>
          <w:tcPr>
            <w:tcW w:w="4787" w:type="dxa"/>
            <w:tcBorders>
              <w:top w:val="single" w:sz="6" w:space="0" w:color="auto"/>
              <w:left w:val="single" w:sz="6" w:space="0" w:color="auto"/>
              <w:bottom w:val="single" w:sz="6" w:space="0" w:color="auto"/>
              <w:right w:val="nil"/>
            </w:tcBorders>
            <w:shd w:val="clear" w:color="000000" w:fill="000000"/>
          </w:tcPr>
          <w:p w:rsidR="00336793" w:rsidRPr="00563803" w:rsidRDefault="00336793" w:rsidP="00DF0B96">
            <w:pPr>
              <w:pStyle w:val="Tabletext"/>
              <w:rPr>
                <w:rFonts w:eastAsiaTheme="minorEastAsia"/>
                <w:i/>
                <w:sz w:val="21"/>
                <w:lang w:eastAsia="en-AU"/>
              </w:rPr>
            </w:pPr>
          </w:p>
          <w:p w:rsidR="00336793" w:rsidRPr="00563803" w:rsidRDefault="00336793" w:rsidP="00DF0B96">
            <w:pPr>
              <w:pStyle w:val="Tabletext"/>
              <w:rPr>
                <w:rFonts w:eastAsiaTheme="minorEastAsia"/>
                <w:i/>
                <w:sz w:val="21"/>
                <w:lang w:eastAsia="en-AU"/>
              </w:rPr>
            </w:pPr>
          </w:p>
          <w:p w:rsidR="00336793" w:rsidRPr="00563803" w:rsidRDefault="00336793" w:rsidP="00DF0B96">
            <w:pPr>
              <w:pStyle w:val="Tabletext"/>
              <w:rPr>
                <w:rFonts w:eastAsiaTheme="minorEastAsia"/>
                <w:i/>
                <w:sz w:val="21"/>
                <w:lang w:eastAsia="en-AU"/>
              </w:rPr>
            </w:pPr>
            <w:r w:rsidRPr="00563803">
              <w:rPr>
                <w:rFonts w:eastAsiaTheme="minorEastAsia"/>
                <w:i/>
                <w:sz w:val="21"/>
                <w:lang w:eastAsia="en-AU"/>
              </w:rPr>
              <w:t>2014</w:t>
            </w:r>
          </w:p>
        </w:tc>
        <w:tc>
          <w:tcPr>
            <w:tcW w:w="1440" w:type="dxa"/>
            <w:tcBorders>
              <w:top w:val="single" w:sz="6" w:space="0" w:color="auto"/>
              <w:left w:val="nil"/>
              <w:bottom w:val="single" w:sz="6" w:space="0" w:color="auto"/>
              <w:right w:val="nil"/>
            </w:tcBorders>
            <w:shd w:val="clear" w:color="000000" w:fill="000000"/>
          </w:tcPr>
          <w:p w:rsidR="00336793" w:rsidRPr="00563803" w:rsidRDefault="00336793" w:rsidP="00DF0B96">
            <w:pPr>
              <w:pStyle w:val="Tabletextheading"/>
              <w:rPr>
                <w:rFonts w:eastAsiaTheme="minorEastAsia"/>
                <w:color w:val="FFFFFF"/>
                <w:sz w:val="21"/>
                <w:lang w:eastAsia="en-AU"/>
              </w:rPr>
            </w:pPr>
          </w:p>
          <w:p w:rsidR="00336793" w:rsidRPr="00563803" w:rsidRDefault="00336793" w:rsidP="00DF0B96">
            <w:pPr>
              <w:pStyle w:val="Tabletextheading"/>
              <w:rPr>
                <w:rFonts w:eastAsiaTheme="minorEastAsia"/>
                <w:color w:val="FFFFFF"/>
                <w:sz w:val="21"/>
                <w:lang w:eastAsia="en-AU"/>
              </w:rPr>
            </w:pPr>
            <w:r w:rsidRPr="00563803">
              <w:rPr>
                <w:rFonts w:eastAsiaTheme="minorEastAsia"/>
                <w:color w:val="FFFFFF"/>
                <w:sz w:val="21"/>
                <w:lang w:eastAsia="en-AU"/>
              </w:rPr>
              <w:t>Accumulated surplus/(deficit)</w:t>
            </w:r>
          </w:p>
        </w:tc>
        <w:tc>
          <w:tcPr>
            <w:tcW w:w="1170" w:type="dxa"/>
            <w:tcBorders>
              <w:top w:val="single" w:sz="6" w:space="0" w:color="auto"/>
              <w:left w:val="nil"/>
              <w:bottom w:val="single" w:sz="6" w:space="0" w:color="auto"/>
              <w:right w:val="nil"/>
            </w:tcBorders>
            <w:shd w:val="clear" w:color="000000" w:fill="000000"/>
          </w:tcPr>
          <w:p w:rsidR="00336793" w:rsidRPr="00563803" w:rsidRDefault="00336793" w:rsidP="00DF0B96">
            <w:pPr>
              <w:pStyle w:val="Tabletextheading"/>
              <w:rPr>
                <w:rFonts w:eastAsiaTheme="minorEastAsia"/>
                <w:color w:val="FFFFFF"/>
                <w:sz w:val="21"/>
                <w:lang w:eastAsia="en-AU"/>
              </w:rPr>
            </w:pPr>
          </w:p>
          <w:p w:rsidR="00336793" w:rsidRPr="00563803" w:rsidRDefault="00336793" w:rsidP="00DF0B96">
            <w:pPr>
              <w:pStyle w:val="Tabletextheading"/>
              <w:rPr>
                <w:rFonts w:eastAsiaTheme="minorEastAsia"/>
                <w:color w:val="FFFFFF"/>
                <w:sz w:val="21"/>
                <w:lang w:eastAsia="en-AU"/>
              </w:rPr>
            </w:pPr>
            <w:r w:rsidRPr="00563803">
              <w:rPr>
                <w:rFonts w:eastAsiaTheme="minorEastAsia"/>
                <w:color w:val="FFFFFF"/>
                <w:sz w:val="21"/>
                <w:lang w:eastAsia="en-AU"/>
              </w:rPr>
              <w:t>Contribution by owners</w:t>
            </w:r>
          </w:p>
        </w:tc>
        <w:tc>
          <w:tcPr>
            <w:tcW w:w="1440" w:type="dxa"/>
            <w:tcBorders>
              <w:top w:val="single" w:sz="6" w:space="0" w:color="auto"/>
              <w:left w:val="nil"/>
              <w:bottom w:val="single" w:sz="6" w:space="0" w:color="auto"/>
              <w:right w:val="nil"/>
            </w:tcBorders>
            <w:shd w:val="clear" w:color="000000" w:fill="000000"/>
          </w:tcPr>
          <w:p w:rsidR="00336793" w:rsidRPr="00563803" w:rsidRDefault="00336793" w:rsidP="00DF0B96">
            <w:pPr>
              <w:pStyle w:val="Tabletextheading"/>
              <w:rPr>
                <w:rFonts w:eastAsiaTheme="minorEastAsia"/>
                <w:color w:val="FFFFFF"/>
                <w:sz w:val="21"/>
                <w:lang w:eastAsia="en-AU"/>
              </w:rPr>
            </w:pPr>
            <w:r w:rsidRPr="00563803">
              <w:rPr>
                <w:rFonts w:eastAsiaTheme="minorEastAsia"/>
                <w:color w:val="FFFFFF"/>
                <w:sz w:val="21"/>
                <w:lang w:eastAsia="en-AU"/>
              </w:rPr>
              <w:t>Non</w:t>
            </w:r>
            <w:r>
              <w:rPr>
                <w:rFonts w:eastAsiaTheme="minorEastAsia"/>
                <w:color w:val="FFFFFF"/>
                <w:sz w:val="21"/>
                <w:lang w:eastAsia="en-AU"/>
              </w:rPr>
              <w:noBreakHyphen/>
            </w:r>
            <w:r w:rsidRPr="00563803">
              <w:rPr>
                <w:rFonts w:eastAsiaTheme="minorEastAsia"/>
                <w:color w:val="FFFFFF"/>
                <w:sz w:val="21"/>
                <w:lang w:eastAsia="en-AU"/>
              </w:rPr>
              <w:t>controlling Interest</w:t>
            </w:r>
          </w:p>
        </w:tc>
        <w:tc>
          <w:tcPr>
            <w:tcW w:w="1954" w:type="dxa"/>
            <w:tcBorders>
              <w:top w:val="single" w:sz="6" w:space="0" w:color="auto"/>
              <w:left w:val="nil"/>
              <w:bottom w:val="single" w:sz="6" w:space="0" w:color="auto"/>
              <w:right w:val="nil"/>
            </w:tcBorders>
            <w:shd w:val="clear" w:color="000000" w:fill="000000"/>
          </w:tcPr>
          <w:p w:rsidR="00336793" w:rsidRPr="00563803" w:rsidRDefault="00336793" w:rsidP="00DF0B96">
            <w:pPr>
              <w:pStyle w:val="Tabletextheading"/>
              <w:rPr>
                <w:rFonts w:eastAsiaTheme="minorEastAsia"/>
                <w:color w:val="FFFFFF"/>
                <w:sz w:val="21"/>
                <w:lang w:eastAsia="en-AU"/>
              </w:rPr>
            </w:pPr>
            <w:r w:rsidRPr="00563803">
              <w:rPr>
                <w:rFonts w:eastAsiaTheme="minorEastAsia"/>
                <w:color w:val="FFFFFF"/>
                <w:sz w:val="21"/>
                <w:lang w:eastAsia="en-AU"/>
              </w:rPr>
              <w:t>Non</w:t>
            </w:r>
            <w:r>
              <w:rPr>
                <w:rFonts w:eastAsiaTheme="minorEastAsia"/>
                <w:color w:val="FFFFFF"/>
                <w:sz w:val="21"/>
                <w:lang w:eastAsia="en-AU"/>
              </w:rPr>
              <w:noBreakHyphen/>
            </w:r>
            <w:r w:rsidRPr="00563803">
              <w:rPr>
                <w:rFonts w:eastAsiaTheme="minorEastAsia"/>
                <w:color w:val="FFFFFF"/>
                <w:sz w:val="21"/>
                <w:lang w:eastAsia="en-AU"/>
              </w:rPr>
              <w:t>financial assets</w:t>
            </w:r>
          </w:p>
          <w:p w:rsidR="00336793" w:rsidRPr="00563803" w:rsidRDefault="00336793" w:rsidP="00DF0B96">
            <w:pPr>
              <w:pStyle w:val="Tabletextheading"/>
              <w:rPr>
                <w:rFonts w:eastAsiaTheme="minorEastAsia" w:cs="Calibri"/>
                <w:iCs/>
                <w:color w:val="FFFFFF"/>
                <w:sz w:val="21"/>
                <w:szCs w:val="22"/>
                <w:vertAlign w:val="superscript"/>
                <w:lang w:eastAsia="en-AU"/>
              </w:rPr>
            </w:pPr>
            <w:r w:rsidRPr="00563803">
              <w:rPr>
                <w:rFonts w:eastAsiaTheme="minorEastAsia"/>
                <w:color w:val="FFFFFF"/>
                <w:sz w:val="21"/>
                <w:lang w:eastAsia="en-AU"/>
              </w:rPr>
              <w:t xml:space="preserve"> revaluation surplus</w:t>
            </w:r>
            <w:r w:rsidRPr="00563803">
              <w:rPr>
                <w:rFonts w:eastAsiaTheme="minorEastAsia"/>
                <w:color w:val="FFFFFF"/>
                <w:sz w:val="21"/>
                <w:vertAlign w:val="superscript"/>
                <w:lang w:eastAsia="en-AU"/>
              </w:rPr>
              <w:t>(a</w:t>
            </w:r>
            <w:r w:rsidRPr="00563803">
              <w:rPr>
                <w:rFonts w:eastAsiaTheme="minorEastAsia" w:cs="Calibri"/>
                <w:iCs/>
                <w:color w:val="FFFFFF"/>
                <w:sz w:val="21"/>
                <w:szCs w:val="22"/>
                <w:vertAlign w:val="superscript"/>
                <w:lang w:eastAsia="en-AU"/>
              </w:rPr>
              <w:t>)</w:t>
            </w:r>
          </w:p>
        </w:tc>
        <w:tc>
          <w:tcPr>
            <w:tcW w:w="1824" w:type="dxa"/>
            <w:tcBorders>
              <w:top w:val="single" w:sz="6" w:space="0" w:color="auto"/>
              <w:left w:val="nil"/>
              <w:bottom w:val="single" w:sz="6" w:space="0" w:color="auto"/>
              <w:right w:val="nil"/>
            </w:tcBorders>
            <w:shd w:val="clear" w:color="000000" w:fill="000000"/>
          </w:tcPr>
          <w:p w:rsidR="00336793" w:rsidRPr="00563803" w:rsidRDefault="00336793" w:rsidP="00DF0B96">
            <w:pPr>
              <w:pStyle w:val="Tabletextheading"/>
              <w:rPr>
                <w:rFonts w:eastAsiaTheme="minorEastAsia"/>
                <w:color w:val="FFFFFF"/>
                <w:sz w:val="21"/>
                <w:lang w:eastAsia="en-AU"/>
              </w:rPr>
            </w:pPr>
            <w:r w:rsidRPr="00563803">
              <w:rPr>
                <w:rFonts w:eastAsiaTheme="minorEastAsia"/>
                <w:color w:val="FFFFFF"/>
                <w:sz w:val="21"/>
                <w:lang w:eastAsia="en-AU"/>
              </w:rPr>
              <w:t>Investment in other sector entities revaluation surplus</w:t>
            </w:r>
          </w:p>
        </w:tc>
        <w:tc>
          <w:tcPr>
            <w:tcW w:w="869" w:type="dxa"/>
            <w:tcBorders>
              <w:top w:val="single" w:sz="6" w:space="0" w:color="auto"/>
              <w:left w:val="nil"/>
              <w:bottom w:val="single" w:sz="6" w:space="0" w:color="auto"/>
              <w:right w:val="nil"/>
            </w:tcBorders>
            <w:shd w:val="clear" w:color="000000" w:fill="000000"/>
          </w:tcPr>
          <w:p w:rsidR="00336793" w:rsidRPr="00563803" w:rsidRDefault="00336793" w:rsidP="00DF0B96">
            <w:pPr>
              <w:pStyle w:val="Tabletextheading"/>
              <w:rPr>
                <w:rFonts w:eastAsiaTheme="minorEastAsia"/>
                <w:color w:val="FFFFFF"/>
                <w:sz w:val="21"/>
                <w:lang w:eastAsia="en-AU"/>
              </w:rPr>
            </w:pPr>
          </w:p>
          <w:p w:rsidR="00336793" w:rsidRPr="00563803" w:rsidRDefault="00336793" w:rsidP="00DF0B96">
            <w:pPr>
              <w:pStyle w:val="Tabletextheading"/>
              <w:rPr>
                <w:rFonts w:eastAsiaTheme="minorEastAsia"/>
                <w:color w:val="FFFFFF"/>
                <w:sz w:val="21"/>
                <w:lang w:eastAsia="en-AU"/>
              </w:rPr>
            </w:pPr>
            <w:r w:rsidRPr="00563803">
              <w:rPr>
                <w:rFonts w:eastAsiaTheme="minorEastAsia"/>
                <w:color w:val="FFFFFF"/>
                <w:sz w:val="21"/>
                <w:lang w:eastAsia="en-AU"/>
              </w:rPr>
              <w:t xml:space="preserve">Other </w:t>
            </w:r>
          </w:p>
          <w:p w:rsidR="00336793" w:rsidRPr="00563803" w:rsidRDefault="00336793" w:rsidP="00DF0B96">
            <w:pPr>
              <w:pStyle w:val="Tabletextheading"/>
              <w:rPr>
                <w:rFonts w:eastAsiaTheme="minorEastAsia"/>
                <w:color w:val="FFFFFF"/>
                <w:sz w:val="21"/>
                <w:lang w:eastAsia="en-AU"/>
              </w:rPr>
            </w:pPr>
            <w:r w:rsidRPr="00563803">
              <w:rPr>
                <w:rFonts w:eastAsiaTheme="minorEastAsia"/>
                <w:color w:val="FFFFFF"/>
                <w:sz w:val="21"/>
                <w:lang w:eastAsia="en-AU"/>
              </w:rPr>
              <w:t>reserves</w:t>
            </w:r>
          </w:p>
        </w:tc>
        <w:tc>
          <w:tcPr>
            <w:tcW w:w="1086" w:type="dxa"/>
            <w:tcBorders>
              <w:top w:val="single" w:sz="6" w:space="0" w:color="auto"/>
              <w:left w:val="nil"/>
              <w:bottom w:val="single" w:sz="6" w:space="0" w:color="auto"/>
              <w:right w:val="single" w:sz="6" w:space="0" w:color="auto"/>
            </w:tcBorders>
            <w:shd w:val="clear" w:color="000000" w:fill="000000"/>
          </w:tcPr>
          <w:p w:rsidR="00336793" w:rsidRPr="00563803" w:rsidRDefault="00336793" w:rsidP="00DF0B96">
            <w:pPr>
              <w:pStyle w:val="Tabletextheading"/>
              <w:rPr>
                <w:rFonts w:eastAsiaTheme="minorEastAsia"/>
                <w:color w:val="FFFFFF"/>
                <w:sz w:val="21"/>
                <w:lang w:eastAsia="en-AU"/>
              </w:rPr>
            </w:pPr>
          </w:p>
          <w:p w:rsidR="00336793" w:rsidRPr="00563803" w:rsidRDefault="00336793" w:rsidP="00DF0B96">
            <w:pPr>
              <w:pStyle w:val="Tabletextheading"/>
              <w:rPr>
                <w:rFonts w:eastAsiaTheme="minorEastAsia"/>
                <w:color w:val="FFFFFF"/>
                <w:sz w:val="21"/>
                <w:lang w:eastAsia="en-AU"/>
              </w:rPr>
            </w:pPr>
          </w:p>
          <w:p w:rsidR="00336793" w:rsidRPr="00563803" w:rsidRDefault="00336793" w:rsidP="00DF0B96">
            <w:pPr>
              <w:pStyle w:val="Tabletextheading"/>
              <w:rPr>
                <w:rFonts w:eastAsiaTheme="minorEastAsia"/>
                <w:color w:val="FFFFFF"/>
                <w:sz w:val="21"/>
                <w:lang w:eastAsia="en-AU"/>
              </w:rPr>
            </w:pPr>
            <w:r w:rsidRPr="00563803">
              <w:rPr>
                <w:rFonts w:eastAsiaTheme="minorEastAsia"/>
                <w:color w:val="FFFFFF"/>
                <w:sz w:val="21"/>
                <w:lang w:eastAsia="en-AU"/>
              </w:rPr>
              <w:t>Total</w:t>
            </w:r>
          </w:p>
        </w:tc>
      </w:tr>
      <w:tr w:rsidR="00336793" w:rsidRPr="00563803" w:rsidTr="00DF0B96">
        <w:tc>
          <w:tcPr>
            <w:tcW w:w="4787" w:type="dxa"/>
            <w:tcBorders>
              <w:top w:val="single" w:sz="6" w:space="0" w:color="auto"/>
              <w:left w:val="nil"/>
              <w:bottom w:val="nil"/>
              <w:right w:val="nil"/>
            </w:tcBorders>
          </w:tcPr>
          <w:p w:rsidR="00336793" w:rsidRPr="00563803" w:rsidRDefault="00336793" w:rsidP="00DF0B96">
            <w:pPr>
              <w:pStyle w:val="Tabletext"/>
              <w:rPr>
                <w:rFonts w:eastAsiaTheme="minorEastAsia"/>
                <w:b/>
                <w:bCs/>
                <w:sz w:val="21"/>
                <w:lang w:eastAsia="en-AU"/>
              </w:rPr>
            </w:pPr>
            <w:r w:rsidRPr="00563803">
              <w:rPr>
                <w:rFonts w:eastAsiaTheme="minorEastAsia"/>
                <w:b/>
                <w:bCs/>
                <w:sz w:val="21"/>
                <w:lang w:eastAsia="en-AU"/>
              </w:rPr>
              <w:t>General government sector</w:t>
            </w:r>
          </w:p>
        </w:tc>
        <w:tc>
          <w:tcPr>
            <w:tcW w:w="1440" w:type="dxa"/>
            <w:tcBorders>
              <w:top w:val="single" w:sz="6" w:space="0" w:color="auto"/>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170" w:type="dxa"/>
            <w:tcBorders>
              <w:top w:val="single" w:sz="6" w:space="0" w:color="auto"/>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440" w:type="dxa"/>
            <w:tcBorders>
              <w:top w:val="single" w:sz="6" w:space="0" w:color="auto"/>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954" w:type="dxa"/>
            <w:tcBorders>
              <w:top w:val="single" w:sz="6" w:space="0" w:color="auto"/>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824" w:type="dxa"/>
            <w:tcBorders>
              <w:top w:val="single" w:sz="6" w:space="0" w:color="auto"/>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869" w:type="dxa"/>
            <w:tcBorders>
              <w:top w:val="single" w:sz="6" w:space="0" w:color="auto"/>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086" w:type="dxa"/>
            <w:tcBorders>
              <w:top w:val="single" w:sz="6" w:space="0" w:color="auto"/>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vertAlign w:val="superscript"/>
                <w:lang w:eastAsia="en-AU"/>
              </w:rPr>
            </w:pPr>
            <w:r w:rsidRPr="00563803">
              <w:rPr>
                <w:rFonts w:eastAsiaTheme="minorEastAsia"/>
                <w:sz w:val="21"/>
                <w:lang w:eastAsia="en-AU"/>
              </w:rPr>
              <w:t>Balance at 1 July 2013</w:t>
            </w:r>
            <w:r w:rsidRPr="00E96950">
              <w:rPr>
                <w:rFonts w:eastAsiaTheme="minorEastAsia"/>
                <w:sz w:val="21"/>
                <w:vertAlign w:val="superscript"/>
                <w:lang w:eastAsia="en-AU"/>
              </w:rPr>
              <w:t xml:space="preserve"> (</w:t>
            </w:r>
            <w:r w:rsidRPr="00563803">
              <w:rPr>
                <w:rFonts w:eastAsiaTheme="minorEastAsia"/>
                <w:sz w:val="21"/>
                <w:vertAlign w:val="superscript"/>
                <w:lang w:eastAsia="en-AU"/>
              </w:rPr>
              <w:t>b)</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42 411.9</w:t>
            </w:r>
          </w:p>
        </w:tc>
        <w:tc>
          <w:tcPr>
            <w:tcW w:w="1170" w:type="dxa"/>
            <w:tcBorders>
              <w:top w:val="nil"/>
              <w:left w:val="nil"/>
              <w:bottom w:val="nil"/>
              <w:right w:val="nil"/>
            </w:tcBorders>
          </w:tcPr>
          <w:p w:rsidR="00336793" w:rsidRPr="00563803" w:rsidRDefault="00336793" w:rsidP="00DF0B96">
            <w:pPr>
              <w:pStyle w:val="TableofFigures"/>
              <w:rPr>
                <w:rFonts w:eastAsiaTheme="minorEastAsia" w:cs="Calibri"/>
                <w:color w:val="000000"/>
                <w:szCs w:val="22"/>
                <w:lang w:eastAsia="en-AU"/>
              </w:rPr>
            </w:pPr>
            <w:r>
              <w:rPr>
                <w:rFonts w:eastAsiaTheme="minorEastAsia"/>
                <w:sz w:val="21"/>
                <w:lang w:eastAsia="en-AU"/>
              </w:rPr>
              <w:t>..</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50.0</w:t>
            </w:r>
          </w:p>
        </w:tc>
        <w:tc>
          <w:tcPr>
            <w:tcW w:w="195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40 286.8</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38 373.5</w:t>
            </w:r>
          </w:p>
        </w:tc>
        <w:tc>
          <w:tcPr>
            <w:tcW w:w="869"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613.9</w:t>
            </w:r>
          </w:p>
        </w:tc>
        <w:tc>
          <w:tcPr>
            <w:tcW w:w="1086"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121 736.2</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vertAlign w:val="superscript"/>
                <w:lang w:eastAsia="en-AU"/>
              </w:rPr>
            </w:pPr>
            <w:r w:rsidRPr="00563803">
              <w:rPr>
                <w:rFonts w:eastAsiaTheme="minorEastAsia"/>
                <w:sz w:val="21"/>
                <w:lang w:eastAsia="en-AU"/>
              </w:rPr>
              <w:t>Net result for the year</w:t>
            </w:r>
            <w:r w:rsidRPr="00E96950">
              <w:rPr>
                <w:rFonts w:eastAsiaTheme="minorEastAsia"/>
                <w:sz w:val="21"/>
                <w:vertAlign w:val="superscript"/>
                <w:lang w:eastAsia="en-AU"/>
              </w:rPr>
              <w:t xml:space="preserve"> (</w:t>
            </w:r>
            <w:r w:rsidRPr="00563803">
              <w:rPr>
                <w:rFonts w:eastAsiaTheme="minorEastAsia"/>
                <w:sz w:val="21"/>
                <w:vertAlign w:val="superscript"/>
                <w:lang w:eastAsia="en-AU"/>
              </w:rPr>
              <w:t>b)</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765.7</w:t>
            </w:r>
          </w:p>
        </w:tc>
        <w:tc>
          <w:tcPr>
            <w:tcW w:w="1170" w:type="dxa"/>
            <w:tcBorders>
              <w:top w:val="nil"/>
              <w:left w:val="nil"/>
              <w:bottom w:val="nil"/>
              <w:right w:val="nil"/>
            </w:tcBorders>
            <w:shd w:val="solid" w:color="FFFFFF" w:fill="auto"/>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086"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765.7</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vertAlign w:val="superscript"/>
                <w:lang w:eastAsia="en-AU"/>
              </w:rPr>
            </w:pPr>
            <w:r w:rsidRPr="00563803">
              <w:rPr>
                <w:rFonts w:eastAsiaTheme="minorEastAsia"/>
                <w:sz w:val="21"/>
                <w:lang w:eastAsia="en-AU"/>
              </w:rPr>
              <w:t>Other comprehensive income for the year</w:t>
            </w:r>
            <w:r w:rsidRPr="00E96950">
              <w:rPr>
                <w:rFonts w:eastAsiaTheme="minorEastAsia"/>
                <w:sz w:val="21"/>
                <w:vertAlign w:val="superscript"/>
                <w:lang w:eastAsia="en-AU"/>
              </w:rPr>
              <w:t xml:space="preserve"> (</w:t>
            </w:r>
            <w:r w:rsidRPr="00563803">
              <w:rPr>
                <w:rFonts w:eastAsiaTheme="minorEastAsia"/>
                <w:sz w:val="21"/>
                <w:vertAlign w:val="superscript"/>
                <w:lang w:eastAsia="en-AU"/>
              </w:rPr>
              <w:t>b)</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172.3</w:t>
            </w:r>
          </w:p>
        </w:tc>
        <w:tc>
          <w:tcPr>
            <w:tcW w:w="117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nil"/>
              <w:right w:val="nil"/>
            </w:tcBorders>
          </w:tcPr>
          <w:p w:rsidR="00336793" w:rsidRPr="00563803" w:rsidRDefault="00336793" w:rsidP="00DF0B96">
            <w:pPr>
              <w:pStyle w:val="TableofFigures"/>
              <w:rPr>
                <w:rFonts w:eastAsiaTheme="minorEastAsia" w:cs="Calibri"/>
                <w:color w:val="000000"/>
                <w:sz w:val="21"/>
                <w:szCs w:val="22"/>
                <w:lang w:eastAsia="en-AU"/>
              </w:rPr>
            </w:pPr>
            <w:r w:rsidRPr="00563803">
              <w:rPr>
                <w:rFonts w:eastAsiaTheme="minorEastAsia"/>
                <w:sz w:val="21"/>
                <w:lang w:eastAsia="en-AU"/>
              </w:rPr>
              <w:t>1 963.2</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3 813.8</w:t>
            </w:r>
          </w:p>
        </w:tc>
        <w:tc>
          <w:tcPr>
            <w:tcW w:w="869"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26.4</w:t>
            </w:r>
          </w:p>
        </w:tc>
        <w:tc>
          <w:tcPr>
            <w:tcW w:w="1086"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5 975.7</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Transfer to accumulated surplus</w:t>
            </w:r>
            <w:r w:rsidRPr="00E96950">
              <w:rPr>
                <w:rFonts w:eastAsiaTheme="minorEastAsia"/>
                <w:sz w:val="21"/>
                <w:vertAlign w:val="superscript"/>
                <w:lang w:eastAsia="en-AU"/>
              </w:rPr>
              <w:t xml:space="preserve"> (</w:t>
            </w:r>
            <w:r w:rsidRPr="00563803">
              <w:rPr>
                <w:rFonts w:eastAsiaTheme="minorEastAsia"/>
                <w:sz w:val="21"/>
                <w:vertAlign w:val="superscript"/>
                <w:lang w:eastAsia="en-AU"/>
              </w:rPr>
              <w:t>c)</w:t>
            </w:r>
          </w:p>
        </w:tc>
        <w:tc>
          <w:tcPr>
            <w:tcW w:w="1440" w:type="dxa"/>
            <w:tcBorders>
              <w:top w:val="nil"/>
              <w:left w:val="nil"/>
              <w:bottom w:val="nil"/>
              <w:right w:val="nil"/>
            </w:tcBorders>
          </w:tcPr>
          <w:p w:rsidR="00336793" w:rsidRPr="00563803" w:rsidRDefault="00336793" w:rsidP="00DF0B96">
            <w:pPr>
              <w:pStyle w:val="TableofFigures"/>
              <w:rPr>
                <w:rFonts w:eastAsiaTheme="minorEastAsia" w:cs="Calibri"/>
                <w:color w:val="000000"/>
                <w:sz w:val="21"/>
                <w:szCs w:val="22"/>
                <w:lang w:eastAsia="en-AU"/>
              </w:rPr>
            </w:pPr>
            <w:r w:rsidRPr="00563803">
              <w:rPr>
                <w:rFonts w:eastAsiaTheme="minorEastAsia"/>
                <w:sz w:val="21"/>
                <w:lang w:eastAsia="en-AU"/>
              </w:rPr>
              <w:t xml:space="preserve"> </w:t>
            </w:r>
            <w:r w:rsidRPr="00563803">
              <w:rPr>
                <w:rFonts w:eastAsiaTheme="minorEastAsia" w:cs="Calibri"/>
                <w:color w:val="000000"/>
                <w:sz w:val="21"/>
                <w:szCs w:val="22"/>
                <w:lang w:eastAsia="en-AU"/>
              </w:rPr>
              <w:t>284.8</w:t>
            </w:r>
          </w:p>
        </w:tc>
        <w:tc>
          <w:tcPr>
            <w:tcW w:w="117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nil"/>
              <w:right w:val="nil"/>
            </w:tcBorders>
          </w:tcPr>
          <w:p w:rsidR="00336793" w:rsidRPr="00563803"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563803">
              <w:rPr>
                <w:rFonts w:eastAsiaTheme="minorEastAsia" w:cs="Calibri"/>
                <w:color w:val="000000"/>
                <w:sz w:val="21"/>
                <w:szCs w:val="22"/>
                <w:lang w:eastAsia="en-AU"/>
              </w:rPr>
              <w:t>284.8)</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086"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r>
      <w:tr w:rsidR="00336793" w:rsidRPr="00563803" w:rsidTr="00DF0B96">
        <w:tc>
          <w:tcPr>
            <w:tcW w:w="4787" w:type="dxa"/>
            <w:tcBorders>
              <w:top w:val="nil"/>
              <w:left w:val="nil"/>
              <w:bottom w:val="single" w:sz="6" w:space="0" w:color="auto"/>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Transactions with owners in their capacity as owners</w:t>
            </w:r>
          </w:p>
        </w:tc>
        <w:tc>
          <w:tcPr>
            <w:tcW w:w="1440"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170"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440"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824"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086"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r>
      <w:tr w:rsidR="00336793" w:rsidRPr="00563803" w:rsidTr="00DF0B96">
        <w:tc>
          <w:tcPr>
            <w:tcW w:w="4787" w:type="dxa"/>
            <w:tcBorders>
              <w:top w:val="single" w:sz="6" w:space="0" w:color="auto"/>
              <w:left w:val="nil"/>
              <w:bottom w:val="single" w:sz="12" w:space="0" w:color="auto"/>
              <w:right w:val="nil"/>
            </w:tcBorders>
          </w:tcPr>
          <w:p w:rsidR="00336793" w:rsidRPr="00563803" w:rsidRDefault="00336793" w:rsidP="00DF0B96">
            <w:pPr>
              <w:pStyle w:val="Tabletext"/>
              <w:rPr>
                <w:rFonts w:eastAsiaTheme="minorEastAsia"/>
                <w:b/>
                <w:bCs/>
                <w:sz w:val="21"/>
                <w:vertAlign w:val="superscript"/>
                <w:lang w:eastAsia="en-AU"/>
              </w:rPr>
            </w:pPr>
            <w:r w:rsidRPr="00563803">
              <w:rPr>
                <w:rFonts w:eastAsiaTheme="minorEastAsia"/>
                <w:b/>
                <w:bCs/>
                <w:sz w:val="21"/>
                <w:lang w:eastAsia="en-AU"/>
              </w:rPr>
              <w:t>Total equity as at 30 June 2014</w:t>
            </w:r>
          </w:p>
        </w:tc>
        <w:tc>
          <w:tcPr>
            <w:tcW w:w="1440" w:type="dxa"/>
            <w:tcBorders>
              <w:top w:val="nil"/>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43 634.6</w:t>
            </w:r>
          </w:p>
        </w:tc>
        <w:tc>
          <w:tcPr>
            <w:tcW w:w="1170" w:type="dxa"/>
            <w:tcBorders>
              <w:top w:val="nil"/>
              <w:left w:val="nil"/>
              <w:bottom w:val="single" w:sz="12" w:space="0" w:color="auto"/>
              <w:right w:val="nil"/>
            </w:tcBorders>
          </w:tcPr>
          <w:p w:rsidR="00336793" w:rsidRPr="00563803" w:rsidRDefault="00336793" w:rsidP="00DF0B96">
            <w:pPr>
              <w:pStyle w:val="TableofFigures"/>
              <w:rPr>
                <w:rFonts w:eastAsiaTheme="minorEastAsia" w:cs="Calibri"/>
                <w:b/>
                <w:bCs/>
                <w:color w:val="000000"/>
                <w:szCs w:val="22"/>
                <w:lang w:eastAsia="en-AU"/>
              </w:rPr>
            </w:pPr>
            <w:r>
              <w:rPr>
                <w:rFonts w:eastAsiaTheme="minorEastAsia"/>
                <w:b/>
                <w:bCs/>
                <w:sz w:val="21"/>
                <w:lang w:eastAsia="en-AU"/>
              </w:rPr>
              <w:t>..</w:t>
            </w:r>
          </w:p>
        </w:tc>
        <w:tc>
          <w:tcPr>
            <w:tcW w:w="1440" w:type="dxa"/>
            <w:tcBorders>
              <w:top w:val="nil"/>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50.0</w:t>
            </w:r>
          </w:p>
        </w:tc>
        <w:tc>
          <w:tcPr>
            <w:tcW w:w="1954" w:type="dxa"/>
            <w:tcBorders>
              <w:top w:val="nil"/>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41 965.2</w:t>
            </w:r>
          </w:p>
        </w:tc>
        <w:tc>
          <w:tcPr>
            <w:tcW w:w="1824" w:type="dxa"/>
            <w:tcBorders>
              <w:top w:val="nil"/>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42 187.3</w:t>
            </w:r>
          </w:p>
        </w:tc>
        <w:tc>
          <w:tcPr>
            <w:tcW w:w="869" w:type="dxa"/>
            <w:tcBorders>
              <w:top w:val="nil"/>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640.3</w:t>
            </w:r>
          </w:p>
        </w:tc>
        <w:tc>
          <w:tcPr>
            <w:tcW w:w="1086" w:type="dxa"/>
            <w:tcBorders>
              <w:top w:val="nil"/>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128 477.4</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b/>
                <w:bCs/>
                <w:sz w:val="21"/>
                <w:lang w:eastAsia="en-AU"/>
              </w:rPr>
            </w:pPr>
            <w:r w:rsidRPr="00563803">
              <w:rPr>
                <w:rFonts w:eastAsiaTheme="minorEastAsia"/>
                <w:b/>
                <w:bCs/>
                <w:sz w:val="21"/>
                <w:lang w:eastAsia="en-AU"/>
              </w:rPr>
              <w:t>PNFC sector</w:t>
            </w:r>
          </w:p>
        </w:tc>
        <w:tc>
          <w:tcPr>
            <w:tcW w:w="1440"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170"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440"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954"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824"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869"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086"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Balance at 1 July 2013</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5 088.6</w:t>
            </w:r>
          </w:p>
        </w:tc>
        <w:tc>
          <w:tcPr>
            <w:tcW w:w="117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30 624.9</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31 754.1</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297.9</w:t>
            </w:r>
          </w:p>
        </w:tc>
        <w:tc>
          <w:tcPr>
            <w:tcW w:w="1086"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67 765.5</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Net result for the year</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76.9</w:t>
            </w:r>
          </w:p>
        </w:tc>
        <w:tc>
          <w:tcPr>
            <w:tcW w:w="1170" w:type="dxa"/>
            <w:tcBorders>
              <w:top w:val="nil"/>
              <w:left w:val="nil"/>
              <w:bottom w:val="nil"/>
              <w:right w:val="nil"/>
            </w:tcBorders>
            <w:shd w:val="solid" w:color="FFFFFF" w:fill="auto"/>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086"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76.9</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Other comprehensive income for the year</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13.5</w:t>
            </w:r>
          </w:p>
        </w:tc>
        <w:tc>
          <w:tcPr>
            <w:tcW w:w="117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nil"/>
              <w:right w:val="nil"/>
            </w:tcBorders>
          </w:tcPr>
          <w:p w:rsidR="00336793" w:rsidRPr="00563803" w:rsidRDefault="00336793" w:rsidP="00DF0B96">
            <w:pPr>
              <w:pStyle w:val="TableofFigures"/>
              <w:rPr>
                <w:rFonts w:eastAsiaTheme="minorEastAsia" w:cs="Calibri"/>
                <w:color w:val="000000"/>
                <w:sz w:val="21"/>
                <w:szCs w:val="22"/>
                <w:lang w:eastAsia="en-AU"/>
              </w:rPr>
            </w:pPr>
            <w:r w:rsidRPr="00563803">
              <w:rPr>
                <w:rFonts w:eastAsiaTheme="minorEastAsia"/>
                <w:sz w:val="21"/>
                <w:lang w:eastAsia="en-AU"/>
              </w:rPr>
              <w:t>2 821.9</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41.8</w:t>
            </w:r>
          </w:p>
        </w:tc>
        <w:tc>
          <w:tcPr>
            <w:tcW w:w="1086" w:type="dxa"/>
            <w:tcBorders>
              <w:top w:val="nil"/>
              <w:left w:val="nil"/>
              <w:bottom w:val="nil"/>
              <w:right w:val="nil"/>
            </w:tcBorders>
          </w:tcPr>
          <w:p w:rsidR="00336793" w:rsidRPr="00563803" w:rsidRDefault="00336793" w:rsidP="00DF0B96">
            <w:pPr>
              <w:pStyle w:val="TableofFigures"/>
              <w:rPr>
                <w:rFonts w:eastAsiaTheme="minorEastAsia" w:cs="Calibri"/>
                <w:color w:val="000000"/>
                <w:sz w:val="21"/>
                <w:szCs w:val="22"/>
                <w:lang w:eastAsia="en-AU"/>
              </w:rPr>
            </w:pPr>
            <w:r w:rsidRPr="00563803">
              <w:rPr>
                <w:rFonts w:eastAsiaTheme="minorEastAsia"/>
                <w:sz w:val="21"/>
                <w:lang w:eastAsia="en-AU"/>
              </w:rPr>
              <w:t>2 877.2</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Dividends paid</w:t>
            </w:r>
          </w:p>
        </w:tc>
        <w:tc>
          <w:tcPr>
            <w:tcW w:w="1440" w:type="dxa"/>
            <w:tcBorders>
              <w:top w:val="nil"/>
              <w:left w:val="nil"/>
              <w:bottom w:val="nil"/>
              <w:right w:val="nil"/>
            </w:tcBorders>
          </w:tcPr>
          <w:p w:rsidR="00336793" w:rsidRPr="00563803"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563803">
              <w:rPr>
                <w:rFonts w:eastAsiaTheme="minorEastAsia" w:cs="Calibri"/>
                <w:color w:val="000000"/>
                <w:sz w:val="21"/>
                <w:szCs w:val="22"/>
                <w:lang w:eastAsia="en-AU"/>
              </w:rPr>
              <w:t>84.5)</w:t>
            </w:r>
          </w:p>
        </w:tc>
        <w:tc>
          <w:tcPr>
            <w:tcW w:w="117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086" w:type="dxa"/>
            <w:tcBorders>
              <w:top w:val="nil"/>
              <w:left w:val="nil"/>
              <w:bottom w:val="nil"/>
              <w:right w:val="nil"/>
            </w:tcBorders>
          </w:tcPr>
          <w:p w:rsidR="00336793" w:rsidRPr="00563803"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563803">
              <w:rPr>
                <w:rFonts w:eastAsiaTheme="minorEastAsia" w:cs="Calibri"/>
                <w:color w:val="000000"/>
                <w:sz w:val="21"/>
                <w:szCs w:val="22"/>
                <w:lang w:eastAsia="en-AU"/>
              </w:rPr>
              <w:t>84.5)</w:t>
            </w:r>
          </w:p>
        </w:tc>
      </w:tr>
      <w:tr w:rsidR="00336793" w:rsidRPr="00563803" w:rsidTr="00DF0B96">
        <w:tc>
          <w:tcPr>
            <w:tcW w:w="4787" w:type="dxa"/>
            <w:tcBorders>
              <w:top w:val="nil"/>
              <w:left w:val="nil"/>
              <w:bottom w:val="single" w:sz="6" w:space="0" w:color="auto"/>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Transactions with owners in their capacity as owners</w:t>
            </w:r>
          </w:p>
        </w:tc>
        <w:tc>
          <w:tcPr>
            <w:tcW w:w="1440"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17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2 338.1</w:t>
            </w:r>
          </w:p>
        </w:tc>
        <w:tc>
          <w:tcPr>
            <w:tcW w:w="1440"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824"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086"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2 338.1</w:t>
            </w:r>
          </w:p>
        </w:tc>
      </w:tr>
      <w:tr w:rsidR="00336793" w:rsidRPr="00563803" w:rsidTr="00DF0B96">
        <w:tc>
          <w:tcPr>
            <w:tcW w:w="4787" w:type="dxa"/>
            <w:tcBorders>
              <w:top w:val="single" w:sz="6" w:space="0" w:color="auto"/>
              <w:left w:val="nil"/>
              <w:bottom w:val="single" w:sz="12" w:space="0" w:color="auto"/>
              <w:right w:val="nil"/>
            </w:tcBorders>
          </w:tcPr>
          <w:p w:rsidR="00336793" w:rsidRPr="00563803" w:rsidRDefault="00336793" w:rsidP="00DF0B96">
            <w:pPr>
              <w:pStyle w:val="Tabletext"/>
              <w:rPr>
                <w:rFonts w:eastAsiaTheme="minorEastAsia"/>
                <w:b/>
                <w:bCs/>
                <w:sz w:val="21"/>
                <w:lang w:eastAsia="en-AU"/>
              </w:rPr>
            </w:pPr>
            <w:r w:rsidRPr="00563803">
              <w:rPr>
                <w:rFonts w:eastAsiaTheme="minorEastAsia"/>
                <w:b/>
                <w:bCs/>
                <w:sz w:val="21"/>
                <w:lang w:eastAsia="en-AU"/>
              </w:rPr>
              <w:t>Total equity as at 30 June 2014</w:t>
            </w:r>
          </w:p>
        </w:tc>
        <w:tc>
          <w:tcPr>
            <w:tcW w:w="1440" w:type="dxa"/>
            <w:tcBorders>
              <w:top w:val="nil"/>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5 094.5</w:t>
            </w:r>
          </w:p>
        </w:tc>
        <w:tc>
          <w:tcPr>
            <w:tcW w:w="1170"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32 963.0</w:t>
            </w:r>
          </w:p>
        </w:tc>
        <w:tc>
          <w:tcPr>
            <w:tcW w:w="1440"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w:t>
            </w:r>
          </w:p>
        </w:tc>
        <w:tc>
          <w:tcPr>
            <w:tcW w:w="1954"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34 576.1</w:t>
            </w:r>
          </w:p>
        </w:tc>
        <w:tc>
          <w:tcPr>
            <w:tcW w:w="1824"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w:t>
            </w:r>
          </w:p>
        </w:tc>
        <w:tc>
          <w:tcPr>
            <w:tcW w:w="869"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339.6</w:t>
            </w:r>
          </w:p>
        </w:tc>
        <w:tc>
          <w:tcPr>
            <w:tcW w:w="1086"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72 973.2</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b/>
                <w:bCs/>
                <w:sz w:val="21"/>
                <w:lang w:eastAsia="en-AU"/>
              </w:rPr>
            </w:pPr>
            <w:r w:rsidRPr="00563803">
              <w:rPr>
                <w:rFonts w:eastAsiaTheme="minorEastAsia"/>
                <w:b/>
                <w:bCs/>
                <w:sz w:val="21"/>
                <w:lang w:eastAsia="en-AU"/>
              </w:rPr>
              <w:t>PFC sector</w:t>
            </w:r>
          </w:p>
        </w:tc>
        <w:tc>
          <w:tcPr>
            <w:tcW w:w="1440"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170"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440"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954"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824"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869"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c>
          <w:tcPr>
            <w:tcW w:w="1086" w:type="dxa"/>
            <w:tcBorders>
              <w:top w:val="nil"/>
              <w:left w:val="nil"/>
              <w:bottom w:val="nil"/>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Balance at 1 July 2013</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(1 765.4)</w:t>
            </w:r>
          </w:p>
        </w:tc>
        <w:tc>
          <w:tcPr>
            <w:tcW w:w="117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251.8</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15.0</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645.9</w:t>
            </w:r>
          </w:p>
        </w:tc>
        <w:tc>
          <w:tcPr>
            <w:tcW w:w="1086" w:type="dxa"/>
            <w:tcBorders>
              <w:top w:val="nil"/>
              <w:left w:val="nil"/>
              <w:bottom w:val="nil"/>
              <w:right w:val="nil"/>
            </w:tcBorders>
          </w:tcPr>
          <w:p w:rsidR="00336793" w:rsidRPr="00563803"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563803">
              <w:rPr>
                <w:rFonts w:eastAsiaTheme="minorEastAsia" w:cs="Calibri"/>
                <w:color w:val="000000"/>
                <w:sz w:val="21"/>
                <w:szCs w:val="22"/>
                <w:lang w:eastAsia="en-AU"/>
              </w:rPr>
              <w:t>852.8)</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Net result for the year</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674.5</w:t>
            </w:r>
          </w:p>
        </w:tc>
        <w:tc>
          <w:tcPr>
            <w:tcW w:w="1170" w:type="dxa"/>
            <w:tcBorders>
              <w:top w:val="nil"/>
              <w:left w:val="nil"/>
              <w:bottom w:val="nil"/>
              <w:right w:val="nil"/>
            </w:tcBorders>
            <w:shd w:val="solid" w:color="FFFFFF" w:fill="auto"/>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086"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674.5</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Other comprehensive income for the year</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477.7</w:t>
            </w:r>
          </w:p>
        </w:tc>
        <w:tc>
          <w:tcPr>
            <w:tcW w:w="117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nil"/>
              <w:right w:val="nil"/>
            </w:tcBorders>
          </w:tcPr>
          <w:p w:rsidR="00336793" w:rsidRPr="00563803"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563803">
              <w:rPr>
                <w:rFonts w:eastAsiaTheme="minorEastAsia" w:cs="Calibri"/>
                <w:color w:val="000000"/>
                <w:sz w:val="21"/>
                <w:szCs w:val="22"/>
                <w:lang w:eastAsia="en-AU"/>
              </w:rPr>
              <w:t>12.9)</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nil"/>
              <w:right w:val="nil"/>
            </w:tcBorders>
          </w:tcPr>
          <w:p w:rsidR="00336793" w:rsidRPr="00563803"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563803">
              <w:rPr>
                <w:rFonts w:eastAsiaTheme="minorEastAsia" w:cs="Calibri"/>
                <w:color w:val="000000"/>
                <w:sz w:val="21"/>
                <w:szCs w:val="22"/>
                <w:lang w:eastAsia="en-AU"/>
              </w:rPr>
              <w:t>465.3)</w:t>
            </w:r>
          </w:p>
        </w:tc>
        <w:tc>
          <w:tcPr>
            <w:tcW w:w="1086" w:type="dxa"/>
            <w:tcBorders>
              <w:top w:val="nil"/>
              <w:left w:val="nil"/>
              <w:bottom w:val="nil"/>
              <w:right w:val="nil"/>
            </w:tcBorders>
          </w:tcPr>
          <w:p w:rsidR="00336793" w:rsidRPr="00563803"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563803">
              <w:rPr>
                <w:rFonts w:eastAsiaTheme="minorEastAsia" w:cs="Calibri"/>
                <w:color w:val="000000"/>
                <w:sz w:val="21"/>
                <w:szCs w:val="22"/>
                <w:lang w:eastAsia="en-AU"/>
              </w:rPr>
              <w:t>0.5)</w:t>
            </w:r>
          </w:p>
        </w:tc>
      </w:tr>
      <w:tr w:rsidR="00336793" w:rsidRPr="00563803" w:rsidTr="00DF0B96">
        <w:tc>
          <w:tcPr>
            <w:tcW w:w="4787" w:type="dxa"/>
            <w:tcBorders>
              <w:top w:val="nil"/>
              <w:left w:val="nil"/>
              <w:bottom w:val="nil"/>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Dividends paid</w:t>
            </w:r>
          </w:p>
        </w:tc>
        <w:tc>
          <w:tcPr>
            <w:tcW w:w="1440" w:type="dxa"/>
            <w:tcBorders>
              <w:top w:val="nil"/>
              <w:left w:val="nil"/>
              <w:bottom w:val="nil"/>
              <w:right w:val="nil"/>
            </w:tcBorders>
          </w:tcPr>
          <w:p w:rsidR="00336793" w:rsidRPr="00563803"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563803">
              <w:rPr>
                <w:rFonts w:eastAsiaTheme="minorEastAsia" w:cs="Calibri"/>
                <w:color w:val="000000"/>
                <w:sz w:val="21"/>
                <w:szCs w:val="22"/>
                <w:lang w:eastAsia="en-AU"/>
              </w:rPr>
              <w:t>136.0)</w:t>
            </w:r>
          </w:p>
        </w:tc>
        <w:tc>
          <w:tcPr>
            <w:tcW w:w="117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44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824"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086" w:type="dxa"/>
            <w:tcBorders>
              <w:top w:val="nil"/>
              <w:left w:val="nil"/>
              <w:bottom w:val="nil"/>
              <w:right w:val="nil"/>
            </w:tcBorders>
          </w:tcPr>
          <w:p w:rsidR="00336793" w:rsidRPr="00563803"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563803">
              <w:rPr>
                <w:rFonts w:eastAsiaTheme="minorEastAsia" w:cs="Calibri"/>
                <w:color w:val="000000"/>
                <w:sz w:val="21"/>
                <w:szCs w:val="22"/>
                <w:lang w:eastAsia="en-AU"/>
              </w:rPr>
              <w:t>136.0)</w:t>
            </w:r>
          </w:p>
        </w:tc>
      </w:tr>
      <w:tr w:rsidR="00336793" w:rsidRPr="00563803" w:rsidTr="00DF0B96">
        <w:tc>
          <w:tcPr>
            <w:tcW w:w="4787" w:type="dxa"/>
            <w:tcBorders>
              <w:top w:val="nil"/>
              <w:left w:val="nil"/>
              <w:bottom w:val="single" w:sz="6" w:space="0" w:color="auto"/>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Transactions with owners in their capacity as owners</w:t>
            </w:r>
          </w:p>
        </w:tc>
        <w:tc>
          <w:tcPr>
            <w:tcW w:w="1440"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170" w:type="dxa"/>
            <w:tcBorders>
              <w:top w:val="nil"/>
              <w:left w:val="nil"/>
              <w:bottom w:val="nil"/>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2.5</w:t>
            </w:r>
          </w:p>
        </w:tc>
        <w:tc>
          <w:tcPr>
            <w:tcW w:w="1440"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824"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869"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086"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 xml:space="preserve"> 2.5</w:t>
            </w:r>
          </w:p>
        </w:tc>
      </w:tr>
      <w:tr w:rsidR="00336793" w:rsidRPr="00563803" w:rsidTr="00DF0B96">
        <w:tc>
          <w:tcPr>
            <w:tcW w:w="4787" w:type="dxa"/>
            <w:tcBorders>
              <w:top w:val="single" w:sz="6" w:space="0" w:color="auto"/>
              <w:left w:val="nil"/>
              <w:bottom w:val="single" w:sz="12" w:space="0" w:color="auto"/>
              <w:right w:val="nil"/>
            </w:tcBorders>
          </w:tcPr>
          <w:p w:rsidR="00336793" w:rsidRPr="00563803" w:rsidRDefault="00336793" w:rsidP="00DF0B96">
            <w:pPr>
              <w:pStyle w:val="Tabletext"/>
              <w:rPr>
                <w:rFonts w:eastAsiaTheme="minorEastAsia"/>
                <w:b/>
                <w:bCs/>
                <w:sz w:val="21"/>
                <w:lang w:eastAsia="en-AU"/>
              </w:rPr>
            </w:pPr>
            <w:r w:rsidRPr="00563803">
              <w:rPr>
                <w:rFonts w:eastAsiaTheme="minorEastAsia"/>
                <w:b/>
                <w:bCs/>
                <w:sz w:val="21"/>
                <w:lang w:eastAsia="en-AU"/>
              </w:rPr>
              <w:t>Total equity as at 30 June 2014</w:t>
            </w:r>
          </w:p>
        </w:tc>
        <w:tc>
          <w:tcPr>
            <w:tcW w:w="1440"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cs="Calibri"/>
                <w:b/>
                <w:bCs/>
                <w:color w:val="000000"/>
                <w:szCs w:val="22"/>
                <w:lang w:eastAsia="en-AU"/>
              </w:rPr>
            </w:pPr>
            <w:r>
              <w:rPr>
                <w:rFonts w:eastAsiaTheme="minorEastAsia"/>
                <w:b/>
                <w:bCs/>
                <w:sz w:val="21"/>
                <w:lang w:eastAsia="en-AU"/>
              </w:rPr>
              <w:t>(</w:t>
            </w:r>
            <w:r w:rsidRPr="00563803">
              <w:rPr>
                <w:rFonts w:eastAsiaTheme="minorEastAsia" w:cs="Calibri"/>
                <w:b/>
                <w:bCs/>
                <w:color w:val="000000"/>
                <w:sz w:val="21"/>
                <w:szCs w:val="22"/>
                <w:lang w:eastAsia="en-AU"/>
              </w:rPr>
              <w:t>749.2)</w:t>
            </w:r>
          </w:p>
        </w:tc>
        <w:tc>
          <w:tcPr>
            <w:tcW w:w="1170"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254.3</w:t>
            </w:r>
          </w:p>
        </w:tc>
        <w:tc>
          <w:tcPr>
            <w:tcW w:w="1440"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w:t>
            </w:r>
          </w:p>
        </w:tc>
        <w:tc>
          <w:tcPr>
            <w:tcW w:w="1954"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2.1</w:t>
            </w:r>
          </w:p>
        </w:tc>
        <w:tc>
          <w:tcPr>
            <w:tcW w:w="1824"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w:t>
            </w:r>
          </w:p>
        </w:tc>
        <w:tc>
          <w:tcPr>
            <w:tcW w:w="869"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180.6</w:t>
            </w:r>
          </w:p>
        </w:tc>
        <w:tc>
          <w:tcPr>
            <w:tcW w:w="1086" w:type="dxa"/>
            <w:tcBorders>
              <w:top w:val="single" w:sz="6" w:space="0" w:color="auto"/>
              <w:left w:val="nil"/>
              <w:bottom w:val="single" w:sz="12" w:space="0" w:color="auto"/>
              <w:right w:val="nil"/>
            </w:tcBorders>
          </w:tcPr>
          <w:p w:rsidR="00336793" w:rsidRPr="00563803" w:rsidRDefault="00336793" w:rsidP="00DF0B96">
            <w:pPr>
              <w:pStyle w:val="TableofFigures"/>
              <w:rPr>
                <w:rFonts w:eastAsiaTheme="minorEastAsia" w:cs="Calibri"/>
                <w:b/>
                <w:bCs/>
                <w:color w:val="000000"/>
                <w:szCs w:val="22"/>
                <w:lang w:eastAsia="en-AU"/>
              </w:rPr>
            </w:pPr>
            <w:r>
              <w:rPr>
                <w:rFonts w:eastAsiaTheme="minorEastAsia"/>
                <w:b/>
                <w:bCs/>
                <w:sz w:val="21"/>
                <w:lang w:eastAsia="en-AU"/>
              </w:rPr>
              <w:t>(</w:t>
            </w:r>
            <w:r w:rsidRPr="00563803">
              <w:rPr>
                <w:rFonts w:eastAsiaTheme="minorEastAsia" w:cs="Calibri"/>
                <w:b/>
                <w:bCs/>
                <w:color w:val="000000"/>
                <w:sz w:val="21"/>
                <w:szCs w:val="22"/>
                <w:lang w:eastAsia="en-AU"/>
              </w:rPr>
              <w:t>312.3)</w:t>
            </w:r>
          </w:p>
        </w:tc>
      </w:tr>
      <w:tr w:rsidR="00336793" w:rsidRPr="00563803" w:rsidTr="00DF0B96">
        <w:tc>
          <w:tcPr>
            <w:tcW w:w="4787" w:type="dxa"/>
            <w:tcBorders>
              <w:top w:val="nil"/>
              <w:left w:val="nil"/>
              <w:bottom w:val="single" w:sz="6" w:space="0" w:color="auto"/>
              <w:right w:val="nil"/>
            </w:tcBorders>
          </w:tcPr>
          <w:p w:rsidR="00336793" w:rsidRPr="00563803" w:rsidRDefault="00336793" w:rsidP="00DF0B96">
            <w:pPr>
              <w:pStyle w:val="Tabletext"/>
              <w:rPr>
                <w:rFonts w:eastAsiaTheme="minorEastAsia"/>
                <w:sz w:val="21"/>
                <w:lang w:eastAsia="en-AU"/>
              </w:rPr>
            </w:pPr>
            <w:r w:rsidRPr="00563803">
              <w:rPr>
                <w:rFonts w:eastAsiaTheme="minorEastAsia"/>
                <w:sz w:val="21"/>
                <w:lang w:eastAsia="en-AU"/>
              </w:rPr>
              <w:t>Eliminations</w:t>
            </w:r>
          </w:p>
        </w:tc>
        <w:tc>
          <w:tcPr>
            <w:tcW w:w="1440"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(2 544.0)</w:t>
            </w:r>
          </w:p>
        </w:tc>
        <w:tc>
          <w:tcPr>
            <w:tcW w:w="1170"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(33 217.2)</w:t>
            </w:r>
          </w:p>
        </w:tc>
        <w:tc>
          <w:tcPr>
            <w:tcW w:w="1440"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954"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8 893.5</w:t>
            </w:r>
          </w:p>
        </w:tc>
        <w:tc>
          <w:tcPr>
            <w:tcW w:w="1824"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(42 187.3)</w:t>
            </w:r>
          </w:p>
        </w:tc>
        <w:tc>
          <w:tcPr>
            <w:tcW w:w="869"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w:t>
            </w:r>
          </w:p>
        </w:tc>
        <w:tc>
          <w:tcPr>
            <w:tcW w:w="1086" w:type="dxa"/>
            <w:tcBorders>
              <w:top w:val="nil"/>
              <w:left w:val="nil"/>
              <w:bottom w:val="single" w:sz="6" w:space="0" w:color="auto"/>
              <w:right w:val="nil"/>
            </w:tcBorders>
          </w:tcPr>
          <w:p w:rsidR="00336793" w:rsidRPr="00563803" w:rsidRDefault="00336793" w:rsidP="00DF0B96">
            <w:pPr>
              <w:pStyle w:val="TableofFigures"/>
              <w:rPr>
                <w:rFonts w:eastAsiaTheme="minorEastAsia"/>
                <w:sz w:val="21"/>
                <w:lang w:eastAsia="en-AU"/>
              </w:rPr>
            </w:pPr>
            <w:r w:rsidRPr="00563803">
              <w:rPr>
                <w:rFonts w:eastAsiaTheme="minorEastAsia"/>
                <w:sz w:val="21"/>
                <w:lang w:eastAsia="en-AU"/>
              </w:rPr>
              <w:t>(69 055.1)</w:t>
            </w:r>
          </w:p>
        </w:tc>
      </w:tr>
      <w:tr w:rsidR="00336793" w:rsidRPr="00563803" w:rsidTr="00DF0B96">
        <w:tc>
          <w:tcPr>
            <w:tcW w:w="4787" w:type="dxa"/>
            <w:tcBorders>
              <w:top w:val="single" w:sz="6" w:space="0" w:color="auto"/>
              <w:left w:val="nil"/>
              <w:bottom w:val="single" w:sz="12" w:space="0" w:color="000000"/>
              <w:right w:val="nil"/>
            </w:tcBorders>
            <w:shd w:val="clear" w:color="auto" w:fill="auto"/>
          </w:tcPr>
          <w:p w:rsidR="00336793" w:rsidRPr="00563803" w:rsidRDefault="00336793" w:rsidP="00DF0B96">
            <w:pPr>
              <w:pStyle w:val="Tabletext"/>
              <w:rPr>
                <w:rFonts w:eastAsiaTheme="minorEastAsia"/>
                <w:b/>
                <w:bCs/>
                <w:sz w:val="21"/>
                <w:lang w:eastAsia="en-AU"/>
              </w:rPr>
            </w:pPr>
            <w:r w:rsidRPr="00563803">
              <w:rPr>
                <w:rFonts w:eastAsiaTheme="minorEastAsia"/>
                <w:b/>
                <w:bCs/>
                <w:sz w:val="21"/>
                <w:lang w:eastAsia="en-AU"/>
              </w:rPr>
              <w:t>Total State of Victoria</w:t>
            </w:r>
            <w:r w:rsidRPr="00E96950">
              <w:rPr>
                <w:rFonts w:eastAsiaTheme="minorEastAsia"/>
                <w:b/>
                <w:bCs/>
                <w:sz w:val="21"/>
                <w:vertAlign w:val="superscript"/>
                <w:lang w:eastAsia="en-AU"/>
              </w:rPr>
              <w:t xml:space="preserve"> (</w:t>
            </w:r>
            <w:r w:rsidRPr="00563803">
              <w:rPr>
                <w:rFonts w:eastAsiaTheme="minorEastAsia"/>
                <w:b/>
                <w:bCs/>
                <w:sz w:val="21"/>
                <w:vertAlign w:val="superscript"/>
                <w:lang w:eastAsia="en-AU"/>
              </w:rPr>
              <w:t>b)</w:t>
            </w:r>
          </w:p>
        </w:tc>
        <w:tc>
          <w:tcPr>
            <w:tcW w:w="1440" w:type="dxa"/>
            <w:tcBorders>
              <w:top w:val="single" w:sz="6" w:space="0" w:color="auto"/>
              <w:left w:val="nil"/>
              <w:bottom w:val="single" w:sz="12" w:space="0" w:color="000000"/>
              <w:right w:val="nil"/>
            </w:tcBorders>
            <w:shd w:val="clear" w:color="auto" w:fill="auto"/>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45 435.9</w:t>
            </w:r>
          </w:p>
        </w:tc>
        <w:tc>
          <w:tcPr>
            <w:tcW w:w="1170" w:type="dxa"/>
            <w:tcBorders>
              <w:top w:val="single" w:sz="6" w:space="0" w:color="auto"/>
              <w:left w:val="nil"/>
              <w:bottom w:val="single" w:sz="12" w:space="0" w:color="000000"/>
              <w:right w:val="nil"/>
            </w:tcBorders>
            <w:shd w:val="clear" w:color="auto" w:fill="auto"/>
          </w:tcPr>
          <w:p w:rsidR="00336793" w:rsidRPr="00563803" w:rsidRDefault="00336793" w:rsidP="00DF0B96">
            <w:pPr>
              <w:pStyle w:val="TableofFigures"/>
              <w:rPr>
                <w:rFonts w:eastAsiaTheme="minorEastAsia" w:cs="Calibri"/>
                <w:b/>
                <w:bCs/>
                <w:color w:val="000000"/>
                <w:szCs w:val="22"/>
                <w:lang w:eastAsia="en-AU"/>
              </w:rPr>
            </w:pPr>
            <w:r>
              <w:rPr>
                <w:rFonts w:eastAsiaTheme="minorEastAsia"/>
                <w:b/>
                <w:bCs/>
                <w:sz w:val="21"/>
                <w:lang w:eastAsia="en-AU"/>
              </w:rPr>
              <w:t>..</w:t>
            </w:r>
          </w:p>
        </w:tc>
        <w:tc>
          <w:tcPr>
            <w:tcW w:w="1440" w:type="dxa"/>
            <w:tcBorders>
              <w:top w:val="single" w:sz="6" w:space="0" w:color="auto"/>
              <w:left w:val="nil"/>
              <w:bottom w:val="single" w:sz="12" w:space="0" w:color="000000"/>
              <w:right w:val="nil"/>
            </w:tcBorders>
            <w:shd w:val="clear" w:color="auto" w:fill="auto"/>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 xml:space="preserve"> 50.0</w:t>
            </w:r>
          </w:p>
        </w:tc>
        <w:tc>
          <w:tcPr>
            <w:tcW w:w="1954" w:type="dxa"/>
            <w:tcBorders>
              <w:top w:val="single" w:sz="6" w:space="0" w:color="auto"/>
              <w:left w:val="nil"/>
              <w:bottom w:val="single" w:sz="12" w:space="0" w:color="000000"/>
              <w:right w:val="nil"/>
            </w:tcBorders>
            <w:shd w:val="clear" w:color="auto" w:fill="auto"/>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85 436.7</w:t>
            </w:r>
          </w:p>
        </w:tc>
        <w:tc>
          <w:tcPr>
            <w:tcW w:w="1824" w:type="dxa"/>
            <w:tcBorders>
              <w:top w:val="single" w:sz="6" w:space="0" w:color="auto"/>
              <w:left w:val="nil"/>
              <w:bottom w:val="single" w:sz="12" w:space="0" w:color="000000"/>
              <w:right w:val="nil"/>
            </w:tcBorders>
            <w:shd w:val="clear" w:color="auto" w:fill="auto"/>
          </w:tcPr>
          <w:p w:rsidR="00336793" w:rsidRPr="00563803" w:rsidRDefault="00336793" w:rsidP="00DF0B96">
            <w:pPr>
              <w:pStyle w:val="TableofFigures"/>
              <w:rPr>
                <w:rFonts w:eastAsiaTheme="minorEastAsia"/>
                <w:b/>
                <w:bCs/>
                <w:sz w:val="21"/>
                <w:lang w:eastAsia="en-AU"/>
              </w:rPr>
            </w:pPr>
            <w:r>
              <w:rPr>
                <w:rFonts w:eastAsiaTheme="minorEastAsia"/>
                <w:b/>
                <w:bCs/>
                <w:sz w:val="21"/>
                <w:lang w:eastAsia="en-AU"/>
              </w:rPr>
              <w:t>..</w:t>
            </w:r>
          </w:p>
        </w:tc>
        <w:tc>
          <w:tcPr>
            <w:tcW w:w="869" w:type="dxa"/>
            <w:tcBorders>
              <w:top w:val="single" w:sz="6" w:space="0" w:color="auto"/>
              <w:left w:val="nil"/>
              <w:bottom w:val="single" w:sz="12" w:space="0" w:color="000000"/>
              <w:right w:val="nil"/>
            </w:tcBorders>
            <w:shd w:val="clear" w:color="auto" w:fill="auto"/>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1 160.5</w:t>
            </w:r>
          </w:p>
        </w:tc>
        <w:tc>
          <w:tcPr>
            <w:tcW w:w="1086" w:type="dxa"/>
            <w:tcBorders>
              <w:top w:val="single" w:sz="6" w:space="0" w:color="auto"/>
              <w:left w:val="nil"/>
              <w:bottom w:val="single" w:sz="12" w:space="0" w:color="000000"/>
              <w:right w:val="nil"/>
            </w:tcBorders>
            <w:shd w:val="clear" w:color="auto" w:fill="auto"/>
          </w:tcPr>
          <w:p w:rsidR="00336793" w:rsidRPr="00563803" w:rsidRDefault="00336793" w:rsidP="00DF0B96">
            <w:pPr>
              <w:pStyle w:val="TableofFigures"/>
              <w:rPr>
                <w:rFonts w:eastAsiaTheme="minorEastAsia"/>
                <w:b/>
                <w:bCs/>
                <w:sz w:val="21"/>
                <w:lang w:eastAsia="en-AU"/>
              </w:rPr>
            </w:pPr>
            <w:r w:rsidRPr="00563803">
              <w:rPr>
                <w:rFonts w:eastAsiaTheme="minorEastAsia"/>
                <w:b/>
                <w:bCs/>
                <w:sz w:val="21"/>
                <w:lang w:eastAsia="en-AU"/>
              </w:rPr>
              <w:t>132 083.2</w:t>
            </w:r>
          </w:p>
        </w:tc>
      </w:tr>
    </w:tbl>
    <w:p w:rsidR="00336793" w:rsidRDefault="00336793" w:rsidP="00DF0B96">
      <w:pPr>
        <w:pStyle w:val="Notes"/>
      </w:pPr>
      <w:r>
        <w:t>Notes:</w:t>
      </w:r>
    </w:p>
    <w:p w:rsidR="00336793" w:rsidRDefault="00336793" w:rsidP="00DF0B96">
      <w:pPr>
        <w:pStyle w:val="Notes"/>
      </w:pPr>
      <w:r>
        <w:t>(a)</w:t>
      </w:r>
      <w:r>
        <w:tab/>
        <w:t>Non</w:t>
      </w:r>
      <w:r>
        <w:noBreakHyphen/>
        <w:t>financial assets revaluation surplus relates to revaluation of land, buildings, infrastructure, plant and equipment.</w:t>
      </w:r>
    </w:p>
    <w:p w:rsidR="00336793" w:rsidRDefault="00336793" w:rsidP="00DF0B96">
      <w:pPr>
        <w:pStyle w:val="Notes"/>
      </w:pPr>
      <w:r>
        <w:t>(b)</w:t>
      </w:r>
      <w:r>
        <w:tab/>
        <w:t>June 2014 comparative figures have been restated. See Note 37.</w:t>
      </w:r>
    </w:p>
    <w:p w:rsidR="00336793" w:rsidRDefault="00336793" w:rsidP="00DF0B96">
      <w:pPr>
        <w:pStyle w:val="Notes"/>
      </w:pPr>
      <w:r>
        <w:t>(c)</w:t>
      </w:r>
      <w:r>
        <w:tab/>
        <w:t>Transfer of reserves to accumulated surplus for ceased departments as part of the announced machinery of government changes effective from 1 January 2015. See Note 42.</w:t>
      </w:r>
    </w:p>
    <w:p w:rsidR="00336793" w:rsidRDefault="00336793" w:rsidP="00DF0B96">
      <w:pPr>
        <w:pStyle w:val="Notes"/>
      </w:pPr>
    </w:p>
    <w:p w:rsidR="00336793" w:rsidRDefault="00336793" w:rsidP="00DF0B96">
      <w:pPr>
        <w:pStyle w:val="Notes"/>
      </w:pPr>
    </w:p>
    <w:p w:rsidR="00336793" w:rsidRDefault="00336793" w:rsidP="00DF0B96">
      <w:pPr>
        <w:pStyle w:val="Notes"/>
        <w:sectPr w:rsidR="00336793" w:rsidSect="00DF0B96">
          <w:headerReference w:type="even" r:id="rId46"/>
          <w:headerReference w:type="default" r:id="rId47"/>
          <w:footerReference w:type="even" r:id="rId48"/>
          <w:footerReference w:type="default" r:id="rId49"/>
          <w:pgSz w:w="16838" w:h="11906" w:orient="landscape" w:code="9"/>
          <w:pgMar w:top="1152" w:right="1152" w:bottom="1152" w:left="1152" w:header="720" w:footer="720" w:gutter="0"/>
          <w:cols w:space="708"/>
          <w:docGrid w:linePitch="360"/>
        </w:sectPr>
      </w:pPr>
    </w:p>
    <w:p w:rsidR="00336793" w:rsidRPr="006A75A2" w:rsidRDefault="00336793" w:rsidP="00DF0B96">
      <w:pPr>
        <w:pStyle w:val="Heading2Notes"/>
        <w:spacing w:before="0"/>
      </w:pPr>
      <w:bookmarkStart w:id="35" w:name="_Toc400040250"/>
      <w:bookmarkStart w:id="36" w:name="_Toc433984486"/>
      <w:r w:rsidRPr="00737B85">
        <w:lastRenderedPageBreak/>
        <w:t>Note</w:t>
      </w:r>
      <w:r w:rsidRPr="006A75A2">
        <w:t xml:space="preserve"> 3:</w:t>
      </w:r>
      <w:r w:rsidRPr="006A75A2">
        <w:tab/>
        <w:t>Taxation revenue</w:t>
      </w:r>
      <w:bookmarkEnd w:id="35"/>
      <w:bookmarkEnd w:id="36"/>
    </w:p>
    <w:p w:rsidR="00336793" w:rsidRPr="00A10A3B" w:rsidRDefault="00336793" w:rsidP="00DF0B96">
      <w:pPr>
        <w:pStyle w:val="million"/>
        <w:rPr>
          <w:rFonts w:ascii="Times New Roman" w:hAnsi="Times New Roman"/>
          <w:i w:val="0"/>
          <w:szCs w:val="20"/>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428"/>
        <w:gridCol w:w="1053"/>
        <w:gridCol w:w="816"/>
        <w:gridCol w:w="236"/>
        <w:gridCol w:w="89"/>
        <w:gridCol w:w="963"/>
        <w:gridCol w:w="837"/>
        <w:gridCol w:w="215"/>
      </w:tblGrid>
      <w:tr w:rsidR="00336793" w:rsidRPr="00A10A3B" w:rsidTr="00DF0B96">
        <w:trPr>
          <w:tblHeader/>
        </w:trPr>
        <w:tc>
          <w:tcPr>
            <w:tcW w:w="5428"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869"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State of Victoria</w:t>
            </w:r>
          </w:p>
        </w:tc>
        <w:tc>
          <w:tcPr>
            <w:tcW w:w="325"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 xml:space="preserve"> </w:t>
            </w:r>
          </w:p>
        </w:tc>
        <w:tc>
          <w:tcPr>
            <w:tcW w:w="180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215"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 xml:space="preserve"> </w:t>
            </w:r>
          </w:p>
        </w:tc>
      </w:tr>
      <w:tr w:rsidR="00336793" w:rsidRPr="00A10A3B" w:rsidTr="00DF0B96">
        <w:trPr>
          <w:tblHeader/>
        </w:trPr>
        <w:tc>
          <w:tcPr>
            <w:tcW w:w="5428"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053"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052"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052"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052"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428"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Taxes on employers</w:t>
            </w:r>
            <w:r>
              <w:rPr>
                <w:rFonts w:eastAsiaTheme="minorEastAsia"/>
                <w:b/>
                <w:bCs/>
                <w:lang w:eastAsia="en-AU"/>
              </w:rPr>
              <w:t>’</w:t>
            </w:r>
            <w:r w:rsidRPr="00A10A3B">
              <w:rPr>
                <w:rFonts w:eastAsiaTheme="minorEastAsia"/>
                <w:b/>
                <w:bCs/>
                <w:lang w:eastAsia="en-AU"/>
              </w:rPr>
              <w:t xml:space="preserve"> payroll and labour force</w:t>
            </w:r>
          </w:p>
        </w:tc>
        <w:tc>
          <w:tcPr>
            <w:tcW w:w="1053"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5 069.6</w:t>
            </w:r>
          </w:p>
        </w:tc>
        <w:tc>
          <w:tcPr>
            <w:tcW w:w="1052"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4 882.1</w:t>
            </w:r>
          </w:p>
        </w:tc>
        <w:tc>
          <w:tcPr>
            <w:tcW w:w="1052"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5 135.2</w:t>
            </w:r>
          </w:p>
        </w:tc>
        <w:tc>
          <w:tcPr>
            <w:tcW w:w="1052"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4 949.1</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Taxes on property</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Taxes on immovable property</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Land tax</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1 712.3</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1 620.6</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1 752.8</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1 658.7</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Fire Services Property levy</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588.5</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630.6</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588.5</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630.6</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Congestion levy</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110.6</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83.9</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110.6</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83.9</w:t>
            </w:r>
          </w:p>
        </w:tc>
      </w:tr>
      <w:tr w:rsidR="00336793" w:rsidRPr="00A10A3B" w:rsidTr="00DF0B96">
        <w:tc>
          <w:tcPr>
            <w:tcW w:w="5428"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Metropolitan improvement levy</w:t>
            </w:r>
          </w:p>
        </w:tc>
        <w:tc>
          <w:tcPr>
            <w:tcW w:w="1053"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152.6</w:t>
            </w:r>
          </w:p>
        </w:tc>
        <w:tc>
          <w:tcPr>
            <w:tcW w:w="1052"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151.0</w:t>
            </w:r>
          </w:p>
        </w:tc>
        <w:tc>
          <w:tcPr>
            <w:tcW w:w="1052"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152.6</w:t>
            </w:r>
          </w:p>
        </w:tc>
        <w:tc>
          <w:tcPr>
            <w:tcW w:w="1052"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151.0</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taxes on immovable property</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2 564.0</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2 486.1</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2 604.4</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2 524.1</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Financial and capital transactions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Land transfer duty</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4 938.3</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4 167.5</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4 938.3</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4 167.5</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property duties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2.4</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4.1</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2.4</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4.1</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Financial accommodation levy</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104.5</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115.3</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Growth Areas Infrastructure Contribution</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128.8</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93.1</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128.8</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93.1</w:t>
            </w:r>
          </w:p>
        </w:tc>
      </w:tr>
      <w:tr w:rsidR="00336793" w:rsidRPr="00A10A3B" w:rsidTr="00DF0B96">
        <w:tc>
          <w:tcPr>
            <w:tcW w:w="5428" w:type="dxa"/>
            <w:tcBorders>
              <w:top w:val="single" w:sz="6" w:space="0" w:color="000000"/>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financial and capital transactions</w:t>
            </w:r>
          </w:p>
        </w:tc>
        <w:tc>
          <w:tcPr>
            <w:tcW w:w="1053" w:type="dxa"/>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5 069.4</w:t>
            </w:r>
          </w:p>
        </w:tc>
        <w:tc>
          <w:tcPr>
            <w:tcW w:w="1052"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4 264.6</w:t>
            </w:r>
          </w:p>
        </w:tc>
        <w:tc>
          <w:tcPr>
            <w:tcW w:w="1052"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5 173.9</w:t>
            </w:r>
          </w:p>
        </w:tc>
        <w:tc>
          <w:tcPr>
            <w:tcW w:w="1052"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4 380.0</w:t>
            </w:r>
          </w:p>
        </w:tc>
      </w:tr>
      <w:tr w:rsidR="00336793" w:rsidRPr="00A10A3B" w:rsidTr="00DF0B96">
        <w:tc>
          <w:tcPr>
            <w:tcW w:w="5428" w:type="dxa"/>
            <w:tcBorders>
              <w:top w:val="single" w:sz="6" w:space="0" w:color="000000"/>
              <w:left w:val="nil"/>
              <w:bottom w:val="single" w:sz="6"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taxes on property</w:t>
            </w:r>
          </w:p>
        </w:tc>
        <w:tc>
          <w:tcPr>
            <w:tcW w:w="1053" w:type="dxa"/>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7 633.4</w:t>
            </w:r>
          </w:p>
        </w:tc>
        <w:tc>
          <w:tcPr>
            <w:tcW w:w="1052"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6 750.8</w:t>
            </w:r>
          </w:p>
        </w:tc>
        <w:tc>
          <w:tcPr>
            <w:tcW w:w="1052"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7 778.3</w:t>
            </w:r>
          </w:p>
        </w:tc>
        <w:tc>
          <w:tcPr>
            <w:tcW w:w="1052"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6 904.1</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Taxes on provision of goods and services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Gambling taxes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Public lotteries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400.9</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394.1</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400.9</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394.1</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Electronic gaming machines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1 059.1</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967.1</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1 059.1</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967.1</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Casino</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216.6</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208.7</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216.6</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208.7</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Racing</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81.6</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82.5</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81.6</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82.5</w:t>
            </w:r>
          </w:p>
        </w:tc>
      </w:tr>
      <w:tr w:rsidR="00336793" w:rsidRPr="00A10A3B" w:rsidTr="00DF0B96">
        <w:tc>
          <w:tcPr>
            <w:tcW w:w="5428"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w:t>
            </w:r>
          </w:p>
        </w:tc>
        <w:tc>
          <w:tcPr>
            <w:tcW w:w="1053"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22.4</w:t>
            </w:r>
          </w:p>
        </w:tc>
        <w:tc>
          <w:tcPr>
            <w:tcW w:w="1052"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19.9</w:t>
            </w:r>
          </w:p>
        </w:tc>
        <w:tc>
          <w:tcPr>
            <w:tcW w:w="1052"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22.4</w:t>
            </w:r>
          </w:p>
        </w:tc>
        <w:tc>
          <w:tcPr>
            <w:tcW w:w="1052"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19.9</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gambling taxes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1 780.7</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1 672.2</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1 780.7</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1 672.2</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Levies on statutory corporations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111.9</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112.0</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Taxes on insurance</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1 087.5</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1 066.6</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1 087.5</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1 066.6</w:t>
            </w:r>
          </w:p>
        </w:tc>
      </w:tr>
      <w:tr w:rsidR="00336793" w:rsidRPr="00A10A3B" w:rsidTr="00DF0B96">
        <w:tc>
          <w:tcPr>
            <w:tcW w:w="5428" w:type="dxa"/>
            <w:tcBorders>
              <w:top w:val="single" w:sz="6" w:space="0" w:color="000000"/>
              <w:left w:val="nil"/>
              <w:bottom w:val="single" w:sz="6"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taxes on the provision of goods and services</w:t>
            </w:r>
          </w:p>
        </w:tc>
        <w:tc>
          <w:tcPr>
            <w:tcW w:w="1053" w:type="dxa"/>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2 868.2</w:t>
            </w:r>
          </w:p>
        </w:tc>
        <w:tc>
          <w:tcPr>
            <w:tcW w:w="1052"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2 738.9</w:t>
            </w:r>
          </w:p>
        </w:tc>
        <w:tc>
          <w:tcPr>
            <w:tcW w:w="1052"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2 980.1</w:t>
            </w:r>
          </w:p>
        </w:tc>
        <w:tc>
          <w:tcPr>
            <w:tcW w:w="1052"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2 850.8</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Taxes on the use of goods and performance of activities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Motor vehicle taxes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Vehicle registration fees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1 394.6</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1 231.0</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1 396.5</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1 232.8</w:t>
            </w:r>
          </w:p>
        </w:tc>
      </w:tr>
      <w:tr w:rsidR="00336793" w:rsidRPr="00A10A3B" w:rsidTr="00DF0B96">
        <w:tc>
          <w:tcPr>
            <w:tcW w:w="5428"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Duty on vehicle registrations and transfers</w:t>
            </w:r>
          </w:p>
        </w:tc>
        <w:tc>
          <w:tcPr>
            <w:tcW w:w="1053"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720.1</w:t>
            </w:r>
          </w:p>
        </w:tc>
        <w:tc>
          <w:tcPr>
            <w:tcW w:w="1052"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663.1</w:t>
            </w:r>
          </w:p>
        </w:tc>
        <w:tc>
          <w:tcPr>
            <w:tcW w:w="1052"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720.1</w:t>
            </w:r>
          </w:p>
        </w:tc>
        <w:tc>
          <w:tcPr>
            <w:tcW w:w="1052"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663.1</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motor vehicle taxes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2 114.8</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1 894.1</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2 116.6</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1 895.9</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Liquor licence fees</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22.5</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23.3</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22.5</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23.3</w:t>
            </w:r>
          </w:p>
        </w:tc>
      </w:tr>
      <w:tr w:rsidR="00336793" w:rsidRPr="00A10A3B" w:rsidTr="00DF0B96">
        <w:tc>
          <w:tcPr>
            <w:tcW w:w="5428"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Other</w:t>
            </w:r>
          </w:p>
        </w:tc>
        <w:tc>
          <w:tcPr>
            <w:tcW w:w="1053"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227.5</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201.3</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305.9</w:t>
            </w:r>
          </w:p>
        </w:tc>
        <w:tc>
          <w:tcPr>
            <w:tcW w:w="1052"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277.7</w:t>
            </w:r>
          </w:p>
        </w:tc>
      </w:tr>
      <w:tr w:rsidR="00336793" w:rsidRPr="00A10A3B" w:rsidTr="00DF0B96">
        <w:tc>
          <w:tcPr>
            <w:tcW w:w="5428" w:type="dxa"/>
            <w:tcBorders>
              <w:top w:val="single" w:sz="6" w:space="0" w:color="000000"/>
              <w:left w:val="nil"/>
              <w:bottom w:val="single" w:sz="6"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taxes on the use of goods and performance of activities</w:t>
            </w:r>
          </w:p>
        </w:tc>
        <w:tc>
          <w:tcPr>
            <w:tcW w:w="1053" w:type="dxa"/>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2 364.8</w:t>
            </w:r>
          </w:p>
        </w:tc>
        <w:tc>
          <w:tcPr>
            <w:tcW w:w="1052"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2 118.7</w:t>
            </w:r>
          </w:p>
        </w:tc>
        <w:tc>
          <w:tcPr>
            <w:tcW w:w="1052"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2 445.0</w:t>
            </w:r>
          </w:p>
        </w:tc>
        <w:tc>
          <w:tcPr>
            <w:tcW w:w="1052"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2 196.9</w:t>
            </w:r>
          </w:p>
        </w:tc>
      </w:tr>
      <w:tr w:rsidR="00336793" w:rsidRPr="00A10A3B" w:rsidTr="00DF0B96">
        <w:tc>
          <w:tcPr>
            <w:tcW w:w="5428"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taxation revenue</w:t>
            </w:r>
          </w:p>
        </w:tc>
        <w:tc>
          <w:tcPr>
            <w:tcW w:w="1053"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17 936.0</w:t>
            </w:r>
          </w:p>
        </w:tc>
        <w:tc>
          <w:tcPr>
            <w:tcW w:w="1052"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16 490.4</w:t>
            </w:r>
          </w:p>
        </w:tc>
        <w:tc>
          <w:tcPr>
            <w:tcW w:w="1052"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18 338.7</w:t>
            </w:r>
          </w:p>
        </w:tc>
        <w:tc>
          <w:tcPr>
            <w:tcW w:w="1052"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16 900.9</w:t>
            </w:r>
          </w:p>
        </w:tc>
      </w:tr>
    </w:tbl>
    <w:p w:rsidR="00336793" w:rsidRDefault="00336793" w:rsidP="00DF0B96">
      <w:pPr>
        <w:pStyle w:val="Notes"/>
      </w:pPr>
    </w:p>
    <w:p w:rsidR="00336793" w:rsidRPr="006A75A2" w:rsidRDefault="00336793" w:rsidP="00DF0B96"/>
    <w:p w:rsidR="00336793" w:rsidRPr="006A75A2" w:rsidRDefault="00336793" w:rsidP="00DF0B96"/>
    <w:p w:rsidR="00336793" w:rsidRPr="006A75A2" w:rsidRDefault="00336793" w:rsidP="00DF0B96">
      <w:pPr>
        <w:pStyle w:val="Heading2Notes"/>
        <w:pageBreakBefore/>
      </w:pPr>
      <w:bookmarkStart w:id="37" w:name="_Toc400040251"/>
      <w:bookmarkStart w:id="38" w:name="_Toc433984487"/>
      <w:r w:rsidRPr="00524C57">
        <w:lastRenderedPageBreak/>
        <w:t>Note</w:t>
      </w:r>
      <w:r w:rsidRPr="006A75A2">
        <w:t xml:space="preserve"> 4:</w:t>
      </w:r>
      <w:r w:rsidRPr="006A75A2">
        <w:tab/>
        <w:t>Dividends and income tax equivalent and rate equivalent revenue</w:t>
      </w:r>
      <w:bookmarkEnd w:id="37"/>
      <w:bookmarkEnd w:id="38"/>
    </w:p>
    <w:p w:rsidR="00336793" w:rsidRPr="006A75A2" w:rsidRDefault="00336793" w:rsidP="00DF0B96">
      <w:pPr>
        <w:pStyle w:val="Heading5"/>
      </w:pPr>
      <w:r w:rsidRPr="006A75A2">
        <w:t xml:space="preserve">(a) </w:t>
      </w:r>
      <w:r w:rsidRPr="006A75A2">
        <w:tab/>
        <w:t>Dividends and income tax equivalent and rate equivalent revenue</w:t>
      </w:r>
    </w:p>
    <w:p w:rsidR="00336793" w:rsidRPr="00A10A3B" w:rsidRDefault="00336793" w:rsidP="00DF0B96">
      <w:pPr>
        <w:pStyle w:val="million"/>
        <w:rPr>
          <w:rFonts w:ascii="Times New Roman" w:hAnsi="Times New Roman"/>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805"/>
        <w:gridCol w:w="315"/>
        <w:gridCol w:w="162"/>
        <w:gridCol w:w="958"/>
        <w:gridCol w:w="860"/>
        <w:gridCol w:w="26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925"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rPr>
            </w:pPr>
            <w:r w:rsidRPr="00A10A3B">
              <w:rPr>
                <w:rFonts w:eastAsiaTheme="minorEastAsia"/>
              </w:rPr>
              <w:t>State of Victoria</w:t>
            </w:r>
          </w:p>
        </w:tc>
        <w:tc>
          <w:tcPr>
            <w:tcW w:w="477"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rPr>
            </w:pPr>
            <w:r w:rsidRPr="00A10A3B">
              <w:rPr>
                <w:rFonts w:eastAsiaTheme="minorEastAsia"/>
              </w:rPr>
              <w:t xml:space="preserve"> </w:t>
            </w:r>
          </w:p>
        </w:tc>
        <w:tc>
          <w:tcPr>
            <w:tcW w:w="1818"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rPr>
            </w:pPr>
            <w:r w:rsidRPr="00A10A3B">
              <w:rPr>
                <w:rFonts w:eastAsiaTheme="minorEastAsia"/>
              </w:rPr>
              <w:t>General government sector</w:t>
            </w:r>
          </w:p>
        </w:tc>
        <w:tc>
          <w:tcPr>
            <w:tcW w:w="260"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rPr>
                <w:rFonts w:eastAsiaTheme="minorEastAsia"/>
              </w:rPr>
            </w:pPr>
            <w:r w:rsidRPr="00A10A3B">
              <w:rPr>
                <w:rFonts w:eastAsiaTheme="minorEastAsia"/>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nil"/>
            </w:tcBorders>
            <w:shd w:val="clear" w:color="000000" w:fill="000000"/>
            <w:vAlign w:val="bottom"/>
          </w:tcPr>
          <w:p w:rsidR="00336793" w:rsidRPr="00800D93" w:rsidRDefault="00336793" w:rsidP="00DF0B96">
            <w:pPr>
              <w:pStyle w:val="Tabletextheading"/>
              <w:rPr>
                <w:rFonts w:eastAsiaTheme="minorEastAsia"/>
                <w:color w:val="FFFFFF"/>
                <w:vertAlign w:val="superscript"/>
                <w:lang w:eastAsia="en-AU"/>
              </w:rPr>
            </w:pPr>
            <w:r w:rsidRPr="00A10A3B">
              <w:rPr>
                <w:rFonts w:eastAsiaTheme="minorEastAsia"/>
                <w:color w:val="FFFFFF"/>
                <w:lang w:eastAsia="en-AU"/>
              </w:rPr>
              <w:t>2014</w:t>
            </w:r>
            <w:r>
              <w:rPr>
                <w:rFonts w:eastAsiaTheme="minorEastAsia"/>
                <w:color w:val="FFFFFF"/>
                <w:vertAlign w:val="superscript"/>
                <w:lang w:eastAsia="en-AU"/>
              </w:rPr>
              <w:t>(a)</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Dividends from PFC sector</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566.2</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136.0</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Dividends from PNFC sector</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256.0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84.0</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Dividends from non</w:t>
            </w:r>
            <w:r>
              <w:rPr>
                <w:rFonts w:eastAsiaTheme="minorEastAsia"/>
                <w:lang w:eastAsia="en-AU"/>
              </w:rPr>
              <w:noBreakHyphen/>
            </w:r>
            <w:r w:rsidRPr="00A10A3B">
              <w:rPr>
                <w:rFonts w:eastAsiaTheme="minorEastAsia"/>
                <w:lang w:eastAsia="en-AU"/>
              </w:rPr>
              <w:t>public sector</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767.5</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842.2</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18.9</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21.2</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Dividends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767.5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842.2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841.2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241.1</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Income tax equivalent revenue from PFC sector</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138.7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22.2</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Income tax equivalent revenue from PNFC sector</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131.6</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177.9</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Income tax equivalent revenue</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270.3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200.1</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Local government rate equivalent revenue</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1.2</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4.7</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dividends and income tax equivalent and rate equivalent revenue</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767.5</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842.2</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1 112.7</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445.9</w:t>
            </w:r>
          </w:p>
        </w:tc>
      </w:tr>
    </w:tbl>
    <w:p w:rsidR="00336793" w:rsidRPr="006A75A2" w:rsidRDefault="00336793" w:rsidP="00DF0B96">
      <w:pPr>
        <w:pStyle w:val="Notes"/>
        <w:ind w:left="0" w:firstLine="0"/>
      </w:pPr>
      <w:r w:rsidRPr="006A75A2">
        <w:t>Note:</w:t>
      </w:r>
    </w:p>
    <w:p w:rsidR="00336793" w:rsidRPr="006A75A2" w:rsidRDefault="00336793" w:rsidP="00DF0B96">
      <w:pPr>
        <w:pStyle w:val="Notes"/>
      </w:pPr>
      <w:r w:rsidRPr="006A75A2">
        <w:t>(a)</w:t>
      </w:r>
      <w:r w:rsidRPr="006A75A2">
        <w:tab/>
      </w:r>
      <w:r w:rsidRPr="00D41A2A">
        <w:t>June 2014 comparative figures have been restated. See Note 37.</w:t>
      </w:r>
    </w:p>
    <w:p w:rsidR="00336793" w:rsidRPr="006A75A2" w:rsidRDefault="00336793" w:rsidP="00DF0B96">
      <w:pPr>
        <w:pStyle w:val="Notes"/>
      </w:pPr>
    </w:p>
    <w:p w:rsidR="00336793" w:rsidRPr="006A75A2" w:rsidRDefault="00336793" w:rsidP="00DF0B96"/>
    <w:p w:rsidR="00336793" w:rsidRPr="006A75A2" w:rsidRDefault="00336793" w:rsidP="00DF0B96">
      <w:pPr>
        <w:pStyle w:val="Heading5"/>
      </w:pPr>
      <w:r w:rsidRPr="006A75A2">
        <w:t xml:space="preserve">(b) </w:t>
      </w:r>
      <w:r w:rsidRPr="006A75A2">
        <w:tab/>
        <w:t>Dividends by entity</w:t>
      </w:r>
    </w:p>
    <w:p w:rsidR="00336793" w:rsidRPr="00A10A3B" w:rsidRDefault="00336793" w:rsidP="00DF0B96">
      <w:pPr>
        <w:pStyle w:val="million"/>
        <w:rPr>
          <w:rFonts w:ascii="Times New Roman" w:hAnsi="Times New Roman"/>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62"/>
        <w:gridCol w:w="958"/>
        <w:gridCol w:w="932"/>
        <w:gridCol w:w="188"/>
      </w:tblGrid>
      <w:tr w:rsidR="00336793" w:rsidRPr="00A10A3B" w:rsidTr="00DF0B96">
        <w:trPr>
          <w:tblHeader/>
        </w:trPr>
        <w:tc>
          <w:tcPr>
            <w:tcW w:w="7559" w:type="dxa"/>
            <w:gridSpan w:val="2"/>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89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188"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r>
      <w:tr w:rsidR="00336793" w:rsidRPr="00A10A3B" w:rsidTr="00DF0B96">
        <w:trPr>
          <w:tblHeader/>
        </w:trPr>
        <w:tc>
          <w:tcPr>
            <w:tcW w:w="739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739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Public financial corporations</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color w:val="000000"/>
                <w:szCs w:val="22"/>
                <w:vertAlign w:val="superscript"/>
                <w:lang w:eastAsia="en-AU"/>
              </w:rPr>
            </w:pPr>
            <w:r w:rsidRPr="00A10A3B">
              <w:rPr>
                <w:rFonts w:eastAsiaTheme="minorEastAsia"/>
                <w:lang w:eastAsia="en-AU"/>
              </w:rPr>
              <w:t>Work</w:t>
            </w:r>
            <w:r>
              <w:rPr>
                <w:rFonts w:eastAsiaTheme="minorEastAsia"/>
                <w:lang w:eastAsia="en-AU"/>
              </w:rPr>
              <w:t>S</w:t>
            </w:r>
            <w:r w:rsidRPr="00A10A3B">
              <w:rPr>
                <w:rFonts w:eastAsiaTheme="minorEastAsia"/>
                <w:lang w:eastAsia="en-AU"/>
              </w:rPr>
              <w:t>afe Victoria</w:t>
            </w:r>
            <w:r w:rsidRPr="00E96950">
              <w:rPr>
                <w:rFonts w:eastAsiaTheme="minorEastAsia"/>
                <w:vertAlign w:val="superscript"/>
                <w:lang w:eastAsia="en-AU"/>
              </w:rPr>
              <w:t xml:space="preserve"> (</w:t>
            </w:r>
            <w:r w:rsidRPr="00A10A3B">
              <w:rPr>
                <w:rFonts w:eastAsiaTheme="minorEastAsia" w:cs="Calibri"/>
                <w:color w:val="000000"/>
                <w:szCs w:val="22"/>
                <w:vertAlign w:val="superscript"/>
                <w:lang w:eastAsia="en-AU"/>
              </w:rPr>
              <w:t>a)</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241.7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59.3</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Transport Accident Commission</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253.2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Treasury Corporation of Victoria</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50.6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56.3</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Rural Finance Corporation of Victoria</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16.2</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State Trustees Ltd</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1.6</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Victorian Funds Management Corporation</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2.6</w:t>
            </w:r>
          </w:p>
        </w:tc>
      </w:tr>
      <w:tr w:rsidR="00336793" w:rsidRPr="00A10A3B" w:rsidTr="00DF0B96">
        <w:tc>
          <w:tcPr>
            <w:tcW w:w="739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Dividends from PFC sector</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566.2</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136.0</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Public non</w:t>
            </w:r>
            <w:r>
              <w:rPr>
                <w:rFonts w:eastAsiaTheme="minorEastAsia"/>
                <w:b/>
                <w:bCs/>
                <w:lang w:eastAsia="en-AU"/>
              </w:rPr>
              <w:noBreakHyphen/>
            </w:r>
            <w:r w:rsidRPr="00A10A3B">
              <w:rPr>
                <w:rFonts w:eastAsiaTheme="minorEastAsia"/>
                <w:b/>
                <w:bCs/>
                <w:lang w:eastAsia="en-AU"/>
              </w:rPr>
              <w:t>financial corporations</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Melbourne Water Corporation</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21.5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City West Water Corporation</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4.7</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South East Water Corporation</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52.0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16.0</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Yarra Valley Water Corporation</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31.7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17.7</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Port of Melbourne Corporation</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33.0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43.7</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State Electricity Commission of Victoria (</w:t>
            </w:r>
            <w:r>
              <w:rPr>
                <w:rFonts w:eastAsiaTheme="minorEastAsia"/>
                <w:lang w:eastAsia="en-AU"/>
              </w:rPr>
              <w:t>s</w:t>
            </w:r>
            <w:r w:rsidRPr="00A10A3B">
              <w:rPr>
                <w:rFonts w:eastAsiaTheme="minorEastAsia"/>
                <w:lang w:eastAsia="en-AU"/>
              </w:rPr>
              <w:t xml:space="preserve">hell)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100.0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739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Others</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2.2</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1.8</w:t>
            </w:r>
          </w:p>
        </w:tc>
      </w:tr>
      <w:tr w:rsidR="00336793" w:rsidRPr="00A10A3B" w:rsidTr="00DF0B96">
        <w:tc>
          <w:tcPr>
            <w:tcW w:w="739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Dividends from PNFC sector</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256.0</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84.0</w:t>
            </w:r>
          </w:p>
        </w:tc>
      </w:tr>
    </w:tbl>
    <w:p w:rsidR="00336793" w:rsidRPr="006464DF" w:rsidRDefault="00336793" w:rsidP="00DF0B96">
      <w:pPr>
        <w:pStyle w:val="Notes"/>
      </w:pPr>
      <w:r w:rsidRPr="006464DF">
        <w:t>Note:</w:t>
      </w:r>
    </w:p>
    <w:p w:rsidR="00336793" w:rsidRPr="006464DF" w:rsidRDefault="00336793" w:rsidP="00DF0B96">
      <w:pPr>
        <w:pStyle w:val="Notes"/>
        <w:rPr>
          <w:rFonts w:ascii="Helv" w:hAnsi="Helv" w:cs="Helv"/>
          <w:iCs/>
          <w:color w:val="000000"/>
          <w:sz w:val="18"/>
          <w:szCs w:val="18"/>
        </w:rPr>
      </w:pPr>
      <w:r w:rsidRPr="006464DF">
        <w:t>(a)</w:t>
      </w:r>
      <w:r w:rsidRPr="006464DF">
        <w:tab/>
        <w:t>WorkSafe Victoria</w:t>
      </w:r>
      <w:r>
        <w:t>’</w:t>
      </w:r>
      <w:r w:rsidRPr="006464DF">
        <w:t>s dividend was declared by the former Treasurer in October 2014. The current Government has made a commitment not to take d</w:t>
      </w:r>
      <w:r>
        <w:t>ividends from WorkSafe Victoria across the budget and forward estimates. Instead, surplus accumulated will be used to fund improvements to benefits and access to benefits for injured workers, lower WorkCover premiums for Victorian businesses and programs to improve workplace safety and the health of the Victorian workforce.</w:t>
      </w:r>
    </w:p>
    <w:p w:rsidR="00336793" w:rsidRDefault="00336793" w:rsidP="00DF0B96">
      <w:pPr>
        <w:pStyle w:val="Notes"/>
      </w:pPr>
    </w:p>
    <w:p w:rsidR="00336793" w:rsidRPr="006A75A2" w:rsidRDefault="00336793" w:rsidP="00DF0B96">
      <w:r w:rsidRPr="006A75A2">
        <w:br w:type="page"/>
      </w:r>
    </w:p>
    <w:p w:rsidR="00336793" w:rsidRPr="006A75A2" w:rsidRDefault="00336793" w:rsidP="00DF0B96">
      <w:pPr>
        <w:pStyle w:val="Heading2Notes"/>
        <w:rPr>
          <w:kern w:val="0"/>
        </w:rPr>
      </w:pPr>
      <w:bookmarkStart w:id="39" w:name="_Toc400040252"/>
      <w:bookmarkStart w:id="40" w:name="_Toc433984488"/>
      <w:r w:rsidRPr="006A75A2">
        <w:rPr>
          <w:kern w:val="0"/>
        </w:rPr>
        <w:lastRenderedPageBreak/>
        <w:t>Note 5:</w:t>
      </w:r>
      <w:r w:rsidRPr="006A75A2">
        <w:rPr>
          <w:kern w:val="0"/>
        </w:rPr>
        <w:tab/>
        <w:t>Sales of goods and services</w:t>
      </w:r>
      <w:bookmarkEnd w:id="39"/>
      <w:bookmarkEnd w:id="40"/>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1010"/>
        <w:gridCol w:w="110"/>
        <w:gridCol w:w="198"/>
        <w:gridCol w:w="922"/>
        <w:gridCol w:w="932"/>
        <w:gridCol w:w="188"/>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213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State of Victoria</w:t>
            </w:r>
          </w:p>
        </w:tc>
        <w:tc>
          <w:tcPr>
            <w:tcW w:w="308"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c>
          <w:tcPr>
            <w:tcW w:w="1854"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188"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Motor vehicle regulatory fees</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237.7</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222.2</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237.7</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222.2</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regulatory fees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522.9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502.4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507.0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485.7</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Sale of goods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576.1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643.1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81.8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87.7</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Provision of services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12 276.8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12 579.1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3 944.2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4 287.4</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Rental</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90.4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80.9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63.9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57.5</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Refunds and reimbursements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202.2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205.4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65.5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59.8</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Inter</w:t>
            </w:r>
            <w:r>
              <w:rPr>
                <w:rFonts w:eastAsiaTheme="minorEastAsia"/>
                <w:lang w:eastAsia="en-AU"/>
              </w:rPr>
              <w:noBreakHyphen/>
            </w:r>
            <w:r w:rsidRPr="00A10A3B">
              <w:rPr>
                <w:rFonts w:eastAsiaTheme="minorEastAsia"/>
                <w:lang w:eastAsia="en-AU"/>
              </w:rPr>
              <w:t>sector capital asset charge</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1 582.2</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1 524.4</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sales of goods and services</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13 906.3</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14 233.3</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6 482.2</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6 724.8</w:t>
            </w:r>
          </w:p>
        </w:tc>
      </w:tr>
    </w:tbl>
    <w:p w:rsidR="00336793" w:rsidRPr="006A75A2" w:rsidRDefault="00336793" w:rsidP="00DF0B96">
      <w:pPr>
        <w:pStyle w:val="Notes"/>
      </w:pPr>
    </w:p>
    <w:p w:rsidR="00336793" w:rsidRPr="006A75A2" w:rsidRDefault="00336793" w:rsidP="00DF0B96"/>
    <w:p w:rsidR="00336793" w:rsidRPr="006A75A2" w:rsidRDefault="00336793" w:rsidP="00DF0B96">
      <w:pPr>
        <w:pStyle w:val="Heading2Notes"/>
        <w:rPr>
          <w:kern w:val="0"/>
        </w:rPr>
      </w:pPr>
      <w:bookmarkStart w:id="41" w:name="_Toc400040253"/>
      <w:bookmarkStart w:id="42" w:name="_Toc433984489"/>
      <w:r w:rsidRPr="006A75A2">
        <w:rPr>
          <w:kern w:val="0"/>
        </w:rPr>
        <w:t>Note 6:</w:t>
      </w:r>
      <w:r w:rsidRPr="006A75A2">
        <w:rPr>
          <w:kern w:val="0"/>
        </w:rPr>
        <w:tab/>
        <w:t>Grant</w:t>
      </w:r>
      <w:bookmarkEnd w:id="41"/>
      <w:r>
        <w:rPr>
          <w:kern w:val="0"/>
        </w:rPr>
        <w:t xml:space="preserve"> revenue</w:t>
      </w:r>
      <w:bookmarkEnd w:id="42"/>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1010"/>
        <w:gridCol w:w="110"/>
        <w:gridCol w:w="198"/>
        <w:gridCol w:w="922"/>
        <w:gridCol w:w="932"/>
        <w:gridCol w:w="188"/>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213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State of Victoria</w:t>
            </w:r>
          </w:p>
        </w:tc>
        <w:tc>
          <w:tcPr>
            <w:tcW w:w="308"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c>
          <w:tcPr>
            <w:tcW w:w="1854"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188"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General purpose grants</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11 984.1</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11 507.4</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11 984.1</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11 507.4</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Specific purpose grants for on</w:t>
            </w:r>
            <w:r>
              <w:rPr>
                <w:rFonts w:eastAsiaTheme="minorEastAsia"/>
                <w:lang w:eastAsia="en-AU"/>
              </w:rPr>
              <w:noBreakHyphen/>
            </w:r>
            <w:r w:rsidRPr="00A10A3B">
              <w:rPr>
                <w:rFonts w:eastAsiaTheme="minorEastAsia"/>
                <w:lang w:eastAsia="en-AU"/>
              </w:rPr>
              <w:t>passing</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3 492.5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2 704.3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3 492.5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2 704.3</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specific purpose grants</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8 894.8</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10 805.8</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8 890.0</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10 800.8</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24 371.5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25 017.5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24 366.6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25 012.5</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contributions and grants</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5.2</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1.6</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136.1</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132.4</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grant revenue</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24 376.7</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25 019.1</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24 502.8</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25 144.9</w:t>
            </w:r>
          </w:p>
        </w:tc>
      </w:tr>
    </w:tbl>
    <w:p w:rsidR="00336793" w:rsidRPr="006A75A2" w:rsidRDefault="00336793" w:rsidP="00DF0B96">
      <w:pPr>
        <w:pStyle w:val="Notes"/>
      </w:pPr>
    </w:p>
    <w:p w:rsidR="00336793" w:rsidRPr="006A75A2" w:rsidRDefault="00336793" w:rsidP="00DF0B96"/>
    <w:p w:rsidR="00336793" w:rsidRPr="006A75A2" w:rsidRDefault="00336793" w:rsidP="00DF0B96">
      <w:pPr>
        <w:pStyle w:val="Heading2Notes"/>
        <w:rPr>
          <w:kern w:val="0"/>
        </w:rPr>
      </w:pPr>
      <w:bookmarkStart w:id="43" w:name="_Toc400040254"/>
      <w:bookmarkStart w:id="44" w:name="_Toc433984490"/>
      <w:r w:rsidRPr="006A75A2">
        <w:rPr>
          <w:kern w:val="0"/>
        </w:rPr>
        <w:t>Note 7:</w:t>
      </w:r>
      <w:r w:rsidRPr="006A75A2">
        <w:rPr>
          <w:kern w:val="0"/>
        </w:rPr>
        <w:tab/>
        <w:t>Other revenue</w:t>
      </w:r>
      <w:bookmarkEnd w:id="43"/>
      <w:bookmarkEnd w:id="44"/>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1010"/>
        <w:gridCol w:w="110"/>
        <w:gridCol w:w="198"/>
        <w:gridCol w:w="922"/>
        <w:gridCol w:w="905"/>
        <w:gridCol w:w="215"/>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213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State of Victoria</w:t>
            </w:r>
          </w:p>
        </w:tc>
        <w:tc>
          <w:tcPr>
            <w:tcW w:w="308"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c>
          <w:tcPr>
            <w:tcW w:w="1827"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215"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Fair value of assets received free of charge or for nominal consideration</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277.1</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235.9</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117.8</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139.4</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Fines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717.6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667.2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714.7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663.4</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Royalties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52.1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58.3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44.3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52.4</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Donations and gifts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317.0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344.0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265.6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311.2</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non</w:t>
            </w:r>
            <w:r>
              <w:rPr>
                <w:rFonts w:eastAsiaTheme="minorEastAsia"/>
                <w:lang w:eastAsia="en-AU"/>
              </w:rPr>
              <w:noBreakHyphen/>
            </w:r>
            <w:r w:rsidRPr="00A10A3B">
              <w:rPr>
                <w:rFonts w:eastAsiaTheme="minorEastAsia"/>
                <w:lang w:eastAsia="en-AU"/>
              </w:rPr>
              <w:t>property rental</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92.1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84.0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28.3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26.6</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miscellaneous revenue</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1 631.7</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1 360.8</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1 337.8</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1 123.8</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other revenue</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3 087.6</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2 750.2</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2 508.5</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2 316.9</w:t>
            </w:r>
          </w:p>
        </w:tc>
      </w:tr>
    </w:tbl>
    <w:p w:rsidR="00336793" w:rsidRPr="006A75A2" w:rsidRDefault="00336793" w:rsidP="00DF0B96">
      <w:pPr>
        <w:pStyle w:val="Notes"/>
      </w:pPr>
    </w:p>
    <w:p w:rsidR="00336793" w:rsidRPr="006A75A2" w:rsidRDefault="00336793" w:rsidP="00DF0B96"/>
    <w:p w:rsidR="00336793" w:rsidRPr="006A75A2" w:rsidRDefault="00336793" w:rsidP="00DF0B96">
      <w:pPr>
        <w:spacing w:after="0"/>
        <w:rPr>
          <w:rFonts w:ascii="Calibri" w:hAnsi="Calibri"/>
          <w:b/>
          <w:sz w:val="28"/>
          <w:szCs w:val="22"/>
        </w:rPr>
      </w:pPr>
      <w:r w:rsidRPr="006A75A2">
        <w:br w:type="page"/>
      </w:r>
    </w:p>
    <w:p w:rsidR="00336793" w:rsidRPr="006A75A2" w:rsidRDefault="00336793" w:rsidP="00DF0B96">
      <w:pPr>
        <w:pStyle w:val="Heading2Notes"/>
        <w:rPr>
          <w:kern w:val="0"/>
        </w:rPr>
      </w:pPr>
      <w:bookmarkStart w:id="45" w:name="_Toc396755854"/>
      <w:bookmarkStart w:id="46" w:name="_Toc400040255"/>
      <w:bookmarkStart w:id="47" w:name="_Toc433984491"/>
      <w:r w:rsidRPr="006A75A2">
        <w:rPr>
          <w:kern w:val="0"/>
        </w:rPr>
        <w:lastRenderedPageBreak/>
        <w:t>Note 8:</w:t>
      </w:r>
      <w:r w:rsidRPr="006A75A2">
        <w:rPr>
          <w:kern w:val="0"/>
        </w:rPr>
        <w:tab/>
        <w:t>Superannuation</w:t>
      </w:r>
      <w:bookmarkEnd w:id="45"/>
      <w:bookmarkEnd w:id="46"/>
      <w:bookmarkEnd w:id="47"/>
    </w:p>
    <w:p w:rsidR="00336793" w:rsidRPr="006A75A2" w:rsidRDefault="00336793" w:rsidP="00DF0B96">
      <w:pPr>
        <w:keepNext/>
        <w:spacing w:before="240"/>
        <w:outlineLvl w:val="2"/>
        <w:rPr>
          <w:rFonts w:ascii="Calibri" w:hAnsi="Calibri"/>
          <w:b/>
          <w:i/>
          <w:sz w:val="26"/>
          <w:szCs w:val="22"/>
        </w:rPr>
      </w:pPr>
      <w:r w:rsidRPr="006A75A2">
        <w:rPr>
          <w:rFonts w:ascii="Calibri" w:hAnsi="Calibri"/>
          <w:b/>
          <w:i/>
          <w:sz w:val="26"/>
          <w:szCs w:val="22"/>
        </w:rPr>
        <w:t>Expense</w:t>
      </w:r>
    </w:p>
    <w:p w:rsidR="00336793" w:rsidRPr="006A75A2" w:rsidRDefault="00336793" w:rsidP="00DF0B96">
      <w:r w:rsidRPr="006A75A2">
        <w:t>Superannuation expense includes employer contributions to defined contribution superannuation plans, and the actuarially determined expense for defined benefit superannuation plans.</w:t>
      </w:r>
    </w:p>
    <w:p w:rsidR="00336793" w:rsidRPr="006A75A2" w:rsidRDefault="00336793" w:rsidP="00DF0B96">
      <w:pPr>
        <w:keepNext/>
        <w:spacing w:before="240"/>
        <w:outlineLvl w:val="2"/>
        <w:rPr>
          <w:rFonts w:ascii="Calibri" w:hAnsi="Calibri"/>
          <w:b/>
          <w:i/>
          <w:sz w:val="26"/>
        </w:rPr>
      </w:pPr>
      <w:r w:rsidRPr="006A75A2">
        <w:rPr>
          <w:rFonts w:ascii="Calibri" w:hAnsi="Calibri"/>
          <w:b/>
          <w:i/>
          <w:sz w:val="26"/>
        </w:rPr>
        <w:t>Liability</w:t>
      </w:r>
    </w:p>
    <w:p w:rsidR="00336793" w:rsidRPr="006A75A2" w:rsidRDefault="00336793" w:rsidP="00DF0B96">
      <w:r w:rsidRPr="006A75A2">
        <w:t>The State</w:t>
      </w:r>
      <w:r>
        <w:t>’</w:t>
      </w:r>
      <w:r w:rsidRPr="006A75A2">
        <w:t>s public sector superannuation plans are responsible for the liability for employee superannuation entitlements. These plans are not consolidated in the Annual Financial Report as they are not controlled by the State. However, the major proportion of the superannuation liability is the responsibility of the State and is recognised accordingly.</w:t>
      </w:r>
    </w:p>
    <w:p w:rsidR="00336793" w:rsidRPr="006A75A2" w:rsidRDefault="00336793" w:rsidP="00DF0B96">
      <w:r w:rsidRPr="006A75A2">
        <w:t>The State</w:t>
      </w:r>
      <w:r>
        <w:t>’</w:t>
      </w:r>
      <w:r w:rsidRPr="006A75A2">
        <w:t>s defined benefit plans are:</w:t>
      </w:r>
    </w:p>
    <w:p w:rsidR="00336793" w:rsidRPr="006A75A2" w:rsidRDefault="00336793" w:rsidP="00DF0B96">
      <w:pPr>
        <w:pStyle w:val="BulletText"/>
        <w:spacing w:after="80"/>
      </w:pPr>
      <w:r w:rsidRPr="006A75A2">
        <w:t>State Super Funds (SSF), a collection of defined benefit schemes providing both lump sum and pension benefits (Revised Scheme, New Scheme, Parliamentary Contributory Superannuation Fund</w:t>
      </w:r>
      <w:r>
        <w:t>,</w:t>
      </w:r>
      <w:r w:rsidRPr="006A75A2">
        <w:t xml:space="preserve"> State Employees Retirement Benefits Scheme, Transport Scheme, Melbourne Water Corporation Employees Superannuation Scheme and Port of Melbourne Authority Superannuation Scheme). All schemes are now closed to new members;</w:t>
      </w:r>
    </w:p>
    <w:p w:rsidR="00336793" w:rsidRPr="006A75A2" w:rsidRDefault="00336793" w:rsidP="00DF0B96">
      <w:pPr>
        <w:pStyle w:val="BulletText"/>
        <w:spacing w:after="80"/>
      </w:pPr>
      <w:r w:rsidRPr="006A75A2">
        <w:t>Emergency Services Superannuation Scheme Defined Benefit (ESSS DB), a defined benefit lump sum scheme which remains open to new members. It also has a number of pensioners remaining from prior schemes;</w:t>
      </w:r>
    </w:p>
    <w:p w:rsidR="00336793" w:rsidRPr="006A75A2" w:rsidRDefault="00336793" w:rsidP="00DF0B96">
      <w:pPr>
        <w:pStyle w:val="BulletText"/>
        <w:spacing w:after="80"/>
      </w:pPr>
      <w:r w:rsidRPr="006A75A2">
        <w:t xml:space="preserve">Judges Pension Scheme, a defined benefit pension scheme which </w:t>
      </w:r>
      <w:r>
        <w:t xml:space="preserve">pays constitutionally protected pensions and </w:t>
      </w:r>
      <w:r w:rsidRPr="006A75A2">
        <w:t>remains open to new members; and</w:t>
      </w:r>
    </w:p>
    <w:p w:rsidR="00336793" w:rsidRPr="006A75A2" w:rsidRDefault="00336793" w:rsidP="00DF0B96">
      <w:pPr>
        <w:pStyle w:val="BulletText"/>
        <w:spacing w:after="80"/>
      </w:pPr>
      <w:r w:rsidRPr="006A75A2">
        <w:t>Health Super Division of First State Super (Health Super), a defined benefit scheme that provides both lump sum and pension benefits. This scheme is closed to new members.</w:t>
      </w:r>
    </w:p>
    <w:p w:rsidR="00336793" w:rsidRPr="006A75A2" w:rsidRDefault="00336793" w:rsidP="00DF0B96">
      <w:r w:rsidRPr="006A75A2">
        <w:t>The SSF, ESSS DB and Judges Pension Scheme are exempt public sector superannuation schemes. The schemes comply with national superannuation standards under a Heads of Government Agreement and are treated as complying for concessional tax and superannuation guarantee purposes.</w:t>
      </w:r>
    </w:p>
    <w:p w:rsidR="00336793" w:rsidRPr="006A75A2" w:rsidRDefault="00336793" w:rsidP="00DF0B96">
      <w:pPr>
        <w:rPr>
          <w:lang w:val="en"/>
        </w:rPr>
      </w:pPr>
      <w:r w:rsidRPr="006A75A2">
        <w:t>The Emergency Services Superannuation Board (the ESSB) is responsible for the governance of the SSF</w:t>
      </w:r>
      <w:r>
        <w:t xml:space="preserve"> and</w:t>
      </w:r>
      <w:r w:rsidRPr="006A75A2">
        <w:t xml:space="preserve"> ESSS DB and</w:t>
      </w:r>
      <w:r>
        <w:t xml:space="preserve"> </w:t>
      </w:r>
      <w:r w:rsidRPr="006A75A2">
        <w:t>acts as paying agent for judges</w:t>
      </w:r>
      <w:r>
        <w:t>’</w:t>
      </w:r>
      <w:r w:rsidRPr="006A75A2">
        <w:t xml:space="preserve"> pensions. </w:t>
      </w:r>
      <w:r w:rsidRPr="006A75A2">
        <w:rPr>
          <w:lang w:val="en"/>
        </w:rPr>
        <w:t>Judges pensions are governed by Victorian Acts for which the Attorney</w:t>
      </w:r>
      <w:r>
        <w:rPr>
          <w:lang w:val="en"/>
        </w:rPr>
        <w:noBreakHyphen/>
      </w:r>
      <w:r w:rsidRPr="006A75A2">
        <w:rPr>
          <w:lang w:val="en"/>
        </w:rPr>
        <w:t>General is responsible. The ESSB has the following roles:</w:t>
      </w:r>
    </w:p>
    <w:p w:rsidR="00336793" w:rsidRPr="006A75A2" w:rsidRDefault="00336793" w:rsidP="00DF0B96">
      <w:pPr>
        <w:pStyle w:val="BulletText"/>
        <w:spacing w:after="80"/>
        <w:rPr>
          <w:lang w:val="en"/>
        </w:rPr>
      </w:pPr>
      <w:r w:rsidRPr="006A75A2">
        <w:rPr>
          <w:lang w:val="en"/>
        </w:rPr>
        <w:t xml:space="preserve">administration of the schemes including payment of benefits to beneficiaries in accordance with the governing </w:t>
      </w:r>
      <w:r w:rsidRPr="00BB24D4">
        <w:t>rules</w:t>
      </w:r>
      <w:r w:rsidRPr="006A75A2">
        <w:rPr>
          <w:lang w:val="en"/>
        </w:rPr>
        <w:t xml:space="preserve"> of the schemes;</w:t>
      </w:r>
    </w:p>
    <w:p w:rsidR="00336793" w:rsidRPr="006A75A2" w:rsidRDefault="00336793" w:rsidP="00DF0B96">
      <w:pPr>
        <w:pStyle w:val="BulletText"/>
        <w:spacing w:after="80"/>
        <w:rPr>
          <w:lang w:val="en"/>
        </w:rPr>
      </w:pPr>
      <w:r w:rsidRPr="006A75A2">
        <w:rPr>
          <w:lang w:val="en"/>
        </w:rPr>
        <w:t>management and investment of the assets of the schemes, the responsibility for which is outsourced to the Victorian Funds Management Corporation; and</w:t>
      </w:r>
    </w:p>
    <w:p w:rsidR="00336793" w:rsidRPr="006A75A2" w:rsidRDefault="00336793" w:rsidP="00DF0B96">
      <w:pPr>
        <w:pStyle w:val="BulletText"/>
        <w:spacing w:after="80"/>
        <w:rPr>
          <w:lang w:val="en"/>
        </w:rPr>
      </w:pPr>
      <w:r w:rsidRPr="006A75A2">
        <w:rPr>
          <w:lang w:val="en"/>
        </w:rPr>
        <w:t>compliance with superannuation law and other applicable regulations in accordance with the Heads of Government Agreement.</w:t>
      </w:r>
    </w:p>
    <w:p w:rsidR="00336793" w:rsidRPr="006A75A2" w:rsidRDefault="00336793" w:rsidP="00DF0B96">
      <w:pPr>
        <w:rPr>
          <w:szCs w:val="24"/>
        </w:rPr>
      </w:pPr>
      <w:r w:rsidRPr="006A75A2">
        <w:rPr>
          <w:szCs w:val="24"/>
        </w:rPr>
        <w:t xml:space="preserve">First State Super is a regulated public offer superannuation fund. </w:t>
      </w:r>
      <w:r w:rsidRPr="006A75A2">
        <w:rPr>
          <w:rFonts w:cstheme="minorHAnsi"/>
          <w:szCs w:val="24"/>
        </w:rPr>
        <w:t xml:space="preserve">The </w:t>
      </w:r>
      <w:r w:rsidRPr="006A75A2">
        <w:rPr>
          <w:rFonts w:cstheme="minorHAnsi"/>
          <w:szCs w:val="24"/>
          <w:lang w:val="en"/>
        </w:rPr>
        <w:t>FSS Trustee Corporation (the FSSTC) is responsible for the governance of First State Super and therefore Health Super. As trustee, the FSSTC has the following roles:</w:t>
      </w:r>
    </w:p>
    <w:p w:rsidR="00336793" w:rsidRPr="006A75A2" w:rsidRDefault="00336793" w:rsidP="00DF0B96">
      <w:pPr>
        <w:pStyle w:val="BulletText"/>
        <w:spacing w:after="80"/>
        <w:jc w:val="both"/>
        <w:rPr>
          <w:lang w:val="en"/>
        </w:rPr>
      </w:pPr>
      <w:r w:rsidRPr="006A75A2">
        <w:rPr>
          <w:lang w:val="en"/>
        </w:rPr>
        <w:t>administration of Health Super including payment of benefits to beneficiaries in accordance with the governing rules;</w:t>
      </w:r>
    </w:p>
    <w:p w:rsidR="00336793" w:rsidRPr="006A75A2" w:rsidRDefault="00336793" w:rsidP="00DF0B96">
      <w:pPr>
        <w:pStyle w:val="BulletText"/>
        <w:spacing w:after="80"/>
        <w:rPr>
          <w:lang w:val="en"/>
        </w:rPr>
      </w:pPr>
      <w:r w:rsidRPr="006A75A2">
        <w:rPr>
          <w:lang w:val="en"/>
        </w:rPr>
        <w:t>management and investment of the assets of Health Super; and</w:t>
      </w:r>
    </w:p>
    <w:p w:rsidR="00336793" w:rsidRPr="006A75A2" w:rsidRDefault="00336793" w:rsidP="00DF0B96">
      <w:pPr>
        <w:pStyle w:val="BulletText"/>
        <w:spacing w:after="60"/>
        <w:rPr>
          <w:lang w:val="en"/>
        </w:rPr>
      </w:pPr>
      <w:r w:rsidRPr="006A75A2">
        <w:rPr>
          <w:lang w:val="en"/>
        </w:rPr>
        <w:t>compliance with superannuation law and other applicable regulations.</w:t>
      </w:r>
    </w:p>
    <w:p w:rsidR="00336793" w:rsidRDefault="00336793">
      <w:pPr>
        <w:spacing w:after="0"/>
        <w:rPr>
          <w:rFonts w:ascii="Calibri" w:hAnsi="Calibri"/>
          <w:b/>
          <w:sz w:val="28"/>
          <w:szCs w:val="22"/>
        </w:rPr>
      </w:pPr>
      <w:r>
        <w:br w:type="page"/>
      </w:r>
    </w:p>
    <w:p w:rsidR="00336793" w:rsidRPr="006A75A2" w:rsidRDefault="00336793" w:rsidP="00DF0B96">
      <w:pPr>
        <w:pStyle w:val="Heading2NotesContd"/>
        <w:rPr>
          <w:kern w:val="0"/>
        </w:rPr>
      </w:pPr>
      <w:r w:rsidRPr="006A75A2">
        <w:rPr>
          <w:kern w:val="0"/>
        </w:rPr>
        <w:lastRenderedPageBreak/>
        <w:t>Note 8:</w:t>
      </w:r>
      <w:r w:rsidRPr="006A75A2">
        <w:rPr>
          <w:kern w:val="0"/>
        </w:rPr>
        <w:tab/>
        <w:t xml:space="preserve">Superannuation </w:t>
      </w:r>
      <w:r w:rsidRPr="006A75A2">
        <w:rPr>
          <w:i/>
          <w:kern w:val="0"/>
        </w:rPr>
        <w:t>(continued)</w:t>
      </w:r>
    </w:p>
    <w:p w:rsidR="00336793" w:rsidRPr="006A75A2" w:rsidRDefault="00336793" w:rsidP="00DF0B96">
      <w:pPr>
        <w:spacing w:after="240"/>
      </w:pPr>
      <w:r w:rsidRPr="006A75A2">
        <w:t>Each year, an actuarial valuation of members</w:t>
      </w:r>
      <w:r>
        <w:t>’</w:t>
      </w:r>
      <w:r w:rsidRPr="006A75A2">
        <w:t xml:space="preserve"> accrued benefits across all of these defined benefit plans is undertaken as at the reporting date. Accrued benefits are measured as the net present value of estimated future benefit payments to members arising from their membership of the plans up to the reporting date. The deficit of accrued benefits over the net market value of plan assets has been recognised as a liability in the balance sheet.</w:t>
      </w:r>
    </w:p>
    <w:p w:rsidR="00336793" w:rsidRPr="006A75A2" w:rsidRDefault="00336793" w:rsidP="00DF0B96">
      <w:pPr>
        <w:pStyle w:val="Heading5"/>
        <w:rPr>
          <w:vertAlign w:val="superscript"/>
        </w:rPr>
      </w:pPr>
      <w:r w:rsidRPr="006A75A2">
        <w:t>(a)</w:t>
      </w:r>
      <w:r w:rsidRPr="006A75A2">
        <w:tab/>
        <w:t>Superannuation expense recognised in the operating statement</w:t>
      </w:r>
      <w:r>
        <w:t xml:space="preserve"> </w:t>
      </w:r>
      <w:r w:rsidRPr="006A75A2">
        <w:rPr>
          <w:vertAlign w:val="superscript"/>
        </w:rPr>
        <w:t>(a)</w:t>
      </w:r>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860"/>
        <w:gridCol w:w="260"/>
      </w:tblGrid>
      <w:tr w:rsidR="00336793" w:rsidRPr="00A10A3B" w:rsidTr="00DF0B96">
        <w:trPr>
          <w:tblHeader/>
        </w:trPr>
        <w:tc>
          <w:tcPr>
            <w:tcW w:w="739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98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rPr>
            </w:pPr>
            <w:r w:rsidRPr="00A10A3B">
              <w:rPr>
                <w:rFonts w:eastAsiaTheme="minorEastAsia"/>
              </w:rPr>
              <w:t>State of Victoria</w:t>
            </w:r>
          </w:p>
        </w:tc>
        <w:tc>
          <w:tcPr>
            <w:tcW w:w="260"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rPr>
                <w:rFonts w:eastAsiaTheme="minorEastAsia"/>
              </w:rPr>
            </w:pPr>
            <w:r w:rsidRPr="00A10A3B">
              <w:rPr>
                <w:rFonts w:eastAsiaTheme="minorEastAsia"/>
              </w:rPr>
              <w:t xml:space="preserve"> </w:t>
            </w:r>
          </w:p>
        </w:tc>
      </w:tr>
      <w:tr w:rsidR="00336793" w:rsidRPr="00A10A3B" w:rsidTr="00DF0B96">
        <w:trPr>
          <w:tblHeader/>
        </w:trPr>
        <w:tc>
          <w:tcPr>
            <w:tcW w:w="739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vertAlign w:val="superscript"/>
                <w:lang w:eastAsia="en-AU"/>
              </w:rPr>
            </w:pPr>
            <w:r w:rsidRPr="00A10A3B">
              <w:rPr>
                <w:rFonts w:eastAsiaTheme="minorEastAsia"/>
                <w:color w:val="FFFFFF"/>
                <w:lang w:eastAsia="en-AU"/>
              </w:rPr>
              <w:t>2014</w:t>
            </w:r>
            <w:r w:rsidRPr="00A10A3B">
              <w:rPr>
                <w:rFonts w:eastAsiaTheme="minorEastAsia"/>
                <w:color w:val="FFFFFF"/>
                <w:vertAlign w:val="superscript"/>
                <w:lang w:eastAsia="en-AU"/>
              </w:rPr>
              <w:t>(a)</w:t>
            </w:r>
          </w:p>
        </w:tc>
      </w:tr>
      <w:tr w:rsidR="00336793" w:rsidRPr="00A10A3B" w:rsidTr="00DF0B96">
        <w:tc>
          <w:tcPr>
            <w:tcW w:w="739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Defined benefit plans </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Net superannuation interest expense</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1 040.8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1 077.3</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Current service cost </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735.3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695.9</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Remeasurements: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Expected return on superannuation assets excluding interest income</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630.4)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541.2)</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Other actuarial (gain)/loss on superannuation assets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497.2)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762.6)</w:t>
            </w:r>
          </w:p>
        </w:tc>
      </w:tr>
      <w:tr w:rsidR="00336793" w:rsidRPr="00A10A3B" w:rsidTr="00DF0B96">
        <w:tc>
          <w:tcPr>
            <w:tcW w:w="739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Actuarial and other adjustments to unfunded superannuation liability</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571.2</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1 569.9</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(gain)/expenses recognised in respect of defined benefit plans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1 219.8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2 039.3</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Defined contribution plans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Employer contributions to defined contribution plans </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1 293.5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1 197.1</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(including pensions)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74.1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72.6</w:t>
            </w:r>
          </w:p>
        </w:tc>
      </w:tr>
      <w:tr w:rsidR="00336793" w:rsidRPr="00A10A3B" w:rsidTr="00DF0B96">
        <w:tc>
          <w:tcPr>
            <w:tcW w:w="7397" w:type="dxa"/>
            <w:tcBorders>
              <w:top w:val="single" w:sz="6" w:space="0" w:color="000000"/>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expense recognised in respect of defined contribution plans</w:t>
            </w:r>
          </w:p>
        </w:tc>
        <w:tc>
          <w:tcPr>
            <w:tcW w:w="1120" w:type="dxa"/>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1 367.5</w:t>
            </w:r>
          </w:p>
        </w:tc>
        <w:tc>
          <w:tcPr>
            <w:tcW w:w="112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1 269.7</w:t>
            </w:r>
          </w:p>
        </w:tc>
      </w:tr>
      <w:tr w:rsidR="00336793" w:rsidRPr="00A10A3B" w:rsidTr="00DF0B96">
        <w:tc>
          <w:tcPr>
            <w:tcW w:w="739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superannuation (gain)/expense recognised in operating statement</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2 587.3</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3 309.0</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Represented by:</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Superannuation interest expense</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1 040.8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1 077.3</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superannuation</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2 102.8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1 965.6</w:t>
            </w:r>
          </w:p>
        </w:tc>
      </w:tr>
      <w:tr w:rsidR="00336793" w:rsidRPr="00A10A3B" w:rsidTr="00DF0B96">
        <w:tc>
          <w:tcPr>
            <w:tcW w:w="7397" w:type="dxa"/>
            <w:tcBorders>
              <w:top w:val="single" w:sz="6" w:space="0" w:color="000000"/>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Superannuation expense from transactions</w:t>
            </w:r>
          </w:p>
        </w:tc>
        <w:tc>
          <w:tcPr>
            <w:tcW w:w="1120" w:type="dxa"/>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3 143.7</w:t>
            </w:r>
          </w:p>
        </w:tc>
        <w:tc>
          <w:tcPr>
            <w:tcW w:w="112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3 042.9</w:t>
            </w:r>
          </w:p>
        </w:tc>
      </w:tr>
      <w:tr w:rsidR="00336793" w:rsidRPr="00A10A3B" w:rsidTr="00DF0B96">
        <w:tc>
          <w:tcPr>
            <w:tcW w:w="7397" w:type="dxa"/>
            <w:tcBorders>
              <w:top w:val="single" w:sz="6" w:space="0" w:color="000000"/>
              <w:left w:val="nil"/>
              <w:bottom w:val="single" w:sz="6"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Remeasurement recognised in other comprehensive income</w:t>
            </w:r>
          </w:p>
        </w:tc>
        <w:tc>
          <w:tcPr>
            <w:tcW w:w="1120" w:type="dxa"/>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A10A3B">
              <w:rPr>
                <w:rFonts w:eastAsiaTheme="minorEastAsia" w:cs="Calibri"/>
                <w:b/>
                <w:bCs/>
                <w:color w:val="000000"/>
                <w:szCs w:val="22"/>
                <w:lang w:eastAsia="en-AU"/>
              </w:rPr>
              <w:t>556.3)</w:t>
            </w:r>
          </w:p>
        </w:tc>
        <w:tc>
          <w:tcPr>
            <w:tcW w:w="1120"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266.1</w:t>
            </w:r>
          </w:p>
        </w:tc>
      </w:tr>
      <w:tr w:rsidR="00336793" w:rsidRPr="00A10A3B" w:rsidTr="00DF0B96">
        <w:tc>
          <w:tcPr>
            <w:tcW w:w="739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superannuation costs recognised in operating statement</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2 587.3</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3 309.0</w:t>
            </w:r>
          </w:p>
        </w:tc>
      </w:tr>
    </w:tbl>
    <w:p w:rsidR="00336793" w:rsidRPr="006A75A2" w:rsidRDefault="00336793" w:rsidP="00DF0B96">
      <w:pPr>
        <w:pStyle w:val="Notes"/>
      </w:pPr>
      <w:r w:rsidRPr="006A75A2">
        <w:t>Note:</w:t>
      </w:r>
    </w:p>
    <w:p w:rsidR="00336793" w:rsidRDefault="00336793" w:rsidP="00DF0B96">
      <w:pPr>
        <w:pStyle w:val="Notes"/>
      </w:pPr>
      <w:r w:rsidRPr="006A75A2">
        <w:t>(a)</w:t>
      </w:r>
      <w:r w:rsidRPr="006A75A2">
        <w:tab/>
      </w:r>
      <w:r>
        <w:t>June 2014 comparative figures have been restated. See Note 37.</w:t>
      </w:r>
    </w:p>
    <w:p w:rsidR="00336793" w:rsidRPr="006A75A2" w:rsidRDefault="00336793" w:rsidP="00DF0B96">
      <w:pPr>
        <w:pStyle w:val="Notes"/>
      </w:pPr>
    </w:p>
    <w:p w:rsidR="00336793" w:rsidRPr="006A75A2" w:rsidRDefault="00336793" w:rsidP="00DF0B96"/>
    <w:p w:rsidR="00336793" w:rsidRPr="006E28F8" w:rsidRDefault="00336793" w:rsidP="00DF0B96">
      <w:pPr>
        <w:pStyle w:val="Heading5"/>
        <w:rPr>
          <w:vertAlign w:val="superscript"/>
        </w:rPr>
      </w:pPr>
      <w:r w:rsidRPr="006A75A2">
        <w:t>(b)</w:t>
      </w:r>
      <w:r w:rsidRPr="006A75A2">
        <w:tab/>
        <w:t>Reconciliation of the present value of the defined benefit obligations</w:t>
      </w:r>
      <w:r>
        <w:t xml:space="preserve"> </w:t>
      </w:r>
      <w:r>
        <w:rPr>
          <w:vertAlign w:val="superscript"/>
        </w:rPr>
        <w:t>(a)</w:t>
      </w:r>
    </w:p>
    <w:p w:rsidR="00336793" w:rsidRPr="00D96C4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270"/>
        <w:gridCol w:w="850"/>
        <w:gridCol w:w="1120"/>
      </w:tblGrid>
      <w:tr w:rsidR="00336793" w:rsidRPr="00D96C4B" w:rsidTr="00DF0B96">
        <w:tc>
          <w:tcPr>
            <w:tcW w:w="7397" w:type="dxa"/>
            <w:tcBorders>
              <w:top w:val="single" w:sz="6" w:space="0" w:color="auto"/>
              <w:left w:val="single" w:sz="6" w:space="0" w:color="auto"/>
              <w:bottom w:val="nil"/>
              <w:right w:val="nil"/>
            </w:tcBorders>
            <w:shd w:val="clear" w:color="000000" w:fill="000000"/>
          </w:tcPr>
          <w:p w:rsidR="00336793" w:rsidRPr="00D96C4B" w:rsidRDefault="00336793" w:rsidP="00DF0B96">
            <w:pPr>
              <w:pStyle w:val="Tabletext"/>
              <w:rPr>
                <w:rFonts w:eastAsiaTheme="minorEastAsia"/>
                <w:lang w:eastAsia="en-AU"/>
              </w:rPr>
            </w:pPr>
            <w:r w:rsidRPr="00D96C4B">
              <w:rPr>
                <w:rFonts w:eastAsiaTheme="minorEastAsia"/>
                <w:lang w:eastAsia="en-AU"/>
              </w:rPr>
              <w:t xml:space="preserve"> </w:t>
            </w:r>
          </w:p>
        </w:tc>
        <w:tc>
          <w:tcPr>
            <w:tcW w:w="270" w:type="dxa"/>
            <w:tcBorders>
              <w:top w:val="single" w:sz="6" w:space="0" w:color="auto"/>
              <w:left w:val="nil"/>
              <w:bottom w:val="nil"/>
              <w:right w:val="nil"/>
            </w:tcBorders>
            <w:shd w:val="clear" w:color="000000" w:fill="000000"/>
          </w:tcPr>
          <w:p w:rsidR="00336793" w:rsidRPr="00D96C4B" w:rsidRDefault="00336793" w:rsidP="00DF0B96">
            <w:pPr>
              <w:pStyle w:val="Tabletextheading"/>
              <w:jc w:val="center"/>
              <w:rPr>
                <w:rFonts w:eastAsiaTheme="minorEastAsia" w:cs="Calibri"/>
                <w:iCs/>
                <w:color w:val="FFFFFF"/>
                <w:szCs w:val="22"/>
                <w:lang w:eastAsia="en-AU"/>
              </w:rPr>
            </w:pPr>
            <w:r w:rsidRPr="00D96C4B">
              <w:rPr>
                <w:rFonts w:eastAsiaTheme="minorEastAsia"/>
                <w:iCs/>
                <w:color w:val="FFFFFF"/>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tcPr>
          <w:p w:rsidR="00336793" w:rsidRPr="00D96C4B" w:rsidRDefault="00336793" w:rsidP="00DF0B96">
            <w:pPr>
              <w:pStyle w:val="Tabletextheading"/>
              <w:jc w:val="center"/>
              <w:rPr>
                <w:rFonts w:eastAsiaTheme="minorEastAsia"/>
                <w:iCs/>
                <w:color w:val="FFFFFF"/>
                <w:lang w:eastAsia="en-AU"/>
              </w:rPr>
            </w:pPr>
            <w:r w:rsidRPr="00D96C4B">
              <w:rPr>
                <w:rFonts w:eastAsiaTheme="minorEastAsia"/>
                <w:iCs/>
                <w:color w:val="FFFFFF"/>
                <w:lang w:eastAsia="en-AU"/>
              </w:rPr>
              <w:t>State of Victoria</w:t>
            </w:r>
          </w:p>
        </w:tc>
      </w:tr>
      <w:tr w:rsidR="00336793" w:rsidRPr="00D96C4B" w:rsidTr="00DF0B96">
        <w:tc>
          <w:tcPr>
            <w:tcW w:w="7397" w:type="dxa"/>
            <w:tcBorders>
              <w:top w:val="nil"/>
              <w:left w:val="single" w:sz="6" w:space="0" w:color="auto"/>
              <w:bottom w:val="single" w:sz="6" w:space="0" w:color="auto"/>
              <w:right w:val="nil"/>
            </w:tcBorders>
            <w:shd w:val="clear" w:color="000000" w:fill="000000"/>
          </w:tcPr>
          <w:p w:rsidR="00336793" w:rsidRPr="00D96C4B" w:rsidRDefault="00336793" w:rsidP="00DF0B96">
            <w:pPr>
              <w:pStyle w:val="Tabletext"/>
              <w:rPr>
                <w:rFonts w:eastAsiaTheme="minorEastAsia"/>
                <w:lang w:eastAsia="en-AU"/>
              </w:rPr>
            </w:pPr>
            <w:r w:rsidRPr="00D96C4B">
              <w:rPr>
                <w:rFonts w:eastAsiaTheme="minorEastAsia"/>
                <w:lang w:eastAsia="en-AU"/>
              </w:rPr>
              <w:t xml:space="preserve"> </w:t>
            </w:r>
          </w:p>
        </w:tc>
        <w:tc>
          <w:tcPr>
            <w:tcW w:w="1120" w:type="dxa"/>
            <w:gridSpan w:val="2"/>
            <w:tcBorders>
              <w:top w:val="nil"/>
              <w:left w:val="nil"/>
              <w:bottom w:val="single" w:sz="6" w:space="0" w:color="auto"/>
              <w:right w:val="nil"/>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2014</w:t>
            </w:r>
          </w:p>
        </w:tc>
      </w:tr>
      <w:tr w:rsidR="00336793" w:rsidRPr="00D96C4B" w:rsidTr="00DF0B96">
        <w:tc>
          <w:tcPr>
            <w:tcW w:w="7397" w:type="dxa"/>
            <w:tcBorders>
              <w:top w:val="single" w:sz="6" w:space="0" w:color="auto"/>
              <w:left w:val="nil"/>
              <w:bottom w:val="nil"/>
              <w:right w:val="nil"/>
            </w:tcBorders>
            <w:shd w:val="solid" w:color="FFFFFF" w:fill="auto"/>
          </w:tcPr>
          <w:p w:rsidR="00336793" w:rsidRPr="00D96C4B" w:rsidRDefault="00336793" w:rsidP="00DF0B96">
            <w:pPr>
              <w:pStyle w:val="Tabletext"/>
              <w:rPr>
                <w:rFonts w:eastAsiaTheme="minorEastAsia" w:cs="Calibri"/>
                <w:b/>
                <w:bCs/>
                <w:color w:val="000000"/>
                <w:szCs w:val="22"/>
                <w:vertAlign w:val="superscript"/>
                <w:lang w:eastAsia="en-AU"/>
              </w:rPr>
            </w:pPr>
            <w:r w:rsidRPr="00D96C4B">
              <w:rPr>
                <w:rFonts w:eastAsiaTheme="minorEastAsia"/>
                <w:b/>
                <w:bCs/>
                <w:lang w:eastAsia="en-AU"/>
              </w:rPr>
              <w:t>Opening balance of defined benefit obligation</w:t>
            </w:r>
          </w:p>
        </w:tc>
        <w:tc>
          <w:tcPr>
            <w:tcW w:w="1120" w:type="dxa"/>
            <w:gridSpan w:val="2"/>
            <w:tcBorders>
              <w:top w:val="single" w:sz="6" w:space="0" w:color="auto"/>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b/>
                <w:bCs/>
                <w:color w:val="000000"/>
                <w:sz w:val="22"/>
                <w:szCs w:val="22"/>
                <w:lang w:eastAsia="en-AU"/>
              </w:rPr>
            </w:pPr>
            <w:r w:rsidRPr="00D96C4B">
              <w:rPr>
                <w:rFonts w:ascii="Calibri" w:hAnsi="Calibri" w:cs="Calibri"/>
                <w:b/>
                <w:bCs/>
                <w:color w:val="000000"/>
                <w:sz w:val="22"/>
                <w:szCs w:val="22"/>
                <w:lang w:eastAsia="en-AU"/>
              </w:rPr>
              <w:t>45 457.0</w:t>
            </w:r>
          </w:p>
        </w:tc>
        <w:tc>
          <w:tcPr>
            <w:tcW w:w="1120" w:type="dxa"/>
            <w:tcBorders>
              <w:top w:val="single" w:sz="6" w:space="0" w:color="auto"/>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b/>
                <w:bCs/>
                <w:color w:val="000000"/>
                <w:sz w:val="22"/>
                <w:szCs w:val="22"/>
                <w:lang w:eastAsia="en-AU"/>
              </w:rPr>
            </w:pPr>
            <w:r w:rsidRPr="00D96C4B">
              <w:rPr>
                <w:rFonts w:ascii="Calibri" w:hAnsi="Calibri" w:cs="Calibri"/>
                <w:b/>
                <w:bCs/>
                <w:color w:val="000000"/>
                <w:sz w:val="22"/>
                <w:szCs w:val="22"/>
                <w:lang w:eastAsia="en-AU"/>
              </w:rPr>
              <w:t>43 382.3</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pStyle w:val="Tabletext"/>
              <w:rPr>
                <w:rFonts w:eastAsiaTheme="minorEastAsia" w:cs="Calibri"/>
                <w:color w:val="000000"/>
                <w:szCs w:val="22"/>
                <w:vertAlign w:val="superscript"/>
                <w:lang w:eastAsia="en-AU"/>
              </w:rPr>
            </w:pPr>
            <w:r w:rsidRPr="00D96C4B">
              <w:rPr>
                <w:rFonts w:eastAsiaTheme="minorEastAsia"/>
                <w:lang w:eastAsia="en-AU"/>
              </w:rPr>
              <w:t>Current service cost</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r w:rsidRPr="00D96C4B">
              <w:rPr>
                <w:rFonts w:ascii="Calibri" w:hAnsi="Calibri" w:cs="Calibri"/>
                <w:color w:val="000000"/>
                <w:sz w:val="22"/>
                <w:szCs w:val="22"/>
                <w:lang w:eastAsia="en-AU"/>
              </w:rPr>
              <w:t xml:space="preserve"> 735.3</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r w:rsidRPr="00D96C4B">
              <w:rPr>
                <w:rFonts w:ascii="Calibri" w:hAnsi="Calibri" w:cs="Calibri"/>
                <w:color w:val="000000"/>
                <w:sz w:val="22"/>
                <w:szCs w:val="22"/>
                <w:lang w:eastAsia="en-AU"/>
              </w:rPr>
              <w:t xml:space="preserve"> 695.9</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pStyle w:val="Tabletext"/>
              <w:rPr>
                <w:rFonts w:eastAsiaTheme="minorEastAsia" w:cs="Calibri"/>
                <w:color w:val="000000"/>
                <w:szCs w:val="22"/>
                <w:vertAlign w:val="superscript"/>
                <w:lang w:eastAsia="en-AU"/>
              </w:rPr>
            </w:pPr>
            <w:r w:rsidRPr="00D96C4B">
              <w:rPr>
                <w:rFonts w:eastAsiaTheme="minorEastAsia"/>
                <w:lang w:eastAsia="en-AU"/>
              </w:rPr>
              <w:t>Interest cost</w:t>
            </w:r>
          </w:p>
        </w:tc>
        <w:tc>
          <w:tcPr>
            <w:tcW w:w="1120" w:type="dxa"/>
            <w:gridSpan w:val="2"/>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r w:rsidRPr="00D96C4B">
              <w:rPr>
                <w:rFonts w:ascii="Calibri" w:hAnsi="Calibri" w:cs="Calibri"/>
                <w:color w:val="000000"/>
                <w:sz w:val="22"/>
                <w:szCs w:val="22"/>
                <w:lang w:eastAsia="en-AU"/>
              </w:rPr>
              <w:t>1 781.1</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r w:rsidRPr="00D96C4B">
              <w:rPr>
                <w:rFonts w:ascii="Calibri" w:hAnsi="Calibri" w:cs="Calibri"/>
                <w:color w:val="000000"/>
                <w:sz w:val="22"/>
                <w:szCs w:val="22"/>
                <w:lang w:eastAsia="en-AU"/>
              </w:rPr>
              <w:t>1 798.3</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pStyle w:val="Tabletext"/>
              <w:rPr>
                <w:rFonts w:eastAsiaTheme="minorEastAsia"/>
                <w:lang w:eastAsia="en-AU"/>
              </w:rPr>
            </w:pPr>
            <w:r w:rsidRPr="00D96C4B">
              <w:rPr>
                <w:rFonts w:eastAsiaTheme="minorEastAsia"/>
                <w:lang w:eastAsia="en-AU"/>
              </w:rPr>
              <w:t>Contributions by plan participants</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r w:rsidRPr="00D96C4B">
              <w:rPr>
                <w:rFonts w:ascii="Calibri" w:hAnsi="Calibri" w:cs="Calibri"/>
                <w:color w:val="000000"/>
                <w:sz w:val="22"/>
                <w:szCs w:val="22"/>
                <w:lang w:eastAsia="en-AU"/>
              </w:rPr>
              <w:t xml:space="preserve"> 211.5</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r w:rsidRPr="00D96C4B">
              <w:rPr>
                <w:rFonts w:ascii="Calibri" w:hAnsi="Calibri" w:cs="Calibri"/>
                <w:color w:val="000000"/>
                <w:sz w:val="22"/>
                <w:szCs w:val="22"/>
                <w:lang w:eastAsia="en-AU"/>
              </w:rPr>
              <w:t xml:space="preserve"> 212.9</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pStyle w:val="Tabletext"/>
              <w:rPr>
                <w:rFonts w:eastAsiaTheme="minorEastAsia"/>
                <w:lang w:eastAsia="en-AU"/>
              </w:rPr>
            </w:pPr>
            <w:r w:rsidRPr="00D96C4B">
              <w:rPr>
                <w:rFonts w:eastAsiaTheme="minorEastAsia"/>
                <w:lang w:eastAsia="en-AU"/>
              </w:rPr>
              <w:t>Remeasurements:</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pStyle w:val="Tabletext"/>
              <w:rPr>
                <w:rFonts w:eastAsiaTheme="minorEastAsia" w:cs="Calibri"/>
                <w:color w:val="000000"/>
                <w:szCs w:val="22"/>
                <w:lang w:eastAsia="en-AU"/>
              </w:rPr>
            </w:pPr>
            <w:r w:rsidRPr="00D96C4B">
              <w:rPr>
                <w:rFonts w:eastAsiaTheme="minorEastAsia"/>
                <w:lang w:eastAsia="en-AU"/>
              </w:rPr>
              <w:t xml:space="preserve">   Actuarial (gain)/loss arising from change in financial assumptions</w:t>
            </w:r>
          </w:p>
        </w:tc>
        <w:tc>
          <w:tcPr>
            <w:tcW w:w="1120" w:type="dxa"/>
            <w:gridSpan w:val="2"/>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D96C4B">
              <w:rPr>
                <w:rFonts w:ascii="Calibri" w:hAnsi="Calibri" w:cs="Calibri"/>
                <w:color w:val="000000"/>
                <w:sz w:val="22"/>
                <w:szCs w:val="22"/>
                <w:lang w:eastAsia="en-AU"/>
              </w:rPr>
              <w:t>1 861.3</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r w:rsidRPr="00D96C4B">
              <w:rPr>
                <w:rFonts w:ascii="Calibri" w:hAnsi="Calibri" w:cs="Calibri"/>
                <w:color w:val="000000"/>
                <w:sz w:val="22"/>
                <w:szCs w:val="22"/>
                <w:lang w:eastAsia="en-AU"/>
              </w:rPr>
              <w:t>1 603.6</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pStyle w:val="Tabletext"/>
              <w:rPr>
                <w:rFonts w:eastAsiaTheme="minorEastAsia" w:cs="Calibri"/>
                <w:color w:val="000000"/>
                <w:szCs w:val="22"/>
                <w:lang w:eastAsia="en-AU"/>
              </w:rPr>
            </w:pPr>
            <w:r w:rsidRPr="00D96C4B">
              <w:rPr>
                <w:rFonts w:eastAsiaTheme="minorEastAsia"/>
                <w:lang w:eastAsia="en-AU"/>
              </w:rPr>
              <w:t xml:space="preserve">   Actuarial (gain)/loss arising from change in </w:t>
            </w:r>
            <w:r w:rsidRPr="00D96C4B">
              <w:rPr>
                <w:rFonts w:eastAsiaTheme="minorEastAsia" w:cs="Calibri"/>
                <w:color w:val="000000"/>
                <w:szCs w:val="22"/>
                <w:lang w:eastAsia="en-AU"/>
              </w:rPr>
              <w:t xml:space="preserve">demographic assumptions </w:t>
            </w:r>
          </w:p>
        </w:tc>
        <w:tc>
          <w:tcPr>
            <w:tcW w:w="1120" w:type="dxa"/>
            <w:gridSpan w:val="2"/>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hAnsi="Calibri" w:cs="Calibri"/>
                <w:color w:val="000000"/>
                <w:sz w:val="22"/>
                <w:szCs w:val="22"/>
                <w:lang w:eastAsia="en-AU"/>
              </w:rPr>
              <w:t>(</w:t>
            </w:r>
            <w:r w:rsidRPr="00D96C4B">
              <w:rPr>
                <w:rFonts w:ascii="Calibri" w:eastAsiaTheme="minorEastAsia" w:hAnsi="Calibri" w:cs="Calibri"/>
                <w:color w:val="000000"/>
                <w:sz w:val="22"/>
                <w:szCs w:val="22"/>
                <w:lang w:eastAsia="en-AU"/>
              </w:rPr>
              <w:t>708.3)</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r w:rsidRPr="00D96C4B">
              <w:rPr>
                <w:rFonts w:ascii="Calibri" w:hAnsi="Calibri" w:cs="Calibri"/>
                <w:color w:val="000000"/>
                <w:sz w:val="22"/>
                <w:szCs w:val="22"/>
                <w:lang w:eastAsia="en-AU"/>
              </w:rPr>
              <w:t>..</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pStyle w:val="Tabletext"/>
              <w:rPr>
                <w:rFonts w:eastAsiaTheme="minorEastAsia" w:cs="Calibri"/>
                <w:color w:val="000000"/>
                <w:szCs w:val="22"/>
                <w:lang w:eastAsia="en-AU"/>
              </w:rPr>
            </w:pPr>
            <w:r w:rsidRPr="00D96C4B">
              <w:rPr>
                <w:rFonts w:eastAsiaTheme="minorEastAsia"/>
                <w:lang w:eastAsia="en-AU"/>
              </w:rPr>
              <w:t xml:space="preserve">   </w:t>
            </w:r>
            <w:r w:rsidRPr="00D96C4B">
              <w:rPr>
                <w:rFonts w:eastAsiaTheme="minorEastAsia" w:cs="Calibri"/>
                <w:color w:val="000000"/>
                <w:szCs w:val="22"/>
                <w:lang w:eastAsia="en-AU"/>
              </w:rPr>
              <w:t>Actuarial (gain)/loss due to other experience</w:t>
            </w:r>
          </w:p>
        </w:tc>
        <w:tc>
          <w:tcPr>
            <w:tcW w:w="1120" w:type="dxa"/>
            <w:gridSpan w:val="2"/>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hAnsi="Calibri" w:cs="Calibri"/>
                <w:color w:val="000000"/>
                <w:sz w:val="22"/>
                <w:szCs w:val="22"/>
                <w:lang w:eastAsia="en-AU"/>
              </w:rPr>
              <w:t>(</w:t>
            </w:r>
            <w:r w:rsidRPr="00D96C4B">
              <w:rPr>
                <w:rFonts w:ascii="Calibri" w:eastAsiaTheme="minorEastAsia" w:hAnsi="Calibri" w:cs="Calibri"/>
                <w:color w:val="000000"/>
                <w:sz w:val="22"/>
                <w:szCs w:val="22"/>
                <w:lang w:eastAsia="en-AU"/>
              </w:rPr>
              <w:t>581.8)</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hAnsi="Calibri" w:cs="Calibri"/>
                <w:color w:val="000000"/>
                <w:sz w:val="22"/>
                <w:szCs w:val="22"/>
                <w:lang w:eastAsia="en-AU"/>
              </w:rPr>
              <w:t>(</w:t>
            </w:r>
            <w:r w:rsidRPr="00D96C4B">
              <w:rPr>
                <w:rFonts w:ascii="Calibri" w:eastAsiaTheme="minorEastAsia" w:hAnsi="Calibri" w:cs="Calibri"/>
                <w:color w:val="000000"/>
                <w:sz w:val="22"/>
                <w:szCs w:val="22"/>
                <w:lang w:eastAsia="en-AU"/>
              </w:rPr>
              <w:t>33.7)</w:t>
            </w:r>
          </w:p>
        </w:tc>
      </w:tr>
      <w:tr w:rsidR="00336793" w:rsidRPr="00D96C4B" w:rsidTr="00DF0B96">
        <w:tc>
          <w:tcPr>
            <w:tcW w:w="7397" w:type="dxa"/>
            <w:tcBorders>
              <w:top w:val="nil"/>
              <w:left w:val="nil"/>
              <w:bottom w:val="single" w:sz="6" w:space="0" w:color="auto"/>
              <w:right w:val="nil"/>
            </w:tcBorders>
            <w:shd w:val="solid" w:color="FFFFFF" w:fill="auto"/>
          </w:tcPr>
          <w:p w:rsidR="00336793" w:rsidRPr="00D96C4B" w:rsidRDefault="00336793" w:rsidP="00DF0B96">
            <w:pPr>
              <w:pStyle w:val="Tabletext"/>
              <w:rPr>
                <w:rFonts w:eastAsiaTheme="minorEastAsia"/>
                <w:lang w:eastAsia="en-AU"/>
              </w:rPr>
            </w:pPr>
            <w:r w:rsidRPr="00D96C4B">
              <w:rPr>
                <w:rFonts w:eastAsiaTheme="minorEastAsia"/>
                <w:lang w:eastAsia="en-AU"/>
              </w:rPr>
              <w:t>Benefits paid</w:t>
            </w:r>
          </w:p>
        </w:tc>
        <w:tc>
          <w:tcPr>
            <w:tcW w:w="1120" w:type="dxa"/>
            <w:gridSpan w:val="2"/>
            <w:tcBorders>
              <w:top w:val="nil"/>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r w:rsidRPr="00D96C4B">
              <w:rPr>
                <w:rFonts w:ascii="Calibri" w:hAnsi="Calibri" w:cs="Calibri"/>
                <w:color w:val="000000"/>
                <w:sz w:val="22"/>
                <w:szCs w:val="22"/>
                <w:lang w:eastAsia="en-AU"/>
              </w:rPr>
              <w:t>(2 221.3)</w:t>
            </w:r>
          </w:p>
        </w:tc>
        <w:tc>
          <w:tcPr>
            <w:tcW w:w="1120" w:type="dxa"/>
            <w:tcBorders>
              <w:top w:val="nil"/>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color w:val="000000"/>
                <w:sz w:val="22"/>
                <w:szCs w:val="22"/>
                <w:lang w:eastAsia="en-AU"/>
              </w:rPr>
            </w:pPr>
            <w:r w:rsidRPr="00D96C4B">
              <w:rPr>
                <w:rFonts w:ascii="Calibri" w:hAnsi="Calibri" w:cs="Calibri"/>
                <w:color w:val="000000"/>
                <w:sz w:val="22"/>
                <w:szCs w:val="22"/>
                <w:lang w:eastAsia="en-AU"/>
              </w:rPr>
              <w:t>(2 202.3)</w:t>
            </w:r>
          </w:p>
        </w:tc>
      </w:tr>
      <w:tr w:rsidR="00336793" w:rsidRPr="00D96C4B" w:rsidTr="00DF0B96">
        <w:tc>
          <w:tcPr>
            <w:tcW w:w="7397" w:type="dxa"/>
            <w:tcBorders>
              <w:top w:val="single" w:sz="6" w:space="0" w:color="auto"/>
              <w:left w:val="nil"/>
              <w:bottom w:val="single" w:sz="12" w:space="0" w:color="000000"/>
              <w:right w:val="nil"/>
            </w:tcBorders>
            <w:shd w:val="solid" w:color="FFFFFF" w:fill="auto"/>
          </w:tcPr>
          <w:p w:rsidR="00336793" w:rsidRPr="00D96C4B" w:rsidRDefault="00336793" w:rsidP="00DF0B96">
            <w:pPr>
              <w:pStyle w:val="Tabletext"/>
              <w:rPr>
                <w:rFonts w:eastAsiaTheme="minorEastAsia" w:cs="Calibri"/>
                <w:b/>
                <w:bCs/>
                <w:color w:val="000000"/>
                <w:szCs w:val="22"/>
                <w:vertAlign w:val="superscript"/>
                <w:lang w:eastAsia="en-AU"/>
              </w:rPr>
            </w:pPr>
            <w:r w:rsidRPr="00D96C4B">
              <w:rPr>
                <w:rFonts w:eastAsiaTheme="minorEastAsia"/>
                <w:b/>
                <w:bCs/>
                <w:lang w:eastAsia="en-AU"/>
              </w:rPr>
              <w:t>Closing balance of defined benefit obligation</w:t>
            </w:r>
          </w:p>
        </w:tc>
        <w:tc>
          <w:tcPr>
            <w:tcW w:w="1120" w:type="dxa"/>
            <w:gridSpan w:val="2"/>
            <w:tcBorders>
              <w:top w:val="single" w:sz="6" w:space="0" w:color="auto"/>
              <w:left w:val="nil"/>
              <w:bottom w:val="single" w:sz="12" w:space="0" w:color="000000"/>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b/>
                <w:bCs/>
                <w:color w:val="000000"/>
                <w:sz w:val="22"/>
                <w:szCs w:val="22"/>
                <w:lang w:eastAsia="en-AU"/>
              </w:rPr>
            </w:pPr>
            <w:r w:rsidRPr="00D96C4B">
              <w:rPr>
                <w:rFonts w:ascii="Calibri" w:hAnsi="Calibri" w:cs="Calibri"/>
                <w:b/>
                <w:bCs/>
                <w:color w:val="000000"/>
                <w:sz w:val="22"/>
                <w:szCs w:val="22"/>
                <w:lang w:eastAsia="en-AU"/>
              </w:rPr>
              <w:t>46 534.7</w:t>
            </w:r>
          </w:p>
        </w:tc>
        <w:tc>
          <w:tcPr>
            <w:tcW w:w="1120" w:type="dxa"/>
            <w:tcBorders>
              <w:top w:val="single" w:sz="6" w:space="0" w:color="auto"/>
              <w:left w:val="nil"/>
              <w:bottom w:val="single" w:sz="12" w:space="0" w:color="000000"/>
              <w:right w:val="nil"/>
            </w:tcBorders>
            <w:shd w:val="solid" w:color="FFFFFF" w:fill="auto"/>
          </w:tcPr>
          <w:p w:rsidR="00336793" w:rsidRPr="00D96C4B" w:rsidRDefault="00336793" w:rsidP="00DF0B96">
            <w:pPr>
              <w:autoSpaceDE w:val="0"/>
              <w:autoSpaceDN w:val="0"/>
              <w:adjustRightInd w:val="0"/>
              <w:spacing w:after="0"/>
              <w:jc w:val="right"/>
              <w:rPr>
                <w:rFonts w:ascii="Calibri" w:hAnsi="Calibri" w:cs="Calibri"/>
                <w:b/>
                <w:bCs/>
                <w:color w:val="000000"/>
                <w:sz w:val="22"/>
                <w:szCs w:val="22"/>
                <w:lang w:eastAsia="en-AU"/>
              </w:rPr>
            </w:pPr>
            <w:r w:rsidRPr="00D96C4B">
              <w:rPr>
                <w:rFonts w:ascii="Calibri" w:hAnsi="Calibri" w:cs="Calibri"/>
                <w:b/>
                <w:bCs/>
                <w:color w:val="000000"/>
                <w:sz w:val="22"/>
                <w:szCs w:val="22"/>
                <w:lang w:eastAsia="en-AU"/>
              </w:rPr>
              <w:t>45 457.0</w:t>
            </w:r>
          </w:p>
        </w:tc>
      </w:tr>
    </w:tbl>
    <w:p w:rsidR="00336793" w:rsidRPr="006A75A2" w:rsidRDefault="00336793" w:rsidP="00DF0B96">
      <w:pPr>
        <w:pStyle w:val="Notes"/>
      </w:pPr>
      <w:r w:rsidRPr="006A75A2">
        <w:t>Note:</w:t>
      </w:r>
    </w:p>
    <w:p w:rsidR="00336793" w:rsidRDefault="00336793" w:rsidP="00DF0B96">
      <w:pPr>
        <w:pStyle w:val="Notes"/>
      </w:pPr>
      <w:r w:rsidRPr="006A75A2">
        <w:t>(a)</w:t>
      </w:r>
      <w:r w:rsidRPr="006A75A2">
        <w:tab/>
      </w:r>
      <w:r>
        <w:t>June 2014 comparative figures have been restated. See Note 37.</w:t>
      </w:r>
    </w:p>
    <w:p w:rsidR="00336793" w:rsidRDefault="00336793" w:rsidP="00DF0B96">
      <w:r>
        <w:br w:type="page"/>
      </w:r>
    </w:p>
    <w:p w:rsidR="00336793" w:rsidRPr="006A75A2" w:rsidRDefault="00336793" w:rsidP="00DF0B96">
      <w:pPr>
        <w:pStyle w:val="Heading2NotesContd"/>
        <w:rPr>
          <w:kern w:val="0"/>
        </w:rPr>
      </w:pPr>
      <w:r w:rsidRPr="006A75A2">
        <w:rPr>
          <w:kern w:val="0"/>
        </w:rPr>
        <w:lastRenderedPageBreak/>
        <w:t>Note 8:</w:t>
      </w:r>
      <w:r w:rsidRPr="006A75A2">
        <w:rPr>
          <w:kern w:val="0"/>
        </w:rPr>
        <w:tab/>
        <w:t xml:space="preserve">Superannuation </w:t>
      </w:r>
      <w:r w:rsidRPr="006A75A2">
        <w:rPr>
          <w:i/>
          <w:kern w:val="0"/>
        </w:rPr>
        <w:t>(continued)</w:t>
      </w:r>
    </w:p>
    <w:p w:rsidR="00336793" w:rsidRPr="006A75A2" w:rsidRDefault="00336793" w:rsidP="00DF0B96">
      <w:pPr>
        <w:pStyle w:val="Heading5"/>
      </w:pPr>
      <w:r w:rsidRPr="006A75A2">
        <w:t>(c)</w:t>
      </w:r>
      <w:r w:rsidRPr="006A75A2">
        <w:tab/>
        <w:t>Reconciliation of the fair value of superannuation plan assets</w:t>
      </w:r>
    </w:p>
    <w:p w:rsidR="00336793" w:rsidRPr="00D96C4B"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275"/>
        <w:gridCol w:w="845"/>
        <w:gridCol w:w="1120"/>
      </w:tblGrid>
      <w:tr w:rsidR="00336793" w:rsidRPr="00D96C4B" w:rsidTr="00DF0B96">
        <w:tc>
          <w:tcPr>
            <w:tcW w:w="7397" w:type="dxa"/>
            <w:tcBorders>
              <w:top w:val="single" w:sz="6" w:space="0" w:color="auto"/>
              <w:left w:val="single" w:sz="6" w:space="0" w:color="auto"/>
              <w:bottom w:val="nil"/>
              <w:right w:val="nil"/>
            </w:tcBorders>
            <w:shd w:val="clear" w:color="000000" w:fill="000000"/>
          </w:tcPr>
          <w:p w:rsidR="00336793" w:rsidRPr="00D96C4B" w:rsidRDefault="00336793" w:rsidP="00DF0B96">
            <w:pPr>
              <w:pStyle w:val="Tabletextheading"/>
              <w:jc w:val="left"/>
              <w:rPr>
                <w:rFonts w:eastAsiaTheme="minorEastAsia"/>
                <w:color w:val="FFFFFF"/>
                <w:lang w:eastAsia="en-AU"/>
              </w:rPr>
            </w:pPr>
            <w:r w:rsidRPr="00D96C4B">
              <w:rPr>
                <w:rFonts w:eastAsiaTheme="minorEastAsia"/>
                <w:color w:val="FFFFFF"/>
                <w:lang w:eastAsia="en-AU"/>
              </w:rPr>
              <w:t xml:space="preserve"> </w:t>
            </w:r>
          </w:p>
        </w:tc>
        <w:tc>
          <w:tcPr>
            <w:tcW w:w="275" w:type="dxa"/>
            <w:tcBorders>
              <w:top w:val="single" w:sz="6" w:space="0" w:color="auto"/>
              <w:left w:val="nil"/>
              <w:bottom w:val="nil"/>
              <w:right w:val="nil"/>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 xml:space="preserve"> </w:t>
            </w:r>
          </w:p>
        </w:tc>
        <w:tc>
          <w:tcPr>
            <w:tcW w:w="1965" w:type="dxa"/>
            <w:gridSpan w:val="2"/>
            <w:tcBorders>
              <w:top w:val="single" w:sz="6" w:space="0" w:color="auto"/>
              <w:left w:val="nil"/>
              <w:bottom w:val="nil"/>
              <w:right w:val="single" w:sz="6" w:space="0" w:color="auto"/>
            </w:tcBorders>
            <w:shd w:val="clear" w:color="000000" w:fill="000000"/>
          </w:tcPr>
          <w:p w:rsidR="00336793" w:rsidRPr="00D96C4B" w:rsidRDefault="00336793" w:rsidP="00DF0B96">
            <w:pPr>
              <w:pStyle w:val="Tabletextheading"/>
              <w:jc w:val="center"/>
              <w:rPr>
                <w:rFonts w:eastAsiaTheme="minorEastAsia"/>
                <w:iCs/>
                <w:color w:val="FFFFFF"/>
                <w:lang w:eastAsia="en-AU"/>
              </w:rPr>
            </w:pPr>
            <w:r w:rsidRPr="00D96C4B">
              <w:rPr>
                <w:rFonts w:eastAsiaTheme="minorEastAsia"/>
                <w:iCs/>
                <w:color w:val="FFFFFF"/>
                <w:lang w:eastAsia="en-AU"/>
              </w:rPr>
              <w:t>State of Victoria</w:t>
            </w:r>
          </w:p>
        </w:tc>
      </w:tr>
      <w:tr w:rsidR="00336793" w:rsidRPr="00D96C4B" w:rsidTr="00DF0B96">
        <w:tc>
          <w:tcPr>
            <w:tcW w:w="7397" w:type="dxa"/>
            <w:tcBorders>
              <w:top w:val="nil"/>
              <w:left w:val="single" w:sz="6" w:space="0" w:color="auto"/>
              <w:bottom w:val="single" w:sz="6" w:space="0" w:color="auto"/>
              <w:right w:val="nil"/>
            </w:tcBorders>
            <w:shd w:val="clear" w:color="000000" w:fill="000000"/>
          </w:tcPr>
          <w:p w:rsidR="00336793" w:rsidRPr="00D96C4B" w:rsidRDefault="00336793" w:rsidP="00DF0B96">
            <w:pPr>
              <w:pStyle w:val="Tabletextheading"/>
              <w:jc w:val="left"/>
              <w:rPr>
                <w:rFonts w:eastAsiaTheme="minorEastAsia"/>
                <w:color w:val="FFFFFF"/>
                <w:lang w:eastAsia="en-AU"/>
              </w:rPr>
            </w:pPr>
            <w:r w:rsidRPr="00D96C4B">
              <w:rPr>
                <w:rFonts w:eastAsiaTheme="minorEastAsia"/>
                <w:color w:val="FFFFFF"/>
                <w:lang w:eastAsia="en-AU"/>
              </w:rPr>
              <w:t xml:space="preserve"> </w:t>
            </w:r>
          </w:p>
        </w:tc>
        <w:tc>
          <w:tcPr>
            <w:tcW w:w="1120" w:type="dxa"/>
            <w:gridSpan w:val="2"/>
            <w:tcBorders>
              <w:top w:val="nil"/>
              <w:left w:val="nil"/>
              <w:bottom w:val="single" w:sz="6" w:space="0" w:color="auto"/>
              <w:right w:val="nil"/>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2014</w:t>
            </w:r>
          </w:p>
        </w:tc>
      </w:tr>
      <w:tr w:rsidR="00336793" w:rsidRPr="00D96C4B" w:rsidTr="00DF0B96">
        <w:tc>
          <w:tcPr>
            <w:tcW w:w="7397" w:type="dxa"/>
            <w:tcBorders>
              <w:top w:val="single" w:sz="6" w:space="0" w:color="auto"/>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Opening balance of plan assets</w:t>
            </w:r>
          </w:p>
        </w:tc>
        <w:tc>
          <w:tcPr>
            <w:tcW w:w="1120" w:type="dxa"/>
            <w:gridSpan w:val="2"/>
            <w:tcBorders>
              <w:top w:val="single" w:sz="6" w:space="0" w:color="auto"/>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19 155.</w:t>
            </w:r>
            <w:r>
              <w:rPr>
                <w:rFonts w:ascii="Calibri" w:eastAsiaTheme="minorEastAsia" w:hAnsi="Calibri" w:cs="Calibri"/>
                <w:b/>
                <w:bCs/>
                <w:sz w:val="22"/>
                <w:szCs w:val="22"/>
                <w:lang w:eastAsia="en-AU"/>
              </w:rPr>
              <w:t>9</w:t>
            </w:r>
          </w:p>
        </w:tc>
        <w:tc>
          <w:tcPr>
            <w:tcW w:w="1120" w:type="dxa"/>
            <w:tcBorders>
              <w:top w:val="single" w:sz="6" w:space="0" w:color="auto"/>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17 578.</w:t>
            </w:r>
            <w:r>
              <w:rPr>
                <w:rFonts w:ascii="Calibri" w:eastAsiaTheme="minorEastAsia" w:hAnsi="Calibri" w:cs="Calibri"/>
                <w:b/>
                <w:bCs/>
                <w:sz w:val="22"/>
                <w:szCs w:val="22"/>
                <w:lang w:eastAsia="en-AU"/>
              </w:rPr>
              <w:t>1</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Interest income</w:t>
            </w:r>
          </w:p>
        </w:tc>
        <w:tc>
          <w:tcPr>
            <w:tcW w:w="1120" w:type="dxa"/>
            <w:gridSpan w:val="2"/>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740.3</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721.0</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Remeasurements:</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Expected return on plan assets excluding interest income</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630.4</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541.2</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color w:val="000000"/>
                <w:sz w:val="22"/>
                <w:szCs w:val="22"/>
                <w:vertAlign w:val="superscript"/>
                <w:lang w:eastAsia="en-AU"/>
              </w:rPr>
            </w:pPr>
            <w:r w:rsidRPr="00D96C4B">
              <w:rPr>
                <w:rFonts w:ascii="Calibri" w:eastAsiaTheme="minorEastAsia" w:hAnsi="Calibri" w:cs="Calibri"/>
                <w:sz w:val="22"/>
                <w:szCs w:val="22"/>
                <w:lang w:eastAsia="en-AU"/>
              </w:rPr>
              <w:t xml:space="preserve">   Actuarial gain/(loss) relative to expected return</w:t>
            </w:r>
            <w:r w:rsidRPr="00D96C4B">
              <w:rPr>
                <w:rFonts w:ascii="Calibri" w:eastAsiaTheme="minorEastAsia" w:hAnsi="Calibri" w:cs="Calibri"/>
                <w:sz w:val="22"/>
                <w:szCs w:val="22"/>
                <w:vertAlign w:val="superscript"/>
                <w:lang w:eastAsia="en-AU"/>
              </w:rPr>
              <w:t>(</w:t>
            </w:r>
            <w:r w:rsidRPr="00D96C4B">
              <w:rPr>
                <w:rFonts w:ascii="Calibri" w:eastAsiaTheme="minorEastAsia" w:hAnsi="Calibri" w:cs="Calibri"/>
                <w:color w:val="000000"/>
                <w:sz w:val="22"/>
                <w:szCs w:val="22"/>
                <w:vertAlign w:val="superscript"/>
                <w:lang w:eastAsia="en-AU"/>
              </w:rPr>
              <w:t>a)</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497.2</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762.6</w:t>
            </w:r>
          </w:p>
        </w:tc>
      </w:tr>
      <w:tr w:rsidR="00336793" w:rsidRPr="00D96C4B" w:rsidTr="00DF0B96">
        <w:tc>
          <w:tcPr>
            <w:tcW w:w="7397" w:type="dxa"/>
            <w:tcBorders>
              <w:top w:val="nil"/>
              <w:left w:val="nil"/>
              <w:bottom w:val="nil"/>
              <w:right w:val="nil"/>
            </w:tcBorders>
            <w:shd w:val="solid" w:color="FFFFFF" w:fill="auto"/>
          </w:tcPr>
          <w:p w:rsidR="00336793" w:rsidRPr="002818A5" w:rsidRDefault="00336793" w:rsidP="00DF0B96">
            <w:pPr>
              <w:autoSpaceDE w:val="0"/>
              <w:autoSpaceDN w:val="0"/>
              <w:adjustRightInd w:val="0"/>
              <w:spacing w:after="0"/>
              <w:rPr>
                <w:rFonts w:ascii="Calibri" w:eastAsiaTheme="minorEastAsia" w:hAnsi="Calibri" w:cs="Calibri"/>
                <w:sz w:val="22"/>
                <w:szCs w:val="22"/>
                <w:vertAlign w:val="superscript"/>
                <w:lang w:eastAsia="en-AU"/>
              </w:rPr>
            </w:pPr>
            <w:r w:rsidRPr="00D96C4B">
              <w:rPr>
                <w:rFonts w:ascii="Calibri" w:eastAsiaTheme="minorEastAsia" w:hAnsi="Calibri" w:cs="Calibri"/>
                <w:sz w:val="22"/>
                <w:szCs w:val="22"/>
                <w:lang w:eastAsia="en-AU"/>
              </w:rPr>
              <w:t>Employer contributions</w:t>
            </w:r>
            <w:r>
              <w:rPr>
                <w:rFonts w:ascii="Calibri" w:eastAsiaTheme="minorEastAsia" w:hAnsi="Calibri" w:cs="Calibri"/>
                <w:sz w:val="22"/>
                <w:szCs w:val="22"/>
                <w:vertAlign w:val="superscript"/>
                <w:lang w:eastAsia="en-AU"/>
              </w:rPr>
              <w:t xml:space="preserve"> (a)</w:t>
            </w:r>
          </w:p>
        </w:tc>
        <w:tc>
          <w:tcPr>
            <w:tcW w:w="1120" w:type="dxa"/>
            <w:gridSpan w:val="2"/>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1 532.</w:t>
            </w:r>
            <w:r>
              <w:rPr>
                <w:rFonts w:ascii="Calibri" w:eastAsiaTheme="minorEastAsia" w:hAnsi="Calibri" w:cs="Calibri"/>
                <w:sz w:val="22"/>
                <w:szCs w:val="22"/>
                <w:lang w:eastAsia="en-AU"/>
              </w:rPr>
              <w:t>4</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1 542.4</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Contributions by plan participants</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211.5</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212.9</w:t>
            </w:r>
          </w:p>
        </w:tc>
      </w:tr>
      <w:tr w:rsidR="00336793" w:rsidRPr="00D96C4B" w:rsidTr="00DF0B96">
        <w:tc>
          <w:tcPr>
            <w:tcW w:w="7397" w:type="dxa"/>
            <w:tcBorders>
              <w:top w:val="nil"/>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Benefits paid (including tax paid)</w:t>
            </w:r>
          </w:p>
        </w:tc>
        <w:tc>
          <w:tcPr>
            <w:tcW w:w="1120" w:type="dxa"/>
            <w:gridSpan w:val="2"/>
            <w:tcBorders>
              <w:top w:val="nil"/>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(2 221.3)</w:t>
            </w:r>
          </w:p>
        </w:tc>
        <w:tc>
          <w:tcPr>
            <w:tcW w:w="1120" w:type="dxa"/>
            <w:tcBorders>
              <w:top w:val="nil"/>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(2 202.3)</w:t>
            </w:r>
          </w:p>
        </w:tc>
      </w:tr>
      <w:tr w:rsidR="00336793" w:rsidRPr="00D96C4B" w:rsidTr="00DF0B96">
        <w:tc>
          <w:tcPr>
            <w:tcW w:w="7397" w:type="dxa"/>
            <w:tcBorders>
              <w:top w:val="single" w:sz="6" w:space="0" w:color="auto"/>
              <w:left w:val="nil"/>
              <w:bottom w:val="single" w:sz="12" w:space="0" w:color="000000"/>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Closing balance of plan assets</w:t>
            </w:r>
          </w:p>
        </w:tc>
        <w:tc>
          <w:tcPr>
            <w:tcW w:w="1120" w:type="dxa"/>
            <w:gridSpan w:val="2"/>
            <w:tcBorders>
              <w:top w:val="single" w:sz="6" w:space="0" w:color="auto"/>
              <w:left w:val="nil"/>
              <w:bottom w:val="single" w:sz="12" w:space="0" w:color="000000"/>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20 546.3</w:t>
            </w:r>
          </w:p>
        </w:tc>
        <w:tc>
          <w:tcPr>
            <w:tcW w:w="1120" w:type="dxa"/>
            <w:tcBorders>
              <w:top w:val="single" w:sz="6" w:space="0" w:color="auto"/>
              <w:left w:val="nil"/>
              <w:bottom w:val="single" w:sz="12" w:space="0" w:color="000000"/>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19 155.9</w:t>
            </w:r>
          </w:p>
        </w:tc>
      </w:tr>
    </w:tbl>
    <w:p w:rsidR="00336793" w:rsidRPr="006A75A2" w:rsidRDefault="00336793" w:rsidP="00DF0B96">
      <w:pPr>
        <w:pStyle w:val="Notes"/>
      </w:pPr>
      <w:r w:rsidRPr="006A75A2">
        <w:t>Note:</w:t>
      </w:r>
    </w:p>
    <w:p w:rsidR="00336793" w:rsidRDefault="00336793" w:rsidP="00DF0B96">
      <w:pPr>
        <w:pStyle w:val="Notes"/>
      </w:pPr>
      <w:r w:rsidRPr="006A75A2">
        <w:t>(a)</w:t>
      </w:r>
      <w:r w:rsidRPr="006A75A2">
        <w:tab/>
      </w:r>
      <w:r>
        <w:t>June 2014 comparative figures have been restated. See Note 37.</w:t>
      </w:r>
    </w:p>
    <w:p w:rsidR="00336793" w:rsidRPr="006A75A2" w:rsidRDefault="00336793" w:rsidP="00DF0B96">
      <w:pPr>
        <w:pStyle w:val="Notes"/>
      </w:pPr>
    </w:p>
    <w:p w:rsidR="00336793" w:rsidRPr="006A75A2" w:rsidRDefault="00336793" w:rsidP="00DF0B96"/>
    <w:p w:rsidR="00336793" w:rsidRPr="006E28F8" w:rsidRDefault="00336793" w:rsidP="00DF0B96">
      <w:pPr>
        <w:pStyle w:val="Heading5"/>
        <w:rPr>
          <w:vertAlign w:val="superscript"/>
        </w:rPr>
      </w:pPr>
      <w:r w:rsidRPr="006A75A2">
        <w:t>(d)</w:t>
      </w:r>
      <w:r w:rsidRPr="006A75A2">
        <w:tab/>
        <w:t>Reconciliation of the superannuation liability</w:t>
      </w:r>
      <w:r>
        <w:rPr>
          <w:vertAlign w:val="superscript"/>
        </w:rPr>
        <w:t xml:space="preserve"> (a)</w:t>
      </w:r>
    </w:p>
    <w:p w:rsidR="00336793" w:rsidRPr="00D96C4B"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275"/>
        <w:gridCol w:w="845"/>
        <w:gridCol w:w="1120"/>
      </w:tblGrid>
      <w:tr w:rsidR="00336793" w:rsidRPr="00D96C4B" w:rsidTr="00DF0B96">
        <w:tc>
          <w:tcPr>
            <w:tcW w:w="7397" w:type="dxa"/>
            <w:tcBorders>
              <w:top w:val="single" w:sz="6" w:space="0" w:color="auto"/>
              <w:left w:val="single" w:sz="6" w:space="0" w:color="auto"/>
              <w:bottom w:val="nil"/>
              <w:right w:val="nil"/>
            </w:tcBorders>
            <w:shd w:val="clear" w:color="000000" w:fill="000000"/>
          </w:tcPr>
          <w:p w:rsidR="00336793" w:rsidRPr="00D96C4B" w:rsidRDefault="00336793" w:rsidP="00DF0B96">
            <w:pPr>
              <w:pStyle w:val="Tabletextheading"/>
              <w:jc w:val="left"/>
              <w:rPr>
                <w:rFonts w:eastAsiaTheme="minorEastAsia"/>
                <w:color w:val="FFFFFF"/>
                <w:lang w:eastAsia="en-AU"/>
              </w:rPr>
            </w:pPr>
            <w:r w:rsidRPr="00D96C4B">
              <w:rPr>
                <w:rFonts w:eastAsiaTheme="minorEastAsia"/>
                <w:color w:val="FFFFFF"/>
                <w:lang w:eastAsia="en-AU"/>
              </w:rPr>
              <w:t xml:space="preserve"> </w:t>
            </w:r>
          </w:p>
        </w:tc>
        <w:tc>
          <w:tcPr>
            <w:tcW w:w="275" w:type="dxa"/>
            <w:tcBorders>
              <w:top w:val="single" w:sz="6" w:space="0" w:color="auto"/>
              <w:left w:val="nil"/>
              <w:bottom w:val="nil"/>
              <w:right w:val="nil"/>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 xml:space="preserve"> </w:t>
            </w:r>
          </w:p>
        </w:tc>
        <w:tc>
          <w:tcPr>
            <w:tcW w:w="1965" w:type="dxa"/>
            <w:gridSpan w:val="2"/>
            <w:tcBorders>
              <w:top w:val="single" w:sz="6" w:space="0" w:color="auto"/>
              <w:left w:val="nil"/>
              <w:bottom w:val="nil"/>
              <w:right w:val="single" w:sz="6" w:space="0" w:color="auto"/>
            </w:tcBorders>
            <w:shd w:val="clear" w:color="000000" w:fill="000000"/>
          </w:tcPr>
          <w:p w:rsidR="00336793" w:rsidRPr="00D96C4B" w:rsidRDefault="00336793" w:rsidP="00DF0B96">
            <w:pPr>
              <w:pStyle w:val="Tabletextheading"/>
              <w:jc w:val="center"/>
              <w:rPr>
                <w:rFonts w:eastAsiaTheme="minorEastAsia"/>
                <w:iCs/>
                <w:color w:val="FFFFFF"/>
                <w:lang w:eastAsia="en-AU"/>
              </w:rPr>
            </w:pPr>
            <w:r w:rsidRPr="00D96C4B">
              <w:rPr>
                <w:rFonts w:eastAsiaTheme="minorEastAsia"/>
                <w:iCs/>
                <w:color w:val="FFFFFF"/>
                <w:lang w:eastAsia="en-AU"/>
              </w:rPr>
              <w:t>State of Victoria</w:t>
            </w:r>
          </w:p>
        </w:tc>
      </w:tr>
      <w:tr w:rsidR="00336793" w:rsidRPr="00D96C4B" w:rsidTr="00DF0B96">
        <w:tc>
          <w:tcPr>
            <w:tcW w:w="7397" w:type="dxa"/>
            <w:tcBorders>
              <w:top w:val="nil"/>
              <w:left w:val="single" w:sz="6" w:space="0" w:color="auto"/>
              <w:bottom w:val="single" w:sz="6" w:space="0" w:color="auto"/>
              <w:right w:val="nil"/>
            </w:tcBorders>
            <w:shd w:val="clear" w:color="000000" w:fill="000000"/>
          </w:tcPr>
          <w:p w:rsidR="00336793" w:rsidRPr="00D96C4B" w:rsidRDefault="00336793" w:rsidP="00DF0B96">
            <w:pPr>
              <w:pStyle w:val="Tabletextheading"/>
              <w:jc w:val="left"/>
              <w:rPr>
                <w:rFonts w:eastAsiaTheme="minorEastAsia"/>
                <w:color w:val="FFFFFF"/>
                <w:lang w:eastAsia="en-AU"/>
              </w:rPr>
            </w:pPr>
            <w:r w:rsidRPr="00D96C4B">
              <w:rPr>
                <w:rFonts w:eastAsiaTheme="minorEastAsia"/>
                <w:color w:val="FFFFFF"/>
                <w:lang w:eastAsia="en-AU"/>
              </w:rPr>
              <w:t xml:space="preserve"> </w:t>
            </w:r>
          </w:p>
        </w:tc>
        <w:tc>
          <w:tcPr>
            <w:tcW w:w="1120" w:type="dxa"/>
            <w:gridSpan w:val="2"/>
            <w:tcBorders>
              <w:top w:val="nil"/>
              <w:left w:val="nil"/>
              <w:bottom w:val="single" w:sz="6" w:space="0" w:color="auto"/>
              <w:right w:val="nil"/>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2014</w:t>
            </w:r>
          </w:p>
        </w:tc>
      </w:tr>
      <w:tr w:rsidR="00336793" w:rsidRPr="00D96C4B" w:rsidTr="00DF0B96">
        <w:tc>
          <w:tcPr>
            <w:tcW w:w="7397" w:type="dxa"/>
            <w:tcBorders>
              <w:top w:val="single" w:sz="6" w:space="0" w:color="auto"/>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b/>
                <w:bCs/>
                <w:sz w:val="22"/>
                <w:szCs w:val="22"/>
                <w:vertAlign w:val="superscript"/>
                <w:lang w:eastAsia="en-AU"/>
              </w:rPr>
            </w:pPr>
            <w:r w:rsidRPr="00D96C4B">
              <w:rPr>
                <w:rFonts w:ascii="Calibri" w:eastAsiaTheme="minorEastAsia" w:hAnsi="Calibri" w:cs="Calibri"/>
                <w:b/>
                <w:bCs/>
                <w:sz w:val="22"/>
                <w:szCs w:val="22"/>
                <w:lang w:eastAsia="en-AU"/>
              </w:rPr>
              <w:t>Emergency Services and State Super</w:t>
            </w:r>
            <w:r>
              <w:rPr>
                <w:rFonts w:ascii="Calibri" w:eastAsiaTheme="minorEastAsia" w:hAnsi="Calibri" w:cs="Calibri"/>
                <w:b/>
                <w:bCs/>
                <w:sz w:val="22"/>
                <w:szCs w:val="22"/>
                <w:vertAlign w:val="superscript"/>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w:t>
            </w:r>
          </w:p>
        </w:tc>
        <w:tc>
          <w:tcPr>
            <w:tcW w:w="1120" w:type="dxa"/>
            <w:tcBorders>
              <w:top w:val="single" w:sz="6" w:space="0" w:color="auto"/>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Defined benefit obligation</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41 330.7</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40 195.0</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color w:val="000000"/>
                <w:sz w:val="22"/>
                <w:szCs w:val="22"/>
                <w:vertAlign w:val="superscript"/>
                <w:lang w:eastAsia="en-AU"/>
              </w:rPr>
            </w:pPr>
            <w:r w:rsidRPr="00D96C4B">
              <w:rPr>
                <w:rFonts w:ascii="Calibri" w:eastAsiaTheme="minorEastAsia" w:hAnsi="Calibri" w:cs="Calibri"/>
                <w:sz w:val="22"/>
                <w:szCs w:val="22"/>
                <w:lang w:eastAsia="en-AU"/>
              </w:rPr>
              <w:t>Tax liability</w:t>
            </w:r>
            <w:r>
              <w:rPr>
                <w:rFonts w:ascii="Calibri" w:eastAsiaTheme="minorEastAsia" w:hAnsi="Calibri" w:cs="Calibri"/>
                <w:sz w:val="22"/>
                <w:szCs w:val="22"/>
                <w:vertAlign w:val="superscript"/>
                <w:lang w:eastAsia="en-AU"/>
              </w:rPr>
              <w:t xml:space="preserve"> (b)</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2 659.7</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2 866.6</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Plan assets</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(19 022.9)</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(17 691.6)</w:t>
            </w:r>
          </w:p>
        </w:tc>
      </w:tr>
      <w:tr w:rsidR="00336793" w:rsidRPr="00D96C4B" w:rsidTr="00DF0B96">
        <w:tc>
          <w:tcPr>
            <w:tcW w:w="7397" w:type="dxa"/>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Net liability/(asset)</w:t>
            </w:r>
          </w:p>
        </w:tc>
        <w:tc>
          <w:tcPr>
            <w:tcW w:w="1120" w:type="dxa"/>
            <w:gridSpan w:val="2"/>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24 967.5</w:t>
            </w:r>
          </w:p>
        </w:tc>
        <w:tc>
          <w:tcPr>
            <w:tcW w:w="1120" w:type="dxa"/>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25 370.0</w:t>
            </w:r>
          </w:p>
        </w:tc>
      </w:tr>
      <w:tr w:rsidR="00336793" w:rsidRPr="00D96C4B" w:rsidTr="00DF0B96">
        <w:tc>
          <w:tcPr>
            <w:tcW w:w="7397" w:type="dxa"/>
            <w:tcBorders>
              <w:top w:val="nil"/>
              <w:left w:val="nil"/>
              <w:bottom w:val="nil"/>
              <w:right w:val="nil"/>
            </w:tcBorders>
            <w:shd w:val="solid" w:color="FFFFFF" w:fill="auto"/>
          </w:tcPr>
          <w:p w:rsidR="00336793" w:rsidRPr="006E28F8" w:rsidRDefault="00336793" w:rsidP="00DF0B96">
            <w:pPr>
              <w:autoSpaceDE w:val="0"/>
              <w:autoSpaceDN w:val="0"/>
              <w:adjustRightInd w:val="0"/>
              <w:spacing w:after="0"/>
              <w:rPr>
                <w:rFonts w:ascii="Calibri" w:eastAsiaTheme="minorEastAsia" w:hAnsi="Calibri" w:cs="Calibri"/>
                <w:b/>
                <w:bCs/>
                <w:sz w:val="22"/>
                <w:szCs w:val="22"/>
                <w:vertAlign w:val="superscript"/>
                <w:lang w:eastAsia="en-AU"/>
              </w:rPr>
            </w:pPr>
            <w:r w:rsidRPr="00D96C4B">
              <w:rPr>
                <w:rFonts w:ascii="Calibri" w:eastAsiaTheme="minorEastAsia" w:hAnsi="Calibri" w:cs="Calibri"/>
                <w:b/>
                <w:bCs/>
                <w:sz w:val="22"/>
                <w:szCs w:val="22"/>
                <w:lang w:eastAsia="en-AU"/>
              </w:rPr>
              <w:t>Other funds</w:t>
            </w:r>
            <w:r>
              <w:rPr>
                <w:rFonts w:ascii="Calibri" w:eastAsiaTheme="minorEastAsia" w:hAnsi="Calibri" w:cs="Calibri"/>
                <w:b/>
                <w:bCs/>
                <w:sz w:val="22"/>
                <w:szCs w:val="22"/>
                <w:lang w:eastAsia="en-AU"/>
              </w:rPr>
              <w:t xml:space="preserve"> </w:t>
            </w:r>
            <w:r>
              <w:rPr>
                <w:rFonts w:ascii="Calibri" w:eastAsiaTheme="minorEastAsia" w:hAnsi="Calibri" w:cs="Calibri"/>
                <w:b/>
                <w:bCs/>
                <w:sz w:val="22"/>
                <w:szCs w:val="22"/>
                <w:vertAlign w:val="superscript"/>
                <w:lang w:eastAsia="en-AU"/>
              </w:rPr>
              <w:t>(c)</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Defined benefit obligation</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2 544.3</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2 404.2</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color w:val="000000"/>
                <w:sz w:val="22"/>
                <w:szCs w:val="22"/>
                <w:vertAlign w:val="superscript"/>
                <w:lang w:eastAsia="en-AU"/>
              </w:rPr>
            </w:pPr>
            <w:r w:rsidRPr="00D96C4B">
              <w:rPr>
                <w:rFonts w:ascii="Calibri" w:eastAsiaTheme="minorEastAsia" w:hAnsi="Calibri" w:cs="Calibri"/>
                <w:sz w:val="22"/>
                <w:szCs w:val="22"/>
                <w:lang w:eastAsia="en-AU"/>
              </w:rPr>
              <w:t>Tax liability</w:t>
            </w:r>
            <w:r>
              <w:rPr>
                <w:rFonts w:ascii="Calibri" w:eastAsiaTheme="minorEastAsia" w:hAnsi="Calibri" w:cs="Calibri"/>
                <w:sz w:val="22"/>
                <w:szCs w:val="22"/>
                <w:vertAlign w:val="superscript"/>
                <w:lang w:eastAsia="en-AU"/>
              </w:rPr>
              <w:t>(b)</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D96C4B">
              <w:rPr>
                <w:rFonts w:ascii="Calibri" w:eastAsiaTheme="minorEastAsia" w:hAnsi="Calibri" w:cs="Calibri"/>
                <w:color w:val="000000"/>
                <w:sz w:val="22"/>
                <w:szCs w:val="22"/>
                <w:lang w:eastAsia="en-AU"/>
              </w:rPr>
              <w:t>8.7)</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Plan assets</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(1 523.4)</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(1 464.3)</w:t>
            </w:r>
          </w:p>
        </w:tc>
      </w:tr>
      <w:tr w:rsidR="00336793" w:rsidRPr="00D96C4B" w:rsidTr="00DF0B96">
        <w:tc>
          <w:tcPr>
            <w:tcW w:w="7397" w:type="dxa"/>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Net liability/(asset)</w:t>
            </w:r>
          </w:p>
        </w:tc>
        <w:tc>
          <w:tcPr>
            <w:tcW w:w="1120" w:type="dxa"/>
            <w:gridSpan w:val="2"/>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1 020.9</w:t>
            </w:r>
          </w:p>
        </w:tc>
        <w:tc>
          <w:tcPr>
            <w:tcW w:w="1120" w:type="dxa"/>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 xml:space="preserve"> 931.2</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Total superannuation</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Defined benefit obligation</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43 875.0</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42 599.2</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color w:val="000000"/>
                <w:sz w:val="22"/>
                <w:szCs w:val="22"/>
                <w:vertAlign w:val="superscript"/>
                <w:lang w:eastAsia="en-AU"/>
              </w:rPr>
            </w:pPr>
            <w:r w:rsidRPr="00D96C4B">
              <w:rPr>
                <w:rFonts w:ascii="Calibri" w:eastAsiaTheme="minorEastAsia" w:hAnsi="Calibri" w:cs="Calibri"/>
                <w:sz w:val="22"/>
                <w:szCs w:val="22"/>
                <w:lang w:eastAsia="en-AU"/>
              </w:rPr>
              <w:t>Tax liability</w:t>
            </w:r>
            <w:r>
              <w:rPr>
                <w:rFonts w:ascii="Calibri" w:eastAsiaTheme="minorEastAsia" w:hAnsi="Calibri" w:cs="Calibri"/>
                <w:sz w:val="22"/>
                <w:szCs w:val="22"/>
                <w:vertAlign w:val="superscript"/>
                <w:lang w:eastAsia="en-AU"/>
              </w:rPr>
              <w:t>(b)</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2 659.7</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2 857.9</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Plan assets</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(20 546.3)</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(19 155.9)</w:t>
            </w:r>
          </w:p>
        </w:tc>
      </w:tr>
      <w:tr w:rsidR="00336793" w:rsidRPr="00D96C4B" w:rsidTr="00DF0B96">
        <w:tc>
          <w:tcPr>
            <w:tcW w:w="7397" w:type="dxa"/>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Superannuation liability</w:t>
            </w:r>
          </w:p>
        </w:tc>
        <w:tc>
          <w:tcPr>
            <w:tcW w:w="1120" w:type="dxa"/>
            <w:gridSpan w:val="2"/>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25 988.4</w:t>
            </w:r>
          </w:p>
        </w:tc>
        <w:tc>
          <w:tcPr>
            <w:tcW w:w="1120" w:type="dxa"/>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26 301.2</w:t>
            </w: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Represented by:</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p>
        </w:tc>
      </w:tr>
      <w:tr w:rsidR="00336793" w:rsidRPr="00D96C4B" w:rsidTr="00DF0B96">
        <w:tc>
          <w:tcPr>
            <w:tcW w:w="7397"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Current liability</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1 210.4</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998.6</w:t>
            </w:r>
          </w:p>
        </w:tc>
      </w:tr>
      <w:tr w:rsidR="00336793" w:rsidRPr="00D96C4B" w:rsidTr="00DF0B96">
        <w:tc>
          <w:tcPr>
            <w:tcW w:w="7397" w:type="dxa"/>
            <w:tcBorders>
              <w:top w:val="nil"/>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color w:val="000000"/>
                <w:sz w:val="22"/>
                <w:szCs w:val="22"/>
                <w:vertAlign w:val="superscript"/>
                <w:lang w:eastAsia="en-AU"/>
              </w:rPr>
            </w:pPr>
            <w:r w:rsidRPr="00D96C4B">
              <w:rPr>
                <w:rFonts w:ascii="Calibri" w:eastAsiaTheme="minorEastAsia" w:hAnsi="Calibri" w:cs="Calibri"/>
                <w:sz w:val="22"/>
                <w:szCs w:val="22"/>
                <w:lang w:eastAsia="en-AU"/>
              </w:rPr>
              <w:t>Non</w:t>
            </w:r>
            <w:r>
              <w:rPr>
                <w:rFonts w:ascii="Calibri" w:eastAsiaTheme="minorEastAsia" w:hAnsi="Calibri" w:cs="Calibri"/>
                <w:sz w:val="22"/>
                <w:szCs w:val="22"/>
                <w:lang w:eastAsia="en-AU"/>
              </w:rPr>
              <w:noBreakHyphen/>
            </w:r>
            <w:r w:rsidRPr="00D96C4B">
              <w:rPr>
                <w:rFonts w:ascii="Calibri" w:eastAsiaTheme="minorEastAsia" w:hAnsi="Calibri" w:cs="Calibri"/>
                <w:sz w:val="22"/>
                <w:szCs w:val="22"/>
                <w:lang w:eastAsia="en-AU"/>
              </w:rPr>
              <w:t>current liability</w:t>
            </w:r>
          </w:p>
        </w:tc>
        <w:tc>
          <w:tcPr>
            <w:tcW w:w="1120" w:type="dxa"/>
            <w:gridSpan w:val="2"/>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24 778.0</w:t>
            </w:r>
          </w:p>
        </w:tc>
        <w:tc>
          <w:tcPr>
            <w:tcW w:w="1120" w:type="dxa"/>
            <w:tcBorders>
              <w:top w:val="nil"/>
              <w:left w:val="nil"/>
              <w:bottom w:val="nil"/>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25 302.6</w:t>
            </w:r>
          </w:p>
        </w:tc>
      </w:tr>
      <w:tr w:rsidR="00336793" w:rsidRPr="00D96C4B" w:rsidTr="00DF0B96">
        <w:tc>
          <w:tcPr>
            <w:tcW w:w="7397" w:type="dxa"/>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w:t>
            </w:r>
          </w:p>
        </w:tc>
        <w:tc>
          <w:tcPr>
            <w:tcW w:w="1120" w:type="dxa"/>
            <w:gridSpan w:val="2"/>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25 988.4</w:t>
            </w:r>
          </w:p>
        </w:tc>
        <w:tc>
          <w:tcPr>
            <w:tcW w:w="1120" w:type="dxa"/>
            <w:tcBorders>
              <w:top w:val="single" w:sz="6" w:space="0" w:color="auto"/>
              <w:left w:val="nil"/>
              <w:bottom w:val="single" w:sz="6" w:space="0" w:color="auto"/>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26 301.2</w:t>
            </w:r>
          </w:p>
        </w:tc>
      </w:tr>
      <w:tr w:rsidR="00336793" w:rsidRPr="00D96C4B" w:rsidTr="00DF0B96">
        <w:tc>
          <w:tcPr>
            <w:tcW w:w="7397" w:type="dxa"/>
            <w:tcBorders>
              <w:top w:val="single" w:sz="6" w:space="0" w:color="auto"/>
              <w:left w:val="nil"/>
              <w:bottom w:val="single" w:sz="12" w:space="0" w:color="000000"/>
              <w:right w:val="nil"/>
            </w:tcBorders>
            <w:shd w:val="solid" w:color="FFFFFF" w:fill="auto"/>
          </w:tcPr>
          <w:p w:rsidR="00336793" w:rsidRPr="00D96C4B" w:rsidRDefault="00336793" w:rsidP="00DF0B96">
            <w:pPr>
              <w:autoSpaceDE w:val="0"/>
              <w:autoSpaceDN w:val="0"/>
              <w:adjustRightInd w:val="0"/>
              <w:spacing w:after="0"/>
              <w:rPr>
                <w:rFonts w:ascii="Calibri" w:eastAsiaTheme="minorEastAsia" w:hAnsi="Calibri" w:cs="Calibri"/>
                <w:b/>
                <w:bCs/>
                <w:color w:val="000000"/>
                <w:sz w:val="22"/>
                <w:szCs w:val="22"/>
                <w:vertAlign w:val="superscript"/>
                <w:lang w:eastAsia="en-AU"/>
              </w:rPr>
            </w:pPr>
            <w:r w:rsidRPr="00D96C4B">
              <w:rPr>
                <w:rFonts w:ascii="Calibri" w:eastAsiaTheme="minorEastAsia" w:hAnsi="Calibri" w:cs="Calibri"/>
                <w:b/>
                <w:bCs/>
                <w:sz w:val="22"/>
                <w:szCs w:val="22"/>
                <w:lang w:eastAsia="en-AU"/>
              </w:rPr>
              <w:t>Total superannuation liability</w:t>
            </w:r>
          </w:p>
        </w:tc>
        <w:tc>
          <w:tcPr>
            <w:tcW w:w="1120" w:type="dxa"/>
            <w:gridSpan w:val="2"/>
            <w:tcBorders>
              <w:top w:val="single" w:sz="6" w:space="0" w:color="auto"/>
              <w:left w:val="nil"/>
              <w:bottom w:val="single" w:sz="12" w:space="0" w:color="000000"/>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25 988.4</w:t>
            </w:r>
          </w:p>
        </w:tc>
        <w:tc>
          <w:tcPr>
            <w:tcW w:w="1120" w:type="dxa"/>
            <w:tcBorders>
              <w:top w:val="single" w:sz="6" w:space="0" w:color="auto"/>
              <w:left w:val="nil"/>
              <w:bottom w:val="single" w:sz="12" w:space="0" w:color="000000"/>
              <w:right w:val="nil"/>
            </w:tcBorders>
            <w:shd w:val="solid" w:color="FFFFFF"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26 301.2</w:t>
            </w:r>
          </w:p>
        </w:tc>
      </w:tr>
    </w:tbl>
    <w:p w:rsidR="00336793" w:rsidRPr="006A75A2" w:rsidRDefault="00336793" w:rsidP="00DF0B96">
      <w:pPr>
        <w:pStyle w:val="Notes"/>
      </w:pPr>
      <w:r w:rsidRPr="006A75A2">
        <w:t>Notes:</w:t>
      </w:r>
    </w:p>
    <w:p w:rsidR="00336793" w:rsidRDefault="00336793" w:rsidP="00DF0B96">
      <w:pPr>
        <w:pStyle w:val="Notes"/>
      </w:pPr>
      <w:r>
        <w:t>(a)</w:t>
      </w:r>
      <w:r w:rsidRPr="00757012">
        <w:tab/>
      </w:r>
      <w:r>
        <w:t>June 2014 comparative figures have been restated. See Note 37.</w:t>
      </w:r>
    </w:p>
    <w:p w:rsidR="00336793" w:rsidRPr="00757012" w:rsidRDefault="00336793" w:rsidP="00DF0B96">
      <w:pPr>
        <w:pStyle w:val="Notes"/>
      </w:pPr>
      <w:r>
        <w:t>(b)</w:t>
      </w:r>
      <w:r>
        <w:tab/>
      </w:r>
      <w:r w:rsidRPr="00757012">
        <w:t>Tax liability represents the present value of tax payments on contributions that are expected to be required to fund accrued benefits.</w:t>
      </w:r>
    </w:p>
    <w:p w:rsidR="00336793" w:rsidRDefault="00336793" w:rsidP="00DF0B96">
      <w:pPr>
        <w:pStyle w:val="Notes"/>
      </w:pPr>
      <w:r w:rsidRPr="00757012">
        <w:t>(</w:t>
      </w:r>
      <w:r>
        <w:t>c)</w:t>
      </w:r>
      <w:r w:rsidRPr="00757012">
        <w:tab/>
        <w:t>Other funds include constitutionally protected schemes and the State</w:t>
      </w:r>
      <w:r>
        <w:t>’</w:t>
      </w:r>
      <w:r w:rsidRPr="00757012">
        <w:t>s share of liabilities of the Defined Benefit Scheme of the Health Super Fund.</w:t>
      </w:r>
    </w:p>
    <w:p w:rsidR="00336793" w:rsidRPr="00757012" w:rsidRDefault="00336793" w:rsidP="00DF0B96">
      <w:pPr>
        <w:pStyle w:val="Notes"/>
      </w:pPr>
    </w:p>
    <w:p w:rsidR="00336793" w:rsidRPr="006A75A2" w:rsidRDefault="00336793" w:rsidP="00DF0B96">
      <w:pPr>
        <w:tabs>
          <w:tab w:val="left" w:pos="454"/>
        </w:tabs>
        <w:spacing w:after="0"/>
        <w:ind w:left="461" w:hanging="461"/>
      </w:pPr>
    </w:p>
    <w:p w:rsidR="00336793" w:rsidRPr="006A75A2" w:rsidRDefault="00336793" w:rsidP="00DF0B96">
      <w:pPr>
        <w:spacing w:after="0"/>
      </w:pPr>
      <w:r>
        <w:t>Of the $26 billion</w:t>
      </w:r>
      <w:r w:rsidRPr="006A75A2">
        <w:t xml:space="preserve"> superannuation liability recognised on the Sta</w:t>
      </w:r>
      <w:r>
        <w:t>te’s balance sheet, more than 99 per cent</w:t>
      </w:r>
      <w:r w:rsidRPr="006A75A2">
        <w:t xml:space="preserve"> is recorded in the general government sector. The superannuation liabilities of agencies for which the State is not responsible, such as universities, are not reflected in the balance sheet.</w:t>
      </w:r>
    </w:p>
    <w:p w:rsidR="00336793" w:rsidRDefault="00336793">
      <w:pPr>
        <w:spacing w:after="0"/>
        <w:rPr>
          <w:rFonts w:ascii="Calibri" w:hAnsi="Calibri"/>
          <w:b/>
          <w:sz w:val="28"/>
          <w:szCs w:val="22"/>
        </w:rPr>
      </w:pPr>
      <w:r>
        <w:br w:type="page"/>
      </w:r>
    </w:p>
    <w:p w:rsidR="00336793" w:rsidRPr="006A75A2" w:rsidRDefault="00336793" w:rsidP="00DF0B96">
      <w:pPr>
        <w:pStyle w:val="Heading2NotesContd"/>
        <w:rPr>
          <w:kern w:val="0"/>
        </w:rPr>
      </w:pPr>
      <w:r w:rsidRPr="006A75A2">
        <w:rPr>
          <w:kern w:val="0"/>
        </w:rPr>
        <w:lastRenderedPageBreak/>
        <w:t>Note 8:</w:t>
      </w:r>
      <w:r w:rsidRPr="006A75A2">
        <w:rPr>
          <w:kern w:val="0"/>
        </w:rPr>
        <w:tab/>
        <w:t xml:space="preserve">Superannuation </w:t>
      </w:r>
      <w:r w:rsidRPr="006A75A2">
        <w:rPr>
          <w:i/>
          <w:kern w:val="0"/>
        </w:rPr>
        <w:t>(continued)</w:t>
      </w:r>
    </w:p>
    <w:p w:rsidR="00336793" w:rsidRPr="006A75A2" w:rsidRDefault="00336793" w:rsidP="00DF0B96">
      <w:pPr>
        <w:keepNext/>
        <w:tabs>
          <w:tab w:val="left" w:pos="504"/>
        </w:tabs>
        <w:spacing w:before="120" w:after="60"/>
        <w:outlineLvl w:val="4"/>
        <w:rPr>
          <w:rFonts w:ascii="Calibri" w:hAnsi="Calibri"/>
          <w:b/>
        </w:rPr>
      </w:pPr>
      <w:r w:rsidRPr="006A75A2">
        <w:rPr>
          <w:rFonts w:ascii="Calibri" w:hAnsi="Calibri"/>
          <w:b/>
        </w:rPr>
        <w:t>Superannuation assumptions</w:t>
      </w:r>
    </w:p>
    <w:p w:rsidR="00336793" w:rsidRDefault="00336793" w:rsidP="00DF0B96">
      <w:pPr>
        <w:rPr>
          <w:szCs w:val="24"/>
        </w:rPr>
      </w:pPr>
      <w:r w:rsidRPr="006A75A2">
        <w:rPr>
          <w:szCs w:val="24"/>
        </w:rPr>
        <w:t xml:space="preserve">The significant actuarial assumptions used for superannuation reporting purposes are future rates of wages growth, the inflation rate that is used to index pensions and the discount rate, as detailed below. </w:t>
      </w:r>
    </w:p>
    <w:p w:rsidR="00336793" w:rsidRDefault="00336793" w:rsidP="00DF0B96">
      <w:pPr>
        <w:pStyle w:val="Notes"/>
        <w:rPr>
          <w:rFonts w:ascii="Times New Roman" w:hAnsi="Times New Roman"/>
          <w:i w:val="0"/>
          <w:sz w:val="20"/>
        </w:rPr>
      </w:pPr>
    </w:p>
    <w:tbl>
      <w:tblPr>
        <w:tblW w:w="9637" w:type="dxa"/>
        <w:tblInd w:w="28" w:type="dxa"/>
        <w:tblLayout w:type="fixed"/>
        <w:tblCellMar>
          <w:left w:w="45" w:type="dxa"/>
          <w:right w:w="45" w:type="dxa"/>
        </w:tblCellMar>
        <w:tblLook w:val="0000" w:firstRow="0" w:lastRow="0" w:firstColumn="0" w:lastColumn="0" w:noHBand="0" w:noVBand="0"/>
      </w:tblPr>
      <w:tblGrid>
        <w:gridCol w:w="3617"/>
        <w:gridCol w:w="1260"/>
        <w:gridCol w:w="2700"/>
        <w:gridCol w:w="110"/>
        <w:gridCol w:w="830"/>
        <w:gridCol w:w="1120"/>
      </w:tblGrid>
      <w:tr w:rsidR="00336793" w:rsidRPr="00EF58D9" w:rsidTr="00DF0B96">
        <w:tc>
          <w:tcPr>
            <w:tcW w:w="3617" w:type="dxa"/>
            <w:tcBorders>
              <w:top w:val="single" w:sz="6" w:space="0" w:color="auto"/>
              <w:left w:val="single" w:sz="6" w:space="0" w:color="auto"/>
              <w:right w:val="nil"/>
            </w:tcBorders>
            <w:shd w:val="clear" w:color="000000" w:fill="000000"/>
          </w:tcPr>
          <w:p w:rsidR="00336793" w:rsidRPr="00EF58D9" w:rsidRDefault="00336793" w:rsidP="00DF0B96">
            <w:pPr>
              <w:pStyle w:val="Tabletext"/>
              <w:rPr>
                <w:rFonts w:eastAsiaTheme="minorEastAsia"/>
                <w:i/>
                <w:lang w:eastAsia="en-AU"/>
              </w:rPr>
            </w:pPr>
            <w:r w:rsidRPr="00EF58D9">
              <w:rPr>
                <w:rFonts w:eastAsiaTheme="minorEastAsia"/>
                <w:i/>
                <w:lang w:eastAsia="en-AU"/>
              </w:rPr>
              <w:t>Victorian statutory</w:t>
            </w:r>
          </w:p>
        </w:tc>
        <w:tc>
          <w:tcPr>
            <w:tcW w:w="1260" w:type="dxa"/>
            <w:tcBorders>
              <w:top w:val="single" w:sz="6" w:space="0" w:color="auto"/>
              <w:left w:val="nil"/>
              <w:right w:val="nil"/>
            </w:tcBorders>
            <w:shd w:val="clear" w:color="000000" w:fill="000000"/>
          </w:tcPr>
          <w:p w:rsidR="00336793" w:rsidRPr="00EF58D9" w:rsidRDefault="00336793" w:rsidP="00DF0B96">
            <w:pPr>
              <w:pStyle w:val="Tabletext"/>
              <w:rPr>
                <w:rFonts w:eastAsiaTheme="minorEastAsia"/>
                <w:i/>
                <w:lang w:eastAsia="en-AU"/>
              </w:rPr>
            </w:pPr>
            <w:r w:rsidRPr="00EF58D9">
              <w:rPr>
                <w:rFonts w:eastAsiaTheme="minorEastAsia"/>
                <w:i/>
                <w:lang w:eastAsia="en-AU"/>
              </w:rPr>
              <w:t xml:space="preserve"> </w:t>
            </w:r>
          </w:p>
        </w:tc>
        <w:tc>
          <w:tcPr>
            <w:tcW w:w="2700" w:type="dxa"/>
            <w:tcBorders>
              <w:top w:val="single" w:sz="6" w:space="0" w:color="auto"/>
              <w:left w:val="nil"/>
              <w:right w:val="nil"/>
            </w:tcBorders>
            <w:shd w:val="clear" w:color="000000" w:fill="000000"/>
          </w:tcPr>
          <w:p w:rsidR="00336793" w:rsidRPr="00EF58D9" w:rsidRDefault="00336793" w:rsidP="00DF0B96">
            <w:pPr>
              <w:pStyle w:val="Tabletext"/>
              <w:rPr>
                <w:rFonts w:eastAsiaTheme="minorEastAsia"/>
                <w:i/>
                <w:lang w:eastAsia="en-AU"/>
              </w:rPr>
            </w:pPr>
            <w:r w:rsidRPr="00EF58D9">
              <w:rPr>
                <w:rFonts w:eastAsiaTheme="minorEastAsia"/>
                <w:i/>
                <w:lang w:eastAsia="en-AU"/>
              </w:rPr>
              <w:t xml:space="preserve">Financial  </w:t>
            </w:r>
          </w:p>
        </w:tc>
        <w:tc>
          <w:tcPr>
            <w:tcW w:w="110" w:type="dxa"/>
            <w:tcBorders>
              <w:top w:val="single" w:sz="6" w:space="0" w:color="auto"/>
              <w:left w:val="nil"/>
              <w:right w:val="nil"/>
            </w:tcBorders>
            <w:shd w:val="clear" w:color="000000" w:fill="000000"/>
          </w:tcPr>
          <w:p w:rsidR="00336793" w:rsidRPr="00EF58D9" w:rsidRDefault="00336793" w:rsidP="00DF0B96">
            <w:pPr>
              <w:pStyle w:val="Tabletextheading"/>
              <w:rPr>
                <w:rFonts w:eastAsiaTheme="minorEastAsia"/>
                <w:color w:val="FFFFFF"/>
                <w:lang w:eastAsia="en-AU"/>
              </w:rPr>
            </w:pPr>
            <w:r w:rsidRPr="00EF58D9">
              <w:rPr>
                <w:rFonts w:eastAsiaTheme="minorEastAsia"/>
                <w:color w:val="FFFFFF"/>
                <w:lang w:eastAsia="en-AU"/>
              </w:rPr>
              <w:t xml:space="preserve"> </w:t>
            </w:r>
          </w:p>
        </w:tc>
        <w:tc>
          <w:tcPr>
            <w:tcW w:w="1950" w:type="dxa"/>
            <w:gridSpan w:val="2"/>
            <w:tcBorders>
              <w:top w:val="single" w:sz="6" w:space="0" w:color="auto"/>
              <w:left w:val="nil"/>
              <w:right w:val="single" w:sz="6" w:space="0" w:color="auto"/>
            </w:tcBorders>
            <w:shd w:val="clear" w:color="000000" w:fill="000000"/>
          </w:tcPr>
          <w:p w:rsidR="00336793" w:rsidRPr="00EF58D9" w:rsidRDefault="00336793" w:rsidP="00DF0B96">
            <w:pPr>
              <w:pStyle w:val="Tabletextheading"/>
              <w:jc w:val="center"/>
              <w:rPr>
                <w:rFonts w:eastAsiaTheme="minorEastAsia"/>
                <w:color w:val="FFFFFF"/>
                <w:lang w:eastAsia="en-AU"/>
              </w:rPr>
            </w:pPr>
            <w:r w:rsidRPr="00EF58D9">
              <w:rPr>
                <w:rFonts w:eastAsiaTheme="minorEastAsia"/>
                <w:color w:val="FFFFFF"/>
                <w:lang w:eastAsia="en-AU"/>
              </w:rPr>
              <w:t>Per cent per annum</w:t>
            </w:r>
          </w:p>
        </w:tc>
      </w:tr>
      <w:tr w:rsidR="00336793" w:rsidRPr="00EF58D9" w:rsidTr="00DF0B96">
        <w:tc>
          <w:tcPr>
            <w:tcW w:w="3617" w:type="dxa"/>
            <w:tcBorders>
              <w:top w:val="nil"/>
              <w:left w:val="single" w:sz="6" w:space="0" w:color="auto"/>
              <w:bottom w:val="single" w:sz="6" w:space="0" w:color="auto"/>
              <w:right w:val="nil"/>
            </w:tcBorders>
            <w:shd w:val="clear" w:color="000000" w:fill="000000"/>
          </w:tcPr>
          <w:p w:rsidR="00336793" w:rsidRPr="00EF58D9" w:rsidRDefault="00336793" w:rsidP="00DF0B96">
            <w:pPr>
              <w:pStyle w:val="Tabletext"/>
              <w:rPr>
                <w:rFonts w:eastAsiaTheme="minorEastAsia"/>
                <w:i/>
                <w:lang w:eastAsia="en-AU"/>
              </w:rPr>
            </w:pPr>
            <w:r w:rsidRPr="00EF58D9">
              <w:rPr>
                <w:rFonts w:eastAsiaTheme="minorEastAsia"/>
                <w:i/>
                <w:lang w:eastAsia="en-AU"/>
              </w:rPr>
              <w:t>superannuation funds</w:t>
            </w:r>
          </w:p>
        </w:tc>
        <w:tc>
          <w:tcPr>
            <w:tcW w:w="1260" w:type="dxa"/>
            <w:tcBorders>
              <w:top w:val="nil"/>
              <w:left w:val="nil"/>
              <w:bottom w:val="single" w:sz="6" w:space="0" w:color="auto"/>
              <w:right w:val="nil"/>
            </w:tcBorders>
            <w:shd w:val="clear" w:color="000000" w:fill="000000"/>
          </w:tcPr>
          <w:p w:rsidR="00336793" w:rsidRPr="00EF58D9" w:rsidRDefault="00336793" w:rsidP="00DF0B96">
            <w:pPr>
              <w:pStyle w:val="Tabletext"/>
              <w:rPr>
                <w:rFonts w:eastAsiaTheme="minorEastAsia"/>
                <w:i/>
                <w:lang w:eastAsia="en-AU"/>
              </w:rPr>
            </w:pPr>
            <w:r w:rsidRPr="00EF58D9">
              <w:rPr>
                <w:rFonts w:eastAsiaTheme="minorEastAsia"/>
                <w:i/>
                <w:lang w:eastAsia="en-AU"/>
              </w:rPr>
              <w:t>Actuary</w:t>
            </w:r>
          </w:p>
        </w:tc>
        <w:tc>
          <w:tcPr>
            <w:tcW w:w="2700" w:type="dxa"/>
            <w:tcBorders>
              <w:top w:val="nil"/>
              <w:left w:val="nil"/>
              <w:bottom w:val="single" w:sz="6" w:space="0" w:color="auto"/>
              <w:right w:val="nil"/>
            </w:tcBorders>
            <w:shd w:val="clear" w:color="000000" w:fill="000000"/>
          </w:tcPr>
          <w:p w:rsidR="00336793" w:rsidRPr="00EF58D9" w:rsidRDefault="00336793" w:rsidP="00DF0B96">
            <w:pPr>
              <w:pStyle w:val="Tabletext"/>
              <w:rPr>
                <w:rFonts w:eastAsiaTheme="minorEastAsia"/>
                <w:i/>
                <w:lang w:eastAsia="en-AU"/>
              </w:rPr>
            </w:pPr>
            <w:r w:rsidRPr="00EF58D9">
              <w:rPr>
                <w:rFonts w:eastAsiaTheme="minorEastAsia"/>
                <w:i/>
                <w:lang w:eastAsia="en-AU"/>
              </w:rPr>
              <w:t>assumptions</w:t>
            </w:r>
          </w:p>
        </w:tc>
        <w:tc>
          <w:tcPr>
            <w:tcW w:w="940" w:type="dxa"/>
            <w:gridSpan w:val="2"/>
            <w:tcBorders>
              <w:top w:val="nil"/>
              <w:left w:val="nil"/>
              <w:bottom w:val="single" w:sz="6" w:space="0" w:color="auto"/>
              <w:right w:val="nil"/>
            </w:tcBorders>
            <w:shd w:val="clear" w:color="000000" w:fill="000000"/>
          </w:tcPr>
          <w:p w:rsidR="00336793" w:rsidRPr="00EF58D9" w:rsidRDefault="00336793" w:rsidP="00DF0B96">
            <w:pPr>
              <w:pStyle w:val="Tabletextheading"/>
              <w:rPr>
                <w:rFonts w:eastAsiaTheme="minorEastAsia"/>
                <w:color w:val="FFFFFF"/>
                <w:lang w:eastAsia="en-AU"/>
              </w:rPr>
            </w:pPr>
            <w:r w:rsidRPr="00EF58D9">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EF58D9" w:rsidRDefault="00336793" w:rsidP="00DF0B96">
            <w:pPr>
              <w:pStyle w:val="Tabletextheading"/>
              <w:rPr>
                <w:rFonts w:eastAsiaTheme="minorEastAsia"/>
                <w:color w:val="FFFFFF"/>
                <w:lang w:eastAsia="en-AU"/>
              </w:rPr>
            </w:pPr>
            <w:r w:rsidRPr="00EF58D9">
              <w:rPr>
                <w:rFonts w:eastAsiaTheme="minorEastAsia"/>
                <w:color w:val="FFFFFF"/>
                <w:lang w:eastAsia="en-AU"/>
              </w:rPr>
              <w:t>2014</w:t>
            </w:r>
          </w:p>
        </w:tc>
      </w:tr>
      <w:tr w:rsidR="00336793" w:rsidRPr="00EF58D9" w:rsidTr="00DF0B96">
        <w:tc>
          <w:tcPr>
            <w:tcW w:w="3617" w:type="dxa"/>
            <w:tcBorders>
              <w:top w:val="single" w:sz="6" w:space="0" w:color="auto"/>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Emergency Services and State Super</w:t>
            </w:r>
          </w:p>
        </w:tc>
        <w:tc>
          <w:tcPr>
            <w:tcW w:w="1260" w:type="dxa"/>
            <w:tcBorders>
              <w:top w:val="single" w:sz="6" w:space="0" w:color="auto"/>
              <w:left w:val="nil"/>
              <w:bottom w:val="nil"/>
              <w:right w:val="nil"/>
            </w:tcBorders>
          </w:tcPr>
          <w:p w:rsidR="00336793" w:rsidRPr="00EF58D9" w:rsidRDefault="00336793" w:rsidP="00DF0B96">
            <w:pPr>
              <w:pStyle w:val="Tabletext"/>
              <w:rPr>
                <w:rFonts w:eastAsiaTheme="minorEastAsia"/>
                <w:vertAlign w:val="superscript"/>
                <w:lang w:eastAsia="en-AU"/>
              </w:rPr>
            </w:pPr>
            <w:r w:rsidRPr="00EF58D9">
              <w:rPr>
                <w:rFonts w:eastAsiaTheme="minorEastAsia"/>
                <w:lang w:eastAsia="en-AU"/>
              </w:rPr>
              <w:t>PwC</w:t>
            </w:r>
            <w:r w:rsidRPr="00E96950">
              <w:rPr>
                <w:rFonts w:eastAsiaTheme="minorEastAsia"/>
                <w:vertAlign w:val="superscript"/>
                <w:lang w:eastAsia="en-AU"/>
              </w:rPr>
              <w:t xml:space="preserve"> </w:t>
            </w:r>
            <w:r w:rsidRPr="00EF58D9">
              <w:rPr>
                <w:rFonts w:eastAsiaTheme="minorEastAsia"/>
                <w:vertAlign w:val="superscript"/>
                <w:lang w:eastAsia="en-AU"/>
              </w:rPr>
              <w:t>(a)</w:t>
            </w:r>
          </w:p>
        </w:tc>
        <w:tc>
          <w:tcPr>
            <w:tcW w:w="2700" w:type="dxa"/>
            <w:tcBorders>
              <w:top w:val="single" w:sz="6" w:space="0" w:color="auto"/>
              <w:left w:val="nil"/>
              <w:bottom w:val="nil"/>
              <w:right w:val="nil"/>
            </w:tcBorders>
          </w:tcPr>
          <w:p w:rsidR="00336793" w:rsidRPr="00EF58D9" w:rsidRDefault="00336793" w:rsidP="00DF0B96">
            <w:pPr>
              <w:pStyle w:val="Tabletext"/>
              <w:rPr>
                <w:rFonts w:eastAsiaTheme="minorEastAsia"/>
                <w:vertAlign w:val="superscript"/>
                <w:lang w:eastAsia="en-AU"/>
              </w:rPr>
            </w:pPr>
            <w:r w:rsidRPr="00EF58D9">
              <w:rPr>
                <w:rFonts w:eastAsiaTheme="minorEastAsia"/>
                <w:lang w:eastAsia="en-AU"/>
              </w:rPr>
              <w:t>Expected return on assets</w:t>
            </w:r>
            <w:r w:rsidRPr="00E96950">
              <w:rPr>
                <w:rFonts w:eastAsiaTheme="minorEastAsia"/>
                <w:vertAlign w:val="superscript"/>
                <w:lang w:eastAsia="en-AU"/>
              </w:rPr>
              <w:t xml:space="preserve"> </w:t>
            </w:r>
            <w:r w:rsidRPr="00EF58D9">
              <w:rPr>
                <w:rFonts w:eastAsiaTheme="minorEastAsia"/>
                <w:vertAlign w:val="superscript"/>
                <w:lang w:eastAsia="en-AU"/>
              </w:rPr>
              <w:t>(b)</w:t>
            </w:r>
          </w:p>
        </w:tc>
        <w:tc>
          <w:tcPr>
            <w:tcW w:w="940" w:type="dxa"/>
            <w:gridSpan w:val="2"/>
            <w:tcBorders>
              <w:top w:val="single" w:sz="6" w:space="0" w:color="auto"/>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8.0</w:t>
            </w:r>
          </w:p>
        </w:tc>
        <w:tc>
          <w:tcPr>
            <w:tcW w:w="1120" w:type="dxa"/>
            <w:tcBorders>
              <w:top w:val="single" w:sz="6" w:space="0" w:color="auto"/>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8.0</w:t>
            </w:r>
          </w:p>
        </w:tc>
      </w:tr>
      <w:tr w:rsidR="00336793" w:rsidRPr="00EF58D9" w:rsidTr="00DF0B96">
        <w:tc>
          <w:tcPr>
            <w:tcW w:w="3617" w:type="dxa"/>
            <w:tcBorders>
              <w:top w:val="nil"/>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1260" w:type="dxa"/>
            <w:tcBorders>
              <w:top w:val="nil"/>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2700" w:type="dxa"/>
            <w:tcBorders>
              <w:top w:val="nil"/>
              <w:left w:val="nil"/>
              <w:bottom w:val="nil"/>
              <w:right w:val="nil"/>
            </w:tcBorders>
          </w:tcPr>
          <w:p w:rsidR="00336793" w:rsidRPr="00EF58D9" w:rsidRDefault="00336793" w:rsidP="00DF0B96">
            <w:pPr>
              <w:pStyle w:val="Tabletext"/>
              <w:rPr>
                <w:rFonts w:eastAsiaTheme="minorEastAsia"/>
                <w:vertAlign w:val="superscript"/>
                <w:lang w:eastAsia="en-AU"/>
              </w:rPr>
            </w:pPr>
            <w:r w:rsidRPr="00EF58D9">
              <w:rPr>
                <w:rFonts w:eastAsiaTheme="minorEastAsia"/>
                <w:lang w:eastAsia="en-AU"/>
              </w:rPr>
              <w:t>Discount rate</w:t>
            </w:r>
            <w:r w:rsidRPr="00E96950">
              <w:rPr>
                <w:rFonts w:eastAsiaTheme="minorEastAsia"/>
                <w:vertAlign w:val="superscript"/>
                <w:lang w:eastAsia="en-AU"/>
              </w:rPr>
              <w:t xml:space="preserve"> </w:t>
            </w:r>
            <w:r w:rsidRPr="00EF58D9">
              <w:rPr>
                <w:rFonts w:eastAsiaTheme="minorEastAsia"/>
                <w:vertAlign w:val="superscript"/>
                <w:lang w:eastAsia="en-AU"/>
              </w:rPr>
              <w:t>(c)</w:t>
            </w:r>
          </w:p>
        </w:tc>
        <w:tc>
          <w:tcPr>
            <w:tcW w:w="940" w:type="dxa"/>
            <w:gridSpan w:val="2"/>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3.5</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4.1</w:t>
            </w:r>
          </w:p>
        </w:tc>
      </w:tr>
      <w:tr w:rsidR="00336793" w:rsidRPr="00EF58D9" w:rsidTr="00DF0B96">
        <w:tc>
          <w:tcPr>
            <w:tcW w:w="3617" w:type="dxa"/>
            <w:tcBorders>
              <w:top w:val="nil"/>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1260" w:type="dxa"/>
            <w:tcBorders>
              <w:top w:val="nil"/>
              <w:left w:val="nil"/>
              <w:bottom w:val="nil"/>
              <w:right w:val="nil"/>
            </w:tcBorders>
          </w:tcPr>
          <w:p w:rsidR="00336793" w:rsidRPr="00EF58D9" w:rsidRDefault="00336793" w:rsidP="00DF0B96">
            <w:pPr>
              <w:pStyle w:val="Tabletext"/>
              <w:rPr>
                <w:rFonts w:ascii="Arial" w:eastAsiaTheme="minorEastAsia" w:hAnsi="Arial" w:cs="Arial"/>
                <w:sz w:val="20"/>
                <w:lang w:eastAsia="en-AU"/>
              </w:rPr>
            </w:pPr>
            <w:r w:rsidRPr="00EF58D9">
              <w:rPr>
                <w:rFonts w:ascii="Arial" w:eastAsiaTheme="minorEastAsia" w:hAnsi="Arial" w:cs="Arial"/>
                <w:sz w:val="20"/>
                <w:lang w:eastAsia="en-AU"/>
              </w:rPr>
              <w:t xml:space="preserve"> </w:t>
            </w:r>
          </w:p>
        </w:tc>
        <w:tc>
          <w:tcPr>
            <w:tcW w:w="2700" w:type="dxa"/>
            <w:tcBorders>
              <w:top w:val="nil"/>
              <w:left w:val="nil"/>
              <w:bottom w:val="nil"/>
              <w:right w:val="nil"/>
            </w:tcBorders>
          </w:tcPr>
          <w:p w:rsidR="00336793" w:rsidRPr="00EF58D9" w:rsidRDefault="00336793" w:rsidP="00DF0B96">
            <w:pPr>
              <w:pStyle w:val="Tabletext"/>
              <w:rPr>
                <w:rFonts w:eastAsiaTheme="minorEastAsia"/>
                <w:vertAlign w:val="superscript"/>
                <w:lang w:eastAsia="en-AU"/>
              </w:rPr>
            </w:pPr>
            <w:r w:rsidRPr="00EF58D9">
              <w:rPr>
                <w:rFonts w:eastAsiaTheme="minorEastAsia"/>
                <w:lang w:eastAsia="en-AU"/>
              </w:rPr>
              <w:t>Wages growth</w:t>
            </w:r>
            <w:r w:rsidRPr="00E96950">
              <w:rPr>
                <w:rFonts w:eastAsiaTheme="minorEastAsia"/>
                <w:vertAlign w:val="superscript"/>
                <w:lang w:eastAsia="en-AU"/>
              </w:rPr>
              <w:t xml:space="preserve"> </w:t>
            </w:r>
            <w:r w:rsidRPr="00EF58D9">
              <w:rPr>
                <w:rFonts w:eastAsiaTheme="minorEastAsia"/>
                <w:vertAlign w:val="superscript"/>
                <w:lang w:eastAsia="en-AU"/>
              </w:rPr>
              <w:t>(d)</w:t>
            </w:r>
          </w:p>
        </w:tc>
        <w:tc>
          <w:tcPr>
            <w:tcW w:w="940" w:type="dxa"/>
            <w:gridSpan w:val="2"/>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3.7</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4.0</w:t>
            </w:r>
          </w:p>
        </w:tc>
      </w:tr>
      <w:tr w:rsidR="00336793" w:rsidRPr="00EF58D9" w:rsidTr="00DF0B96">
        <w:tc>
          <w:tcPr>
            <w:tcW w:w="3617" w:type="dxa"/>
            <w:tcBorders>
              <w:top w:val="nil"/>
              <w:left w:val="nil"/>
              <w:bottom w:val="single" w:sz="6" w:space="0" w:color="auto"/>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1260" w:type="dxa"/>
            <w:tcBorders>
              <w:top w:val="nil"/>
              <w:left w:val="nil"/>
              <w:bottom w:val="single" w:sz="6" w:space="0" w:color="auto"/>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2700" w:type="dxa"/>
            <w:tcBorders>
              <w:top w:val="nil"/>
              <w:left w:val="nil"/>
              <w:bottom w:val="single" w:sz="6" w:space="0" w:color="auto"/>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Inflation rate </w:t>
            </w:r>
          </w:p>
        </w:tc>
        <w:tc>
          <w:tcPr>
            <w:tcW w:w="940" w:type="dxa"/>
            <w:gridSpan w:val="2"/>
            <w:tcBorders>
              <w:top w:val="nil"/>
              <w:left w:val="nil"/>
              <w:bottom w:val="single" w:sz="6" w:space="0" w:color="auto"/>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2.2</w:t>
            </w:r>
          </w:p>
        </w:tc>
        <w:tc>
          <w:tcPr>
            <w:tcW w:w="1120" w:type="dxa"/>
            <w:tcBorders>
              <w:top w:val="nil"/>
              <w:left w:val="nil"/>
              <w:bottom w:val="single" w:sz="6" w:space="0" w:color="auto"/>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2.5</w:t>
            </w:r>
          </w:p>
        </w:tc>
      </w:tr>
      <w:tr w:rsidR="00336793" w:rsidRPr="00EF58D9" w:rsidTr="00DF0B96">
        <w:tc>
          <w:tcPr>
            <w:tcW w:w="3617" w:type="dxa"/>
            <w:tcBorders>
              <w:top w:val="single" w:sz="6" w:space="0" w:color="auto"/>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Constitutionally Protected Pensions</w:t>
            </w:r>
          </w:p>
        </w:tc>
        <w:tc>
          <w:tcPr>
            <w:tcW w:w="1260" w:type="dxa"/>
            <w:tcBorders>
              <w:top w:val="nil"/>
              <w:left w:val="nil"/>
              <w:bottom w:val="nil"/>
              <w:right w:val="nil"/>
            </w:tcBorders>
          </w:tcPr>
          <w:p w:rsidR="00336793" w:rsidRPr="00EF58D9" w:rsidRDefault="00336793" w:rsidP="00DF0B96">
            <w:pPr>
              <w:pStyle w:val="Tabletext"/>
              <w:rPr>
                <w:rFonts w:eastAsiaTheme="minorEastAsia"/>
                <w:vertAlign w:val="superscript"/>
                <w:lang w:eastAsia="en-AU"/>
              </w:rPr>
            </w:pPr>
            <w:r w:rsidRPr="00EF58D9">
              <w:rPr>
                <w:rFonts w:eastAsiaTheme="minorEastAsia"/>
                <w:lang w:eastAsia="en-AU"/>
              </w:rPr>
              <w:t>PwC</w:t>
            </w:r>
            <w:r w:rsidRPr="00E96950">
              <w:rPr>
                <w:rFonts w:eastAsiaTheme="minorEastAsia"/>
                <w:vertAlign w:val="superscript"/>
                <w:lang w:eastAsia="en-AU"/>
              </w:rPr>
              <w:t xml:space="preserve"> </w:t>
            </w:r>
            <w:r w:rsidRPr="00EF58D9">
              <w:rPr>
                <w:rFonts w:eastAsiaTheme="minorEastAsia"/>
                <w:vertAlign w:val="superscript"/>
                <w:lang w:eastAsia="en-AU"/>
              </w:rPr>
              <w:t>(a)</w:t>
            </w:r>
          </w:p>
        </w:tc>
        <w:tc>
          <w:tcPr>
            <w:tcW w:w="2700" w:type="dxa"/>
            <w:tcBorders>
              <w:top w:val="nil"/>
              <w:left w:val="nil"/>
              <w:bottom w:val="nil"/>
              <w:right w:val="nil"/>
            </w:tcBorders>
          </w:tcPr>
          <w:p w:rsidR="00336793" w:rsidRPr="00EF58D9" w:rsidRDefault="00336793" w:rsidP="00DF0B96">
            <w:pPr>
              <w:pStyle w:val="Tabletext"/>
              <w:rPr>
                <w:rFonts w:eastAsiaTheme="minorEastAsia"/>
                <w:vertAlign w:val="superscript"/>
                <w:lang w:eastAsia="en-AU"/>
              </w:rPr>
            </w:pPr>
            <w:r w:rsidRPr="00EF58D9">
              <w:rPr>
                <w:rFonts w:eastAsiaTheme="minorEastAsia"/>
                <w:lang w:eastAsia="en-AU"/>
              </w:rPr>
              <w:t>Discount rate</w:t>
            </w:r>
            <w:r w:rsidRPr="00E96950">
              <w:rPr>
                <w:rFonts w:eastAsiaTheme="minorEastAsia"/>
                <w:vertAlign w:val="superscript"/>
                <w:lang w:eastAsia="en-AU"/>
              </w:rPr>
              <w:t xml:space="preserve"> </w:t>
            </w:r>
            <w:r w:rsidRPr="00EF58D9">
              <w:rPr>
                <w:rFonts w:eastAsiaTheme="minorEastAsia"/>
                <w:vertAlign w:val="superscript"/>
                <w:lang w:eastAsia="en-AU"/>
              </w:rPr>
              <w:t>(c)</w:t>
            </w:r>
          </w:p>
        </w:tc>
        <w:tc>
          <w:tcPr>
            <w:tcW w:w="940" w:type="dxa"/>
            <w:gridSpan w:val="2"/>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3.5</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4.1</w:t>
            </w:r>
          </w:p>
        </w:tc>
      </w:tr>
      <w:tr w:rsidR="00336793" w:rsidRPr="00EF58D9" w:rsidTr="00DF0B96">
        <w:tc>
          <w:tcPr>
            <w:tcW w:w="3617" w:type="dxa"/>
            <w:tcBorders>
              <w:top w:val="nil"/>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1260" w:type="dxa"/>
            <w:tcBorders>
              <w:top w:val="nil"/>
              <w:left w:val="nil"/>
              <w:bottom w:val="nil"/>
              <w:right w:val="nil"/>
            </w:tcBorders>
          </w:tcPr>
          <w:p w:rsidR="00336793" w:rsidRPr="00EF58D9" w:rsidRDefault="00336793" w:rsidP="00DF0B96">
            <w:pPr>
              <w:pStyle w:val="Tabletext"/>
              <w:rPr>
                <w:rFonts w:ascii="Arial" w:eastAsiaTheme="minorEastAsia" w:hAnsi="Arial" w:cs="Arial"/>
                <w:sz w:val="20"/>
                <w:lang w:eastAsia="en-AU"/>
              </w:rPr>
            </w:pPr>
            <w:r w:rsidRPr="00EF58D9">
              <w:rPr>
                <w:rFonts w:ascii="Arial" w:eastAsiaTheme="minorEastAsia" w:hAnsi="Arial" w:cs="Arial"/>
                <w:sz w:val="20"/>
                <w:lang w:eastAsia="en-AU"/>
              </w:rPr>
              <w:t xml:space="preserve"> </w:t>
            </w:r>
          </w:p>
        </w:tc>
        <w:tc>
          <w:tcPr>
            <w:tcW w:w="2700" w:type="dxa"/>
            <w:tcBorders>
              <w:top w:val="nil"/>
              <w:left w:val="nil"/>
              <w:bottom w:val="nil"/>
              <w:right w:val="nil"/>
            </w:tcBorders>
          </w:tcPr>
          <w:p w:rsidR="00336793" w:rsidRPr="00EF58D9" w:rsidRDefault="00336793" w:rsidP="00DF0B96">
            <w:pPr>
              <w:pStyle w:val="Tabletext"/>
              <w:rPr>
                <w:rFonts w:eastAsiaTheme="minorEastAsia"/>
                <w:vertAlign w:val="superscript"/>
                <w:lang w:eastAsia="en-AU"/>
              </w:rPr>
            </w:pPr>
            <w:r w:rsidRPr="00EF58D9">
              <w:rPr>
                <w:rFonts w:eastAsiaTheme="minorEastAsia"/>
                <w:lang w:eastAsia="en-AU"/>
              </w:rPr>
              <w:t>Wages growth</w:t>
            </w:r>
            <w:r w:rsidRPr="00E96950">
              <w:rPr>
                <w:rFonts w:eastAsiaTheme="minorEastAsia"/>
                <w:vertAlign w:val="superscript"/>
                <w:lang w:eastAsia="en-AU"/>
              </w:rPr>
              <w:t xml:space="preserve"> </w:t>
            </w:r>
            <w:r w:rsidRPr="00EF58D9">
              <w:rPr>
                <w:rFonts w:eastAsiaTheme="minorEastAsia"/>
                <w:vertAlign w:val="superscript"/>
                <w:lang w:eastAsia="en-AU"/>
              </w:rPr>
              <w:t>(d)</w:t>
            </w:r>
          </w:p>
        </w:tc>
        <w:tc>
          <w:tcPr>
            <w:tcW w:w="940" w:type="dxa"/>
            <w:gridSpan w:val="2"/>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3.7</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4.0</w:t>
            </w:r>
          </w:p>
        </w:tc>
      </w:tr>
      <w:tr w:rsidR="00336793" w:rsidRPr="00EF58D9" w:rsidTr="00DF0B96">
        <w:tc>
          <w:tcPr>
            <w:tcW w:w="3617" w:type="dxa"/>
            <w:tcBorders>
              <w:top w:val="nil"/>
              <w:left w:val="nil"/>
              <w:bottom w:val="single" w:sz="6" w:space="0" w:color="auto"/>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1260" w:type="dxa"/>
            <w:tcBorders>
              <w:top w:val="nil"/>
              <w:left w:val="nil"/>
              <w:bottom w:val="single" w:sz="6" w:space="0" w:color="auto"/>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2700" w:type="dxa"/>
            <w:tcBorders>
              <w:top w:val="nil"/>
              <w:left w:val="nil"/>
              <w:bottom w:val="single" w:sz="6" w:space="0" w:color="auto"/>
              <w:right w:val="nil"/>
            </w:tcBorders>
          </w:tcPr>
          <w:p w:rsidR="00336793" w:rsidRPr="001D28FD" w:rsidRDefault="00336793" w:rsidP="00DF0B96">
            <w:pPr>
              <w:pStyle w:val="Tabletext"/>
              <w:rPr>
                <w:rFonts w:eastAsiaTheme="minorEastAsia"/>
                <w:vertAlign w:val="superscript"/>
                <w:lang w:eastAsia="en-AU"/>
              </w:rPr>
            </w:pPr>
            <w:r w:rsidRPr="00EF58D9">
              <w:rPr>
                <w:rFonts w:eastAsiaTheme="minorEastAsia"/>
                <w:lang w:eastAsia="en-AU"/>
              </w:rPr>
              <w:t xml:space="preserve">Inflation rate </w:t>
            </w:r>
          </w:p>
        </w:tc>
        <w:tc>
          <w:tcPr>
            <w:tcW w:w="940" w:type="dxa"/>
            <w:gridSpan w:val="2"/>
            <w:tcBorders>
              <w:top w:val="nil"/>
              <w:left w:val="nil"/>
              <w:bottom w:val="single" w:sz="6" w:space="0" w:color="auto"/>
              <w:right w:val="nil"/>
            </w:tcBorders>
          </w:tcPr>
          <w:p w:rsidR="00336793" w:rsidRPr="00EF58D9" w:rsidRDefault="00336793" w:rsidP="00DF0B96">
            <w:pPr>
              <w:pStyle w:val="TableofFigures"/>
              <w:rPr>
                <w:rFonts w:eastAsiaTheme="minorEastAsia" w:cs="Calibri"/>
                <w:color w:val="000000"/>
                <w:szCs w:val="22"/>
                <w:lang w:eastAsia="en-AU"/>
              </w:rPr>
            </w:pPr>
            <w:r w:rsidRPr="00EF58D9">
              <w:rPr>
                <w:rFonts w:eastAsiaTheme="minorEastAsia"/>
                <w:lang w:eastAsia="en-AU"/>
              </w:rPr>
              <w:t>n/</w:t>
            </w:r>
            <w:r w:rsidRPr="00EF58D9">
              <w:rPr>
                <w:rFonts w:eastAsiaTheme="minorEastAsia" w:cs="Calibri"/>
                <w:color w:val="000000"/>
                <w:szCs w:val="22"/>
                <w:lang w:eastAsia="en-AU"/>
              </w:rPr>
              <w:t>a</w:t>
            </w:r>
          </w:p>
        </w:tc>
        <w:tc>
          <w:tcPr>
            <w:tcW w:w="1120" w:type="dxa"/>
            <w:tcBorders>
              <w:top w:val="nil"/>
              <w:left w:val="nil"/>
              <w:bottom w:val="single" w:sz="6" w:space="0" w:color="auto"/>
              <w:right w:val="nil"/>
            </w:tcBorders>
          </w:tcPr>
          <w:p w:rsidR="00336793" w:rsidRPr="00EF58D9" w:rsidRDefault="00336793" w:rsidP="00DF0B96">
            <w:pPr>
              <w:pStyle w:val="TableofFigures"/>
              <w:rPr>
                <w:rFonts w:eastAsiaTheme="minorEastAsia" w:cs="Calibri"/>
                <w:color w:val="000000"/>
                <w:szCs w:val="22"/>
                <w:lang w:eastAsia="en-AU"/>
              </w:rPr>
            </w:pPr>
            <w:r w:rsidRPr="00EF58D9">
              <w:rPr>
                <w:rFonts w:eastAsiaTheme="minorEastAsia"/>
                <w:lang w:eastAsia="en-AU"/>
              </w:rPr>
              <w:t>n/</w:t>
            </w:r>
            <w:r w:rsidRPr="00EF58D9">
              <w:rPr>
                <w:rFonts w:eastAsiaTheme="minorEastAsia" w:cs="Calibri"/>
                <w:color w:val="000000"/>
                <w:szCs w:val="22"/>
                <w:lang w:eastAsia="en-AU"/>
              </w:rPr>
              <w:t>a</w:t>
            </w:r>
          </w:p>
        </w:tc>
      </w:tr>
      <w:tr w:rsidR="00336793" w:rsidRPr="00EF58D9" w:rsidTr="00DF0B96">
        <w:tc>
          <w:tcPr>
            <w:tcW w:w="3617" w:type="dxa"/>
            <w:tcBorders>
              <w:top w:val="single" w:sz="6" w:space="0" w:color="auto"/>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Health Super Fund</w:t>
            </w:r>
          </w:p>
        </w:tc>
        <w:tc>
          <w:tcPr>
            <w:tcW w:w="1260" w:type="dxa"/>
            <w:tcBorders>
              <w:top w:val="nil"/>
              <w:left w:val="nil"/>
              <w:bottom w:val="nil"/>
              <w:right w:val="nil"/>
            </w:tcBorders>
          </w:tcPr>
          <w:p w:rsidR="00336793" w:rsidRPr="00EF58D9" w:rsidRDefault="00336793" w:rsidP="00DF0B96">
            <w:pPr>
              <w:pStyle w:val="Tabletext"/>
              <w:rPr>
                <w:rFonts w:eastAsiaTheme="minorEastAsia"/>
                <w:vertAlign w:val="superscript"/>
                <w:lang w:eastAsia="en-AU"/>
              </w:rPr>
            </w:pPr>
            <w:r w:rsidRPr="00EF58D9">
              <w:rPr>
                <w:rFonts w:eastAsiaTheme="minorEastAsia"/>
                <w:lang w:eastAsia="en-AU"/>
              </w:rPr>
              <w:t>Mercer</w:t>
            </w:r>
            <w:r w:rsidRPr="00E96950">
              <w:rPr>
                <w:rFonts w:eastAsiaTheme="minorEastAsia"/>
                <w:vertAlign w:val="superscript"/>
                <w:lang w:eastAsia="en-AU"/>
              </w:rPr>
              <w:t xml:space="preserve"> </w:t>
            </w:r>
            <w:r w:rsidRPr="00EF58D9">
              <w:rPr>
                <w:rFonts w:eastAsiaTheme="minorEastAsia"/>
                <w:vertAlign w:val="superscript"/>
                <w:lang w:eastAsia="en-AU"/>
              </w:rPr>
              <w:t>(</w:t>
            </w:r>
            <w:r>
              <w:rPr>
                <w:rFonts w:eastAsiaTheme="minorEastAsia"/>
                <w:vertAlign w:val="superscript"/>
                <w:lang w:eastAsia="en-AU"/>
              </w:rPr>
              <w:t>e</w:t>
            </w:r>
            <w:r w:rsidRPr="00EF58D9">
              <w:rPr>
                <w:rFonts w:eastAsiaTheme="minorEastAsia"/>
                <w:vertAlign w:val="superscript"/>
                <w:lang w:eastAsia="en-AU"/>
              </w:rPr>
              <w:t>)</w:t>
            </w:r>
          </w:p>
        </w:tc>
        <w:tc>
          <w:tcPr>
            <w:tcW w:w="2700" w:type="dxa"/>
            <w:tcBorders>
              <w:top w:val="nil"/>
              <w:left w:val="nil"/>
              <w:bottom w:val="nil"/>
              <w:right w:val="nil"/>
            </w:tcBorders>
          </w:tcPr>
          <w:p w:rsidR="00336793" w:rsidRPr="00EF58D9" w:rsidRDefault="00336793" w:rsidP="00DF0B96">
            <w:pPr>
              <w:pStyle w:val="Tabletext"/>
              <w:rPr>
                <w:rFonts w:eastAsiaTheme="minorEastAsia"/>
                <w:vertAlign w:val="superscript"/>
                <w:lang w:eastAsia="en-AU"/>
              </w:rPr>
            </w:pPr>
            <w:r w:rsidRPr="00EF58D9">
              <w:rPr>
                <w:rFonts w:eastAsiaTheme="minorEastAsia"/>
                <w:lang w:eastAsia="en-AU"/>
              </w:rPr>
              <w:t>Expected return on assets</w:t>
            </w:r>
            <w:r w:rsidRPr="00E96950">
              <w:rPr>
                <w:rFonts w:eastAsiaTheme="minorEastAsia"/>
                <w:vertAlign w:val="superscript"/>
                <w:lang w:eastAsia="en-AU"/>
              </w:rPr>
              <w:t xml:space="preserve"> </w:t>
            </w:r>
            <w:r w:rsidRPr="00EF58D9">
              <w:rPr>
                <w:rFonts w:eastAsiaTheme="minorEastAsia"/>
                <w:vertAlign w:val="superscript"/>
                <w:lang w:eastAsia="en-AU"/>
              </w:rPr>
              <w:t>(b)</w:t>
            </w:r>
          </w:p>
        </w:tc>
        <w:tc>
          <w:tcPr>
            <w:tcW w:w="940" w:type="dxa"/>
            <w:gridSpan w:val="2"/>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5.8</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5.8</w:t>
            </w:r>
          </w:p>
        </w:tc>
      </w:tr>
      <w:tr w:rsidR="00336793" w:rsidRPr="00EF58D9" w:rsidTr="00DF0B96">
        <w:tc>
          <w:tcPr>
            <w:tcW w:w="3617" w:type="dxa"/>
            <w:tcBorders>
              <w:top w:val="nil"/>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1260" w:type="dxa"/>
            <w:tcBorders>
              <w:top w:val="nil"/>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2700" w:type="dxa"/>
            <w:tcBorders>
              <w:top w:val="nil"/>
              <w:left w:val="nil"/>
              <w:bottom w:val="nil"/>
              <w:right w:val="nil"/>
            </w:tcBorders>
          </w:tcPr>
          <w:p w:rsidR="00336793" w:rsidRPr="00EF58D9" w:rsidRDefault="00336793" w:rsidP="00DF0B96">
            <w:pPr>
              <w:pStyle w:val="Tabletext"/>
              <w:rPr>
                <w:rFonts w:eastAsiaTheme="minorEastAsia"/>
                <w:vertAlign w:val="superscript"/>
                <w:lang w:eastAsia="en-AU"/>
              </w:rPr>
            </w:pPr>
            <w:r w:rsidRPr="00EF58D9">
              <w:rPr>
                <w:rFonts w:eastAsiaTheme="minorEastAsia"/>
                <w:lang w:eastAsia="en-AU"/>
              </w:rPr>
              <w:t>Discount rate</w:t>
            </w:r>
            <w:r w:rsidRPr="00E96950">
              <w:rPr>
                <w:rFonts w:eastAsiaTheme="minorEastAsia"/>
                <w:vertAlign w:val="superscript"/>
                <w:lang w:eastAsia="en-AU"/>
              </w:rPr>
              <w:t xml:space="preserve"> </w:t>
            </w:r>
            <w:r w:rsidRPr="00EF58D9">
              <w:rPr>
                <w:rFonts w:eastAsiaTheme="minorEastAsia"/>
                <w:vertAlign w:val="superscript"/>
                <w:lang w:eastAsia="en-AU"/>
              </w:rPr>
              <w:t>(c)</w:t>
            </w:r>
          </w:p>
        </w:tc>
        <w:tc>
          <w:tcPr>
            <w:tcW w:w="940" w:type="dxa"/>
            <w:gridSpan w:val="2"/>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3.5</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4.1</w:t>
            </w:r>
          </w:p>
        </w:tc>
      </w:tr>
      <w:tr w:rsidR="00336793" w:rsidRPr="00EF58D9" w:rsidTr="00DF0B96">
        <w:tc>
          <w:tcPr>
            <w:tcW w:w="3617" w:type="dxa"/>
            <w:tcBorders>
              <w:top w:val="nil"/>
              <w:left w:val="nil"/>
              <w:right w:val="nil"/>
            </w:tcBorders>
          </w:tcPr>
          <w:p w:rsidR="00336793" w:rsidRPr="00EF58D9" w:rsidRDefault="00336793" w:rsidP="00DF0B96">
            <w:pPr>
              <w:pStyle w:val="Tabletext"/>
              <w:rPr>
                <w:rFonts w:ascii="Arial" w:eastAsiaTheme="minorEastAsia" w:hAnsi="Arial" w:cs="Arial"/>
                <w:sz w:val="20"/>
                <w:lang w:eastAsia="en-AU"/>
              </w:rPr>
            </w:pPr>
            <w:r w:rsidRPr="00EF58D9">
              <w:rPr>
                <w:rFonts w:ascii="Arial" w:eastAsiaTheme="minorEastAsia" w:hAnsi="Arial" w:cs="Arial"/>
                <w:sz w:val="20"/>
                <w:lang w:eastAsia="en-AU"/>
              </w:rPr>
              <w:t xml:space="preserve"> </w:t>
            </w:r>
          </w:p>
        </w:tc>
        <w:tc>
          <w:tcPr>
            <w:tcW w:w="1260" w:type="dxa"/>
            <w:tcBorders>
              <w:top w:val="nil"/>
              <w:left w:val="nil"/>
              <w:right w:val="nil"/>
            </w:tcBorders>
          </w:tcPr>
          <w:p w:rsidR="00336793" w:rsidRPr="00EF58D9" w:rsidRDefault="00336793" w:rsidP="00DF0B96">
            <w:pPr>
              <w:pStyle w:val="Tabletext"/>
              <w:rPr>
                <w:rFonts w:ascii="Arial" w:eastAsiaTheme="minorEastAsia" w:hAnsi="Arial" w:cs="Arial"/>
                <w:sz w:val="20"/>
                <w:lang w:eastAsia="en-AU"/>
              </w:rPr>
            </w:pPr>
            <w:r w:rsidRPr="00EF58D9">
              <w:rPr>
                <w:rFonts w:ascii="Arial" w:eastAsiaTheme="minorEastAsia" w:hAnsi="Arial" w:cs="Arial"/>
                <w:sz w:val="20"/>
                <w:lang w:eastAsia="en-AU"/>
              </w:rPr>
              <w:t xml:space="preserve"> </w:t>
            </w:r>
          </w:p>
        </w:tc>
        <w:tc>
          <w:tcPr>
            <w:tcW w:w="2700" w:type="dxa"/>
            <w:tcBorders>
              <w:top w:val="nil"/>
              <w:left w:val="nil"/>
              <w:right w:val="nil"/>
            </w:tcBorders>
          </w:tcPr>
          <w:p w:rsidR="00336793" w:rsidRPr="00EF58D9" w:rsidRDefault="00336793" w:rsidP="00DF0B96">
            <w:pPr>
              <w:pStyle w:val="Tabletext"/>
              <w:rPr>
                <w:rFonts w:eastAsiaTheme="minorEastAsia"/>
                <w:vertAlign w:val="superscript"/>
                <w:lang w:eastAsia="en-AU"/>
              </w:rPr>
            </w:pPr>
            <w:r w:rsidRPr="00EF58D9">
              <w:rPr>
                <w:rFonts w:eastAsiaTheme="minorEastAsia"/>
                <w:lang w:eastAsia="en-AU"/>
              </w:rPr>
              <w:t>Wages growth</w:t>
            </w:r>
            <w:r w:rsidRPr="00E96950">
              <w:rPr>
                <w:rFonts w:eastAsiaTheme="minorEastAsia"/>
                <w:vertAlign w:val="superscript"/>
                <w:lang w:eastAsia="en-AU"/>
              </w:rPr>
              <w:t xml:space="preserve"> </w:t>
            </w:r>
            <w:r w:rsidRPr="00EF58D9">
              <w:rPr>
                <w:rFonts w:eastAsiaTheme="minorEastAsia"/>
                <w:vertAlign w:val="superscript"/>
                <w:lang w:eastAsia="en-AU"/>
              </w:rPr>
              <w:t>(d)</w:t>
            </w:r>
          </w:p>
        </w:tc>
        <w:tc>
          <w:tcPr>
            <w:tcW w:w="940" w:type="dxa"/>
            <w:gridSpan w:val="2"/>
            <w:tcBorders>
              <w:top w:val="nil"/>
              <w:left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3.7</w:t>
            </w:r>
          </w:p>
        </w:tc>
        <w:tc>
          <w:tcPr>
            <w:tcW w:w="1120" w:type="dxa"/>
            <w:tcBorders>
              <w:top w:val="nil"/>
              <w:left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4.0</w:t>
            </w:r>
          </w:p>
        </w:tc>
      </w:tr>
      <w:tr w:rsidR="00336793" w:rsidRPr="00EF58D9" w:rsidTr="00DF0B96">
        <w:tc>
          <w:tcPr>
            <w:tcW w:w="3617" w:type="dxa"/>
            <w:tcBorders>
              <w:top w:val="nil"/>
              <w:left w:val="nil"/>
              <w:bottom w:val="single" w:sz="12" w:space="0" w:color="000000"/>
              <w:right w:val="nil"/>
            </w:tcBorders>
            <w:shd w:val="clear" w:color="auto" w:fill="auto"/>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1260" w:type="dxa"/>
            <w:tcBorders>
              <w:top w:val="nil"/>
              <w:left w:val="nil"/>
              <w:bottom w:val="single" w:sz="12" w:space="0" w:color="000000"/>
              <w:right w:val="nil"/>
            </w:tcBorders>
            <w:shd w:val="clear" w:color="auto" w:fill="auto"/>
          </w:tcPr>
          <w:p w:rsidR="00336793" w:rsidRPr="00EF58D9" w:rsidRDefault="00336793" w:rsidP="00DF0B96">
            <w:pPr>
              <w:pStyle w:val="Tabletext"/>
              <w:rPr>
                <w:rFonts w:eastAsiaTheme="minorEastAsia"/>
                <w:lang w:eastAsia="en-AU"/>
              </w:rPr>
            </w:pPr>
            <w:r w:rsidRPr="00EF58D9">
              <w:rPr>
                <w:rFonts w:eastAsiaTheme="minorEastAsia"/>
                <w:lang w:eastAsia="en-AU"/>
              </w:rPr>
              <w:t xml:space="preserve"> </w:t>
            </w:r>
          </w:p>
        </w:tc>
        <w:tc>
          <w:tcPr>
            <w:tcW w:w="2700" w:type="dxa"/>
            <w:tcBorders>
              <w:top w:val="nil"/>
              <w:left w:val="nil"/>
              <w:bottom w:val="single" w:sz="12" w:space="0" w:color="000000"/>
              <w:right w:val="nil"/>
            </w:tcBorders>
            <w:shd w:val="clear" w:color="auto" w:fill="auto"/>
          </w:tcPr>
          <w:p w:rsidR="00336793" w:rsidRPr="00EF58D9" w:rsidRDefault="00336793" w:rsidP="00DF0B96">
            <w:pPr>
              <w:pStyle w:val="Tabletext"/>
              <w:rPr>
                <w:rFonts w:eastAsiaTheme="minorEastAsia"/>
                <w:lang w:eastAsia="en-AU"/>
              </w:rPr>
            </w:pPr>
            <w:r w:rsidRPr="00EF58D9">
              <w:rPr>
                <w:rFonts w:eastAsiaTheme="minorEastAsia"/>
                <w:lang w:eastAsia="en-AU"/>
              </w:rPr>
              <w:t>Inflation rate</w:t>
            </w:r>
          </w:p>
        </w:tc>
        <w:tc>
          <w:tcPr>
            <w:tcW w:w="940" w:type="dxa"/>
            <w:gridSpan w:val="2"/>
            <w:tcBorders>
              <w:top w:val="nil"/>
              <w:left w:val="nil"/>
              <w:bottom w:val="single" w:sz="12" w:space="0" w:color="000000"/>
              <w:right w:val="nil"/>
            </w:tcBorders>
            <w:shd w:val="clear" w:color="auto" w:fill="auto"/>
          </w:tcPr>
          <w:p w:rsidR="00336793" w:rsidRPr="00EF58D9" w:rsidRDefault="00336793" w:rsidP="00DF0B96">
            <w:pPr>
              <w:pStyle w:val="TableofFigures"/>
              <w:rPr>
                <w:rFonts w:eastAsiaTheme="minorEastAsia"/>
                <w:lang w:eastAsia="en-AU"/>
              </w:rPr>
            </w:pPr>
            <w:r w:rsidRPr="00EF58D9">
              <w:rPr>
                <w:rFonts w:eastAsiaTheme="minorEastAsia"/>
                <w:lang w:eastAsia="en-AU"/>
              </w:rPr>
              <w:t>2.2</w:t>
            </w:r>
          </w:p>
        </w:tc>
        <w:tc>
          <w:tcPr>
            <w:tcW w:w="1120" w:type="dxa"/>
            <w:tcBorders>
              <w:top w:val="nil"/>
              <w:left w:val="nil"/>
              <w:bottom w:val="single" w:sz="12" w:space="0" w:color="000000"/>
              <w:right w:val="nil"/>
            </w:tcBorders>
            <w:shd w:val="clear" w:color="auto" w:fill="auto"/>
          </w:tcPr>
          <w:p w:rsidR="00336793" w:rsidRPr="00EF58D9" w:rsidRDefault="00336793" w:rsidP="00DF0B96">
            <w:pPr>
              <w:pStyle w:val="TableofFigures"/>
              <w:rPr>
                <w:rFonts w:eastAsiaTheme="minorEastAsia"/>
                <w:lang w:eastAsia="en-AU"/>
              </w:rPr>
            </w:pPr>
            <w:r w:rsidRPr="00EF58D9">
              <w:rPr>
                <w:rFonts w:eastAsiaTheme="minorEastAsia"/>
                <w:lang w:eastAsia="en-AU"/>
              </w:rPr>
              <w:t>2.5</w:t>
            </w:r>
          </w:p>
        </w:tc>
      </w:tr>
    </w:tbl>
    <w:p w:rsidR="00336793" w:rsidRPr="006A75A2" w:rsidRDefault="00336793" w:rsidP="00DF0B96">
      <w:pPr>
        <w:pStyle w:val="Notes"/>
      </w:pPr>
      <w:r w:rsidRPr="006A75A2">
        <w:t>Notes:</w:t>
      </w:r>
    </w:p>
    <w:p w:rsidR="00336793" w:rsidRPr="006A75A2" w:rsidRDefault="00336793" w:rsidP="00DF0B96">
      <w:pPr>
        <w:pStyle w:val="Notes"/>
      </w:pPr>
      <w:r w:rsidRPr="006A75A2">
        <w:t>(a)</w:t>
      </w:r>
      <w:r w:rsidRPr="006A75A2">
        <w:tab/>
        <w:t>PricewaterhouseCoopers Securities Ltd.</w:t>
      </w:r>
    </w:p>
    <w:p w:rsidR="00336793" w:rsidRPr="006A75A2" w:rsidRDefault="00336793" w:rsidP="00DF0B96">
      <w:pPr>
        <w:pStyle w:val="Notes"/>
      </w:pPr>
      <w:r w:rsidRPr="006A75A2">
        <w:t>(b)</w:t>
      </w:r>
      <w:r w:rsidRPr="006A75A2">
        <w:tab/>
        <w:t>The expected return on assets stated is gross of tax. This rate is adjusted in the calculation process to reflect the assumed rate of tax payable by each scheme.</w:t>
      </w:r>
    </w:p>
    <w:p w:rsidR="00336793" w:rsidRPr="006A75A2" w:rsidRDefault="00336793" w:rsidP="00DF0B96">
      <w:pPr>
        <w:pStyle w:val="Notes"/>
      </w:pPr>
      <w:r w:rsidRPr="006A75A2">
        <w:t>(c)</w:t>
      </w:r>
      <w:r w:rsidRPr="006A75A2">
        <w:tab/>
        <w:t>In accordance with accounting standards, the d</w:t>
      </w:r>
      <w:r>
        <w:t>iscount rate is based on a long</w:t>
      </w:r>
      <w:r>
        <w:noBreakHyphen/>
      </w:r>
      <w:r w:rsidRPr="006A75A2">
        <w:t>term Commonwealth bond rate. The rate stated above is an annual effective rate, gross of tax.</w:t>
      </w:r>
    </w:p>
    <w:p w:rsidR="00336793" w:rsidRDefault="00336793" w:rsidP="00DF0B96">
      <w:pPr>
        <w:pStyle w:val="Notes"/>
      </w:pPr>
      <w:r>
        <w:t>(d)</w:t>
      </w:r>
      <w:r w:rsidRPr="006A75A2">
        <w:tab/>
      </w:r>
      <w:r>
        <w:t>The w</w:t>
      </w:r>
      <w:r w:rsidRPr="006A75A2">
        <w:t xml:space="preserve">ages growth assumption </w:t>
      </w:r>
      <w:r>
        <w:t>is derived from the yields on Commonwealth government bonds</w:t>
      </w:r>
      <w:r w:rsidRPr="006A75A2">
        <w:t>.</w:t>
      </w:r>
    </w:p>
    <w:p w:rsidR="00336793" w:rsidRPr="006A75A2" w:rsidRDefault="00336793" w:rsidP="00DF0B96">
      <w:pPr>
        <w:pStyle w:val="Notes"/>
      </w:pPr>
      <w:r>
        <w:t>(e)</w:t>
      </w:r>
      <w:r w:rsidRPr="006A75A2">
        <w:tab/>
        <w:t>Mercer (Australia) Pty Ltd.</w:t>
      </w:r>
    </w:p>
    <w:p w:rsidR="00336793" w:rsidRPr="006A75A2" w:rsidRDefault="00336793" w:rsidP="00DF0B96"/>
    <w:p w:rsidR="00336793" w:rsidRPr="006A75A2" w:rsidRDefault="00336793" w:rsidP="00DF0B96">
      <w:pPr>
        <w:keepNext/>
        <w:tabs>
          <w:tab w:val="left" w:pos="504"/>
        </w:tabs>
        <w:spacing w:before="120"/>
        <w:outlineLvl w:val="4"/>
        <w:rPr>
          <w:rFonts w:ascii="Calibri" w:hAnsi="Calibri"/>
          <w:b/>
        </w:rPr>
      </w:pPr>
      <w:r w:rsidRPr="006A75A2">
        <w:rPr>
          <w:rFonts w:ascii="Calibri" w:hAnsi="Calibri"/>
          <w:b/>
        </w:rPr>
        <w:t>Sensitivity analysis</w:t>
      </w:r>
    </w:p>
    <w:p w:rsidR="00336793" w:rsidRPr="006A75A2" w:rsidRDefault="00336793" w:rsidP="00DF0B96">
      <w:pPr>
        <w:rPr>
          <w:szCs w:val="24"/>
        </w:rPr>
      </w:pPr>
      <w:r w:rsidRPr="006A75A2">
        <w:rPr>
          <w:szCs w:val="24"/>
        </w:rPr>
        <w:t>The key risks associated with the State</w:t>
      </w:r>
      <w:r>
        <w:rPr>
          <w:szCs w:val="24"/>
        </w:rPr>
        <w:t>’</w:t>
      </w:r>
      <w:r w:rsidRPr="006A75A2">
        <w:rPr>
          <w:szCs w:val="24"/>
        </w:rPr>
        <w:t>s defined benefit superannuation plans are:</w:t>
      </w:r>
    </w:p>
    <w:p w:rsidR="00336793" w:rsidRPr="006A75A2" w:rsidRDefault="00336793" w:rsidP="00DF0B96">
      <w:pPr>
        <w:pStyle w:val="BulletText"/>
      </w:pPr>
      <w:r w:rsidRPr="006A75A2">
        <w:t>investment risk – the risk that investment returns will be lower than assumed and the State employers will need to increase contributions to offset the shortfall;</w:t>
      </w:r>
    </w:p>
    <w:p w:rsidR="00336793" w:rsidRPr="006A75A2" w:rsidRDefault="00336793" w:rsidP="00DF0B96">
      <w:pPr>
        <w:pStyle w:val="BulletText"/>
      </w:pPr>
      <w:r w:rsidRPr="006A75A2">
        <w:t>wages growth risk – the risk that wages or salaries (on which future benefits are based) will rise more rapidly than assumed, increasing defined benefit amounts and thereby requiring additional employer contributions;</w:t>
      </w:r>
    </w:p>
    <w:p w:rsidR="00336793" w:rsidRPr="006A75A2" w:rsidRDefault="00336793" w:rsidP="00DF0B96">
      <w:pPr>
        <w:pStyle w:val="BulletText"/>
      </w:pPr>
      <w:r w:rsidRPr="006A75A2">
        <w:t>pension growth risk – the risk that CPI and therefore pension increases will rise more rapidly than assumed, increasing defined benefit amounts and thereby requiring additional employer contributions; and</w:t>
      </w:r>
    </w:p>
    <w:p w:rsidR="00336793" w:rsidRPr="006A75A2" w:rsidRDefault="00336793" w:rsidP="00DF0B96">
      <w:pPr>
        <w:pStyle w:val="BulletText"/>
      </w:pPr>
      <w:r w:rsidRPr="006A75A2">
        <w:t>longevity risk – the risk that pensioners will live longer than expected, increasing defined benefit amounts and thereby requiring additional employer contributions.</w:t>
      </w:r>
    </w:p>
    <w:p w:rsidR="00336793" w:rsidRPr="006A75A2" w:rsidRDefault="00336793" w:rsidP="00DF0B96">
      <w:pPr>
        <w:rPr>
          <w:szCs w:val="24"/>
        </w:rPr>
      </w:pPr>
      <w:r w:rsidRPr="006A75A2">
        <w:rPr>
          <w:szCs w:val="24"/>
        </w:rPr>
        <w:t>The significant actuarial assumptions are the future rates of salary increases, pension increases and the discount rate.</w:t>
      </w:r>
    </w:p>
    <w:p w:rsidR="00336793" w:rsidRPr="006A75A2" w:rsidRDefault="00336793" w:rsidP="00DF0B96">
      <w:pPr>
        <w:rPr>
          <w:szCs w:val="24"/>
        </w:rPr>
      </w:pPr>
      <w:r w:rsidRPr="006A75A2">
        <w:rPr>
          <w:szCs w:val="24"/>
        </w:rPr>
        <w:t>To illustrate the impact that movements in these assumptions can have on the State</w:t>
      </w:r>
      <w:r>
        <w:rPr>
          <w:szCs w:val="24"/>
        </w:rPr>
        <w:t>’</w:t>
      </w:r>
      <w:r w:rsidRPr="006A75A2">
        <w:rPr>
          <w:szCs w:val="24"/>
        </w:rPr>
        <w:t>s superannuation liability, the defined benefit obligation has been remeasured under the following scenarios:</w:t>
      </w:r>
    </w:p>
    <w:p w:rsidR="00336793" w:rsidRPr="00E04CFE" w:rsidRDefault="00336793" w:rsidP="00DF0B96">
      <w:pPr>
        <w:ind w:left="454" w:hanging="454"/>
      </w:pPr>
      <w:r w:rsidRPr="006A75A2">
        <w:t>(a)</w:t>
      </w:r>
      <w:r w:rsidRPr="006A75A2">
        <w:tab/>
        <w:t>a 1</w:t>
      </w:r>
      <w:r>
        <w:t> per cent</w:t>
      </w:r>
      <w:r w:rsidRPr="006A75A2">
        <w:t xml:space="preserve"> a year incre</w:t>
      </w:r>
      <w:r>
        <w:t>ase in the dis</w:t>
      </w:r>
      <w:r w:rsidRPr="00E04CFE">
        <w:t xml:space="preserve">count rate (from </w:t>
      </w:r>
      <w:r>
        <w:t>3.5</w:t>
      </w:r>
      <w:r w:rsidRPr="00E04CFE">
        <w:t xml:space="preserve"> to </w:t>
      </w:r>
      <w:r>
        <w:t>4.5 per cent</w:t>
      </w:r>
      <w:r w:rsidRPr="00E04CFE">
        <w:t xml:space="preserve"> a year);</w:t>
      </w:r>
    </w:p>
    <w:p w:rsidR="00336793" w:rsidRPr="00E04CFE" w:rsidRDefault="00336793" w:rsidP="00DF0B96">
      <w:pPr>
        <w:ind w:left="454" w:hanging="454"/>
      </w:pPr>
      <w:r w:rsidRPr="00E04CFE">
        <w:t>(b)</w:t>
      </w:r>
      <w:r w:rsidRPr="00E04CFE">
        <w:tab/>
        <w:t>a 1</w:t>
      </w:r>
      <w:r>
        <w:t> per cent</w:t>
      </w:r>
      <w:r w:rsidRPr="00E04CFE">
        <w:t xml:space="preserve"> a year increase in the assumed wage growth rate (from </w:t>
      </w:r>
      <w:r>
        <w:t>3.7</w:t>
      </w:r>
      <w:r w:rsidRPr="00E04CFE">
        <w:t xml:space="preserve"> to </w:t>
      </w:r>
      <w:r>
        <w:t>4.7 per cent</w:t>
      </w:r>
      <w:r w:rsidRPr="00E04CFE">
        <w:t xml:space="preserve"> a year); and</w:t>
      </w:r>
    </w:p>
    <w:p w:rsidR="00336793" w:rsidRPr="006A75A2" w:rsidRDefault="00336793" w:rsidP="00DF0B96">
      <w:pPr>
        <w:ind w:left="454" w:hanging="454"/>
      </w:pPr>
      <w:r w:rsidRPr="00E04CFE">
        <w:t>(c)</w:t>
      </w:r>
      <w:r w:rsidRPr="00E04CFE">
        <w:tab/>
        <w:t>a 1</w:t>
      </w:r>
      <w:r>
        <w:t> per cent</w:t>
      </w:r>
      <w:r w:rsidRPr="00E04CFE">
        <w:t xml:space="preserve"> a year increase in the assumed inflation rate (from 2.</w:t>
      </w:r>
      <w:r>
        <w:t>2</w:t>
      </w:r>
      <w:r w:rsidRPr="00E04CFE">
        <w:t xml:space="preserve"> to 3.</w:t>
      </w:r>
      <w:r>
        <w:t>2 per cent</w:t>
      </w:r>
      <w:r w:rsidRPr="006A75A2">
        <w:t xml:space="preserve"> a year).</w:t>
      </w:r>
    </w:p>
    <w:p w:rsidR="00336793" w:rsidRDefault="00336793">
      <w:pPr>
        <w:spacing w:after="0"/>
      </w:pPr>
      <w:r>
        <w:br w:type="page"/>
      </w:r>
    </w:p>
    <w:p w:rsidR="00336793" w:rsidRPr="006A75A2" w:rsidRDefault="00336793" w:rsidP="00DF0B96">
      <w:pPr>
        <w:pStyle w:val="Heading2NotesContd"/>
        <w:rPr>
          <w:kern w:val="0"/>
        </w:rPr>
      </w:pPr>
      <w:r w:rsidRPr="006A75A2">
        <w:rPr>
          <w:kern w:val="0"/>
        </w:rPr>
        <w:lastRenderedPageBreak/>
        <w:t>Note 8:</w:t>
      </w:r>
      <w:r w:rsidRPr="006A75A2">
        <w:rPr>
          <w:kern w:val="0"/>
        </w:rPr>
        <w:tab/>
        <w:t xml:space="preserve">Superannuation </w:t>
      </w:r>
      <w:r w:rsidRPr="006A75A2">
        <w:rPr>
          <w:i/>
          <w:kern w:val="0"/>
        </w:rPr>
        <w:t>(continued)</w:t>
      </w:r>
    </w:p>
    <w:p w:rsidR="00336793" w:rsidRDefault="00336793" w:rsidP="00DF0B96">
      <w:pPr>
        <w:rPr>
          <w:rFonts w:ascii="Times New Roman" w:hAnsi="Times New Roman"/>
          <w:i/>
          <w:sz w:val="20"/>
        </w:rPr>
      </w:pPr>
      <w:r w:rsidRPr="006A75A2">
        <w:t>These scenarios are expected to have the following impact on the State</w:t>
      </w:r>
      <w:r>
        <w:t>’</w:t>
      </w:r>
      <w:r w:rsidRPr="006A75A2">
        <w:t>s defined benefit obligation:</w:t>
      </w:r>
    </w:p>
    <w:tbl>
      <w:tblPr>
        <w:tblW w:w="9637" w:type="dxa"/>
        <w:tblInd w:w="28" w:type="dxa"/>
        <w:tblLayout w:type="fixed"/>
        <w:tblCellMar>
          <w:left w:w="45" w:type="dxa"/>
          <w:right w:w="45" w:type="dxa"/>
        </w:tblCellMar>
        <w:tblLook w:val="0000" w:firstRow="0" w:lastRow="0" w:firstColumn="0" w:lastColumn="0" w:noHBand="0" w:noVBand="0"/>
      </w:tblPr>
      <w:tblGrid>
        <w:gridCol w:w="4562"/>
        <w:gridCol w:w="225"/>
        <w:gridCol w:w="1212"/>
        <w:gridCol w:w="1213"/>
        <w:gridCol w:w="1212"/>
        <w:gridCol w:w="1213"/>
      </w:tblGrid>
      <w:tr w:rsidR="00336793" w:rsidRPr="00A10A3B" w:rsidTr="00DF0B96">
        <w:trPr>
          <w:tblHeader/>
        </w:trPr>
        <w:tc>
          <w:tcPr>
            <w:tcW w:w="4787" w:type="dxa"/>
            <w:gridSpan w:val="2"/>
            <w:tcBorders>
              <w:top w:val="single" w:sz="6" w:space="0" w:color="000000"/>
              <w:left w:val="single" w:sz="6" w:space="0" w:color="000000"/>
              <w:bottom w:val="single" w:sz="6" w:space="0" w:color="000000"/>
              <w:right w:val="nil"/>
            </w:tcBorders>
            <w:shd w:val="clear" w:color="000000" w:fill="000000"/>
            <w:vAlign w:val="bottom"/>
          </w:tcPr>
          <w:p w:rsidR="00336793" w:rsidRPr="00A10A3B" w:rsidRDefault="00336793" w:rsidP="00DF0B96">
            <w:pPr>
              <w:pStyle w:val="Tabletext"/>
              <w:rPr>
                <w:rFonts w:eastAsiaTheme="minorEastAsia"/>
                <w:lang w:eastAsia="en-AU"/>
              </w:rPr>
            </w:pPr>
          </w:p>
        </w:tc>
        <w:tc>
          <w:tcPr>
            <w:tcW w:w="1212" w:type="dxa"/>
            <w:tcBorders>
              <w:top w:val="single" w:sz="6" w:space="0" w:color="000000"/>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iCs/>
                <w:color w:val="FFFFFF"/>
                <w:szCs w:val="22"/>
                <w:lang w:eastAsia="en-AU"/>
              </w:rPr>
            </w:pPr>
            <w:r w:rsidRPr="00A10A3B">
              <w:rPr>
                <w:rFonts w:eastAsiaTheme="minorEastAsia"/>
                <w:iCs/>
                <w:color w:val="FFFFFF"/>
                <w:szCs w:val="22"/>
                <w:lang w:eastAsia="en-AU"/>
              </w:rPr>
              <w:t>Base case</w:t>
            </w:r>
          </w:p>
        </w:tc>
        <w:tc>
          <w:tcPr>
            <w:tcW w:w="1213" w:type="dxa"/>
            <w:tcBorders>
              <w:top w:val="single" w:sz="6" w:space="0" w:color="000000"/>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iCs/>
                <w:color w:val="FFFFFF"/>
                <w:szCs w:val="22"/>
                <w:lang w:eastAsia="en-AU"/>
              </w:rPr>
            </w:pPr>
            <w:r w:rsidRPr="00A10A3B">
              <w:rPr>
                <w:rFonts w:eastAsiaTheme="minorEastAsia"/>
                <w:iCs/>
                <w:color w:val="FFFFFF"/>
                <w:szCs w:val="22"/>
                <w:lang w:eastAsia="en-AU"/>
              </w:rPr>
              <w:t xml:space="preserve">Discount rate plus </w:t>
            </w:r>
          </w:p>
          <w:p w:rsidR="00336793" w:rsidRPr="00A10A3B" w:rsidRDefault="00336793" w:rsidP="00DF0B96">
            <w:pPr>
              <w:pStyle w:val="Tabletextheading"/>
              <w:rPr>
                <w:rFonts w:eastAsiaTheme="minorEastAsia" w:cs="Calibri"/>
                <w:iCs/>
                <w:color w:val="FFFFFF"/>
                <w:szCs w:val="22"/>
                <w:lang w:eastAsia="en-AU"/>
              </w:rPr>
            </w:pPr>
            <w:r w:rsidRPr="00A10A3B">
              <w:rPr>
                <w:rFonts w:eastAsiaTheme="minorEastAsia"/>
                <w:iCs/>
                <w:color w:val="FFFFFF"/>
                <w:szCs w:val="22"/>
                <w:lang w:eastAsia="en-AU"/>
              </w:rPr>
              <w:t>1</w:t>
            </w:r>
            <w:r>
              <w:rPr>
                <w:rFonts w:eastAsiaTheme="minorEastAsia" w:cs="Calibri"/>
                <w:iCs/>
                <w:color w:val="FFFFFF"/>
                <w:szCs w:val="22"/>
                <w:lang w:eastAsia="en-AU"/>
              </w:rPr>
              <w:t> per cent</w:t>
            </w:r>
          </w:p>
        </w:tc>
        <w:tc>
          <w:tcPr>
            <w:tcW w:w="1212" w:type="dxa"/>
            <w:tcBorders>
              <w:top w:val="single" w:sz="6" w:space="0" w:color="000000"/>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iCs/>
                <w:color w:val="FFFFFF"/>
                <w:szCs w:val="22"/>
                <w:lang w:eastAsia="en-AU"/>
              </w:rPr>
            </w:pPr>
            <w:r w:rsidRPr="00A10A3B">
              <w:rPr>
                <w:rFonts w:eastAsiaTheme="minorEastAsia"/>
                <w:iCs/>
                <w:color w:val="FFFFFF"/>
                <w:szCs w:val="22"/>
                <w:lang w:eastAsia="en-AU"/>
              </w:rPr>
              <w:t xml:space="preserve">Wage growth plus </w:t>
            </w:r>
          </w:p>
          <w:p w:rsidR="00336793" w:rsidRPr="00A10A3B" w:rsidRDefault="00336793" w:rsidP="00DF0B96">
            <w:pPr>
              <w:pStyle w:val="Tabletextheading"/>
              <w:rPr>
                <w:rFonts w:eastAsiaTheme="minorEastAsia" w:cs="Calibri"/>
                <w:iCs/>
                <w:color w:val="FFFFFF"/>
                <w:szCs w:val="22"/>
                <w:lang w:eastAsia="en-AU"/>
              </w:rPr>
            </w:pPr>
            <w:r w:rsidRPr="00A10A3B">
              <w:rPr>
                <w:rFonts w:eastAsiaTheme="minorEastAsia"/>
                <w:iCs/>
                <w:color w:val="FFFFFF"/>
                <w:szCs w:val="22"/>
                <w:lang w:eastAsia="en-AU"/>
              </w:rPr>
              <w:t>1</w:t>
            </w:r>
            <w:r>
              <w:rPr>
                <w:rFonts w:eastAsiaTheme="minorEastAsia" w:cs="Calibri"/>
                <w:iCs/>
                <w:color w:val="FFFFFF"/>
                <w:szCs w:val="22"/>
                <w:lang w:eastAsia="en-AU"/>
              </w:rPr>
              <w:t> per cent</w:t>
            </w:r>
          </w:p>
        </w:tc>
        <w:tc>
          <w:tcPr>
            <w:tcW w:w="1213" w:type="dxa"/>
            <w:tcBorders>
              <w:top w:val="single" w:sz="6" w:space="0" w:color="000000"/>
              <w:left w:val="nil"/>
              <w:bottom w:val="single" w:sz="6" w:space="0" w:color="000000"/>
              <w:right w:val="single" w:sz="6" w:space="0" w:color="000000"/>
            </w:tcBorders>
            <w:shd w:val="clear" w:color="000000" w:fill="000000"/>
            <w:vAlign w:val="bottom"/>
          </w:tcPr>
          <w:p w:rsidR="00336793" w:rsidRPr="00A10A3B" w:rsidRDefault="00336793" w:rsidP="00DF0B96">
            <w:pPr>
              <w:pStyle w:val="Tabletextheading"/>
              <w:rPr>
                <w:rFonts w:eastAsiaTheme="minorEastAsia"/>
                <w:iCs/>
                <w:color w:val="FFFFFF"/>
                <w:szCs w:val="22"/>
                <w:lang w:eastAsia="en-AU"/>
              </w:rPr>
            </w:pPr>
            <w:r w:rsidRPr="00A10A3B">
              <w:rPr>
                <w:rFonts w:eastAsiaTheme="minorEastAsia"/>
                <w:iCs/>
                <w:color w:val="FFFFFF"/>
                <w:szCs w:val="22"/>
                <w:lang w:eastAsia="en-AU"/>
              </w:rPr>
              <w:t xml:space="preserve">Inflation rate plus </w:t>
            </w:r>
          </w:p>
          <w:p w:rsidR="00336793" w:rsidRPr="00A10A3B" w:rsidRDefault="00336793" w:rsidP="00DF0B96">
            <w:pPr>
              <w:pStyle w:val="Tabletextheading"/>
              <w:rPr>
                <w:rFonts w:eastAsiaTheme="minorEastAsia" w:cs="Calibri"/>
                <w:iCs/>
                <w:color w:val="FFFFFF"/>
                <w:szCs w:val="22"/>
                <w:lang w:eastAsia="en-AU"/>
              </w:rPr>
            </w:pPr>
            <w:r w:rsidRPr="00A10A3B">
              <w:rPr>
                <w:rFonts w:eastAsiaTheme="minorEastAsia"/>
                <w:iCs/>
                <w:color w:val="FFFFFF"/>
                <w:szCs w:val="22"/>
                <w:lang w:eastAsia="en-AU"/>
              </w:rPr>
              <w:t>1</w:t>
            </w:r>
            <w:r>
              <w:rPr>
                <w:rFonts w:eastAsiaTheme="minorEastAsia" w:cs="Calibri"/>
                <w:iCs/>
                <w:color w:val="FFFFFF"/>
                <w:szCs w:val="22"/>
                <w:lang w:eastAsia="en-AU"/>
              </w:rPr>
              <w:t> per cent</w:t>
            </w:r>
          </w:p>
        </w:tc>
      </w:tr>
      <w:tr w:rsidR="00336793" w:rsidRPr="00A10A3B" w:rsidTr="00DF0B96">
        <w:tc>
          <w:tcPr>
            <w:tcW w:w="4787" w:type="dxa"/>
            <w:gridSpan w:val="2"/>
            <w:tcBorders>
              <w:top w:val="single" w:sz="6" w:space="0" w:color="000000"/>
              <w:left w:val="nil"/>
              <w:bottom w:val="nil"/>
              <w:right w:val="nil"/>
            </w:tcBorders>
          </w:tcPr>
          <w:p w:rsidR="00336793" w:rsidRPr="00A10A3B" w:rsidRDefault="00336793" w:rsidP="00DF0B96">
            <w:pPr>
              <w:pStyle w:val="Tabletext"/>
              <w:rPr>
                <w:rFonts w:eastAsiaTheme="minorEastAsia"/>
                <w:szCs w:val="22"/>
                <w:lang w:eastAsia="en-AU"/>
              </w:rPr>
            </w:pPr>
            <w:r w:rsidRPr="00A10A3B">
              <w:rPr>
                <w:rFonts w:eastAsiaTheme="minorEastAsia"/>
                <w:szCs w:val="22"/>
                <w:lang w:eastAsia="en-AU"/>
              </w:rPr>
              <w:t>Discount rate (per cent a year)</w:t>
            </w:r>
          </w:p>
        </w:tc>
        <w:tc>
          <w:tcPr>
            <w:tcW w:w="1212" w:type="dxa"/>
            <w:tcBorders>
              <w:top w:val="single" w:sz="6" w:space="0" w:color="000000"/>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3.5</w:t>
            </w:r>
          </w:p>
        </w:tc>
        <w:tc>
          <w:tcPr>
            <w:tcW w:w="1213" w:type="dxa"/>
            <w:tcBorders>
              <w:top w:val="single" w:sz="6" w:space="0" w:color="000000"/>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4.5</w:t>
            </w:r>
          </w:p>
        </w:tc>
        <w:tc>
          <w:tcPr>
            <w:tcW w:w="1212" w:type="dxa"/>
            <w:tcBorders>
              <w:top w:val="single" w:sz="6" w:space="0" w:color="000000"/>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3.5</w:t>
            </w:r>
          </w:p>
        </w:tc>
        <w:tc>
          <w:tcPr>
            <w:tcW w:w="1213" w:type="dxa"/>
            <w:tcBorders>
              <w:top w:val="single" w:sz="6" w:space="0" w:color="000000"/>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3.5</w:t>
            </w:r>
          </w:p>
        </w:tc>
      </w:tr>
      <w:tr w:rsidR="00336793" w:rsidRPr="00A10A3B" w:rsidTr="00DF0B96">
        <w:tc>
          <w:tcPr>
            <w:tcW w:w="4787" w:type="dxa"/>
            <w:gridSpan w:val="2"/>
            <w:tcBorders>
              <w:top w:val="nil"/>
              <w:left w:val="nil"/>
              <w:bottom w:val="nil"/>
              <w:right w:val="nil"/>
            </w:tcBorders>
          </w:tcPr>
          <w:p w:rsidR="00336793" w:rsidRPr="00A10A3B" w:rsidRDefault="00336793" w:rsidP="00DF0B96">
            <w:pPr>
              <w:pStyle w:val="Tabletext"/>
              <w:rPr>
                <w:rFonts w:eastAsiaTheme="minorEastAsia"/>
                <w:szCs w:val="22"/>
                <w:lang w:eastAsia="en-AU"/>
              </w:rPr>
            </w:pPr>
            <w:r w:rsidRPr="00A10A3B">
              <w:rPr>
                <w:rFonts w:eastAsiaTheme="minorEastAsia"/>
                <w:szCs w:val="22"/>
                <w:lang w:eastAsia="en-AU"/>
              </w:rPr>
              <w:t>Salary growth (per cent a year)</w:t>
            </w:r>
          </w:p>
        </w:tc>
        <w:tc>
          <w:tcPr>
            <w:tcW w:w="1212" w:type="dxa"/>
            <w:tcBorders>
              <w:top w:val="nil"/>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3.7</w:t>
            </w:r>
          </w:p>
        </w:tc>
        <w:tc>
          <w:tcPr>
            <w:tcW w:w="1213" w:type="dxa"/>
            <w:tcBorders>
              <w:top w:val="nil"/>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3.7</w:t>
            </w:r>
          </w:p>
        </w:tc>
        <w:tc>
          <w:tcPr>
            <w:tcW w:w="1212" w:type="dxa"/>
            <w:tcBorders>
              <w:top w:val="nil"/>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4.7</w:t>
            </w:r>
          </w:p>
        </w:tc>
        <w:tc>
          <w:tcPr>
            <w:tcW w:w="1213" w:type="dxa"/>
            <w:tcBorders>
              <w:top w:val="nil"/>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3.7</w:t>
            </w:r>
          </w:p>
        </w:tc>
      </w:tr>
      <w:tr w:rsidR="00336793" w:rsidRPr="00A10A3B" w:rsidTr="00DF0B96">
        <w:tc>
          <w:tcPr>
            <w:tcW w:w="4787" w:type="dxa"/>
            <w:gridSpan w:val="2"/>
            <w:tcBorders>
              <w:top w:val="nil"/>
              <w:left w:val="nil"/>
              <w:bottom w:val="nil"/>
              <w:right w:val="nil"/>
            </w:tcBorders>
          </w:tcPr>
          <w:p w:rsidR="00336793" w:rsidRPr="00A10A3B" w:rsidRDefault="00336793" w:rsidP="00DF0B96">
            <w:pPr>
              <w:pStyle w:val="Tabletext"/>
              <w:rPr>
                <w:rFonts w:eastAsiaTheme="minorEastAsia"/>
                <w:szCs w:val="22"/>
                <w:lang w:eastAsia="en-AU"/>
              </w:rPr>
            </w:pPr>
            <w:r w:rsidRPr="00A10A3B">
              <w:rPr>
                <w:rFonts w:eastAsiaTheme="minorEastAsia"/>
                <w:szCs w:val="22"/>
                <w:lang w:eastAsia="en-AU"/>
              </w:rPr>
              <w:t>Inflation rate (per cent a year)</w:t>
            </w:r>
          </w:p>
        </w:tc>
        <w:tc>
          <w:tcPr>
            <w:tcW w:w="1212" w:type="dxa"/>
            <w:tcBorders>
              <w:top w:val="nil"/>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2.2</w:t>
            </w:r>
          </w:p>
        </w:tc>
        <w:tc>
          <w:tcPr>
            <w:tcW w:w="1213" w:type="dxa"/>
            <w:tcBorders>
              <w:top w:val="nil"/>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2.2</w:t>
            </w:r>
          </w:p>
        </w:tc>
        <w:tc>
          <w:tcPr>
            <w:tcW w:w="1212" w:type="dxa"/>
            <w:tcBorders>
              <w:top w:val="nil"/>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2.2</w:t>
            </w:r>
          </w:p>
        </w:tc>
        <w:tc>
          <w:tcPr>
            <w:tcW w:w="1213" w:type="dxa"/>
            <w:tcBorders>
              <w:top w:val="nil"/>
              <w:left w:val="nil"/>
              <w:bottom w:val="nil"/>
              <w:right w:val="nil"/>
            </w:tcBorders>
          </w:tcPr>
          <w:p w:rsidR="00336793" w:rsidRPr="00A10A3B" w:rsidRDefault="00336793" w:rsidP="00DF0B96">
            <w:pPr>
              <w:pStyle w:val="TableofFigures"/>
              <w:rPr>
                <w:rFonts w:eastAsiaTheme="minorEastAsia"/>
                <w:szCs w:val="22"/>
                <w:lang w:eastAsia="en-AU"/>
              </w:rPr>
            </w:pPr>
            <w:r w:rsidRPr="00A10A3B">
              <w:rPr>
                <w:rFonts w:eastAsiaTheme="minorEastAsia"/>
                <w:szCs w:val="22"/>
                <w:lang w:eastAsia="en-AU"/>
              </w:rPr>
              <w:t>3.2</w:t>
            </w:r>
          </w:p>
        </w:tc>
      </w:tr>
      <w:tr w:rsidR="00336793" w:rsidRPr="00A10A3B" w:rsidTr="00DF0B96">
        <w:tc>
          <w:tcPr>
            <w:tcW w:w="4787" w:type="dxa"/>
            <w:gridSpan w:val="2"/>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b/>
                <w:bCs/>
                <w:szCs w:val="22"/>
                <w:lang w:eastAsia="en-AU"/>
              </w:rPr>
            </w:pPr>
            <w:r w:rsidRPr="00A10A3B">
              <w:rPr>
                <w:rFonts w:eastAsiaTheme="minorEastAsia"/>
                <w:b/>
                <w:bCs/>
                <w:szCs w:val="22"/>
                <w:lang w:eastAsia="en-AU"/>
              </w:rPr>
              <w:t>Estimated impact (per cent)</w:t>
            </w:r>
          </w:p>
        </w:tc>
        <w:tc>
          <w:tcPr>
            <w:tcW w:w="1212"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szCs w:val="22"/>
                <w:lang w:eastAsia="en-AU"/>
              </w:rPr>
            </w:pPr>
            <w:r w:rsidRPr="00A10A3B">
              <w:rPr>
                <w:rFonts w:eastAsiaTheme="minorEastAsia"/>
                <w:b/>
                <w:bCs/>
                <w:szCs w:val="22"/>
                <w:lang w:eastAsia="en-AU"/>
              </w:rPr>
              <w:t>n.a</w:t>
            </w:r>
          </w:p>
        </w:tc>
        <w:tc>
          <w:tcPr>
            <w:tcW w:w="1213"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szCs w:val="22"/>
                <w:lang w:eastAsia="en-AU"/>
              </w:rPr>
              <w:t>(</w:t>
            </w:r>
            <w:r w:rsidRPr="00A10A3B">
              <w:rPr>
                <w:rFonts w:eastAsiaTheme="minorEastAsia" w:cs="Calibri"/>
                <w:b/>
                <w:bCs/>
                <w:color w:val="000000"/>
                <w:szCs w:val="22"/>
                <w:lang w:eastAsia="en-AU"/>
              </w:rPr>
              <w:t>11)</w:t>
            </w:r>
          </w:p>
        </w:tc>
        <w:tc>
          <w:tcPr>
            <w:tcW w:w="1212"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szCs w:val="22"/>
                <w:lang w:eastAsia="en-AU"/>
              </w:rPr>
            </w:pPr>
            <w:r w:rsidRPr="00A10A3B">
              <w:rPr>
                <w:rFonts w:eastAsiaTheme="minorEastAsia"/>
                <w:b/>
                <w:bCs/>
                <w:szCs w:val="22"/>
                <w:lang w:eastAsia="en-AU"/>
              </w:rPr>
              <w:t xml:space="preserve"> 1</w:t>
            </w:r>
          </w:p>
        </w:tc>
        <w:tc>
          <w:tcPr>
            <w:tcW w:w="1213"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szCs w:val="22"/>
                <w:lang w:eastAsia="en-AU"/>
              </w:rPr>
            </w:pPr>
            <w:r w:rsidRPr="00A10A3B">
              <w:rPr>
                <w:rFonts w:eastAsiaTheme="minorEastAsia"/>
                <w:b/>
                <w:bCs/>
                <w:szCs w:val="22"/>
                <w:lang w:eastAsia="en-AU"/>
              </w:rPr>
              <w:t xml:space="preserve"> 9</w:t>
            </w:r>
          </w:p>
        </w:tc>
      </w:tr>
      <w:tr w:rsidR="00336793" w:rsidRPr="00A10A3B" w:rsidTr="00DF0B96">
        <w:tc>
          <w:tcPr>
            <w:tcW w:w="4562"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cs="Calibri"/>
                <w:b/>
                <w:bCs/>
                <w:color w:val="000000"/>
                <w:szCs w:val="22"/>
                <w:lang w:eastAsia="en-AU"/>
              </w:rPr>
            </w:pPr>
            <w:r w:rsidRPr="00A10A3B">
              <w:rPr>
                <w:rFonts w:eastAsiaTheme="minorEastAsia"/>
                <w:b/>
                <w:bCs/>
                <w:szCs w:val="22"/>
                <w:lang w:eastAsia="en-AU"/>
              </w:rPr>
              <w:t>Estimated change in defined benefit obligation ($</w:t>
            </w:r>
            <w:r>
              <w:rPr>
                <w:rFonts w:eastAsiaTheme="minorEastAsia"/>
                <w:b/>
                <w:bCs/>
                <w:szCs w:val="22"/>
                <w:lang w:eastAsia="en-AU"/>
              </w:rPr>
              <w:t> million</w:t>
            </w:r>
            <w:r w:rsidRPr="00A10A3B">
              <w:rPr>
                <w:rFonts w:eastAsiaTheme="minorEastAsia"/>
                <w:b/>
                <w:bCs/>
                <w:szCs w:val="22"/>
                <w:lang w:eastAsia="en-AU"/>
              </w:rPr>
              <w:t>)</w:t>
            </w:r>
          </w:p>
        </w:tc>
        <w:tc>
          <w:tcPr>
            <w:tcW w:w="1437"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Cs w:val="22"/>
                <w:lang w:eastAsia="en-AU"/>
              </w:rPr>
            </w:pPr>
            <w:r w:rsidRPr="00A10A3B">
              <w:rPr>
                <w:rFonts w:eastAsiaTheme="minorEastAsia"/>
                <w:b/>
                <w:bCs/>
                <w:szCs w:val="22"/>
                <w:lang w:eastAsia="en-AU"/>
              </w:rPr>
              <w:t>n.a</w:t>
            </w:r>
          </w:p>
        </w:tc>
        <w:tc>
          <w:tcPr>
            <w:tcW w:w="1213"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Cs w:val="22"/>
                <w:lang w:eastAsia="en-AU"/>
              </w:rPr>
            </w:pPr>
            <w:r w:rsidRPr="00A10A3B">
              <w:rPr>
                <w:rFonts w:eastAsiaTheme="minorEastAsia"/>
                <w:b/>
                <w:bCs/>
                <w:szCs w:val="22"/>
                <w:lang w:eastAsia="en-AU"/>
              </w:rPr>
              <w:t>(5 118.8)</w:t>
            </w:r>
          </w:p>
        </w:tc>
        <w:tc>
          <w:tcPr>
            <w:tcW w:w="1212"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sidRPr="00A10A3B">
              <w:rPr>
                <w:rFonts w:eastAsiaTheme="minorEastAsia"/>
                <w:b/>
                <w:bCs/>
                <w:szCs w:val="22"/>
                <w:lang w:eastAsia="en-AU"/>
              </w:rPr>
              <w:t xml:space="preserve"> 465.3</w:t>
            </w:r>
          </w:p>
        </w:tc>
        <w:tc>
          <w:tcPr>
            <w:tcW w:w="1213"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sidRPr="00A10A3B">
              <w:rPr>
                <w:rFonts w:eastAsiaTheme="minorEastAsia"/>
                <w:b/>
                <w:bCs/>
                <w:szCs w:val="22"/>
                <w:lang w:eastAsia="en-AU"/>
              </w:rPr>
              <w:t xml:space="preserve">4 </w:t>
            </w:r>
            <w:r w:rsidRPr="00A10A3B">
              <w:rPr>
                <w:rFonts w:eastAsiaTheme="minorEastAsia" w:cs="Calibri"/>
                <w:b/>
                <w:bCs/>
                <w:color w:val="000000"/>
                <w:szCs w:val="22"/>
                <w:lang w:eastAsia="en-AU"/>
              </w:rPr>
              <w:t>188.1</w:t>
            </w:r>
          </w:p>
        </w:tc>
      </w:tr>
    </w:tbl>
    <w:p w:rsidR="00336793" w:rsidRDefault="00336793" w:rsidP="00DF0B96">
      <w:pPr>
        <w:pStyle w:val="Notes"/>
      </w:pPr>
    </w:p>
    <w:p w:rsidR="00336793" w:rsidRPr="006A75A2" w:rsidRDefault="00336793" w:rsidP="00DF0B96"/>
    <w:p w:rsidR="00336793" w:rsidRPr="006A75A2" w:rsidRDefault="00336793" w:rsidP="00DF0B96">
      <w:pPr>
        <w:spacing w:after="240"/>
        <w:rPr>
          <w:szCs w:val="24"/>
        </w:rPr>
      </w:pPr>
      <w:r w:rsidRPr="006A75A2">
        <w:rPr>
          <w:szCs w:val="24"/>
        </w:rPr>
        <w:t>The assumptions above have been changed whilst maintaining all other assumptions as outlined previously. There have been no changes to the methods and assumptions used to prepare this sensitivity analysis since the prior period.</w:t>
      </w:r>
    </w:p>
    <w:p w:rsidR="00336793" w:rsidRPr="006A75A2" w:rsidRDefault="00336793" w:rsidP="00DF0B96">
      <w:pPr>
        <w:keepNext/>
        <w:tabs>
          <w:tab w:val="left" w:pos="504"/>
        </w:tabs>
        <w:spacing w:after="60"/>
        <w:outlineLvl w:val="4"/>
        <w:rPr>
          <w:rFonts w:ascii="Calibri" w:hAnsi="Calibri"/>
          <w:b/>
        </w:rPr>
      </w:pPr>
      <w:r w:rsidRPr="006A75A2">
        <w:rPr>
          <w:rFonts w:ascii="Calibri" w:hAnsi="Calibri"/>
          <w:b/>
        </w:rPr>
        <w:t>Target asset allocation</w:t>
      </w:r>
    </w:p>
    <w:p w:rsidR="00336793" w:rsidRDefault="00336793" w:rsidP="00DF0B96">
      <w:pPr>
        <w:pStyle w:val="million"/>
        <w:rPr>
          <w:rFonts w:ascii="Times New Roman" w:hAnsi="Times New Roman"/>
        </w:rPr>
      </w:pPr>
      <w:r w:rsidRPr="006A75A2">
        <w:t>(per cent)</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1120"/>
      </w:tblGrid>
      <w:tr w:rsidR="00336793" w:rsidRPr="00EF58D9" w:rsidTr="00DF0B96">
        <w:tc>
          <w:tcPr>
            <w:tcW w:w="7397" w:type="dxa"/>
            <w:tcBorders>
              <w:top w:val="single" w:sz="6" w:space="0" w:color="auto"/>
              <w:left w:val="single" w:sz="6" w:space="0" w:color="auto"/>
              <w:bottom w:val="single" w:sz="6" w:space="0" w:color="auto"/>
              <w:right w:val="nil"/>
            </w:tcBorders>
            <w:shd w:val="clear" w:color="000000" w:fill="000000"/>
          </w:tcPr>
          <w:p w:rsidR="00336793" w:rsidRPr="00EF58D9" w:rsidRDefault="00336793" w:rsidP="00DF0B96">
            <w:pPr>
              <w:pStyle w:val="Tabletext"/>
              <w:rPr>
                <w:rFonts w:eastAsiaTheme="minorEastAsia"/>
                <w:i/>
                <w:lang w:eastAsia="en-AU"/>
              </w:rPr>
            </w:pPr>
            <w:r w:rsidRPr="00EF58D9">
              <w:rPr>
                <w:rFonts w:eastAsiaTheme="minorEastAsia"/>
                <w:i/>
                <w:lang w:eastAsia="en-AU"/>
              </w:rPr>
              <w:t>Asset class</w:t>
            </w:r>
          </w:p>
        </w:tc>
        <w:tc>
          <w:tcPr>
            <w:tcW w:w="1120" w:type="dxa"/>
            <w:tcBorders>
              <w:top w:val="single" w:sz="6" w:space="0" w:color="auto"/>
              <w:left w:val="nil"/>
              <w:bottom w:val="single" w:sz="6" w:space="0" w:color="auto"/>
              <w:right w:val="nil"/>
            </w:tcBorders>
            <w:shd w:val="clear" w:color="000000" w:fill="000000"/>
          </w:tcPr>
          <w:p w:rsidR="00336793" w:rsidRPr="00EF58D9" w:rsidRDefault="00336793" w:rsidP="00DF0B96">
            <w:pPr>
              <w:pStyle w:val="Tabletextheading"/>
              <w:rPr>
                <w:rFonts w:eastAsiaTheme="minorEastAsia"/>
                <w:color w:val="FFFFFF"/>
                <w:lang w:eastAsia="en-AU"/>
              </w:rPr>
            </w:pPr>
            <w:r w:rsidRPr="00EF58D9">
              <w:rPr>
                <w:rFonts w:eastAsiaTheme="minorEastAsia"/>
                <w:color w:val="FFFFFF"/>
                <w:lang w:eastAsia="en-AU"/>
              </w:rPr>
              <w:t>2015</w:t>
            </w:r>
          </w:p>
        </w:tc>
        <w:tc>
          <w:tcPr>
            <w:tcW w:w="1120" w:type="dxa"/>
            <w:tcBorders>
              <w:top w:val="single" w:sz="6" w:space="0" w:color="auto"/>
              <w:left w:val="nil"/>
              <w:bottom w:val="single" w:sz="6" w:space="0" w:color="auto"/>
              <w:right w:val="single" w:sz="6" w:space="0" w:color="auto"/>
            </w:tcBorders>
            <w:shd w:val="clear" w:color="000000" w:fill="000000"/>
          </w:tcPr>
          <w:p w:rsidR="00336793" w:rsidRPr="00EF58D9" w:rsidRDefault="00336793" w:rsidP="00DF0B96">
            <w:pPr>
              <w:pStyle w:val="Tabletextheading"/>
              <w:rPr>
                <w:rFonts w:eastAsiaTheme="minorEastAsia"/>
                <w:color w:val="FFFFFF"/>
                <w:lang w:eastAsia="en-AU"/>
              </w:rPr>
            </w:pPr>
            <w:r w:rsidRPr="00EF58D9">
              <w:rPr>
                <w:rFonts w:eastAsiaTheme="minorEastAsia"/>
                <w:color w:val="FFFFFF"/>
                <w:lang w:eastAsia="en-AU"/>
              </w:rPr>
              <w:t>2014</w:t>
            </w:r>
          </w:p>
        </w:tc>
      </w:tr>
      <w:tr w:rsidR="00336793" w:rsidRPr="00EF58D9" w:rsidTr="00DF0B96">
        <w:tc>
          <w:tcPr>
            <w:tcW w:w="7397" w:type="dxa"/>
            <w:tcBorders>
              <w:top w:val="single" w:sz="6" w:space="0" w:color="auto"/>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Domestic equity</w:t>
            </w:r>
          </w:p>
        </w:tc>
        <w:tc>
          <w:tcPr>
            <w:tcW w:w="1120" w:type="dxa"/>
            <w:tcBorders>
              <w:top w:val="single" w:sz="6" w:space="0" w:color="auto"/>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26.8</w:t>
            </w:r>
          </w:p>
        </w:tc>
        <w:tc>
          <w:tcPr>
            <w:tcW w:w="1120" w:type="dxa"/>
            <w:tcBorders>
              <w:top w:val="single" w:sz="6" w:space="0" w:color="auto"/>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26.8</w:t>
            </w:r>
          </w:p>
        </w:tc>
      </w:tr>
      <w:tr w:rsidR="00336793" w:rsidRPr="00EF58D9" w:rsidTr="00DF0B96">
        <w:tc>
          <w:tcPr>
            <w:tcW w:w="7397" w:type="dxa"/>
            <w:tcBorders>
              <w:top w:val="nil"/>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International equity</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26.8</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26.8</w:t>
            </w:r>
          </w:p>
        </w:tc>
      </w:tr>
      <w:tr w:rsidR="00336793" w:rsidRPr="00EF58D9" w:rsidTr="00DF0B96">
        <w:tc>
          <w:tcPr>
            <w:tcW w:w="7397" w:type="dxa"/>
            <w:tcBorders>
              <w:top w:val="nil"/>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Domestic debt assets</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17.4</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17.4</w:t>
            </w:r>
          </w:p>
        </w:tc>
      </w:tr>
      <w:tr w:rsidR="00336793" w:rsidRPr="00EF58D9" w:rsidTr="00DF0B96">
        <w:tc>
          <w:tcPr>
            <w:tcW w:w="7397" w:type="dxa"/>
            <w:tcBorders>
              <w:top w:val="nil"/>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Property</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7.6</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7.6</w:t>
            </w:r>
          </w:p>
        </w:tc>
      </w:tr>
      <w:tr w:rsidR="00336793" w:rsidRPr="00EF58D9" w:rsidTr="00DF0B96">
        <w:tc>
          <w:tcPr>
            <w:tcW w:w="7397" w:type="dxa"/>
            <w:tcBorders>
              <w:top w:val="nil"/>
              <w:left w:val="nil"/>
              <w:bottom w:val="nil"/>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Cash</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4.2</w:t>
            </w:r>
          </w:p>
        </w:tc>
        <w:tc>
          <w:tcPr>
            <w:tcW w:w="1120" w:type="dxa"/>
            <w:tcBorders>
              <w:top w:val="nil"/>
              <w:left w:val="nil"/>
              <w:bottom w:val="nil"/>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4.2</w:t>
            </w:r>
          </w:p>
        </w:tc>
      </w:tr>
      <w:tr w:rsidR="00336793" w:rsidRPr="00EF58D9" w:rsidTr="00DF0B96">
        <w:tc>
          <w:tcPr>
            <w:tcW w:w="7397" w:type="dxa"/>
            <w:tcBorders>
              <w:top w:val="nil"/>
              <w:left w:val="nil"/>
              <w:bottom w:val="single" w:sz="6" w:space="0" w:color="auto"/>
              <w:right w:val="nil"/>
            </w:tcBorders>
          </w:tcPr>
          <w:p w:rsidR="00336793" w:rsidRPr="00EF58D9" w:rsidRDefault="00336793" w:rsidP="00DF0B96">
            <w:pPr>
              <w:pStyle w:val="Tabletext"/>
              <w:rPr>
                <w:rFonts w:eastAsiaTheme="minorEastAsia"/>
                <w:lang w:eastAsia="en-AU"/>
              </w:rPr>
            </w:pPr>
            <w:r w:rsidRPr="00EF58D9">
              <w:rPr>
                <w:rFonts w:eastAsiaTheme="minorEastAsia"/>
                <w:lang w:eastAsia="en-AU"/>
              </w:rPr>
              <w:t>Other (including private equity, hedge funds and infrastructure)</w:t>
            </w:r>
          </w:p>
        </w:tc>
        <w:tc>
          <w:tcPr>
            <w:tcW w:w="1120" w:type="dxa"/>
            <w:tcBorders>
              <w:top w:val="nil"/>
              <w:left w:val="nil"/>
              <w:bottom w:val="single" w:sz="6" w:space="0" w:color="auto"/>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17.2</w:t>
            </w:r>
          </w:p>
        </w:tc>
        <w:tc>
          <w:tcPr>
            <w:tcW w:w="1120" w:type="dxa"/>
            <w:tcBorders>
              <w:top w:val="nil"/>
              <w:left w:val="nil"/>
              <w:bottom w:val="single" w:sz="6" w:space="0" w:color="auto"/>
              <w:right w:val="nil"/>
            </w:tcBorders>
          </w:tcPr>
          <w:p w:rsidR="00336793" w:rsidRPr="00EF58D9" w:rsidRDefault="00336793" w:rsidP="00DF0B96">
            <w:pPr>
              <w:pStyle w:val="TableofFigures"/>
              <w:rPr>
                <w:rFonts w:eastAsiaTheme="minorEastAsia"/>
                <w:lang w:eastAsia="en-AU"/>
              </w:rPr>
            </w:pPr>
            <w:r w:rsidRPr="00EF58D9">
              <w:rPr>
                <w:rFonts w:eastAsiaTheme="minorEastAsia"/>
                <w:lang w:eastAsia="en-AU"/>
              </w:rPr>
              <w:t>17.2</w:t>
            </w:r>
          </w:p>
        </w:tc>
      </w:tr>
      <w:tr w:rsidR="00336793" w:rsidRPr="00EF58D9" w:rsidTr="00DF0B96">
        <w:tc>
          <w:tcPr>
            <w:tcW w:w="7397" w:type="dxa"/>
            <w:tcBorders>
              <w:top w:val="single" w:sz="6" w:space="0" w:color="auto"/>
              <w:left w:val="nil"/>
              <w:bottom w:val="single" w:sz="12" w:space="0" w:color="000000"/>
              <w:right w:val="nil"/>
            </w:tcBorders>
            <w:shd w:val="clear" w:color="auto" w:fill="auto"/>
          </w:tcPr>
          <w:p w:rsidR="00336793" w:rsidRPr="00EF58D9" w:rsidRDefault="00336793" w:rsidP="00DF0B96">
            <w:pPr>
              <w:pStyle w:val="Tabletext"/>
              <w:rPr>
                <w:rFonts w:eastAsiaTheme="minorEastAsia"/>
                <w:b/>
                <w:bCs/>
                <w:lang w:eastAsia="en-AU"/>
              </w:rPr>
            </w:pPr>
            <w:r w:rsidRPr="00EF58D9">
              <w:rPr>
                <w:rFonts w:eastAsiaTheme="minorEastAsia"/>
                <w:b/>
                <w:bCs/>
                <w:lang w:eastAsia="en-AU"/>
              </w:rPr>
              <w:t>Total</w:t>
            </w:r>
          </w:p>
        </w:tc>
        <w:tc>
          <w:tcPr>
            <w:tcW w:w="1120" w:type="dxa"/>
            <w:tcBorders>
              <w:top w:val="single" w:sz="6" w:space="0" w:color="auto"/>
              <w:left w:val="nil"/>
              <w:bottom w:val="single" w:sz="12" w:space="0" w:color="000000"/>
              <w:right w:val="nil"/>
            </w:tcBorders>
            <w:shd w:val="clear" w:color="auto" w:fill="auto"/>
          </w:tcPr>
          <w:p w:rsidR="00336793" w:rsidRPr="00EF58D9" w:rsidRDefault="00336793" w:rsidP="00DF0B96">
            <w:pPr>
              <w:pStyle w:val="TableofFigures"/>
              <w:rPr>
                <w:rFonts w:eastAsiaTheme="minorEastAsia"/>
                <w:b/>
                <w:bCs/>
                <w:lang w:eastAsia="en-AU"/>
              </w:rPr>
            </w:pPr>
            <w:r w:rsidRPr="00EF58D9">
              <w:rPr>
                <w:rFonts w:eastAsiaTheme="minorEastAsia"/>
                <w:b/>
                <w:bCs/>
                <w:lang w:eastAsia="en-AU"/>
              </w:rPr>
              <w:t>100.0</w:t>
            </w:r>
          </w:p>
        </w:tc>
        <w:tc>
          <w:tcPr>
            <w:tcW w:w="1120" w:type="dxa"/>
            <w:tcBorders>
              <w:top w:val="single" w:sz="6" w:space="0" w:color="auto"/>
              <w:left w:val="nil"/>
              <w:bottom w:val="single" w:sz="12" w:space="0" w:color="000000"/>
              <w:right w:val="nil"/>
            </w:tcBorders>
            <w:shd w:val="clear" w:color="auto" w:fill="auto"/>
          </w:tcPr>
          <w:p w:rsidR="00336793" w:rsidRPr="00EF58D9" w:rsidRDefault="00336793" w:rsidP="00DF0B96">
            <w:pPr>
              <w:pStyle w:val="TableofFigures"/>
              <w:rPr>
                <w:rFonts w:eastAsiaTheme="minorEastAsia"/>
                <w:b/>
                <w:bCs/>
                <w:lang w:eastAsia="en-AU"/>
              </w:rPr>
            </w:pPr>
            <w:r w:rsidRPr="00EF58D9">
              <w:rPr>
                <w:rFonts w:eastAsiaTheme="minorEastAsia"/>
                <w:b/>
                <w:bCs/>
                <w:lang w:eastAsia="en-AU"/>
              </w:rPr>
              <w:t>100.0</w:t>
            </w:r>
          </w:p>
        </w:tc>
      </w:tr>
    </w:tbl>
    <w:p w:rsidR="00336793" w:rsidRDefault="00336793" w:rsidP="00DF0B96"/>
    <w:p w:rsidR="00336793" w:rsidRPr="006A75A2" w:rsidRDefault="00336793" w:rsidP="00DF0B96">
      <w:r w:rsidRPr="006A75A2">
        <w:t>The assets are invested in the asset classes shown above.</w:t>
      </w:r>
      <w:r>
        <w:t xml:space="preserve"> </w:t>
      </w:r>
      <w:r w:rsidRPr="006A75A2">
        <w:t>The chosen assets are not designed to match the liabilities exactly. However, the nature of the liabilities is considered in setting the investment strategy.</w:t>
      </w:r>
      <w:r>
        <w:t xml:space="preserve"> At 30 June 2015</w:t>
      </w:r>
      <w:r w:rsidRPr="006A75A2">
        <w:t xml:space="preserve">, the plans held investments with Treasury Corporation </w:t>
      </w:r>
      <w:r>
        <w:t>Victoria (TCV) worth $390.0 million</w:t>
      </w:r>
      <w:r w:rsidRPr="006A75A2">
        <w:t>.</w:t>
      </w:r>
    </w:p>
    <w:p w:rsidR="00336793" w:rsidRPr="006A75A2" w:rsidRDefault="00336793" w:rsidP="00DF0B96">
      <w:pPr>
        <w:keepNext/>
        <w:tabs>
          <w:tab w:val="left" w:pos="504"/>
        </w:tabs>
        <w:spacing w:before="120"/>
        <w:outlineLvl w:val="4"/>
        <w:rPr>
          <w:rFonts w:ascii="Calibri" w:hAnsi="Calibri"/>
          <w:b/>
        </w:rPr>
      </w:pPr>
      <w:r w:rsidRPr="006A75A2">
        <w:rPr>
          <w:rFonts w:ascii="Calibri" w:hAnsi="Calibri"/>
          <w:b/>
        </w:rPr>
        <w:t>Funding arrangements</w:t>
      </w:r>
    </w:p>
    <w:p w:rsidR="00336793" w:rsidRPr="006A75A2" w:rsidRDefault="00336793" w:rsidP="00DF0B96">
      <w:pPr>
        <w:rPr>
          <w:szCs w:val="24"/>
        </w:rPr>
      </w:pPr>
      <w:r w:rsidRPr="006A75A2">
        <w:rPr>
          <w:szCs w:val="24"/>
        </w:rPr>
        <w:t>The funding of the defined benefit plans varies by plan as follows:</w:t>
      </w:r>
    </w:p>
    <w:p w:rsidR="00336793" w:rsidRPr="006A75A2" w:rsidRDefault="00336793" w:rsidP="00DF0B96">
      <w:pPr>
        <w:pStyle w:val="BulletText"/>
        <w:spacing w:after="60"/>
      </w:pPr>
      <w:r w:rsidRPr="006A75A2">
        <w:t>SSF – the scheme is partially funded, with participating employers generally contributing the cost of service as it accrues while the State meets the cost of past service.</w:t>
      </w:r>
    </w:p>
    <w:p w:rsidR="00336793" w:rsidRPr="006712BF" w:rsidRDefault="00336793" w:rsidP="00DF0B96">
      <w:pPr>
        <w:pStyle w:val="BulletText"/>
        <w:spacing w:after="60"/>
      </w:pPr>
      <w:r w:rsidRPr="006A75A2">
        <w:t xml:space="preserve">ESSS DB – a funded scheme, with a funding </w:t>
      </w:r>
      <w:r w:rsidRPr="006712BF">
        <w:t>target of 110</w:t>
      </w:r>
      <w:r>
        <w:t> per cent</w:t>
      </w:r>
      <w:r w:rsidRPr="006712BF">
        <w:t xml:space="preserve"> to 120</w:t>
      </w:r>
      <w:r>
        <w:t> per cent</w:t>
      </w:r>
      <w:r w:rsidRPr="006712BF">
        <w:t xml:space="preserve"> of vested benefits. The Board</w:t>
      </w:r>
      <w:r>
        <w:t>’</w:t>
      </w:r>
      <w:r w:rsidRPr="006712BF">
        <w:t>s shortfall limit is 95</w:t>
      </w:r>
      <w:r>
        <w:t> per cent</w:t>
      </w:r>
      <w:r w:rsidRPr="006712BF">
        <w:t xml:space="preserve"> of vested benefits.</w:t>
      </w:r>
    </w:p>
    <w:p w:rsidR="00336793" w:rsidRPr="006712BF" w:rsidRDefault="00336793" w:rsidP="00DF0B96">
      <w:pPr>
        <w:pStyle w:val="BulletText"/>
        <w:spacing w:after="60"/>
      </w:pPr>
      <w:r w:rsidRPr="006712BF">
        <w:t>Judges Pension Scheme – an unfunded scheme (i.e. there are no assets) and benefits are paid from the Consolidated Fund as they fall due.</w:t>
      </w:r>
    </w:p>
    <w:p w:rsidR="00336793" w:rsidRPr="005C7336" w:rsidRDefault="00336793" w:rsidP="00DF0B96">
      <w:pPr>
        <w:pStyle w:val="BulletText"/>
      </w:pPr>
      <w:r w:rsidRPr="006712BF">
        <w:t>Health Super – a funded scheme where the employers contribute in accordance with the actuary</w:t>
      </w:r>
      <w:r>
        <w:t>’</w:t>
      </w:r>
      <w:r w:rsidRPr="006712BF">
        <w:t>s recommendations which are designed to achieve a target asset level of 107</w:t>
      </w:r>
      <w:r>
        <w:t> per cent</w:t>
      </w:r>
      <w:r w:rsidRPr="006712BF">
        <w:t xml:space="preserve"> of the scheme</w:t>
      </w:r>
      <w:r>
        <w:t>’</w:t>
      </w:r>
      <w:r w:rsidRPr="006712BF">
        <w:t xml:space="preserve">s vested </w:t>
      </w:r>
      <w:r w:rsidRPr="005C7336">
        <w:t>benefits.</w:t>
      </w:r>
    </w:p>
    <w:p w:rsidR="00336793" w:rsidRDefault="00336793" w:rsidP="00DF0B96">
      <w:r w:rsidRPr="006A75A2">
        <w:t>In the 201</w:t>
      </w:r>
      <w:r>
        <w:t>5</w:t>
      </w:r>
      <w:r>
        <w:noBreakHyphen/>
      </w:r>
      <w:r w:rsidRPr="006A75A2">
        <w:t>1</w:t>
      </w:r>
      <w:r>
        <w:t>6</w:t>
      </w:r>
      <w:r w:rsidRPr="006A75A2">
        <w:t xml:space="preserve"> financial year, employer contributions of $</w:t>
      </w:r>
      <w:r>
        <w:t>1.7 billion</w:t>
      </w:r>
      <w:r w:rsidRPr="006A75A2">
        <w:t>, in total, are expected to be paid to the de</w:t>
      </w:r>
      <w:r>
        <w:t>fined benefit plans. Of this, $1.2 billion</w:t>
      </w:r>
      <w:r w:rsidRPr="006A75A2">
        <w:t xml:space="preserve"> relates to the funding of the SSF</w:t>
      </w:r>
      <w:r>
        <w:t>’</w:t>
      </w:r>
      <w:r w:rsidRPr="006A75A2">
        <w:t>s past service liability.</w:t>
      </w:r>
      <w:r>
        <w:t xml:space="preserve"> </w:t>
      </w:r>
      <w:r w:rsidRPr="006A75A2">
        <w:t>The weighted average duration of the defined benefit obligation is about 13 years.</w:t>
      </w:r>
    </w:p>
    <w:p w:rsidR="00336793" w:rsidRDefault="00336793">
      <w:pPr>
        <w:spacing w:after="0"/>
        <w:rPr>
          <w:rFonts w:ascii="Calibri" w:hAnsi="Calibri"/>
          <w:b/>
          <w:sz w:val="28"/>
          <w:szCs w:val="22"/>
        </w:rPr>
      </w:pPr>
      <w:bookmarkStart w:id="48" w:name="_Toc400040256"/>
      <w:r>
        <w:br w:type="page"/>
      </w:r>
    </w:p>
    <w:p w:rsidR="00336793" w:rsidRPr="006A75A2" w:rsidRDefault="00336793" w:rsidP="00DF0B96">
      <w:pPr>
        <w:pStyle w:val="Heading2Notes"/>
        <w:spacing w:after="60"/>
        <w:rPr>
          <w:kern w:val="0"/>
        </w:rPr>
      </w:pPr>
      <w:bookmarkStart w:id="49" w:name="_Toc433984492"/>
      <w:r w:rsidRPr="006A75A2">
        <w:rPr>
          <w:kern w:val="0"/>
        </w:rPr>
        <w:lastRenderedPageBreak/>
        <w:t>Note 9:</w:t>
      </w:r>
      <w:r w:rsidRPr="006A75A2">
        <w:rPr>
          <w:kern w:val="0"/>
        </w:rPr>
        <w:tab/>
        <w:t>Depreciation</w:t>
      </w:r>
      <w:bookmarkEnd w:id="48"/>
      <w:bookmarkEnd w:id="49"/>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850"/>
        <w:gridCol w:w="270"/>
        <w:gridCol w:w="225"/>
        <w:gridCol w:w="895"/>
        <w:gridCol w:w="932"/>
        <w:gridCol w:w="188"/>
      </w:tblGrid>
      <w:tr w:rsidR="00336793" w:rsidRPr="00A10A3B" w:rsidTr="00545B6B">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97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State of Victoria</w:t>
            </w:r>
          </w:p>
        </w:tc>
        <w:tc>
          <w:tcPr>
            <w:tcW w:w="495"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s="Calibri"/>
                <w:iCs/>
                <w:color w:val="FFFFFF"/>
                <w:szCs w:val="22"/>
                <w:lang w:eastAsia="en-AU"/>
              </w:rPr>
              <w:t xml:space="preserve"> </w:t>
            </w:r>
          </w:p>
        </w:tc>
        <w:tc>
          <w:tcPr>
            <w:tcW w:w="1827"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188"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Buildings</w:t>
            </w:r>
            <w:r w:rsidRPr="00E96950">
              <w:rPr>
                <w:rFonts w:eastAsiaTheme="minorEastAsia"/>
                <w:vertAlign w:val="superscript"/>
                <w:lang w:eastAsia="en-AU"/>
              </w:rPr>
              <w:t xml:space="preserve"> (</w:t>
            </w:r>
            <w:r w:rsidRPr="00A10A3B">
              <w:rPr>
                <w:rFonts w:eastAsiaTheme="minorEastAsia"/>
                <w:vertAlign w:val="superscript"/>
                <w:lang w:eastAsia="en-AU"/>
              </w:rPr>
              <w:t>a)</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1 354.1</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1 318.8</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984.0</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974.3</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Leasehold buildings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116.8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102.5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110.7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98.5</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Infrastructure systems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1 328.5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1 238.2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45.5</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Plant, equipment and vehicles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824.9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877.7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551.6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569.7</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Road and road networks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592.7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568.7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589.8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566.3</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Cultural assets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21.1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21.1</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Intangible produced assets</w:t>
            </w:r>
            <w:r w:rsidRPr="00E96950">
              <w:rPr>
                <w:rFonts w:eastAsiaTheme="minorEastAsia"/>
                <w:vertAlign w:val="superscript"/>
                <w:lang w:eastAsia="en-AU"/>
              </w:rPr>
              <w:t xml:space="preserve"> (</w:t>
            </w:r>
            <w:r w:rsidRPr="00E4643C">
              <w:rPr>
                <w:rFonts w:eastAsiaTheme="minorEastAsia"/>
                <w:vertAlign w:val="superscript"/>
                <w:lang w:eastAsia="en-AU"/>
              </w:rPr>
              <w:t>a)</w:t>
            </w:r>
            <w:r w:rsidRPr="00A10A3B">
              <w:rPr>
                <w:rFonts w:eastAsiaTheme="minorEastAsia"/>
                <w:vertAlign w:val="superscript"/>
                <w:lang w:eastAsia="en-AU"/>
              </w:rPr>
              <w:t>(b)</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216.6</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207.2</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129.3</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128.3</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vertAlign w:val="superscript"/>
                <w:lang w:eastAsia="en-AU"/>
              </w:rPr>
            </w:pPr>
            <w:r w:rsidRPr="00A10A3B">
              <w:rPr>
                <w:rFonts w:eastAsiaTheme="minorEastAsia"/>
                <w:b/>
                <w:bCs/>
                <w:lang w:eastAsia="en-AU"/>
              </w:rPr>
              <w:t>Total depreciation</w:t>
            </w:r>
            <w:r w:rsidRPr="00E96950">
              <w:rPr>
                <w:rFonts w:eastAsiaTheme="minorEastAsia"/>
                <w:b/>
                <w:bCs/>
                <w:vertAlign w:val="superscript"/>
                <w:lang w:eastAsia="en-AU"/>
              </w:rPr>
              <w:t xml:space="preserve"> (</w:t>
            </w:r>
            <w:r w:rsidRPr="00A10A3B">
              <w:rPr>
                <w:rFonts w:eastAsiaTheme="minorEastAsia"/>
                <w:b/>
                <w:bCs/>
                <w:vertAlign w:val="superscript"/>
                <w:lang w:eastAsia="en-AU"/>
              </w:rPr>
              <w:t>a)</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4 453.7</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4 334.1</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2 425.4</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2 403.7</w:t>
            </w:r>
          </w:p>
        </w:tc>
      </w:tr>
    </w:tbl>
    <w:p w:rsidR="00336793" w:rsidRDefault="00336793" w:rsidP="00DF0B96">
      <w:pPr>
        <w:pStyle w:val="Notes"/>
      </w:pPr>
      <w:r>
        <w:t>Notes:</w:t>
      </w:r>
    </w:p>
    <w:p w:rsidR="00336793" w:rsidRDefault="00336793" w:rsidP="00DF0B96">
      <w:pPr>
        <w:pStyle w:val="Notes"/>
      </w:pPr>
      <w:r>
        <w:t>(a)</w:t>
      </w:r>
      <w:r>
        <w:tab/>
        <w:t>June 2014 comparative figures have been restated. See Note 37.</w:t>
      </w:r>
    </w:p>
    <w:p w:rsidR="00336793" w:rsidRDefault="00336793" w:rsidP="00DF0B96">
      <w:pPr>
        <w:pStyle w:val="Notes"/>
      </w:pPr>
      <w:r>
        <w:t>(b)</w:t>
      </w:r>
      <w:r>
        <w:tab/>
        <w:t>Amortisation of intangible non</w:t>
      </w:r>
      <w:r>
        <w:noBreakHyphen/>
        <w:t>produced assets is included under ‘total other economic flows included in net result’.</w:t>
      </w:r>
    </w:p>
    <w:p w:rsidR="00336793" w:rsidRPr="006A75A2" w:rsidRDefault="00336793" w:rsidP="00DF0B96">
      <w:pPr>
        <w:pStyle w:val="Notes"/>
      </w:pPr>
    </w:p>
    <w:p w:rsidR="00336793" w:rsidRPr="006A75A2" w:rsidRDefault="00336793" w:rsidP="00DF0B96">
      <w:pPr>
        <w:pStyle w:val="Heading2Notes"/>
        <w:spacing w:after="60"/>
        <w:rPr>
          <w:kern w:val="0"/>
        </w:rPr>
      </w:pPr>
      <w:bookmarkStart w:id="50" w:name="_Toc400040257"/>
      <w:bookmarkStart w:id="51" w:name="_Toc433984493"/>
      <w:r w:rsidRPr="006A75A2">
        <w:rPr>
          <w:kern w:val="0"/>
        </w:rPr>
        <w:t>Note 10:</w:t>
      </w:r>
      <w:r w:rsidRPr="006A75A2">
        <w:rPr>
          <w:kern w:val="0"/>
        </w:rPr>
        <w:tab/>
        <w:t>Interest expense</w:t>
      </w:r>
      <w:bookmarkEnd w:id="50"/>
      <w:bookmarkEnd w:id="51"/>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970"/>
        <w:gridCol w:w="150"/>
        <w:gridCol w:w="225"/>
        <w:gridCol w:w="895"/>
        <w:gridCol w:w="950"/>
        <w:gridCol w:w="170"/>
      </w:tblGrid>
      <w:tr w:rsidR="00336793" w:rsidRPr="00A10A3B" w:rsidTr="00545B6B">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209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State of Victoria</w:t>
            </w:r>
          </w:p>
        </w:tc>
        <w:tc>
          <w:tcPr>
            <w:tcW w:w="375"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s="Calibri"/>
                <w:iCs/>
                <w:color w:val="FFFFFF"/>
                <w:szCs w:val="22"/>
                <w:lang w:eastAsia="en-AU"/>
              </w:rPr>
              <w:t xml:space="preserve"> </w:t>
            </w:r>
          </w:p>
        </w:tc>
        <w:tc>
          <w:tcPr>
            <w:tcW w:w="1845"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170"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Interest on long</w:t>
            </w:r>
            <w:r>
              <w:rPr>
                <w:rFonts w:eastAsiaTheme="minorEastAsia"/>
                <w:lang w:eastAsia="en-AU"/>
              </w:rPr>
              <w:noBreakHyphen/>
            </w:r>
            <w:r w:rsidRPr="00A10A3B">
              <w:rPr>
                <w:rFonts w:eastAsiaTheme="minorEastAsia"/>
                <w:lang w:eastAsia="en-AU"/>
              </w:rPr>
              <w:t>term interest</w:t>
            </w:r>
            <w:r>
              <w:rPr>
                <w:rFonts w:eastAsiaTheme="minorEastAsia"/>
                <w:lang w:eastAsia="en-AU"/>
              </w:rPr>
              <w:noBreakHyphen/>
            </w:r>
            <w:r w:rsidRPr="00A10A3B">
              <w:rPr>
                <w:rFonts w:eastAsiaTheme="minorEastAsia"/>
                <w:lang w:eastAsia="en-AU"/>
              </w:rPr>
              <w:t>bearing liabilities</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1 953.9</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1 992.4</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1 262.0</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1 244.1</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Interest on short</w:t>
            </w:r>
            <w:r>
              <w:rPr>
                <w:rFonts w:eastAsiaTheme="minorEastAsia"/>
                <w:lang w:eastAsia="en-AU"/>
              </w:rPr>
              <w:noBreakHyphen/>
            </w:r>
            <w:r w:rsidRPr="00A10A3B">
              <w:rPr>
                <w:rFonts w:eastAsiaTheme="minorEastAsia"/>
                <w:lang w:eastAsia="en-AU"/>
              </w:rPr>
              <w:t>term interest</w:t>
            </w:r>
            <w:r>
              <w:rPr>
                <w:rFonts w:eastAsiaTheme="minorEastAsia"/>
                <w:lang w:eastAsia="en-AU"/>
              </w:rPr>
              <w:noBreakHyphen/>
            </w:r>
            <w:r w:rsidRPr="00A10A3B">
              <w:rPr>
                <w:rFonts w:eastAsiaTheme="minorEastAsia"/>
                <w:lang w:eastAsia="en-AU"/>
              </w:rPr>
              <w:t>bearing liabilities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65.1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63.2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38.3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71.9</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Finance charges on finance leases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833.3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847.3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763.9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771.7</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Discount interest on payables</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15.0</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51.6</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38.3</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50.7</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interest expense</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2 867.3</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2 954.4</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2 102.4</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2 138.5</w:t>
            </w:r>
          </w:p>
        </w:tc>
      </w:tr>
    </w:tbl>
    <w:p w:rsidR="00336793" w:rsidRDefault="00336793" w:rsidP="00DF0B96">
      <w:pPr>
        <w:pStyle w:val="Notes"/>
      </w:pPr>
      <w:bookmarkStart w:id="52" w:name="_Toc400040259"/>
    </w:p>
    <w:p w:rsidR="00336793" w:rsidRPr="006A75A2" w:rsidRDefault="00336793" w:rsidP="00DF0B96">
      <w:pPr>
        <w:pStyle w:val="Heading2Notes"/>
        <w:spacing w:after="60"/>
        <w:rPr>
          <w:kern w:val="0"/>
        </w:rPr>
      </w:pPr>
      <w:bookmarkStart w:id="53" w:name="_Toc433984494"/>
      <w:r>
        <w:rPr>
          <w:kern w:val="0"/>
        </w:rPr>
        <w:t>Note 11</w:t>
      </w:r>
      <w:r w:rsidRPr="006A75A2">
        <w:rPr>
          <w:kern w:val="0"/>
        </w:rPr>
        <w:t>:</w:t>
      </w:r>
      <w:r w:rsidRPr="006A75A2">
        <w:rPr>
          <w:kern w:val="0"/>
        </w:rPr>
        <w:tab/>
        <w:t>Grant</w:t>
      </w:r>
      <w:r>
        <w:rPr>
          <w:kern w:val="0"/>
        </w:rPr>
        <w:t xml:space="preserve"> expense</w:t>
      </w:r>
      <w:bookmarkEnd w:id="53"/>
    </w:p>
    <w:p w:rsidR="00336793" w:rsidRPr="00A10A3B"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777"/>
        <w:gridCol w:w="965"/>
        <w:gridCol w:w="729"/>
        <w:gridCol w:w="236"/>
        <w:gridCol w:w="965"/>
        <w:gridCol w:w="855"/>
        <w:gridCol w:w="110"/>
      </w:tblGrid>
      <w:tr w:rsidR="00336793" w:rsidRPr="00A10A3B" w:rsidTr="00DF0B96">
        <w:trPr>
          <w:tblHeader/>
        </w:trPr>
        <w:tc>
          <w:tcPr>
            <w:tcW w:w="577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1694"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State of Victoria</w:t>
            </w:r>
          </w:p>
        </w:tc>
        <w:tc>
          <w:tcPr>
            <w:tcW w:w="236"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82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General government sector</w:t>
            </w:r>
          </w:p>
        </w:tc>
        <w:tc>
          <w:tcPr>
            <w:tcW w:w="110"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r>
      <w:tr w:rsidR="00336793" w:rsidRPr="00A10A3B" w:rsidTr="00DF0B96">
        <w:trPr>
          <w:tblHeader/>
        </w:trPr>
        <w:tc>
          <w:tcPr>
            <w:tcW w:w="577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965"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965"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965"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965"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777"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Current grant expense</w:t>
            </w:r>
          </w:p>
        </w:tc>
        <w:tc>
          <w:tcPr>
            <w:tcW w:w="965"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w:t>
            </w:r>
          </w:p>
        </w:tc>
        <w:tc>
          <w:tcPr>
            <w:tcW w:w="965" w:type="dxa"/>
            <w:gridSpan w:val="2"/>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w:t>
            </w:r>
          </w:p>
        </w:tc>
        <w:tc>
          <w:tcPr>
            <w:tcW w:w="965"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w:t>
            </w:r>
          </w:p>
        </w:tc>
        <w:tc>
          <w:tcPr>
            <w:tcW w:w="965" w:type="dxa"/>
            <w:gridSpan w:val="2"/>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Commonwealth government</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224.0</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208.6</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222.7</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208.5</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Local government (including grants for on</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passing)</w:t>
            </w:r>
            <w:r w:rsidRPr="00A64A6E">
              <w:rPr>
                <w:rFonts w:ascii="Calibri" w:eastAsiaTheme="minorEastAsia" w:hAnsi="Calibri" w:cs="Calibri"/>
                <w:sz w:val="22"/>
                <w:szCs w:val="22"/>
                <w:vertAlign w:val="superscript"/>
                <w:lang w:eastAsia="en-AU"/>
              </w:rPr>
              <w:t>(a)</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1 103.2</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659.6</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1 103.2</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659.6</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Private sector and not</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for</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profit on</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passing</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2 644.0</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2 405.9</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2 644.0</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2 405.9</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Other private sector and not</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for</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profit</w:t>
            </w:r>
            <w:r w:rsidRPr="00A64A6E">
              <w:rPr>
                <w:rFonts w:ascii="Calibri" w:eastAsiaTheme="minorEastAsia" w:hAnsi="Calibri" w:cs="Calibri"/>
                <w:sz w:val="22"/>
                <w:szCs w:val="22"/>
                <w:vertAlign w:val="superscript"/>
                <w:lang w:eastAsia="en-AU"/>
              </w:rPr>
              <w:t>(b)</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1 567.8</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1 568.8</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1 533.6</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1 543.0</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Grants within the Victorian government</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2 771.7</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2 581.5</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Grants to other state governments</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44.4</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8.2</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44.4</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8.2</w:t>
            </w:r>
          </w:p>
        </w:tc>
      </w:tr>
      <w:tr w:rsidR="00336793" w:rsidRPr="00A10A3B" w:rsidTr="00DF0B96">
        <w:tc>
          <w:tcPr>
            <w:tcW w:w="5777" w:type="dxa"/>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Total current grant expense</w:t>
            </w:r>
            <w:r w:rsidRPr="00A64A6E">
              <w:rPr>
                <w:rFonts w:ascii="Calibri" w:eastAsiaTheme="minorEastAsia" w:hAnsi="Calibri" w:cs="Calibri"/>
                <w:b/>
                <w:bCs/>
                <w:sz w:val="22"/>
                <w:szCs w:val="22"/>
                <w:vertAlign w:val="superscript"/>
                <w:lang w:eastAsia="en-AU"/>
              </w:rPr>
              <w:t>(a)(b)</w:t>
            </w:r>
          </w:p>
        </w:tc>
        <w:tc>
          <w:tcPr>
            <w:tcW w:w="965" w:type="dxa"/>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5 583.3</w:t>
            </w:r>
          </w:p>
        </w:tc>
        <w:tc>
          <w:tcPr>
            <w:tcW w:w="965"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4 851.0</w:t>
            </w:r>
          </w:p>
        </w:tc>
        <w:tc>
          <w:tcPr>
            <w:tcW w:w="965" w:type="dxa"/>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8 319.5</w:t>
            </w:r>
          </w:p>
        </w:tc>
        <w:tc>
          <w:tcPr>
            <w:tcW w:w="965"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7 406.6</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Capital grant expense</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Local government (including grants for on</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passing)</w:t>
            </w:r>
            <w:r w:rsidRPr="00A64A6E">
              <w:rPr>
                <w:rFonts w:ascii="Calibri" w:eastAsiaTheme="minorEastAsia" w:hAnsi="Calibri" w:cs="Calibri"/>
                <w:sz w:val="22"/>
                <w:szCs w:val="22"/>
                <w:vertAlign w:val="superscript"/>
                <w:lang w:eastAsia="en-AU"/>
              </w:rPr>
              <w:t>(a)</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15.3</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36.5</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15.3</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36.5</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Private sector and not</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for</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profit on</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passing</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142.4</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95.2</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137.7</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89.0</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Other private sector and not</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for</w:t>
            </w:r>
            <w:r>
              <w:rPr>
                <w:rFonts w:ascii="Calibri" w:eastAsiaTheme="minorEastAsia" w:hAnsi="Calibri" w:cs="Calibri"/>
                <w:sz w:val="22"/>
                <w:szCs w:val="22"/>
                <w:lang w:eastAsia="en-AU"/>
              </w:rPr>
              <w:noBreakHyphen/>
            </w:r>
            <w:r w:rsidRPr="00A10A3B">
              <w:rPr>
                <w:rFonts w:ascii="Calibri" w:eastAsiaTheme="minorEastAsia" w:hAnsi="Calibri" w:cs="Calibri"/>
                <w:sz w:val="22"/>
                <w:szCs w:val="22"/>
                <w:lang w:eastAsia="en-AU"/>
              </w:rPr>
              <w:t>profit</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0.1</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0.6</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0.1</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0.5</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Grants within the Victorian government</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10.2</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w:t>
            </w:r>
          </w:p>
        </w:tc>
      </w:tr>
      <w:tr w:rsidR="00336793" w:rsidRPr="00A10A3B" w:rsidTr="00DF0B96">
        <w:tc>
          <w:tcPr>
            <w:tcW w:w="577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Other grants</w:t>
            </w:r>
            <w:r w:rsidRPr="00A64A6E">
              <w:rPr>
                <w:rFonts w:ascii="Calibri" w:eastAsiaTheme="minorEastAsia" w:hAnsi="Calibri" w:cs="Calibri"/>
                <w:sz w:val="22"/>
                <w:szCs w:val="22"/>
                <w:vertAlign w:val="superscript"/>
                <w:lang w:eastAsia="en-AU"/>
              </w:rPr>
              <w:t>(b)</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80.6</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56.8</w:t>
            </w:r>
          </w:p>
        </w:tc>
        <w:tc>
          <w:tcPr>
            <w:tcW w:w="965"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46.2</w:t>
            </w:r>
          </w:p>
        </w:tc>
        <w:tc>
          <w:tcPr>
            <w:tcW w:w="965"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28.0</w:t>
            </w:r>
          </w:p>
        </w:tc>
      </w:tr>
      <w:tr w:rsidR="00336793" w:rsidRPr="00A10A3B" w:rsidTr="00DF0B96">
        <w:tc>
          <w:tcPr>
            <w:tcW w:w="5777" w:type="dxa"/>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Total capital grant expense</w:t>
            </w:r>
            <w:r w:rsidRPr="00A64A6E">
              <w:rPr>
                <w:rFonts w:ascii="Calibri" w:eastAsiaTheme="minorEastAsia" w:hAnsi="Calibri" w:cs="Calibri"/>
                <w:b/>
                <w:bCs/>
                <w:sz w:val="22"/>
                <w:szCs w:val="22"/>
                <w:vertAlign w:val="superscript"/>
                <w:lang w:eastAsia="en-AU"/>
              </w:rPr>
              <w:t>(a)(b)</w:t>
            </w:r>
          </w:p>
        </w:tc>
        <w:tc>
          <w:tcPr>
            <w:tcW w:w="965" w:type="dxa"/>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238.5</w:t>
            </w:r>
          </w:p>
        </w:tc>
        <w:tc>
          <w:tcPr>
            <w:tcW w:w="965"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189.1</w:t>
            </w:r>
          </w:p>
        </w:tc>
        <w:tc>
          <w:tcPr>
            <w:tcW w:w="965" w:type="dxa"/>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209.6</w:t>
            </w:r>
          </w:p>
        </w:tc>
        <w:tc>
          <w:tcPr>
            <w:tcW w:w="965"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154.0</w:t>
            </w:r>
          </w:p>
        </w:tc>
      </w:tr>
      <w:tr w:rsidR="00336793" w:rsidRPr="00A10A3B" w:rsidTr="00DF0B96">
        <w:tc>
          <w:tcPr>
            <w:tcW w:w="5777" w:type="dxa"/>
            <w:tcBorders>
              <w:top w:val="single" w:sz="6" w:space="0" w:color="000000"/>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Total grant expense</w:t>
            </w:r>
            <w:r w:rsidRPr="00A64A6E">
              <w:rPr>
                <w:rFonts w:ascii="Calibri" w:eastAsiaTheme="minorEastAsia" w:hAnsi="Calibri" w:cs="Calibri"/>
                <w:b/>
                <w:bCs/>
                <w:sz w:val="22"/>
                <w:szCs w:val="22"/>
                <w:vertAlign w:val="superscript"/>
                <w:lang w:eastAsia="en-AU"/>
              </w:rPr>
              <w:t>(b)</w:t>
            </w:r>
          </w:p>
        </w:tc>
        <w:tc>
          <w:tcPr>
            <w:tcW w:w="965" w:type="dxa"/>
            <w:tcBorders>
              <w:top w:val="single" w:sz="6" w:space="0" w:color="000000"/>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5 821.8</w:t>
            </w:r>
          </w:p>
        </w:tc>
        <w:tc>
          <w:tcPr>
            <w:tcW w:w="965"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5 040.1</w:t>
            </w:r>
          </w:p>
        </w:tc>
        <w:tc>
          <w:tcPr>
            <w:tcW w:w="965" w:type="dxa"/>
            <w:tcBorders>
              <w:top w:val="single" w:sz="6" w:space="0" w:color="000000"/>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8 529.1</w:t>
            </w:r>
          </w:p>
        </w:tc>
        <w:tc>
          <w:tcPr>
            <w:tcW w:w="965"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7 560.6</w:t>
            </w:r>
          </w:p>
        </w:tc>
      </w:tr>
    </w:tbl>
    <w:p w:rsidR="00336793" w:rsidRDefault="00336793" w:rsidP="00DF0B96">
      <w:pPr>
        <w:pStyle w:val="Notes"/>
      </w:pPr>
      <w:r w:rsidRPr="00D226DB">
        <w:t>Notes</w:t>
      </w:r>
      <w:r>
        <w:t>:</w:t>
      </w:r>
    </w:p>
    <w:p w:rsidR="00336793" w:rsidRDefault="00336793" w:rsidP="00DF0B96">
      <w:pPr>
        <w:pStyle w:val="Notes"/>
      </w:pPr>
      <w:r>
        <w:t>(a)</w:t>
      </w:r>
      <w:r>
        <w:tab/>
        <w:t>June 2014 comparatives have been reclassified to reflect more current information.</w:t>
      </w:r>
    </w:p>
    <w:p w:rsidR="00336793" w:rsidRDefault="00336793" w:rsidP="00DF0B96">
      <w:pPr>
        <w:pStyle w:val="Notes"/>
        <w:rPr>
          <w:i w:val="0"/>
        </w:rPr>
      </w:pPr>
      <w:r>
        <w:t>(b)</w:t>
      </w:r>
      <w:r>
        <w:tab/>
        <w:t>June 2014 comparative figures have been restated. See Note 37</w:t>
      </w:r>
      <w:r w:rsidRPr="006A75A2">
        <w:t>.</w:t>
      </w:r>
      <w:r>
        <w:t xml:space="preserve"> </w:t>
      </w:r>
      <w:r>
        <w:br w:type="page"/>
      </w:r>
    </w:p>
    <w:p w:rsidR="00336793" w:rsidRPr="006A75A2" w:rsidRDefault="00336793" w:rsidP="00DF0B96">
      <w:pPr>
        <w:pStyle w:val="Heading2Notes"/>
        <w:rPr>
          <w:kern w:val="0"/>
        </w:rPr>
      </w:pPr>
      <w:bookmarkStart w:id="54" w:name="_Toc400040258"/>
      <w:bookmarkStart w:id="55" w:name="_Toc433984495"/>
      <w:bookmarkEnd w:id="52"/>
      <w:r w:rsidRPr="006A75A2">
        <w:rPr>
          <w:kern w:val="0"/>
        </w:rPr>
        <w:lastRenderedPageBreak/>
        <w:t>Note 1</w:t>
      </w:r>
      <w:r>
        <w:rPr>
          <w:kern w:val="0"/>
        </w:rPr>
        <w:t>2</w:t>
      </w:r>
      <w:r w:rsidRPr="006A75A2">
        <w:rPr>
          <w:kern w:val="0"/>
        </w:rPr>
        <w:t>:</w:t>
      </w:r>
      <w:r w:rsidRPr="006A75A2">
        <w:rPr>
          <w:kern w:val="0"/>
        </w:rPr>
        <w:tab/>
        <w:t>Other operating expenses</w:t>
      </w:r>
      <w:bookmarkEnd w:id="54"/>
      <w:bookmarkEnd w:id="55"/>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970"/>
        <w:gridCol w:w="150"/>
        <w:gridCol w:w="162"/>
        <w:gridCol w:w="958"/>
        <w:gridCol w:w="950"/>
        <w:gridCol w:w="170"/>
      </w:tblGrid>
      <w:tr w:rsidR="00336793" w:rsidRPr="00A10A3B" w:rsidTr="00545B6B">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209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State of Victoria</w:t>
            </w:r>
          </w:p>
        </w:tc>
        <w:tc>
          <w:tcPr>
            <w:tcW w:w="312"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c>
          <w:tcPr>
            <w:tcW w:w="1908"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170"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Purchase of supplies and consumables</w:t>
            </w:r>
            <w:r w:rsidRPr="00E96950">
              <w:rPr>
                <w:rFonts w:eastAsiaTheme="minorEastAsia"/>
                <w:vertAlign w:val="superscript"/>
                <w:lang w:eastAsia="en-AU"/>
              </w:rPr>
              <w:t xml:space="preserve"> (</w:t>
            </w:r>
            <w:r w:rsidRPr="00A10A3B">
              <w:rPr>
                <w:rFonts w:eastAsiaTheme="minorEastAsia"/>
                <w:vertAlign w:val="superscript"/>
                <w:lang w:eastAsia="en-AU"/>
              </w:rPr>
              <w:t>a)(b)</w:t>
            </w:r>
            <w:r>
              <w:rPr>
                <w:rFonts w:eastAsiaTheme="minorEastAsia"/>
                <w:vertAlign w:val="superscript"/>
                <w:lang w:eastAsia="en-AU"/>
              </w:rPr>
              <w:t>(c)</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8 368.8</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8 317.6</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7 069.6</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7 040.1</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Cost of goods sold</w:t>
            </w:r>
            <w:r w:rsidRPr="00E96950">
              <w:rPr>
                <w:rFonts w:eastAsiaTheme="minorEastAsia"/>
                <w:vertAlign w:val="superscript"/>
                <w:lang w:eastAsia="en-AU"/>
              </w:rPr>
              <w:t xml:space="preserve"> (</w:t>
            </w:r>
            <w:r w:rsidRPr="00A10A3B">
              <w:rPr>
                <w:rFonts w:eastAsiaTheme="minorEastAsia"/>
                <w:vertAlign w:val="superscript"/>
                <w:lang w:eastAsia="en-AU"/>
              </w:rPr>
              <w:t>b)</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351.6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388.3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125.5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148.1</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Finance expenses and fees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457.3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429.8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29.5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24.3</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Purchase of services</w:t>
            </w:r>
            <w:r w:rsidRPr="00E96950">
              <w:rPr>
                <w:rFonts w:eastAsiaTheme="minorEastAsia"/>
                <w:vertAlign w:val="superscript"/>
                <w:lang w:eastAsia="en-AU"/>
              </w:rPr>
              <w:t xml:space="preserve"> (</w:t>
            </w:r>
            <w:r>
              <w:rPr>
                <w:rFonts w:eastAsiaTheme="minorEastAsia"/>
                <w:vertAlign w:val="superscript"/>
                <w:lang w:eastAsia="en-AU"/>
              </w:rPr>
              <w:t>a)(b)(d</w:t>
            </w:r>
            <w:r w:rsidRPr="00A10A3B">
              <w:rPr>
                <w:rFonts w:eastAsiaTheme="minorEastAsia"/>
                <w:vertAlign w:val="superscript"/>
                <w:lang w:eastAsia="en-AU"/>
              </w:rPr>
              <w:t>)</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8 727.1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8 550.1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7 975.4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7 810.4</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Insurance claims expense</w:t>
            </w:r>
            <w:r w:rsidRPr="00E96950">
              <w:rPr>
                <w:rFonts w:eastAsiaTheme="minorEastAsia"/>
                <w:vertAlign w:val="superscript"/>
                <w:lang w:eastAsia="en-AU"/>
              </w:rPr>
              <w:t xml:space="preserve"> (</w:t>
            </w:r>
            <w:r w:rsidRPr="001833D9">
              <w:rPr>
                <w:rFonts w:eastAsiaTheme="minorEastAsia"/>
                <w:vertAlign w:val="superscript"/>
                <w:lang w:eastAsia="en-AU"/>
              </w:rPr>
              <w:t>b)</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4 621.3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4 587.1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119.1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101.0</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Maintenance</w:t>
            </w:r>
            <w:r w:rsidRPr="00E96950">
              <w:rPr>
                <w:rFonts w:eastAsiaTheme="minorEastAsia"/>
                <w:vertAlign w:val="superscript"/>
                <w:lang w:eastAsia="en-AU"/>
              </w:rPr>
              <w:t xml:space="preserve"> (</w:t>
            </w:r>
            <w:r w:rsidRPr="001833D9">
              <w:rPr>
                <w:rFonts w:eastAsiaTheme="minorEastAsia"/>
                <w:vertAlign w:val="superscript"/>
                <w:lang w:eastAsia="en-AU"/>
              </w:rPr>
              <w:t>b)</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1 284.7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1 150.9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698.4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671.3</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Operating lease payments</w:t>
            </w:r>
            <w:r w:rsidRPr="00E96950">
              <w:rPr>
                <w:rFonts w:eastAsiaTheme="minorEastAsia"/>
                <w:vertAlign w:val="superscript"/>
                <w:lang w:eastAsia="en-AU"/>
              </w:rPr>
              <w:t xml:space="preserve"> (</w:t>
            </w:r>
            <w:r w:rsidRPr="00D05DB1">
              <w:rPr>
                <w:rFonts w:eastAsiaTheme="minorEastAsia"/>
                <w:vertAlign w:val="superscript"/>
                <w:lang w:eastAsia="en-AU"/>
              </w:rPr>
              <w:t>b)</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398.6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402.9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327.0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330.3</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1 334.9</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1 258.2</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1 306.3</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1 234.6</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other operating expenses</w:t>
            </w:r>
            <w:r w:rsidRPr="00E96950">
              <w:rPr>
                <w:rFonts w:eastAsiaTheme="minorEastAsia"/>
                <w:b/>
                <w:bCs/>
                <w:vertAlign w:val="superscript"/>
                <w:lang w:eastAsia="en-AU"/>
              </w:rPr>
              <w:t xml:space="preserve"> (</w:t>
            </w:r>
            <w:r w:rsidRPr="00D05DB1">
              <w:rPr>
                <w:rFonts w:eastAsiaTheme="minorEastAsia"/>
                <w:b/>
                <w:bCs/>
                <w:vertAlign w:val="superscript"/>
                <w:lang w:eastAsia="en-AU"/>
              </w:rPr>
              <w:t>c)</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25 544.4</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25 084.9</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17 650.8</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17 360.1</w:t>
            </w:r>
          </w:p>
        </w:tc>
      </w:tr>
    </w:tbl>
    <w:p w:rsidR="00336793" w:rsidRDefault="00336793" w:rsidP="00DF0B96">
      <w:pPr>
        <w:pStyle w:val="Notes"/>
      </w:pPr>
      <w:bookmarkStart w:id="56" w:name="_Toc400040260"/>
      <w:r>
        <w:t>Notes:</w:t>
      </w:r>
    </w:p>
    <w:p w:rsidR="00336793" w:rsidRDefault="00336793" w:rsidP="00DF0B96">
      <w:pPr>
        <w:pStyle w:val="Notes"/>
      </w:pPr>
      <w:r>
        <w:t>(a)</w:t>
      </w:r>
      <w:r>
        <w:tab/>
        <w:t>Further disclosure on purchase of supplies and consumables and purchase of services by department is available on the Department of Treasury and Finance’s website. This further disclosure is not subject to audit by the Victorian Auditor</w:t>
      </w:r>
      <w:r>
        <w:noBreakHyphen/>
        <w:t xml:space="preserve">General’s Office. </w:t>
      </w:r>
    </w:p>
    <w:p w:rsidR="00336793" w:rsidRDefault="00336793" w:rsidP="00DF0B96">
      <w:pPr>
        <w:pStyle w:val="Notes"/>
      </w:pPr>
      <w:r>
        <w:t>(b)</w:t>
      </w:r>
      <w:r>
        <w:tab/>
        <w:t>June 2014 comparatives have been reclassified to reflect more current information.</w:t>
      </w:r>
    </w:p>
    <w:p w:rsidR="00336793" w:rsidRDefault="00336793" w:rsidP="00DF0B96">
      <w:pPr>
        <w:pStyle w:val="Notes"/>
      </w:pPr>
      <w:r>
        <w:t>(c)</w:t>
      </w:r>
      <w:r>
        <w:tab/>
        <w:t>June 2014 comparative figures have been restated. See Note 37</w:t>
      </w:r>
      <w:r w:rsidRPr="006A75A2">
        <w:t>.</w:t>
      </w:r>
    </w:p>
    <w:p w:rsidR="00336793" w:rsidRDefault="00336793" w:rsidP="00DF0B96">
      <w:pPr>
        <w:pStyle w:val="Notes"/>
      </w:pPr>
      <w:r>
        <w:t>(d)</w:t>
      </w:r>
      <w:r>
        <w:tab/>
        <w:t>Includes audit fees of $374 000 ($365 000 in 2014) paid or payable to the Victorian Auditor</w:t>
      </w:r>
      <w:r>
        <w:noBreakHyphen/>
        <w:t>General’s Office for the audit of the Annual Financial Report of the State of Victoria.</w:t>
      </w:r>
    </w:p>
    <w:p w:rsidR="00336793" w:rsidRPr="001B6DC1" w:rsidRDefault="00336793" w:rsidP="00DF0B96">
      <w:pPr>
        <w:pStyle w:val="Notes"/>
      </w:pPr>
    </w:p>
    <w:p w:rsidR="00336793" w:rsidRDefault="00336793" w:rsidP="00DF0B96"/>
    <w:p w:rsidR="00336793" w:rsidRPr="006A75A2" w:rsidRDefault="00336793" w:rsidP="00DF0B96">
      <w:pPr>
        <w:pStyle w:val="Heading2Notes"/>
        <w:rPr>
          <w:kern w:val="0"/>
        </w:rPr>
      </w:pPr>
      <w:bookmarkStart w:id="57" w:name="_Toc433984496"/>
      <w:r w:rsidRPr="006A75A2">
        <w:rPr>
          <w:kern w:val="0"/>
        </w:rPr>
        <w:t>Note 13:</w:t>
      </w:r>
      <w:r w:rsidRPr="006A75A2">
        <w:rPr>
          <w:kern w:val="0"/>
        </w:rPr>
        <w:tab/>
        <w:t>Expenses by government purpose and by department</w:t>
      </w:r>
      <w:bookmarkEnd w:id="56"/>
      <w:bookmarkEnd w:id="57"/>
    </w:p>
    <w:p w:rsidR="00336793" w:rsidRPr="006A75A2" w:rsidRDefault="00336793" w:rsidP="00DF0B96">
      <w:pPr>
        <w:pStyle w:val="Heading5"/>
        <w:rPr>
          <w:vertAlign w:val="superscript"/>
        </w:rPr>
      </w:pPr>
      <w:r w:rsidRPr="006A75A2">
        <w:t xml:space="preserve">(a) </w:t>
      </w:r>
      <w:r w:rsidRPr="006A75A2">
        <w:tab/>
        <w:t>Expenses by government purposes classification</w:t>
      </w:r>
      <w:r w:rsidRPr="006A75A2">
        <w:rPr>
          <w:vertAlign w:val="superscript"/>
        </w:rPr>
        <w:t>(a)</w:t>
      </w:r>
      <w:r>
        <w:rPr>
          <w:vertAlign w:val="superscript"/>
        </w:rPr>
        <w:t>(b)</w:t>
      </w:r>
    </w:p>
    <w:p w:rsidR="00336793" w:rsidRPr="00897906"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897906" w:rsidTr="00DF0B96">
        <w:tc>
          <w:tcPr>
            <w:tcW w:w="5157" w:type="dxa"/>
            <w:tcBorders>
              <w:top w:val="single" w:sz="6" w:space="0" w:color="auto"/>
              <w:left w:val="single" w:sz="6" w:space="0" w:color="auto"/>
              <w:bottom w:val="nil"/>
              <w:right w:val="nil"/>
            </w:tcBorders>
            <w:shd w:val="clear" w:color="000000" w:fill="000000"/>
          </w:tcPr>
          <w:p w:rsidR="00336793" w:rsidRPr="00897906" w:rsidRDefault="00336793" w:rsidP="00DF0B96">
            <w:pPr>
              <w:pStyle w:val="Tabletext"/>
              <w:rPr>
                <w:rFonts w:eastAsiaTheme="minorEastAsia"/>
                <w:i/>
                <w:lang w:eastAsia="en-AU"/>
              </w:rPr>
            </w:pPr>
            <w:r w:rsidRPr="00897906">
              <w:rPr>
                <w:rFonts w:eastAsiaTheme="minorEastAsia"/>
                <w:i/>
                <w:lang w:eastAsia="en-AU"/>
              </w:rPr>
              <w:t xml:space="preserve"> </w:t>
            </w:r>
          </w:p>
        </w:tc>
        <w:tc>
          <w:tcPr>
            <w:tcW w:w="260" w:type="dxa"/>
            <w:tcBorders>
              <w:top w:val="single" w:sz="6" w:space="0" w:color="auto"/>
              <w:left w:val="nil"/>
              <w:bottom w:val="nil"/>
              <w:right w:val="nil"/>
            </w:tcBorders>
            <w:shd w:val="clear" w:color="000000" w:fill="000000"/>
          </w:tcPr>
          <w:p w:rsidR="00336793" w:rsidRPr="00897906" w:rsidRDefault="00336793" w:rsidP="00DF0B96">
            <w:pPr>
              <w:pStyle w:val="TabletextheadingCentred"/>
              <w:rPr>
                <w:rFonts w:eastAsiaTheme="minorEastAsia"/>
                <w:lang w:eastAsia="en-AU"/>
              </w:rPr>
            </w:pPr>
            <w:r w:rsidRPr="00897906">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tcPr>
          <w:p w:rsidR="00336793" w:rsidRPr="00897906" w:rsidRDefault="00336793" w:rsidP="00DF0B96">
            <w:pPr>
              <w:pStyle w:val="TabletextheadingCentred"/>
              <w:rPr>
                <w:rFonts w:eastAsiaTheme="minorEastAsia"/>
                <w:lang w:eastAsia="en-AU"/>
              </w:rPr>
            </w:pPr>
          </w:p>
          <w:p w:rsidR="00336793" w:rsidRPr="00897906" w:rsidRDefault="00336793" w:rsidP="00DF0B96">
            <w:pPr>
              <w:pStyle w:val="TabletextheadingCentred"/>
              <w:rPr>
                <w:rFonts w:eastAsiaTheme="minorEastAsia"/>
                <w:lang w:eastAsia="en-AU"/>
              </w:rPr>
            </w:pPr>
            <w:r w:rsidRPr="00897906">
              <w:rPr>
                <w:rFonts w:eastAsiaTheme="minorEastAsia"/>
                <w:lang w:eastAsia="en-AU"/>
              </w:rPr>
              <w:t>State of Victoria</w:t>
            </w:r>
          </w:p>
        </w:tc>
        <w:tc>
          <w:tcPr>
            <w:tcW w:w="270" w:type="dxa"/>
            <w:tcBorders>
              <w:top w:val="single" w:sz="6" w:space="0" w:color="auto"/>
              <w:left w:val="nil"/>
              <w:bottom w:val="nil"/>
              <w:right w:val="nil"/>
            </w:tcBorders>
            <w:shd w:val="clear" w:color="000000" w:fill="000000"/>
          </w:tcPr>
          <w:p w:rsidR="00336793" w:rsidRPr="00897906" w:rsidRDefault="00336793" w:rsidP="00DF0B96">
            <w:pPr>
              <w:pStyle w:val="TabletextheadingCentred"/>
              <w:rPr>
                <w:rFonts w:eastAsiaTheme="minorEastAsia"/>
                <w:lang w:eastAsia="en-AU"/>
              </w:rPr>
            </w:pPr>
            <w:r w:rsidRPr="00897906">
              <w:rPr>
                <w:rFonts w:eastAsiaTheme="minorEastAsia"/>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tcPr>
          <w:p w:rsidR="00336793" w:rsidRPr="00897906" w:rsidRDefault="00336793" w:rsidP="00DF0B96">
            <w:pPr>
              <w:pStyle w:val="TabletextheadingCentred"/>
              <w:rPr>
                <w:rFonts w:eastAsiaTheme="minorEastAsia"/>
                <w:lang w:eastAsia="en-AU"/>
              </w:rPr>
            </w:pPr>
            <w:r w:rsidRPr="00897906">
              <w:rPr>
                <w:rFonts w:eastAsiaTheme="minorEastAsia"/>
                <w:lang w:eastAsia="en-AU"/>
              </w:rPr>
              <w:t xml:space="preserve">General </w:t>
            </w:r>
          </w:p>
          <w:p w:rsidR="00336793" w:rsidRPr="00897906" w:rsidRDefault="00336793" w:rsidP="00DF0B96">
            <w:pPr>
              <w:pStyle w:val="TabletextheadingCentred"/>
              <w:rPr>
                <w:rFonts w:eastAsiaTheme="minorEastAsia"/>
                <w:lang w:eastAsia="en-AU"/>
              </w:rPr>
            </w:pPr>
            <w:r w:rsidRPr="00897906">
              <w:rPr>
                <w:rFonts w:eastAsiaTheme="minorEastAsia"/>
                <w:lang w:eastAsia="en-AU"/>
              </w:rPr>
              <w:t>government sector</w:t>
            </w:r>
          </w:p>
        </w:tc>
      </w:tr>
      <w:tr w:rsidR="00336793" w:rsidRPr="00897906" w:rsidTr="00DF0B96">
        <w:tc>
          <w:tcPr>
            <w:tcW w:w="5157" w:type="dxa"/>
            <w:tcBorders>
              <w:top w:val="nil"/>
              <w:left w:val="single" w:sz="6" w:space="0" w:color="auto"/>
              <w:bottom w:val="single" w:sz="6" w:space="0" w:color="auto"/>
              <w:right w:val="nil"/>
            </w:tcBorders>
            <w:shd w:val="clear" w:color="000000" w:fill="000000"/>
          </w:tcPr>
          <w:p w:rsidR="00336793" w:rsidRPr="00897906" w:rsidRDefault="00336793" w:rsidP="00DF0B96">
            <w:pPr>
              <w:pStyle w:val="Tabletext"/>
              <w:rPr>
                <w:rFonts w:eastAsiaTheme="minorEastAsia"/>
                <w:i/>
                <w:lang w:eastAsia="en-AU"/>
              </w:rPr>
            </w:pPr>
            <w:r w:rsidRPr="00897906">
              <w:rPr>
                <w:rFonts w:eastAsiaTheme="minorEastAsia"/>
                <w:i/>
                <w:lang w:eastAsia="en-AU"/>
              </w:rPr>
              <w:t xml:space="preserve"> </w:t>
            </w:r>
          </w:p>
        </w:tc>
        <w:tc>
          <w:tcPr>
            <w:tcW w:w="1120" w:type="dxa"/>
            <w:gridSpan w:val="2"/>
            <w:tcBorders>
              <w:top w:val="nil"/>
              <w:left w:val="nil"/>
              <w:bottom w:val="single" w:sz="6" w:space="0" w:color="auto"/>
              <w:right w:val="nil"/>
            </w:tcBorders>
            <w:shd w:val="clear" w:color="000000" w:fill="000000"/>
          </w:tcPr>
          <w:p w:rsidR="00336793" w:rsidRPr="00897906" w:rsidRDefault="00336793" w:rsidP="00DF0B96">
            <w:pPr>
              <w:pStyle w:val="Tabletextheading"/>
              <w:rPr>
                <w:rFonts w:eastAsiaTheme="minorEastAsia"/>
                <w:color w:val="FFFFFF"/>
                <w:lang w:eastAsia="en-AU"/>
              </w:rPr>
            </w:pPr>
            <w:r w:rsidRPr="00897906">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tcPr>
          <w:p w:rsidR="00336793" w:rsidRPr="00897906" w:rsidRDefault="00336793" w:rsidP="00DF0B96">
            <w:pPr>
              <w:pStyle w:val="Tabletextheading"/>
              <w:rPr>
                <w:rFonts w:eastAsiaTheme="minorEastAsia"/>
                <w:color w:val="FFFFFF"/>
                <w:lang w:eastAsia="en-AU"/>
              </w:rPr>
            </w:pPr>
            <w:r w:rsidRPr="00897906">
              <w:rPr>
                <w:rFonts w:eastAsiaTheme="minorEastAsia"/>
                <w:color w:val="FFFFFF"/>
                <w:lang w:eastAsia="en-AU"/>
              </w:rPr>
              <w:t>2014</w:t>
            </w:r>
          </w:p>
        </w:tc>
        <w:tc>
          <w:tcPr>
            <w:tcW w:w="1120" w:type="dxa"/>
            <w:gridSpan w:val="2"/>
            <w:tcBorders>
              <w:top w:val="nil"/>
              <w:left w:val="nil"/>
              <w:bottom w:val="single" w:sz="6" w:space="0" w:color="auto"/>
              <w:right w:val="nil"/>
            </w:tcBorders>
            <w:shd w:val="clear" w:color="000000" w:fill="000000"/>
          </w:tcPr>
          <w:p w:rsidR="00336793" w:rsidRPr="00897906" w:rsidRDefault="00336793" w:rsidP="00DF0B96">
            <w:pPr>
              <w:pStyle w:val="Tabletextheading"/>
              <w:rPr>
                <w:rFonts w:eastAsiaTheme="minorEastAsia"/>
                <w:color w:val="FFFFFF"/>
                <w:lang w:eastAsia="en-AU"/>
              </w:rPr>
            </w:pPr>
            <w:r w:rsidRPr="00897906">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897906" w:rsidRDefault="00336793" w:rsidP="00DF0B96">
            <w:pPr>
              <w:pStyle w:val="Tabletextheading"/>
              <w:rPr>
                <w:rFonts w:eastAsiaTheme="minorEastAsia"/>
                <w:color w:val="FFFFFF"/>
                <w:lang w:eastAsia="en-AU"/>
              </w:rPr>
            </w:pPr>
            <w:r w:rsidRPr="00897906">
              <w:rPr>
                <w:rFonts w:eastAsiaTheme="minorEastAsia"/>
                <w:color w:val="FFFFFF"/>
                <w:lang w:eastAsia="en-AU"/>
              </w:rPr>
              <w:t>2014</w:t>
            </w:r>
          </w:p>
        </w:tc>
      </w:tr>
      <w:tr w:rsidR="00336793" w:rsidRPr="00897906" w:rsidTr="00DF0B96">
        <w:tc>
          <w:tcPr>
            <w:tcW w:w="5157" w:type="dxa"/>
            <w:tcBorders>
              <w:top w:val="single" w:sz="6" w:space="0" w:color="auto"/>
              <w:left w:val="nil"/>
              <w:bottom w:val="nil"/>
              <w:right w:val="nil"/>
            </w:tcBorders>
          </w:tcPr>
          <w:p w:rsidR="00336793" w:rsidRPr="00897906" w:rsidRDefault="00336793" w:rsidP="00DF0B96">
            <w:pPr>
              <w:pStyle w:val="Tabletext"/>
              <w:rPr>
                <w:vertAlign w:val="superscript"/>
              </w:rPr>
            </w:pPr>
            <w:r w:rsidRPr="00897906">
              <w:rPr>
                <w:rFonts w:eastAsiaTheme="minorEastAsia"/>
                <w:lang w:eastAsia="en-AU"/>
              </w:rPr>
              <w:t>General public services</w:t>
            </w:r>
            <w:r w:rsidRPr="00E96950">
              <w:rPr>
                <w:vertAlign w:val="superscript"/>
              </w:rPr>
              <w:t xml:space="preserve"> (</w:t>
            </w:r>
            <w:r w:rsidRPr="00897906">
              <w:rPr>
                <w:vertAlign w:val="superscript"/>
              </w:rPr>
              <w:t>b)</w:t>
            </w:r>
          </w:p>
        </w:tc>
        <w:tc>
          <w:tcPr>
            <w:tcW w:w="1120" w:type="dxa"/>
            <w:gridSpan w:val="2"/>
            <w:tcBorders>
              <w:top w:val="single" w:sz="6" w:space="0" w:color="auto"/>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5 653.8</w:t>
            </w:r>
          </w:p>
        </w:tc>
        <w:tc>
          <w:tcPr>
            <w:tcW w:w="1120" w:type="dxa"/>
            <w:tcBorders>
              <w:top w:val="single" w:sz="6" w:space="0" w:color="auto"/>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5 016.5</w:t>
            </w:r>
          </w:p>
        </w:tc>
        <w:tc>
          <w:tcPr>
            <w:tcW w:w="1120" w:type="dxa"/>
            <w:gridSpan w:val="2"/>
            <w:tcBorders>
              <w:top w:val="single" w:sz="6" w:space="0" w:color="auto"/>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2 428.3</w:t>
            </w:r>
          </w:p>
        </w:tc>
        <w:tc>
          <w:tcPr>
            <w:tcW w:w="1120" w:type="dxa"/>
            <w:tcBorders>
              <w:top w:val="single" w:sz="6" w:space="0" w:color="auto"/>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1 811.5</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Public order and safety</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5 665.8</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5 430.6</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5 769.1</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5 508.5</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cs="Calibri"/>
                <w:color w:val="000000"/>
                <w:vertAlign w:val="superscript"/>
                <w:lang w:eastAsia="en-AU"/>
              </w:rPr>
            </w:pPr>
            <w:r w:rsidRPr="00897906">
              <w:rPr>
                <w:rFonts w:eastAsiaTheme="minorEastAsia"/>
                <w:lang w:eastAsia="en-AU"/>
              </w:rPr>
              <w:t>Education</w:t>
            </w:r>
            <w:r w:rsidRPr="00E96950">
              <w:rPr>
                <w:rFonts w:eastAsiaTheme="minorEastAsia"/>
                <w:vertAlign w:val="superscript"/>
                <w:lang w:eastAsia="en-AU"/>
              </w:rPr>
              <w:t xml:space="preserve"> (</w:t>
            </w:r>
            <w:r w:rsidRPr="00897906">
              <w:rPr>
                <w:rFonts w:eastAsiaTheme="minorEastAsia" w:cs="Calibri"/>
                <w:color w:val="000000"/>
                <w:vertAlign w:val="superscript"/>
                <w:lang w:eastAsia="en-AU"/>
              </w:rPr>
              <w:t>c)</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12 910.9</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12 778.9</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12 973.8</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12 628.8</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cs="Calibri"/>
                <w:color w:val="000000"/>
                <w:sz w:val="18"/>
                <w:vertAlign w:val="superscript"/>
                <w:lang w:eastAsia="en-AU"/>
              </w:rPr>
            </w:pPr>
            <w:r w:rsidRPr="00897906">
              <w:rPr>
                <w:rFonts w:eastAsiaTheme="minorEastAsia"/>
                <w:lang w:eastAsia="en-AU"/>
              </w:rPr>
              <w:t>Health</w:t>
            </w:r>
            <w:r w:rsidRPr="00E96950">
              <w:rPr>
                <w:rFonts w:eastAsiaTheme="minorEastAsia"/>
                <w:vertAlign w:val="superscript"/>
                <w:lang w:eastAsia="en-AU"/>
              </w:rPr>
              <w:t xml:space="preserve"> (</w:t>
            </w:r>
            <w:r w:rsidRPr="00897906">
              <w:rPr>
                <w:rFonts w:eastAsiaTheme="minorEastAsia" w:cs="Calibri"/>
                <w:color w:val="000000"/>
                <w:vertAlign w:val="superscript"/>
                <w:lang w:eastAsia="en-AU"/>
              </w:rPr>
              <w:t>c)</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14 259.9</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13 695.4</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14 369.8</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13 811.5</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cs="Calibri"/>
                <w:color w:val="000000"/>
                <w:sz w:val="18"/>
                <w:vertAlign w:val="superscript"/>
                <w:lang w:eastAsia="en-AU"/>
              </w:rPr>
            </w:pPr>
            <w:r w:rsidRPr="00897906">
              <w:rPr>
                <w:rFonts w:eastAsiaTheme="minorEastAsia"/>
                <w:lang w:eastAsia="en-AU"/>
              </w:rPr>
              <w:t>Social security and welfare</w:t>
            </w:r>
            <w:r w:rsidRPr="00E96950">
              <w:rPr>
                <w:rFonts w:eastAsiaTheme="minorEastAsia"/>
                <w:vertAlign w:val="superscript"/>
                <w:lang w:eastAsia="en-AU"/>
              </w:rPr>
              <w:t xml:space="preserve"> (</w:t>
            </w:r>
            <w:r w:rsidRPr="00897906">
              <w:rPr>
                <w:rFonts w:eastAsiaTheme="minorEastAsia" w:cs="Calibri"/>
                <w:color w:val="000000"/>
                <w:vertAlign w:val="superscript"/>
                <w:lang w:eastAsia="en-AU"/>
              </w:rPr>
              <w:t>c)</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4 225.7</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4 087.1</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4 254.9</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3 916.6</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Housing and community amenities</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6 292.9</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5 740.0</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2 948.2</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2 444.4</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Recreation and culture</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1 400.4</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1 439.7</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682.6</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687.0</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Fuel and energy</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138.0</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134.5</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130.4</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123.1</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 xml:space="preserve">Agriculture, forestry, fishing and hunting </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474.3</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474.4</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382.0</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377.8</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cs="Calibri"/>
                <w:color w:val="000000"/>
                <w:sz w:val="18"/>
                <w:vertAlign w:val="superscript"/>
                <w:lang w:eastAsia="en-AU"/>
              </w:rPr>
            </w:pPr>
            <w:r w:rsidRPr="00897906">
              <w:rPr>
                <w:rFonts w:eastAsiaTheme="minorEastAsia"/>
                <w:lang w:eastAsia="en-AU"/>
              </w:rPr>
              <w:t>Transport and communications</w:t>
            </w:r>
            <w:r w:rsidRPr="00E96950">
              <w:rPr>
                <w:rFonts w:eastAsiaTheme="minorEastAsia"/>
                <w:vertAlign w:val="superscript"/>
                <w:lang w:eastAsia="en-AU"/>
              </w:rPr>
              <w:t xml:space="preserve"> (</w:t>
            </w:r>
            <w:r w:rsidRPr="00897906">
              <w:rPr>
                <w:rFonts w:eastAsiaTheme="minorEastAsia" w:cs="Calibri"/>
                <w:color w:val="000000"/>
                <w:sz w:val="18"/>
                <w:vertAlign w:val="superscript"/>
                <w:lang w:eastAsia="en-AU"/>
              </w:rPr>
              <w:t>b)</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5 635.6</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4 915.7</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6 133.6</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5 961.4</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Other economic affairs</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1 020.9</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1 083.9</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1 108.9</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1 168.5</w:t>
            </w:r>
          </w:p>
        </w:tc>
      </w:tr>
      <w:tr w:rsidR="00336793" w:rsidRPr="00897906" w:rsidTr="00DF0B96">
        <w:tc>
          <w:tcPr>
            <w:tcW w:w="5157" w:type="dxa"/>
            <w:tcBorders>
              <w:top w:val="nil"/>
              <w:left w:val="nil"/>
              <w:bottom w:val="single" w:sz="6" w:space="0" w:color="auto"/>
              <w:right w:val="nil"/>
            </w:tcBorders>
          </w:tcPr>
          <w:p w:rsidR="00336793" w:rsidRPr="00897906" w:rsidRDefault="00336793" w:rsidP="00DF0B96">
            <w:pPr>
              <w:pStyle w:val="Tabletext"/>
              <w:rPr>
                <w:rFonts w:eastAsiaTheme="minorEastAsia"/>
                <w:vertAlign w:val="superscript"/>
                <w:lang w:eastAsia="en-AU"/>
              </w:rPr>
            </w:pPr>
            <w:r w:rsidRPr="00897906">
              <w:rPr>
                <w:rFonts w:eastAsiaTheme="minorEastAsia"/>
                <w:lang w:eastAsia="en-AU"/>
              </w:rPr>
              <w:t>Other purposes</w:t>
            </w:r>
            <w:r w:rsidRPr="00E96950">
              <w:rPr>
                <w:vertAlign w:val="superscript"/>
              </w:rPr>
              <w:t xml:space="preserve"> (</w:t>
            </w:r>
            <w:r w:rsidRPr="00897906">
              <w:rPr>
                <w:vertAlign w:val="superscript"/>
              </w:rPr>
              <w:t>b)</w:t>
            </w:r>
          </w:p>
        </w:tc>
        <w:tc>
          <w:tcPr>
            <w:tcW w:w="1120" w:type="dxa"/>
            <w:gridSpan w:val="2"/>
            <w:tcBorders>
              <w:top w:val="nil"/>
              <w:left w:val="nil"/>
              <w:bottom w:val="single" w:sz="6" w:space="0" w:color="auto"/>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3 986.5</w:t>
            </w:r>
          </w:p>
        </w:tc>
        <w:tc>
          <w:tcPr>
            <w:tcW w:w="1120" w:type="dxa"/>
            <w:tcBorders>
              <w:top w:val="nil"/>
              <w:left w:val="nil"/>
              <w:bottom w:val="single" w:sz="6" w:space="0" w:color="auto"/>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4 689.5</w:t>
            </w:r>
          </w:p>
        </w:tc>
        <w:tc>
          <w:tcPr>
            <w:tcW w:w="1120" w:type="dxa"/>
            <w:gridSpan w:val="2"/>
            <w:tcBorders>
              <w:top w:val="nil"/>
              <w:left w:val="nil"/>
              <w:bottom w:val="single" w:sz="6" w:space="0" w:color="auto"/>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1 376.4</w:t>
            </w:r>
          </w:p>
        </w:tc>
        <w:tc>
          <w:tcPr>
            <w:tcW w:w="1120" w:type="dxa"/>
            <w:tcBorders>
              <w:top w:val="nil"/>
              <w:left w:val="nil"/>
              <w:bottom w:val="single" w:sz="6" w:space="0" w:color="auto"/>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1 945.7</w:t>
            </w:r>
          </w:p>
        </w:tc>
      </w:tr>
      <w:tr w:rsidR="00336793" w:rsidRPr="00897906" w:rsidTr="00DF0B96">
        <w:tc>
          <w:tcPr>
            <w:tcW w:w="5157" w:type="dxa"/>
            <w:tcBorders>
              <w:top w:val="single" w:sz="6" w:space="0" w:color="auto"/>
              <w:left w:val="nil"/>
              <w:bottom w:val="single" w:sz="12" w:space="0" w:color="000000"/>
              <w:right w:val="nil"/>
            </w:tcBorders>
            <w:shd w:val="clear" w:color="auto" w:fill="auto"/>
          </w:tcPr>
          <w:p w:rsidR="00336793" w:rsidRPr="00897906" w:rsidRDefault="00336793" w:rsidP="00DF0B96">
            <w:pPr>
              <w:pStyle w:val="Tabletext"/>
              <w:rPr>
                <w:rFonts w:eastAsiaTheme="minorEastAsia" w:cs="Calibri"/>
                <w:b/>
                <w:bCs/>
                <w:color w:val="000000"/>
                <w:sz w:val="18"/>
                <w:vertAlign w:val="superscript"/>
                <w:lang w:eastAsia="en-AU"/>
              </w:rPr>
            </w:pPr>
            <w:r w:rsidRPr="00897906">
              <w:rPr>
                <w:rFonts w:eastAsiaTheme="minorEastAsia"/>
                <w:b/>
                <w:bCs/>
                <w:lang w:eastAsia="en-AU"/>
              </w:rPr>
              <w:t>Total expenses by government purpose classification</w:t>
            </w:r>
            <w:r w:rsidRPr="00E96950">
              <w:rPr>
                <w:rFonts w:eastAsiaTheme="minorEastAsia" w:cs="Calibri"/>
                <w:b/>
                <w:bCs/>
                <w:color w:val="000000"/>
                <w:szCs w:val="22"/>
                <w:vertAlign w:val="superscript"/>
                <w:lang w:eastAsia="en-AU"/>
              </w:rPr>
              <w:t xml:space="preserve"> (</w:t>
            </w:r>
            <w:r w:rsidRPr="00897906">
              <w:rPr>
                <w:rFonts w:eastAsiaTheme="minorEastAsia" w:cs="Calibri"/>
                <w:b/>
                <w:bCs/>
                <w:color w:val="000000"/>
                <w:szCs w:val="22"/>
                <w:vertAlign w:val="superscript"/>
                <w:lang w:eastAsia="en-AU"/>
              </w:rPr>
              <w:t>c</w:t>
            </w:r>
            <w:r w:rsidRPr="00897906">
              <w:rPr>
                <w:rFonts w:eastAsiaTheme="minorEastAsia" w:cs="Calibri"/>
                <w:b/>
                <w:bCs/>
                <w:color w:val="000000"/>
                <w:vertAlign w:val="superscript"/>
                <w:lang w:eastAsia="en-AU"/>
              </w:rPr>
              <w:t>)</w:t>
            </w:r>
          </w:p>
        </w:tc>
        <w:tc>
          <w:tcPr>
            <w:tcW w:w="1120" w:type="dxa"/>
            <w:gridSpan w:val="2"/>
            <w:tcBorders>
              <w:top w:val="single" w:sz="6" w:space="0" w:color="auto"/>
              <w:left w:val="nil"/>
              <w:bottom w:val="single" w:sz="12" w:space="0" w:color="000000"/>
              <w:right w:val="nil"/>
            </w:tcBorders>
            <w:shd w:val="clear" w:color="auto" w:fill="auto"/>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61 664.7</w:t>
            </w:r>
          </w:p>
        </w:tc>
        <w:tc>
          <w:tcPr>
            <w:tcW w:w="1120" w:type="dxa"/>
            <w:tcBorders>
              <w:top w:val="single" w:sz="6" w:space="0" w:color="auto"/>
              <w:left w:val="nil"/>
              <w:bottom w:val="single" w:sz="12" w:space="0" w:color="000000"/>
              <w:right w:val="nil"/>
            </w:tcBorders>
            <w:shd w:val="clear" w:color="auto" w:fill="auto"/>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59 486.2</w:t>
            </w:r>
          </w:p>
        </w:tc>
        <w:tc>
          <w:tcPr>
            <w:tcW w:w="1120" w:type="dxa"/>
            <w:gridSpan w:val="2"/>
            <w:tcBorders>
              <w:top w:val="single" w:sz="6" w:space="0" w:color="auto"/>
              <w:left w:val="nil"/>
              <w:bottom w:val="single" w:sz="12" w:space="0" w:color="000000"/>
              <w:right w:val="nil"/>
            </w:tcBorders>
            <w:shd w:val="clear" w:color="auto" w:fill="auto"/>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52 558.0</w:t>
            </w:r>
          </w:p>
        </w:tc>
        <w:tc>
          <w:tcPr>
            <w:tcW w:w="1120" w:type="dxa"/>
            <w:tcBorders>
              <w:top w:val="single" w:sz="6" w:space="0" w:color="auto"/>
              <w:left w:val="nil"/>
              <w:bottom w:val="single" w:sz="12" w:space="0" w:color="000000"/>
              <w:right w:val="nil"/>
            </w:tcBorders>
            <w:shd w:val="clear" w:color="auto" w:fill="auto"/>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50 384.9</w:t>
            </w:r>
          </w:p>
        </w:tc>
      </w:tr>
    </w:tbl>
    <w:p w:rsidR="00336793" w:rsidRPr="006A75A2" w:rsidRDefault="00336793" w:rsidP="00DF0B96">
      <w:pPr>
        <w:pStyle w:val="Notes"/>
      </w:pPr>
      <w:r w:rsidRPr="006A75A2">
        <w:t>Notes:</w:t>
      </w:r>
    </w:p>
    <w:p w:rsidR="00336793" w:rsidRPr="006A75A2" w:rsidRDefault="00336793" w:rsidP="00DF0B96">
      <w:pPr>
        <w:pStyle w:val="Notes"/>
      </w:pPr>
      <w:r w:rsidRPr="006A75A2">
        <w:t>(a)</w:t>
      </w:r>
      <w:r w:rsidRPr="006A75A2">
        <w:tab/>
        <w:t>Note 41 provides definitions and descriptions of government purpose classifications.</w:t>
      </w:r>
    </w:p>
    <w:p w:rsidR="00336793" w:rsidRDefault="00336793" w:rsidP="00DF0B96">
      <w:pPr>
        <w:pStyle w:val="Notes"/>
      </w:pPr>
      <w:r w:rsidRPr="006A75A2">
        <w:t>(b)</w:t>
      </w:r>
      <w:r w:rsidRPr="006A75A2">
        <w:tab/>
      </w:r>
      <w:r>
        <w:t>J</w:t>
      </w:r>
      <w:r w:rsidRPr="00752BD3">
        <w:t>une 2014 comparative figures have been re</w:t>
      </w:r>
      <w:r>
        <w:t>classified</w:t>
      </w:r>
      <w:r w:rsidRPr="00752BD3">
        <w:t xml:space="preserve"> to reflect more current information.</w:t>
      </w:r>
    </w:p>
    <w:p w:rsidR="00336793" w:rsidRDefault="00336793" w:rsidP="00DF0B96">
      <w:pPr>
        <w:pStyle w:val="Notes"/>
      </w:pPr>
      <w:r>
        <w:t>(c)</w:t>
      </w:r>
      <w:r>
        <w:tab/>
        <w:t>June 2014 comparative figures have been restated. See Note 37</w:t>
      </w:r>
      <w:r w:rsidRPr="006A75A2">
        <w:t>.</w:t>
      </w:r>
    </w:p>
    <w:p w:rsidR="00336793" w:rsidRDefault="00336793" w:rsidP="00DF0B96">
      <w:pPr>
        <w:pStyle w:val="Notes"/>
      </w:pPr>
    </w:p>
    <w:p w:rsidR="00336793" w:rsidRPr="006E1EE3" w:rsidRDefault="00336793" w:rsidP="00DF0B96">
      <w:pPr>
        <w:pStyle w:val="Notes"/>
      </w:pPr>
    </w:p>
    <w:p w:rsidR="00336793" w:rsidRDefault="00336793">
      <w:pPr>
        <w:spacing w:after="0"/>
        <w:rPr>
          <w:rFonts w:ascii="Calibri" w:hAnsi="Calibri"/>
          <w:b/>
        </w:rPr>
      </w:pPr>
      <w:r>
        <w:br w:type="page"/>
      </w:r>
    </w:p>
    <w:p w:rsidR="00336793" w:rsidRPr="001C4735" w:rsidRDefault="00336793" w:rsidP="00DF0B96">
      <w:pPr>
        <w:pStyle w:val="Heading2NotesContd"/>
        <w:rPr>
          <w:i/>
        </w:rPr>
      </w:pPr>
      <w:r w:rsidRPr="006A75A2">
        <w:lastRenderedPageBreak/>
        <w:t>Note 13:</w:t>
      </w:r>
      <w:r w:rsidRPr="006A75A2">
        <w:tab/>
        <w:t>Expenses by government purpose and by department</w:t>
      </w:r>
      <w:r>
        <w:t xml:space="preserve"> </w:t>
      </w:r>
      <w:r>
        <w:rPr>
          <w:i/>
        </w:rPr>
        <w:t>(continued)</w:t>
      </w:r>
    </w:p>
    <w:p w:rsidR="00336793" w:rsidRPr="00101FA4" w:rsidRDefault="00336793" w:rsidP="00DF0B96">
      <w:pPr>
        <w:pStyle w:val="Heading5"/>
        <w:rPr>
          <w:vertAlign w:val="superscript"/>
        </w:rPr>
      </w:pPr>
      <w:r w:rsidRPr="006A75A2">
        <w:t xml:space="preserve">(b) </w:t>
      </w:r>
      <w:r w:rsidRPr="006A75A2">
        <w:tab/>
        <w:t>Expenses by department</w:t>
      </w:r>
      <w:r w:rsidRPr="00DB180A">
        <w:rPr>
          <w:vertAlign w:val="superscript"/>
        </w:rPr>
        <w:t xml:space="preserve"> (</w:t>
      </w:r>
      <w:r>
        <w:rPr>
          <w:vertAlign w:val="superscript"/>
        </w:rPr>
        <w:t>a)</w:t>
      </w:r>
    </w:p>
    <w:p w:rsidR="00336793" w:rsidRPr="00897906"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897906" w:rsidTr="00DF0B96">
        <w:tc>
          <w:tcPr>
            <w:tcW w:w="5157" w:type="dxa"/>
            <w:tcBorders>
              <w:top w:val="single" w:sz="6" w:space="0" w:color="auto"/>
              <w:left w:val="single" w:sz="6" w:space="0" w:color="auto"/>
              <w:bottom w:val="nil"/>
              <w:right w:val="nil"/>
            </w:tcBorders>
            <w:shd w:val="clear" w:color="000000" w:fill="000000"/>
          </w:tcPr>
          <w:p w:rsidR="00336793" w:rsidRPr="00897906" w:rsidRDefault="00336793" w:rsidP="00DF0B96">
            <w:pPr>
              <w:pStyle w:val="Tabletext"/>
              <w:rPr>
                <w:rFonts w:eastAsiaTheme="minorEastAsia"/>
                <w:i/>
                <w:lang w:eastAsia="en-AU"/>
              </w:rPr>
            </w:pPr>
            <w:r w:rsidRPr="00897906">
              <w:rPr>
                <w:rFonts w:eastAsiaTheme="minorEastAsia"/>
                <w:i/>
                <w:lang w:eastAsia="en-AU"/>
              </w:rPr>
              <w:t xml:space="preserve"> </w:t>
            </w:r>
          </w:p>
        </w:tc>
        <w:tc>
          <w:tcPr>
            <w:tcW w:w="260" w:type="dxa"/>
            <w:tcBorders>
              <w:top w:val="single" w:sz="6" w:space="0" w:color="auto"/>
              <w:left w:val="nil"/>
              <w:bottom w:val="nil"/>
              <w:right w:val="nil"/>
            </w:tcBorders>
            <w:shd w:val="clear" w:color="000000" w:fill="000000"/>
          </w:tcPr>
          <w:p w:rsidR="00336793" w:rsidRPr="00897906" w:rsidRDefault="00336793" w:rsidP="00DF0B96">
            <w:pPr>
              <w:pStyle w:val="Tabletextheading"/>
              <w:jc w:val="center"/>
              <w:rPr>
                <w:rFonts w:eastAsiaTheme="minorEastAsia" w:cs="Calibri"/>
                <w:iCs/>
                <w:color w:val="FFFFFF"/>
                <w:lang w:eastAsia="en-AU"/>
              </w:rPr>
            </w:pPr>
            <w:r w:rsidRPr="00897906">
              <w:rPr>
                <w:rFonts w:eastAsiaTheme="minorEastAsia"/>
                <w:color w:val="FFFFFF"/>
                <w:lang w:eastAsia="en-AU"/>
              </w:rPr>
              <w:t xml:space="preserve"> </w:t>
            </w:r>
          </w:p>
        </w:tc>
        <w:tc>
          <w:tcPr>
            <w:tcW w:w="1980" w:type="dxa"/>
            <w:gridSpan w:val="2"/>
            <w:tcBorders>
              <w:top w:val="single" w:sz="6" w:space="0" w:color="auto"/>
              <w:left w:val="nil"/>
              <w:bottom w:val="nil"/>
              <w:right w:val="nil"/>
            </w:tcBorders>
            <w:shd w:val="clear" w:color="000000" w:fill="000000"/>
          </w:tcPr>
          <w:p w:rsidR="00336793" w:rsidRPr="00897906" w:rsidRDefault="00336793" w:rsidP="00DF0B96">
            <w:pPr>
              <w:pStyle w:val="Tabletextheading"/>
              <w:jc w:val="center"/>
              <w:rPr>
                <w:rFonts w:eastAsiaTheme="minorEastAsia"/>
                <w:color w:val="FFFFFF"/>
                <w:lang w:eastAsia="en-AU"/>
              </w:rPr>
            </w:pPr>
          </w:p>
          <w:p w:rsidR="00336793" w:rsidRPr="00897906" w:rsidRDefault="00336793" w:rsidP="00DF0B96">
            <w:pPr>
              <w:pStyle w:val="Tabletextheading"/>
              <w:jc w:val="center"/>
              <w:rPr>
                <w:rFonts w:eastAsiaTheme="minorEastAsia"/>
                <w:color w:val="FFFFFF"/>
                <w:lang w:eastAsia="en-AU"/>
              </w:rPr>
            </w:pPr>
            <w:r w:rsidRPr="00897906">
              <w:rPr>
                <w:rFonts w:eastAsiaTheme="minorEastAsia"/>
                <w:color w:val="FFFFFF"/>
                <w:lang w:eastAsia="en-AU"/>
              </w:rPr>
              <w:t>State of Victoria</w:t>
            </w:r>
          </w:p>
        </w:tc>
        <w:tc>
          <w:tcPr>
            <w:tcW w:w="270" w:type="dxa"/>
            <w:tcBorders>
              <w:top w:val="single" w:sz="6" w:space="0" w:color="auto"/>
              <w:left w:val="nil"/>
              <w:bottom w:val="nil"/>
              <w:right w:val="nil"/>
            </w:tcBorders>
            <w:shd w:val="clear" w:color="000000" w:fill="000000"/>
          </w:tcPr>
          <w:p w:rsidR="00336793" w:rsidRPr="00897906" w:rsidRDefault="00336793" w:rsidP="00DF0B96">
            <w:pPr>
              <w:pStyle w:val="Tabletextheading"/>
              <w:jc w:val="center"/>
              <w:rPr>
                <w:rFonts w:eastAsiaTheme="minorEastAsia" w:cs="Calibri"/>
                <w:iCs/>
                <w:color w:val="FFFFFF"/>
                <w:lang w:eastAsia="en-AU"/>
              </w:rPr>
            </w:pPr>
            <w:r w:rsidRPr="00897906">
              <w:rPr>
                <w:rFonts w:eastAsiaTheme="minorEastAsia"/>
                <w:color w:val="FFFFFF"/>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tcPr>
          <w:p w:rsidR="00336793" w:rsidRPr="00897906" w:rsidRDefault="00336793" w:rsidP="00DF0B96">
            <w:pPr>
              <w:pStyle w:val="Tabletextheading"/>
              <w:jc w:val="center"/>
              <w:rPr>
                <w:rFonts w:eastAsiaTheme="minorEastAsia" w:cs="Calibri"/>
                <w:iCs/>
                <w:color w:val="FFFFFF"/>
                <w:lang w:eastAsia="en-AU"/>
              </w:rPr>
            </w:pPr>
            <w:r w:rsidRPr="00897906">
              <w:rPr>
                <w:rFonts w:eastAsiaTheme="minorEastAsia"/>
                <w:color w:val="FFFFFF"/>
                <w:lang w:eastAsia="en-AU"/>
              </w:rPr>
              <w:t xml:space="preserve">General </w:t>
            </w:r>
          </w:p>
          <w:p w:rsidR="00336793" w:rsidRPr="00897906" w:rsidRDefault="00336793" w:rsidP="00DF0B96">
            <w:pPr>
              <w:pStyle w:val="Tabletextheading"/>
              <w:jc w:val="center"/>
              <w:rPr>
                <w:rFonts w:eastAsiaTheme="minorEastAsia"/>
                <w:color w:val="FFFFFF"/>
                <w:lang w:eastAsia="en-AU"/>
              </w:rPr>
            </w:pPr>
            <w:r w:rsidRPr="00897906">
              <w:rPr>
                <w:rFonts w:eastAsiaTheme="minorEastAsia"/>
                <w:color w:val="FFFFFF"/>
                <w:lang w:eastAsia="en-AU"/>
              </w:rPr>
              <w:t>government sector</w:t>
            </w:r>
          </w:p>
        </w:tc>
      </w:tr>
      <w:tr w:rsidR="00336793" w:rsidRPr="00897906" w:rsidTr="00DF0B96">
        <w:tc>
          <w:tcPr>
            <w:tcW w:w="5157" w:type="dxa"/>
            <w:tcBorders>
              <w:top w:val="nil"/>
              <w:left w:val="single" w:sz="6" w:space="0" w:color="auto"/>
              <w:bottom w:val="single" w:sz="6" w:space="0" w:color="auto"/>
              <w:right w:val="nil"/>
            </w:tcBorders>
            <w:shd w:val="clear" w:color="000000" w:fill="000000"/>
          </w:tcPr>
          <w:p w:rsidR="00336793" w:rsidRPr="00897906" w:rsidRDefault="00336793" w:rsidP="00DF0B96">
            <w:pPr>
              <w:pStyle w:val="Tabletext"/>
              <w:rPr>
                <w:rFonts w:eastAsiaTheme="minorEastAsia"/>
                <w:i/>
                <w:lang w:eastAsia="en-AU"/>
              </w:rPr>
            </w:pPr>
            <w:r w:rsidRPr="00897906">
              <w:rPr>
                <w:rFonts w:eastAsiaTheme="minorEastAsia"/>
                <w:i/>
                <w:lang w:eastAsia="en-AU"/>
              </w:rPr>
              <w:t xml:space="preserve"> </w:t>
            </w:r>
          </w:p>
        </w:tc>
        <w:tc>
          <w:tcPr>
            <w:tcW w:w="1120" w:type="dxa"/>
            <w:gridSpan w:val="2"/>
            <w:tcBorders>
              <w:top w:val="nil"/>
              <w:left w:val="nil"/>
              <w:bottom w:val="single" w:sz="6" w:space="0" w:color="auto"/>
              <w:right w:val="nil"/>
            </w:tcBorders>
            <w:shd w:val="clear" w:color="000000" w:fill="000000"/>
          </w:tcPr>
          <w:p w:rsidR="00336793" w:rsidRPr="00897906" w:rsidRDefault="00336793" w:rsidP="00DF0B96">
            <w:pPr>
              <w:pStyle w:val="Tabletextheading"/>
              <w:rPr>
                <w:rFonts w:eastAsiaTheme="minorEastAsia"/>
                <w:color w:val="FFFFFF"/>
                <w:lang w:eastAsia="en-AU"/>
              </w:rPr>
            </w:pPr>
            <w:r w:rsidRPr="00897906">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tcPr>
          <w:p w:rsidR="00336793" w:rsidRPr="00897906" w:rsidRDefault="00336793" w:rsidP="00DF0B96">
            <w:pPr>
              <w:pStyle w:val="Tabletextheading"/>
              <w:rPr>
                <w:rFonts w:eastAsiaTheme="minorEastAsia"/>
                <w:color w:val="FFFFFF"/>
                <w:lang w:eastAsia="en-AU"/>
              </w:rPr>
            </w:pPr>
            <w:r w:rsidRPr="00897906">
              <w:rPr>
                <w:rFonts w:eastAsiaTheme="minorEastAsia"/>
                <w:color w:val="FFFFFF"/>
                <w:lang w:eastAsia="en-AU"/>
              </w:rPr>
              <w:t>2014</w:t>
            </w:r>
          </w:p>
        </w:tc>
        <w:tc>
          <w:tcPr>
            <w:tcW w:w="1120" w:type="dxa"/>
            <w:gridSpan w:val="2"/>
            <w:tcBorders>
              <w:top w:val="nil"/>
              <w:left w:val="nil"/>
              <w:bottom w:val="single" w:sz="6" w:space="0" w:color="auto"/>
              <w:right w:val="nil"/>
            </w:tcBorders>
            <w:shd w:val="clear" w:color="000000" w:fill="000000"/>
          </w:tcPr>
          <w:p w:rsidR="00336793" w:rsidRPr="00897906" w:rsidRDefault="00336793" w:rsidP="00DF0B96">
            <w:pPr>
              <w:pStyle w:val="Tabletextheading"/>
              <w:rPr>
                <w:rFonts w:eastAsiaTheme="minorEastAsia"/>
                <w:color w:val="FFFFFF"/>
                <w:lang w:eastAsia="en-AU"/>
              </w:rPr>
            </w:pPr>
            <w:r w:rsidRPr="00897906">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897906" w:rsidRDefault="00336793" w:rsidP="00DF0B96">
            <w:pPr>
              <w:pStyle w:val="Tabletextheading"/>
              <w:rPr>
                <w:rFonts w:eastAsiaTheme="minorEastAsia"/>
                <w:color w:val="FFFFFF"/>
                <w:lang w:eastAsia="en-AU"/>
              </w:rPr>
            </w:pPr>
            <w:r w:rsidRPr="00897906">
              <w:rPr>
                <w:rFonts w:eastAsiaTheme="minorEastAsia"/>
                <w:color w:val="FFFFFF"/>
                <w:lang w:eastAsia="en-AU"/>
              </w:rPr>
              <w:t>2014</w:t>
            </w:r>
          </w:p>
        </w:tc>
      </w:tr>
      <w:tr w:rsidR="00336793" w:rsidRPr="00897906" w:rsidTr="00DF0B96">
        <w:tc>
          <w:tcPr>
            <w:tcW w:w="5157" w:type="dxa"/>
            <w:tcBorders>
              <w:top w:val="single" w:sz="6" w:space="0" w:color="auto"/>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 xml:space="preserve">Economic Development, Jobs, Transport and Resources </w:t>
            </w:r>
          </w:p>
        </w:tc>
        <w:tc>
          <w:tcPr>
            <w:tcW w:w="1120" w:type="dxa"/>
            <w:gridSpan w:val="2"/>
            <w:tcBorders>
              <w:top w:val="single" w:sz="6" w:space="0" w:color="auto"/>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7 012.8</w:t>
            </w:r>
          </w:p>
        </w:tc>
        <w:tc>
          <w:tcPr>
            <w:tcW w:w="1120" w:type="dxa"/>
            <w:tcBorders>
              <w:top w:val="single" w:sz="6" w:space="0" w:color="auto"/>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1 430.4</w:t>
            </w:r>
          </w:p>
        </w:tc>
        <w:tc>
          <w:tcPr>
            <w:tcW w:w="1120" w:type="dxa"/>
            <w:gridSpan w:val="2"/>
            <w:tcBorders>
              <w:top w:val="single" w:sz="6" w:space="0" w:color="auto"/>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4 722.7</w:t>
            </w:r>
          </w:p>
        </w:tc>
        <w:tc>
          <w:tcPr>
            <w:tcW w:w="1120" w:type="dxa"/>
            <w:tcBorders>
              <w:top w:val="single" w:sz="6" w:space="0" w:color="auto"/>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1 137.5</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cs="Calibri"/>
                <w:color w:val="000000"/>
                <w:sz w:val="18"/>
                <w:vertAlign w:val="superscript"/>
                <w:lang w:eastAsia="en-AU"/>
              </w:rPr>
            </w:pPr>
            <w:r w:rsidRPr="00897906">
              <w:rPr>
                <w:rFonts w:eastAsiaTheme="minorEastAsia"/>
                <w:lang w:eastAsia="en-AU"/>
              </w:rPr>
              <w:t>Education and Training</w:t>
            </w:r>
            <w:r w:rsidRPr="00DB180A">
              <w:rPr>
                <w:rFonts w:eastAsiaTheme="minorEastAsia"/>
                <w:vertAlign w:val="superscript"/>
                <w:lang w:eastAsia="en-AU"/>
              </w:rPr>
              <w:t xml:space="preserve"> (</w:t>
            </w:r>
            <w:r w:rsidRPr="00897906">
              <w:rPr>
                <w:rFonts w:eastAsiaTheme="minorEastAsia"/>
                <w:vertAlign w:val="superscript"/>
                <w:lang w:eastAsia="en-AU"/>
              </w:rPr>
              <w:t>b</w:t>
            </w:r>
            <w:r w:rsidRPr="00897906">
              <w:rPr>
                <w:rFonts w:eastAsiaTheme="minorEastAsia" w:cs="Calibri"/>
                <w:color w:val="000000"/>
                <w:vertAlign w:val="superscript"/>
                <w:lang w:eastAsia="en-AU"/>
              </w:rPr>
              <w:t>)</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14 563.4</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14 193.3</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14 563.4</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14 193.3</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 xml:space="preserve">Environment, Land, Water and Planning </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8 264.5</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7 935.5</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2 734.2</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2 323.7</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cs="Calibri"/>
                <w:color w:val="000000"/>
                <w:sz w:val="18"/>
                <w:vertAlign w:val="superscript"/>
                <w:lang w:eastAsia="en-AU"/>
              </w:rPr>
            </w:pPr>
            <w:r w:rsidRPr="00897906">
              <w:rPr>
                <w:rFonts w:eastAsiaTheme="minorEastAsia"/>
                <w:lang w:eastAsia="en-AU"/>
              </w:rPr>
              <w:t>Health and Human Services</w:t>
            </w:r>
            <w:r w:rsidRPr="00DB180A">
              <w:rPr>
                <w:rFonts w:eastAsiaTheme="minorEastAsia"/>
                <w:vertAlign w:val="superscript"/>
                <w:lang w:eastAsia="en-AU"/>
              </w:rPr>
              <w:t xml:space="preserve"> (</w:t>
            </w:r>
            <w:r w:rsidRPr="00897906">
              <w:rPr>
                <w:rFonts w:eastAsiaTheme="minorEastAsia"/>
                <w:vertAlign w:val="superscript"/>
                <w:lang w:eastAsia="en-AU"/>
              </w:rPr>
              <w:t>b</w:t>
            </w:r>
            <w:r w:rsidRPr="00897906">
              <w:rPr>
                <w:rFonts w:eastAsiaTheme="minorEastAsia" w:cs="Calibri"/>
                <w:color w:val="000000"/>
                <w:vertAlign w:val="superscript"/>
                <w:lang w:eastAsia="en-AU"/>
              </w:rPr>
              <w:t>)</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18 878.1</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15 556.6</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18 234.2</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15 469.6</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Human Services</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2 433.4</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4 677.7</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1 923.4</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3 726.9</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Justice and Regulation</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5 550.8</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6 122.5</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5 388.3</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5 966.1</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Premier and Cabinet</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555.6</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798.1</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538.0</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693.2</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cs="Calibri"/>
                <w:color w:val="000000"/>
                <w:sz w:val="18"/>
                <w:vertAlign w:val="superscript"/>
                <w:lang w:eastAsia="en-AU"/>
              </w:rPr>
            </w:pPr>
            <w:r w:rsidRPr="00897906">
              <w:rPr>
                <w:rFonts w:eastAsiaTheme="minorEastAsia"/>
                <w:lang w:eastAsia="en-AU"/>
              </w:rPr>
              <w:t>Transport, Planning and Local Infrastructure</w:t>
            </w:r>
            <w:r w:rsidRPr="00E96950">
              <w:rPr>
                <w:rFonts w:eastAsiaTheme="minorEastAsia"/>
                <w:szCs w:val="22"/>
                <w:vertAlign w:val="superscript"/>
                <w:lang w:eastAsia="en-AU"/>
              </w:rPr>
              <w:t xml:space="preserve"> (b</w:t>
            </w:r>
            <w:r w:rsidRPr="00E96950">
              <w:rPr>
                <w:rFonts w:eastAsiaTheme="minorEastAsia" w:cs="Calibri"/>
                <w:color w:val="000000"/>
                <w:szCs w:val="22"/>
                <w:vertAlign w:val="superscript"/>
                <w:lang w:eastAsia="en-AU"/>
              </w:rPr>
              <w:t>)</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5 211.4</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10 384.9</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3 457.0</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6 791.6</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cs="Calibri"/>
                <w:color w:val="000000"/>
                <w:sz w:val="18"/>
                <w:vertAlign w:val="superscript"/>
                <w:lang w:eastAsia="en-AU"/>
              </w:rPr>
            </w:pPr>
            <w:r w:rsidRPr="00897906">
              <w:rPr>
                <w:rFonts w:eastAsiaTheme="minorEastAsia"/>
                <w:lang w:eastAsia="en-AU"/>
              </w:rPr>
              <w:t>Treasury and Finance</w:t>
            </w:r>
            <w:r w:rsidRPr="00DB180A">
              <w:rPr>
                <w:rFonts w:eastAsiaTheme="minorEastAsia"/>
                <w:vertAlign w:val="superscript"/>
                <w:lang w:eastAsia="en-AU"/>
              </w:rPr>
              <w:t xml:space="preserve"> (</w:t>
            </w:r>
            <w:r w:rsidRPr="00E96950">
              <w:rPr>
                <w:rFonts w:eastAsiaTheme="minorEastAsia"/>
                <w:szCs w:val="22"/>
                <w:vertAlign w:val="superscript"/>
                <w:lang w:eastAsia="en-AU"/>
              </w:rPr>
              <w:t>b</w:t>
            </w:r>
            <w:r w:rsidRPr="00E96950">
              <w:rPr>
                <w:rFonts w:eastAsiaTheme="minorEastAsia" w:cs="Calibri"/>
                <w:color w:val="000000"/>
                <w:szCs w:val="22"/>
                <w:vertAlign w:val="superscript"/>
                <w:lang w:eastAsia="en-AU"/>
              </w:rPr>
              <w:t>)</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15 310.9</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14 524.4</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7 036.1</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6 078.0</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lang w:eastAsia="en-AU"/>
              </w:rPr>
            </w:pPr>
            <w:r w:rsidRPr="00897906">
              <w:rPr>
                <w:rFonts w:eastAsiaTheme="minorEastAsia"/>
                <w:lang w:eastAsia="en-AU"/>
              </w:rPr>
              <w:t>Parliament</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166.5</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169.5</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166.5</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169.5</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cs="Calibri"/>
                <w:color w:val="000000"/>
                <w:vertAlign w:val="superscript"/>
                <w:lang w:eastAsia="en-AU"/>
              </w:rPr>
            </w:pPr>
            <w:r w:rsidRPr="00897906">
              <w:rPr>
                <w:rFonts w:eastAsiaTheme="minorEastAsia"/>
                <w:lang w:eastAsia="en-AU"/>
              </w:rPr>
              <w:t>Courts</w:t>
            </w:r>
            <w:r w:rsidRPr="00DB180A">
              <w:rPr>
                <w:rFonts w:eastAsiaTheme="minorEastAsia"/>
                <w:vertAlign w:val="superscript"/>
                <w:lang w:eastAsia="en-AU"/>
              </w:rPr>
              <w:t xml:space="preserve"> (</w:t>
            </w:r>
            <w:r w:rsidRPr="00897906">
              <w:rPr>
                <w:rFonts w:eastAsiaTheme="minorEastAsia" w:cs="Calibri"/>
                <w:color w:val="000000"/>
                <w:vertAlign w:val="superscript"/>
                <w:lang w:eastAsia="en-AU"/>
              </w:rPr>
              <w:t>c)</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483.6</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 xml:space="preserve"> 483.6</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w:t>
            </w:r>
          </w:p>
        </w:tc>
      </w:tr>
      <w:tr w:rsidR="00336793" w:rsidRPr="00897906" w:rsidTr="00DF0B96">
        <w:tc>
          <w:tcPr>
            <w:tcW w:w="5157" w:type="dxa"/>
            <w:tcBorders>
              <w:top w:val="nil"/>
              <w:left w:val="nil"/>
              <w:bottom w:val="nil"/>
              <w:right w:val="nil"/>
            </w:tcBorders>
          </w:tcPr>
          <w:p w:rsidR="00336793" w:rsidRPr="00897906" w:rsidRDefault="00336793" w:rsidP="00DF0B96">
            <w:pPr>
              <w:pStyle w:val="Tabletext"/>
              <w:rPr>
                <w:rFonts w:eastAsiaTheme="minorEastAsia"/>
                <w:vertAlign w:val="superscript"/>
                <w:lang w:eastAsia="en-AU"/>
              </w:rPr>
            </w:pPr>
            <w:r w:rsidRPr="00897906">
              <w:rPr>
                <w:rFonts w:eastAsiaTheme="minorEastAsia"/>
                <w:lang w:eastAsia="en-AU"/>
              </w:rPr>
              <w:t>Regulatory bodies and other part budget funded agencies</w:t>
            </w:r>
            <w:r w:rsidRPr="00DB180A">
              <w:rPr>
                <w:rFonts w:eastAsiaTheme="minorEastAsia"/>
                <w:vertAlign w:val="superscript"/>
                <w:lang w:eastAsia="en-AU"/>
              </w:rPr>
              <w:t xml:space="preserve"> (</w:t>
            </w:r>
            <w:r w:rsidRPr="00897906">
              <w:rPr>
                <w:rFonts w:eastAsiaTheme="minorEastAsia"/>
                <w:vertAlign w:val="superscript"/>
                <w:lang w:eastAsia="en-AU"/>
              </w:rPr>
              <w:t>d)</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1 966.1</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1 984.2</w:t>
            </w:r>
          </w:p>
        </w:tc>
        <w:tc>
          <w:tcPr>
            <w:tcW w:w="1120" w:type="dxa"/>
            <w:gridSpan w:val="2"/>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1 966.1</w:t>
            </w:r>
          </w:p>
        </w:tc>
        <w:tc>
          <w:tcPr>
            <w:tcW w:w="1120" w:type="dxa"/>
            <w:tcBorders>
              <w:top w:val="nil"/>
              <w:left w:val="nil"/>
              <w:bottom w:val="nil"/>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1 984.2</w:t>
            </w:r>
          </w:p>
        </w:tc>
      </w:tr>
      <w:tr w:rsidR="00336793" w:rsidRPr="00897906" w:rsidTr="00DF0B96">
        <w:tc>
          <w:tcPr>
            <w:tcW w:w="5157" w:type="dxa"/>
            <w:tcBorders>
              <w:top w:val="single" w:sz="6" w:space="0" w:color="auto"/>
              <w:left w:val="nil"/>
              <w:bottom w:val="nil"/>
              <w:right w:val="nil"/>
            </w:tcBorders>
          </w:tcPr>
          <w:p w:rsidR="00336793" w:rsidRPr="00897906" w:rsidRDefault="00336793" w:rsidP="00DF0B96">
            <w:pPr>
              <w:pStyle w:val="Tabletext"/>
              <w:rPr>
                <w:rFonts w:eastAsiaTheme="minorEastAsia" w:cs="Calibri"/>
                <w:b/>
                <w:bCs/>
                <w:color w:val="000000"/>
                <w:sz w:val="18"/>
                <w:vertAlign w:val="superscript"/>
                <w:lang w:eastAsia="en-AU"/>
              </w:rPr>
            </w:pPr>
            <w:r w:rsidRPr="00897906">
              <w:rPr>
                <w:rFonts w:eastAsiaTheme="minorEastAsia"/>
                <w:b/>
                <w:bCs/>
                <w:lang w:eastAsia="en-AU"/>
              </w:rPr>
              <w:t>Total expenses by department</w:t>
            </w:r>
            <w:r w:rsidRPr="00E96950">
              <w:rPr>
                <w:rFonts w:eastAsiaTheme="minorEastAsia"/>
                <w:b/>
                <w:bCs/>
                <w:szCs w:val="22"/>
                <w:vertAlign w:val="superscript"/>
                <w:lang w:eastAsia="en-AU"/>
              </w:rPr>
              <w:t xml:space="preserve"> (</w:t>
            </w:r>
            <w:r w:rsidRPr="00E96950">
              <w:rPr>
                <w:rFonts w:eastAsiaTheme="minorEastAsia" w:cs="Calibri"/>
                <w:b/>
                <w:bCs/>
                <w:color w:val="000000"/>
                <w:szCs w:val="22"/>
                <w:vertAlign w:val="superscript"/>
                <w:lang w:eastAsia="en-AU"/>
              </w:rPr>
              <w:t>b)</w:t>
            </w:r>
          </w:p>
        </w:tc>
        <w:tc>
          <w:tcPr>
            <w:tcW w:w="1120" w:type="dxa"/>
            <w:gridSpan w:val="2"/>
            <w:tcBorders>
              <w:top w:val="single" w:sz="6" w:space="0" w:color="auto"/>
              <w:left w:val="nil"/>
              <w:bottom w:val="nil"/>
              <w:right w:val="nil"/>
            </w:tcBorders>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80 397.1</w:t>
            </w:r>
          </w:p>
        </w:tc>
        <w:tc>
          <w:tcPr>
            <w:tcW w:w="1120" w:type="dxa"/>
            <w:tcBorders>
              <w:top w:val="single" w:sz="6" w:space="0" w:color="auto"/>
              <w:left w:val="nil"/>
              <w:bottom w:val="nil"/>
              <w:right w:val="nil"/>
            </w:tcBorders>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77 777.0</w:t>
            </w:r>
          </w:p>
        </w:tc>
        <w:tc>
          <w:tcPr>
            <w:tcW w:w="1120" w:type="dxa"/>
            <w:gridSpan w:val="2"/>
            <w:tcBorders>
              <w:top w:val="single" w:sz="6" w:space="0" w:color="auto"/>
              <w:left w:val="nil"/>
              <w:bottom w:val="nil"/>
              <w:right w:val="nil"/>
            </w:tcBorders>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61 213.6</w:t>
            </w:r>
          </w:p>
        </w:tc>
        <w:tc>
          <w:tcPr>
            <w:tcW w:w="1120" w:type="dxa"/>
            <w:tcBorders>
              <w:top w:val="single" w:sz="6" w:space="0" w:color="auto"/>
              <w:left w:val="nil"/>
              <w:bottom w:val="nil"/>
              <w:right w:val="nil"/>
            </w:tcBorders>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58 533.6</w:t>
            </w:r>
          </w:p>
        </w:tc>
      </w:tr>
      <w:tr w:rsidR="00336793" w:rsidRPr="00897906" w:rsidTr="00DF0B96">
        <w:tc>
          <w:tcPr>
            <w:tcW w:w="5157" w:type="dxa"/>
            <w:tcBorders>
              <w:top w:val="nil"/>
              <w:left w:val="nil"/>
              <w:bottom w:val="single" w:sz="6" w:space="0" w:color="auto"/>
              <w:right w:val="nil"/>
            </w:tcBorders>
          </w:tcPr>
          <w:p w:rsidR="00336793" w:rsidRPr="00897906" w:rsidRDefault="00336793" w:rsidP="00DF0B96">
            <w:pPr>
              <w:pStyle w:val="Tabletext"/>
              <w:rPr>
                <w:rFonts w:eastAsiaTheme="minorEastAsia" w:cs="Calibri"/>
                <w:i/>
                <w:iCs/>
                <w:color w:val="000000"/>
                <w:sz w:val="18"/>
                <w:vertAlign w:val="superscript"/>
                <w:lang w:eastAsia="en-AU"/>
              </w:rPr>
            </w:pPr>
            <w:r w:rsidRPr="00897906">
              <w:rPr>
                <w:rFonts w:eastAsiaTheme="minorEastAsia"/>
                <w:i/>
                <w:lang w:eastAsia="en-AU"/>
              </w:rPr>
              <w:t>Less eliminations and adjustments</w:t>
            </w:r>
            <w:r w:rsidRPr="00DB180A">
              <w:rPr>
                <w:rFonts w:eastAsiaTheme="minorEastAsia"/>
                <w:i/>
                <w:vertAlign w:val="superscript"/>
                <w:lang w:eastAsia="en-AU"/>
              </w:rPr>
              <w:t xml:space="preserve"> </w:t>
            </w:r>
            <w:r w:rsidRPr="00DB180A">
              <w:rPr>
                <w:rFonts w:eastAsiaTheme="minorEastAsia"/>
                <w:i/>
                <w:vertAlign w:val="superscript"/>
              </w:rPr>
              <w:t>(b)(e)</w:t>
            </w:r>
          </w:p>
        </w:tc>
        <w:tc>
          <w:tcPr>
            <w:tcW w:w="1120" w:type="dxa"/>
            <w:gridSpan w:val="2"/>
            <w:tcBorders>
              <w:top w:val="nil"/>
              <w:left w:val="nil"/>
              <w:bottom w:val="single" w:sz="6" w:space="0" w:color="auto"/>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(18 732.4)</w:t>
            </w:r>
          </w:p>
        </w:tc>
        <w:tc>
          <w:tcPr>
            <w:tcW w:w="1120" w:type="dxa"/>
            <w:tcBorders>
              <w:top w:val="nil"/>
              <w:left w:val="nil"/>
              <w:bottom w:val="single" w:sz="6" w:space="0" w:color="auto"/>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(18 290.9)</w:t>
            </w:r>
          </w:p>
        </w:tc>
        <w:tc>
          <w:tcPr>
            <w:tcW w:w="1120" w:type="dxa"/>
            <w:gridSpan w:val="2"/>
            <w:tcBorders>
              <w:top w:val="nil"/>
              <w:left w:val="nil"/>
              <w:bottom w:val="single" w:sz="6" w:space="0" w:color="auto"/>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(8 655.6)</w:t>
            </w:r>
          </w:p>
        </w:tc>
        <w:tc>
          <w:tcPr>
            <w:tcW w:w="1120" w:type="dxa"/>
            <w:tcBorders>
              <w:top w:val="nil"/>
              <w:left w:val="nil"/>
              <w:bottom w:val="single" w:sz="6" w:space="0" w:color="auto"/>
              <w:right w:val="nil"/>
            </w:tcBorders>
          </w:tcPr>
          <w:p w:rsidR="00336793" w:rsidRPr="00897906" w:rsidRDefault="00336793" w:rsidP="00DF0B96">
            <w:pPr>
              <w:pStyle w:val="TableofFigures"/>
              <w:rPr>
                <w:rFonts w:eastAsiaTheme="minorEastAsia"/>
                <w:lang w:eastAsia="en-AU"/>
              </w:rPr>
            </w:pPr>
            <w:r w:rsidRPr="00897906">
              <w:rPr>
                <w:rFonts w:eastAsiaTheme="minorEastAsia"/>
                <w:lang w:eastAsia="en-AU"/>
              </w:rPr>
              <w:t>(8 148.7)</w:t>
            </w:r>
          </w:p>
        </w:tc>
      </w:tr>
      <w:tr w:rsidR="00336793" w:rsidRPr="00897906" w:rsidTr="00DF0B96">
        <w:tc>
          <w:tcPr>
            <w:tcW w:w="5157" w:type="dxa"/>
            <w:tcBorders>
              <w:top w:val="single" w:sz="6" w:space="0" w:color="auto"/>
              <w:left w:val="nil"/>
              <w:bottom w:val="single" w:sz="12" w:space="0" w:color="000000"/>
              <w:right w:val="nil"/>
            </w:tcBorders>
            <w:shd w:val="clear" w:color="auto" w:fill="auto"/>
          </w:tcPr>
          <w:p w:rsidR="00336793" w:rsidRPr="00897906" w:rsidRDefault="00336793" w:rsidP="00DF0B96">
            <w:pPr>
              <w:pStyle w:val="Tabletext"/>
              <w:rPr>
                <w:rFonts w:eastAsiaTheme="minorEastAsia"/>
                <w:b/>
                <w:bCs/>
                <w:vertAlign w:val="superscript"/>
                <w:lang w:eastAsia="en-AU"/>
              </w:rPr>
            </w:pPr>
            <w:r w:rsidRPr="00897906">
              <w:rPr>
                <w:rFonts w:eastAsiaTheme="minorEastAsia"/>
                <w:b/>
                <w:bCs/>
                <w:lang w:eastAsia="en-AU"/>
              </w:rPr>
              <w:t>Total expenses from transactions</w:t>
            </w:r>
            <w:r w:rsidRPr="00E96950">
              <w:rPr>
                <w:rFonts w:eastAsiaTheme="minorEastAsia"/>
                <w:b/>
                <w:bCs/>
                <w:vertAlign w:val="superscript"/>
                <w:lang w:eastAsia="en-AU"/>
              </w:rPr>
              <w:t xml:space="preserve"> (</w:t>
            </w:r>
            <w:r w:rsidRPr="00897906">
              <w:rPr>
                <w:rFonts w:eastAsiaTheme="minorEastAsia"/>
                <w:b/>
                <w:bCs/>
                <w:vertAlign w:val="superscript"/>
                <w:lang w:eastAsia="en-AU"/>
              </w:rPr>
              <w:t>b)</w:t>
            </w:r>
          </w:p>
        </w:tc>
        <w:tc>
          <w:tcPr>
            <w:tcW w:w="1120" w:type="dxa"/>
            <w:gridSpan w:val="2"/>
            <w:tcBorders>
              <w:top w:val="single" w:sz="6" w:space="0" w:color="auto"/>
              <w:left w:val="nil"/>
              <w:bottom w:val="single" w:sz="12" w:space="0" w:color="000000"/>
              <w:right w:val="nil"/>
            </w:tcBorders>
            <w:shd w:val="clear" w:color="auto" w:fill="auto"/>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61 664.7</w:t>
            </w:r>
          </w:p>
        </w:tc>
        <w:tc>
          <w:tcPr>
            <w:tcW w:w="1120" w:type="dxa"/>
            <w:tcBorders>
              <w:top w:val="single" w:sz="6" w:space="0" w:color="auto"/>
              <w:left w:val="nil"/>
              <w:bottom w:val="single" w:sz="12" w:space="0" w:color="000000"/>
              <w:right w:val="nil"/>
            </w:tcBorders>
            <w:shd w:val="clear" w:color="auto" w:fill="auto"/>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59 486.2</w:t>
            </w:r>
          </w:p>
        </w:tc>
        <w:tc>
          <w:tcPr>
            <w:tcW w:w="1120" w:type="dxa"/>
            <w:gridSpan w:val="2"/>
            <w:tcBorders>
              <w:top w:val="single" w:sz="6" w:space="0" w:color="auto"/>
              <w:left w:val="nil"/>
              <w:bottom w:val="single" w:sz="12" w:space="0" w:color="000000"/>
              <w:right w:val="nil"/>
            </w:tcBorders>
            <w:shd w:val="clear" w:color="auto" w:fill="auto"/>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52 558.0</w:t>
            </w:r>
          </w:p>
        </w:tc>
        <w:tc>
          <w:tcPr>
            <w:tcW w:w="1120" w:type="dxa"/>
            <w:tcBorders>
              <w:top w:val="single" w:sz="6" w:space="0" w:color="auto"/>
              <w:left w:val="nil"/>
              <w:bottom w:val="single" w:sz="12" w:space="0" w:color="000000"/>
              <w:right w:val="nil"/>
            </w:tcBorders>
            <w:shd w:val="clear" w:color="auto" w:fill="auto"/>
          </w:tcPr>
          <w:p w:rsidR="00336793" w:rsidRPr="00897906" w:rsidRDefault="00336793" w:rsidP="00DF0B96">
            <w:pPr>
              <w:pStyle w:val="TableofFigures"/>
              <w:rPr>
                <w:rFonts w:eastAsiaTheme="minorEastAsia"/>
                <w:b/>
                <w:bCs/>
                <w:lang w:eastAsia="en-AU"/>
              </w:rPr>
            </w:pPr>
            <w:r w:rsidRPr="00897906">
              <w:rPr>
                <w:rFonts w:eastAsiaTheme="minorEastAsia"/>
                <w:b/>
                <w:bCs/>
                <w:lang w:eastAsia="en-AU"/>
              </w:rPr>
              <w:t>50 384.9</w:t>
            </w:r>
          </w:p>
        </w:tc>
      </w:tr>
    </w:tbl>
    <w:p w:rsidR="00336793" w:rsidRPr="006A75A2" w:rsidRDefault="00336793" w:rsidP="00DF0B96">
      <w:pPr>
        <w:pStyle w:val="Notes"/>
      </w:pPr>
      <w:r w:rsidRPr="006A75A2">
        <w:t>Notes:</w:t>
      </w:r>
    </w:p>
    <w:p w:rsidR="00336793" w:rsidRDefault="00336793" w:rsidP="00DF0B96">
      <w:pPr>
        <w:pStyle w:val="Notes"/>
      </w:pPr>
      <w:r>
        <w:t>(a)</w:t>
      </w:r>
      <w:r>
        <w:tab/>
        <w:t>Effective 1 January 2015 several departments were renamed due to machinery of government changes:</w:t>
      </w:r>
    </w:p>
    <w:p w:rsidR="00336793" w:rsidRDefault="00336793" w:rsidP="00DF0B96">
      <w:pPr>
        <w:pStyle w:val="NotesDash"/>
      </w:pPr>
      <w:r>
        <w:t>the Department of Education and Early Childhood Development was renamed the Department of Education and Training;</w:t>
      </w:r>
    </w:p>
    <w:p w:rsidR="00336793" w:rsidRDefault="00336793" w:rsidP="00DF0B96">
      <w:pPr>
        <w:pStyle w:val="NotesDash"/>
      </w:pPr>
      <w:r>
        <w:t>the Department of Environment and Primary Industries was renamed the Department of Environment, Land, Water and Planning;</w:t>
      </w:r>
    </w:p>
    <w:p w:rsidR="00336793" w:rsidRDefault="00336793" w:rsidP="00DF0B96">
      <w:pPr>
        <w:pStyle w:val="NotesDash"/>
      </w:pPr>
      <w:r>
        <w:t>the Department of Health was renamed the Department of Health and Human Services;</w:t>
      </w:r>
    </w:p>
    <w:p w:rsidR="00336793" w:rsidRDefault="00336793" w:rsidP="00DF0B96">
      <w:pPr>
        <w:pStyle w:val="NotesDash"/>
      </w:pPr>
      <w:r>
        <w:t xml:space="preserve">the Department of Justice was renamed the Department of Justice and Regulation; </w:t>
      </w:r>
    </w:p>
    <w:p w:rsidR="00336793" w:rsidRDefault="00336793" w:rsidP="00DF0B96">
      <w:pPr>
        <w:pStyle w:val="NotesDash"/>
      </w:pPr>
      <w:r>
        <w:t xml:space="preserve">the Department of State Development, Business and Innovation was renamed the Department of Economic Development, Jobs, Transport and Resources; </w:t>
      </w:r>
    </w:p>
    <w:p w:rsidR="00336793" w:rsidRDefault="00336793" w:rsidP="00DF0B96">
      <w:pPr>
        <w:pStyle w:val="NotesDash"/>
      </w:pPr>
      <w:r>
        <w:t xml:space="preserve">the Department of Human Services was abolished; and </w:t>
      </w:r>
    </w:p>
    <w:p w:rsidR="00336793" w:rsidRDefault="00336793" w:rsidP="00DF0B96">
      <w:pPr>
        <w:pStyle w:val="NotesDash"/>
      </w:pPr>
      <w:r>
        <w:t xml:space="preserve">the Department of Transport, Planning and Local Infrastructure was abolished. </w:t>
      </w:r>
    </w:p>
    <w:p w:rsidR="00336793" w:rsidRDefault="00336793" w:rsidP="00767D6F">
      <w:pPr>
        <w:pStyle w:val="Notes"/>
      </w:pPr>
      <w:r>
        <w:tab/>
        <w:t xml:space="preserve">The two abolished departments had their functions and operations transferred to other Victorian government departments. Functions and operations of the Department of Human Services were transferred to the Department of Health and Human Services and to the </w:t>
      </w:r>
      <w:r w:rsidRPr="00767D6F">
        <w:t>Department</w:t>
      </w:r>
      <w:r>
        <w:t xml:space="preserve"> of Premier and Cabinet. </w:t>
      </w:r>
      <w:r w:rsidRPr="001B6DC1">
        <w:t>Functions</w:t>
      </w:r>
      <w:r>
        <w:t xml:space="preserve"> and operations of the Department of Transport, Planning and Local Infrastructure were transferred to the Department of Environment, Land, Water and Planning, the Department of Health and Humans Services and to the Department of Economic Development, Jobs, Transport and Resources. Certain functions and operations of continuing Victorian government departments were also transferred amongst departments as part of the machinery of government changes. Controlled entities which have been transferred as part of the machinery of government changes are listed under their new portfolio departments.</w:t>
      </w:r>
    </w:p>
    <w:p w:rsidR="00336793" w:rsidRDefault="00336793" w:rsidP="00DF0B96">
      <w:pPr>
        <w:pStyle w:val="Notes"/>
      </w:pPr>
      <w:r w:rsidRPr="006A75A2">
        <w:t>(b)</w:t>
      </w:r>
      <w:r w:rsidRPr="006A75A2">
        <w:tab/>
      </w:r>
      <w:r>
        <w:t>June 2014 comparative figures have been restated. See Note 37</w:t>
      </w:r>
      <w:r w:rsidRPr="006A75A2">
        <w:t>.</w:t>
      </w:r>
    </w:p>
    <w:p w:rsidR="00336793" w:rsidRDefault="00336793" w:rsidP="00DF0B96">
      <w:pPr>
        <w:pStyle w:val="Notes"/>
      </w:pPr>
      <w:r>
        <w:t>(c</w:t>
      </w:r>
      <w:r w:rsidRPr="006A75A2">
        <w:t>)</w:t>
      </w:r>
      <w:r w:rsidRPr="006A75A2">
        <w:tab/>
      </w:r>
      <w:r>
        <w:t>Courts, which was formerl</w:t>
      </w:r>
      <w:r w:rsidRPr="00EF122D">
        <w:t>y part of the Department of Justice, came into operation from 1 July 2014.</w:t>
      </w:r>
    </w:p>
    <w:p w:rsidR="00336793" w:rsidRDefault="00336793" w:rsidP="00DF0B96">
      <w:pPr>
        <w:pStyle w:val="Notes"/>
      </w:pPr>
      <w:r>
        <w:t>(d</w:t>
      </w:r>
      <w:r w:rsidRPr="006A75A2">
        <w:t>)</w:t>
      </w:r>
      <w:r>
        <w:tab/>
      </w:r>
      <w:r w:rsidRPr="00EF122D">
        <w:t>Other general government sector agencies not allocated to departmental portfolios</w:t>
      </w:r>
      <w:r>
        <w:t>.</w:t>
      </w:r>
    </w:p>
    <w:p w:rsidR="00336793" w:rsidRDefault="00336793" w:rsidP="00DF0B96">
      <w:pPr>
        <w:pStyle w:val="Notes"/>
      </w:pPr>
      <w:r>
        <w:t>(e</w:t>
      </w:r>
      <w:r w:rsidRPr="006A75A2">
        <w:t>)</w:t>
      </w:r>
      <w:r>
        <w:tab/>
      </w:r>
      <w:r w:rsidRPr="00EF122D">
        <w:t>Mainly comprising of payroll tax, capital asset charge and inter</w:t>
      </w:r>
      <w:r>
        <w:noBreakHyphen/>
      </w:r>
      <w:r w:rsidRPr="00EF122D">
        <w:t>departmental transfers</w:t>
      </w:r>
      <w:r>
        <w:t>.</w:t>
      </w:r>
    </w:p>
    <w:p w:rsidR="00336793" w:rsidRPr="006A75A2" w:rsidRDefault="00336793" w:rsidP="00DF0B96">
      <w:pPr>
        <w:pStyle w:val="Notes"/>
      </w:pPr>
    </w:p>
    <w:p w:rsidR="00336793" w:rsidRPr="006A75A2" w:rsidRDefault="00336793" w:rsidP="00DF0B96"/>
    <w:p w:rsidR="00336793" w:rsidRPr="006A75A2" w:rsidRDefault="00336793" w:rsidP="00DF0B96">
      <w:pPr>
        <w:pStyle w:val="Heading2Notes"/>
        <w:rPr>
          <w:kern w:val="0"/>
        </w:rPr>
      </w:pPr>
      <w:bookmarkStart w:id="58" w:name="_Toc400040261"/>
      <w:bookmarkStart w:id="59" w:name="_Toc433984497"/>
      <w:r w:rsidRPr="006A75A2">
        <w:rPr>
          <w:kern w:val="0"/>
        </w:rPr>
        <w:t>Note 14:</w:t>
      </w:r>
      <w:r w:rsidRPr="006A75A2">
        <w:rPr>
          <w:kern w:val="0"/>
        </w:rPr>
        <w:tab/>
        <w:t>Net gain/(loss) on disposal of non</w:t>
      </w:r>
      <w:r>
        <w:rPr>
          <w:kern w:val="0"/>
        </w:rPr>
        <w:noBreakHyphen/>
      </w:r>
      <w:r w:rsidRPr="006A75A2">
        <w:rPr>
          <w:kern w:val="0"/>
        </w:rPr>
        <w:t>financial assets</w:t>
      </w:r>
      <w:bookmarkEnd w:id="58"/>
      <w:bookmarkEnd w:id="59"/>
    </w:p>
    <w:p w:rsidR="00336793" w:rsidRPr="00A10A3B" w:rsidRDefault="00336793" w:rsidP="00DF0B96">
      <w:pPr>
        <w:pStyle w:val="million"/>
        <w:rPr>
          <w:rFonts w:ascii="Times New Roman" w:hAnsi="Times New Roman"/>
          <w:i w:val="0"/>
          <w:szCs w:val="20"/>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597"/>
        <w:gridCol w:w="1080"/>
        <w:gridCol w:w="880"/>
        <w:gridCol w:w="110"/>
        <w:gridCol w:w="990"/>
        <w:gridCol w:w="870"/>
        <w:gridCol w:w="110"/>
      </w:tblGrid>
      <w:tr w:rsidR="00336793" w:rsidRPr="00A10A3B" w:rsidTr="00DF0B96">
        <w:trPr>
          <w:tblHeader/>
        </w:trPr>
        <w:tc>
          <w:tcPr>
            <w:tcW w:w="5597" w:type="dxa"/>
            <w:tcBorders>
              <w:top w:val="single" w:sz="6" w:space="0" w:color="000000"/>
              <w:left w:val="single" w:sz="6" w:space="0" w:color="000000"/>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960" w:type="dxa"/>
            <w:gridSpan w:val="2"/>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lang w:eastAsia="en-AU"/>
              </w:rPr>
            </w:pPr>
            <w:r w:rsidRPr="00A10A3B">
              <w:rPr>
                <w:rFonts w:eastAsiaTheme="minorEastAsia"/>
                <w:color w:val="FFFFFF"/>
                <w:lang w:eastAsia="en-AU"/>
              </w:rPr>
              <w:t>State</w:t>
            </w:r>
            <w:r w:rsidRPr="00A10A3B">
              <w:rPr>
                <w:rFonts w:eastAsiaTheme="minorEastAsia" w:cs="Calibri"/>
                <w:iCs/>
                <w:color w:val="FFFFFF"/>
                <w:lang w:eastAsia="en-AU"/>
              </w:rPr>
              <w:t xml:space="preserve"> of Victoria</w:t>
            </w:r>
          </w:p>
        </w:tc>
        <w:tc>
          <w:tcPr>
            <w:tcW w:w="110" w:type="dxa"/>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 xml:space="preserve"> </w:t>
            </w:r>
          </w:p>
        </w:tc>
        <w:tc>
          <w:tcPr>
            <w:tcW w:w="1860" w:type="dxa"/>
            <w:gridSpan w:val="2"/>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lang w:eastAsia="en-AU"/>
              </w:rPr>
            </w:pPr>
            <w:r w:rsidRPr="00A10A3B">
              <w:rPr>
                <w:rFonts w:eastAsiaTheme="minorEastAsia"/>
                <w:color w:val="FFFFFF"/>
                <w:lang w:eastAsia="en-AU"/>
              </w:rPr>
              <w:t>General government</w:t>
            </w:r>
            <w:r w:rsidRPr="00A10A3B">
              <w:rPr>
                <w:rFonts w:eastAsiaTheme="minorEastAsia" w:cs="Calibri"/>
                <w:iCs/>
                <w:color w:val="FFFFFF"/>
                <w:lang w:eastAsia="en-AU"/>
              </w:rPr>
              <w:t xml:space="preserve"> sector</w:t>
            </w:r>
          </w:p>
        </w:tc>
        <w:tc>
          <w:tcPr>
            <w:tcW w:w="110" w:type="dxa"/>
            <w:tcBorders>
              <w:top w:val="single" w:sz="6" w:space="0" w:color="000000"/>
              <w:left w:val="nil"/>
              <w:bottom w:val="nil"/>
              <w:right w:val="single" w:sz="6" w:space="0" w:color="000000"/>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 xml:space="preserve"> </w:t>
            </w:r>
          </w:p>
        </w:tc>
      </w:tr>
      <w:tr w:rsidR="00336793" w:rsidRPr="00A10A3B" w:rsidTr="00DF0B96">
        <w:trPr>
          <w:tblHeader/>
        </w:trPr>
        <w:tc>
          <w:tcPr>
            <w:tcW w:w="5597" w:type="dxa"/>
            <w:tcBorders>
              <w:left w:val="single" w:sz="6" w:space="0" w:color="000000"/>
              <w:bottom w:val="single" w:sz="6" w:space="0" w:color="000000"/>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080" w:type="dxa"/>
            <w:tcBorders>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990" w:type="dxa"/>
            <w:gridSpan w:val="2"/>
            <w:tcBorders>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990" w:type="dxa"/>
            <w:tcBorders>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980" w:type="dxa"/>
            <w:gridSpan w:val="2"/>
            <w:tcBorders>
              <w:left w:val="nil"/>
              <w:bottom w:val="single" w:sz="6" w:space="0" w:color="000000"/>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597" w:type="dxa"/>
            <w:tcBorders>
              <w:top w:val="single" w:sz="6" w:space="0" w:color="000000"/>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Proceeds from disposal of physical assets</w:t>
            </w:r>
          </w:p>
        </w:tc>
        <w:tc>
          <w:tcPr>
            <w:tcW w:w="1080" w:type="dxa"/>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594.9</w:t>
            </w:r>
          </w:p>
        </w:tc>
        <w:tc>
          <w:tcPr>
            <w:tcW w:w="99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496.3</w:t>
            </w:r>
          </w:p>
        </w:tc>
        <w:tc>
          <w:tcPr>
            <w:tcW w:w="990" w:type="dxa"/>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397.7</w:t>
            </w:r>
          </w:p>
        </w:tc>
        <w:tc>
          <w:tcPr>
            <w:tcW w:w="98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270.9</w:t>
            </w:r>
          </w:p>
        </w:tc>
      </w:tr>
      <w:tr w:rsidR="00336793" w:rsidRPr="00A10A3B" w:rsidTr="00DF0B96">
        <w:tc>
          <w:tcPr>
            <w:tcW w:w="559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Written down value of assets sold/(disposed)</w:t>
            </w:r>
          </w:p>
        </w:tc>
        <w:tc>
          <w:tcPr>
            <w:tcW w:w="108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586.2)</w:t>
            </w:r>
          </w:p>
        </w:tc>
        <w:tc>
          <w:tcPr>
            <w:tcW w:w="99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509.0)</w:t>
            </w:r>
          </w:p>
        </w:tc>
        <w:tc>
          <w:tcPr>
            <w:tcW w:w="99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365.6)</w:t>
            </w:r>
          </w:p>
        </w:tc>
        <w:tc>
          <w:tcPr>
            <w:tcW w:w="98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296.0)</w:t>
            </w:r>
          </w:p>
        </w:tc>
      </w:tr>
      <w:tr w:rsidR="00336793" w:rsidRPr="00A10A3B" w:rsidTr="00DF0B96">
        <w:tc>
          <w:tcPr>
            <w:tcW w:w="559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Net gain/(loss) on disposal of non</w:t>
            </w:r>
            <w:r>
              <w:rPr>
                <w:rFonts w:eastAsiaTheme="minorEastAsia"/>
                <w:b/>
                <w:bCs/>
                <w:lang w:eastAsia="en-AU"/>
              </w:rPr>
              <w:noBreakHyphen/>
            </w:r>
            <w:r w:rsidRPr="00A10A3B">
              <w:rPr>
                <w:rFonts w:eastAsiaTheme="minorEastAsia"/>
                <w:b/>
                <w:bCs/>
                <w:lang w:eastAsia="en-AU"/>
              </w:rPr>
              <w:t>financial assets</w:t>
            </w:r>
          </w:p>
        </w:tc>
        <w:tc>
          <w:tcPr>
            <w:tcW w:w="108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cs="Calibri"/>
                <w:b/>
                <w:bCs/>
                <w:color w:val="000000"/>
                <w:szCs w:val="22"/>
                <w:lang w:eastAsia="en-AU"/>
              </w:rPr>
            </w:pPr>
            <w:r w:rsidRPr="00A10A3B">
              <w:rPr>
                <w:rFonts w:eastAsiaTheme="minorEastAsia"/>
                <w:b/>
                <w:bCs/>
                <w:lang w:eastAsia="en-AU"/>
              </w:rPr>
              <w:t xml:space="preserve"> </w:t>
            </w:r>
            <w:r w:rsidRPr="00A10A3B">
              <w:rPr>
                <w:rFonts w:eastAsiaTheme="minorEastAsia" w:cs="Calibri"/>
                <w:b/>
                <w:bCs/>
                <w:color w:val="000000"/>
                <w:szCs w:val="22"/>
                <w:lang w:eastAsia="en-AU"/>
              </w:rPr>
              <w:t>8.8</w:t>
            </w:r>
          </w:p>
        </w:tc>
        <w:tc>
          <w:tcPr>
            <w:tcW w:w="99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A10A3B">
              <w:rPr>
                <w:rFonts w:eastAsiaTheme="minorEastAsia" w:cs="Calibri"/>
                <w:b/>
                <w:bCs/>
                <w:color w:val="000000"/>
                <w:szCs w:val="22"/>
                <w:lang w:eastAsia="en-AU"/>
              </w:rPr>
              <w:t>12.7)</w:t>
            </w:r>
          </w:p>
        </w:tc>
        <w:tc>
          <w:tcPr>
            <w:tcW w:w="99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cs="Calibri"/>
                <w:b/>
                <w:bCs/>
                <w:color w:val="000000"/>
                <w:szCs w:val="22"/>
                <w:lang w:eastAsia="en-AU"/>
              </w:rPr>
            </w:pPr>
            <w:r w:rsidRPr="00A10A3B">
              <w:rPr>
                <w:rFonts w:eastAsiaTheme="minorEastAsia"/>
                <w:b/>
                <w:bCs/>
                <w:lang w:eastAsia="en-AU"/>
              </w:rPr>
              <w:t xml:space="preserve"> </w:t>
            </w:r>
            <w:r w:rsidRPr="00A10A3B">
              <w:rPr>
                <w:rFonts w:eastAsiaTheme="minorEastAsia" w:cs="Calibri"/>
                <w:b/>
                <w:bCs/>
                <w:color w:val="000000"/>
                <w:szCs w:val="22"/>
                <w:lang w:eastAsia="en-AU"/>
              </w:rPr>
              <w:t>32.1</w:t>
            </w:r>
          </w:p>
        </w:tc>
        <w:tc>
          <w:tcPr>
            <w:tcW w:w="98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A10A3B">
              <w:rPr>
                <w:rFonts w:eastAsiaTheme="minorEastAsia" w:cs="Calibri"/>
                <w:b/>
                <w:bCs/>
                <w:color w:val="000000"/>
                <w:szCs w:val="22"/>
                <w:lang w:eastAsia="en-AU"/>
              </w:rPr>
              <w:t>25.0)</w:t>
            </w:r>
          </w:p>
        </w:tc>
      </w:tr>
    </w:tbl>
    <w:p w:rsidR="00336793" w:rsidRPr="006A75A2" w:rsidRDefault="00336793" w:rsidP="00DF0B96">
      <w:pPr>
        <w:pStyle w:val="Notes"/>
      </w:pPr>
    </w:p>
    <w:p w:rsidR="00336793" w:rsidRPr="006A75A2" w:rsidRDefault="00336793" w:rsidP="00DF0B96">
      <w:pPr>
        <w:rPr>
          <w:rFonts w:ascii="Calibri" w:hAnsi="Calibri"/>
          <w:sz w:val="28"/>
          <w:szCs w:val="22"/>
        </w:rPr>
      </w:pPr>
      <w:r w:rsidRPr="006A75A2">
        <w:br w:type="page"/>
      </w:r>
    </w:p>
    <w:p w:rsidR="00336793" w:rsidRPr="006A75A2" w:rsidRDefault="00336793" w:rsidP="00DF0B96">
      <w:pPr>
        <w:pStyle w:val="Heading2Notes"/>
        <w:rPr>
          <w:kern w:val="0"/>
        </w:rPr>
      </w:pPr>
      <w:bookmarkStart w:id="60" w:name="_Toc400040262"/>
      <w:bookmarkStart w:id="61" w:name="_Toc433984498"/>
      <w:r w:rsidRPr="006A75A2">
        <w:rPr>
          <w:kern w:val="0"/>
        </w:rPr>
        <w:lastRenderedPageBreak/>
        <w:t>Note 15:</w:t>
      </w:r>
      <w:r w:rsidRPr="006A75A2">
        <w:rPr>
          <w:kern w:val="0"/>
        </w:rPr>
        <w:tab/>
        <w:t>Other gains/(losses) from other economic flows</w:t>
      </w:r>
      <w:bookmarkEnd w:id="60"/>
      <w:bookmarkEnd w:id="61"/>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597"/>
        <w:gridCol w:w="1080"/>
        <w:gridCol w:w="880"/>
        <w:gridCol w:w="110"/>
        <w:gridCol w:w="990"/>
        <w:gridCol w:w="870"/>
        <w:gridCol w:w="110"/>
      </w:tblGrid>
      <w:tr w:rsidR="00336793" w:rsidRPr="00A10A3B" w:rsidTr="00DF0B96">
        <w:trPr>
          <w:tblHeader/>
        </w:trPr>
        <w:tc>
          <w:tcPr>
            <w:tcW w:w="5597" w:type="dxa"/>
            <w:tcBorders>
              <w:top w:val="single" w:sz="6" w:space="0" w:color="000000"/>
              <w:left w:val="single" w:sz="6" w:space="0" w:color="000000"/>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960" w:type="dxa"/>
            <w:gridSpan w:val="2"/>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State of Victoria</w:t>
            </w:r>
          </w:p>
        </w:tc>
        <w:tc>
          <w:tcPr>
            <w:tcW w:w="110" w:type="dxa"/>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Centred"/>
              <w:rPr>
                <w:rFonts w:eastAsiaTheme="minorEastAsia" w:cs="Calibri"/>
                <w:iCs/>
                <w:color w:val="FFFFFF"/>
                <w:szCs w:val="22"/>
                <w:lang w:eastAsia="en-AU"/>
              </w:rPr>
            </w:pPr>
            <w:r w:rsidRPr="00A10A3B">
              <w:rPr>
                <w:rFonts w:eastAsiaTheme="minorEastAsia"/>
                <w:lang w:eastAsia="en-AU"/>
              </w:rPr>
              <w:t xml:space="preserve"> </w:t>
            </w:r>
          </w:p>
        </w:tc>
        <w:tc>
          <w:tcPr>
            <w:tcW w:w="1860" w:type="dxa"/>
            <w:gridSpan w:val="2"/>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General government sector</w:t>
            </w:r>
          </w:p>
        </w:tc>
        <w:tc>
          <w:tcPr>
            <w:tcW w:w="110" w:type="dxa"/>
            <w:tcBorders>
              <w:top w:val="single" w:sz="6" w:space="0" w:color="000000"/>
              <w:left w:val="nil"/>
              <w:bottom w:val="nil"/>
              <w:right w:val="single" w:sz="6" w:space="0" w:color="000000"/>
            </w:tcBorders>
            <w:shd w:val="clear" w:color="000000" w:fill="000000"/>
            <w:vAlign w:val="bottom"/>
          </w:tcPr>
          <w:p w:rsidR="00336793" w:rsidRPr="00A10A3B" w:rsidRDefault="00336793" w:rsidP="00DF0B96">
            <w:pPr>
              <w:pStyle w:val="TabletextheadingCentred"/>
              <w:rPr>
                <w:rFonts w:eastAsiaTheme="minorEastAsia" w:cs="Calibri"/>
                <w:iCs/>
                <w:color w:val="FFFFFF"/>
                <w:szCs w:val="22"/>
                <w:lang w:eastAsia="en-AU"/>
              </w:rPr>
            </w:pPr>
            <w:r w:rsidRPr="00A10A3B">
              <w:rPr>
                <w:rFonts w:eastAsiaTheme="minorEastAsia"/>
                <w:lang w:eastAsia="en-AU"/>
              </w:rPr>
              <w:t xml:space="preserve"> </w:t>
            </w:r>
          </w:p>
        </w:tc>
      </w:tr>
      <w:tr w:rsidR="00336793" w:rsidRPr="00A10A3B" w:rsidTr="00DF0B96">
        <w:trPr>
          <w:tblHeader/>
        </w:trPr>
        <w:tc>
          <w:tcPr>
            <w:tcW w:w="5597" w:type="dxa"/>
            <w:tcBorders>
              <w:left w:val="single" w:sz="6" w:space="0" w:color="000000"/>
              <w:bottom w:val="single" w:sz="6" w:space="0" w:color="000000"/>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080" w:type="dxa"/>
            <w:tcBorders>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990" w:type="dxa"/>
            <w:gridSpan w:val="2"/>
            <w:tcBorders>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990" w:type="dxa"/>
            <w:tcBorders>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980" w:type="dxa"/>
            <w:gridSpan w:val="2"/>
            <w:tcBorders>
              <w:left w:val="nil"/>
              <w:bottom w:val="single" w:sz="6" w:space="0" w:color="000000"/>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597" w:type="dxa"/>
            <w:tcBorders>
              <w:top w:val="single" w:sz="6" w:space="0" w:color="000000"/>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Net (increase)/decrease in provision for doubtful receivables</w:t>
            </w:r>
          </w:p>
        </w:tc>
        <w:tc>
          <w:tcPr>
            <w:tcW w:w="1080" w:type="dxa"/>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206.6)</w:t>
            </w:r>
          </w:p>
        </w:tc>
        <w:tc>
          <w:tcPr>
            <w:tcW w:w="99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178.4)</w:t>
            </w:r>
          </w:p>
        </w:tc>
        <w:tc>
          <w:tcPr>
            <w:tcW w:w="990" w:type="dxa"/>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204.1)</w:t>
            </w:r>
          </w:p>
        </w:tc>
        <w:tc>
          <w:tcPr>
            <w:tcW w:w="98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175.7)</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Amortisation of intangible non</w:t>
            </w:r>
            <w:r>
              <w:rPr>
                <w:rFonts w:eastAsiaTheme="minorEastAsia"/>
                <w:lang w:eastAsia="en-AU"/>
              </w:rPr>
              <w:noBreakHyphen/>
            </w:r>
            <w:r w:rsidRPr="00A10A3B">
              <w:rPr>
                <w:rFonts w:eastAsiaTheme="minorEastAsia"/>
                <w:lang w:eastAsia="en-AU"/>
              </w:rPr>
              <w:t>produced assets</w:t>
            </w:r>
            <w:r w:rsidRPr="00E96950">
              <w:rPr>
                <w:rFonts w:eastAsiaTheme="minorEastAsia"/>
                <w:vertAlign w:val="superscript"/>
                <w:lang w:eastAsia="en-AU"/>
              </w:rPr>
              <w:t xml:space="preserve"> (</w:t>
            </w:r>
            <w:r w:rsidRPr="006F79A8">
              <w:rPr>
                <w:rFonts w:eastAsiaTheme="minorEastAsia"/>
                <w:vertAlign w:val="superscript"/>
                <w:lang w:eastAsia="en-AU"/>
              </w:rPr>
              <w:t>a)</w:t>
            </w:r>
          </w:p>
        </w:tc>
        <w:tc>
          <w:tcPr>
            <w:tcW w:w="108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33.8)</w:t>
            </w:r>
          </w:p>
        </w:tc>
        <w:tc>
          <w:tcPr>
            <w:tcW w:w="99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13.6)</w:t>
            </w:r>
          </w:p>
        </w:tc>
        <w:tc>
          <w:tcPr>
            <w:tcW w:w="99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4.1)</w:t>
            </w:r>
          </w:p>
        </w:tc>
        <w:tc>
          <w:tcPr>
            <w:tcW w:w="98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3.1)</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Net swap interest revenue/(expense)</w:t>
            </w:r>
          </w:p>
        </w:tc>
        <w:tc>
          <w:tcPr>
            <w:tcW w:w="108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9.3)</w:t>
            </w:r>
          </w:p>
        </w:tc>
        <w:tc>
          <w:tcPr>
            <w:tcW w:w="99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5.8)</w:t>
            </w:r>
          </w:p>
        </w:tc>
        <w:tc>
          <w:tcPr>
            <w:tcW w:w="99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98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Bad debts written off</w:t>
            </w:r>
          </w:p>
        </w:tc>
        <w:tc>
          <w:tcPr>
            <w:tcW w:w="108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171.9)</w:t>
            </w:r>
          </w:p>
        </w:tc>
        <w:tc>
          <w:tcPr>
            <w:tcW w:w="99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195.7)</w:t>
            </w:r>
          </w:p>
        </w:tc>
        <w:tc>
          <w:tcPr>
            <w:tcW w:w="99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156.6)</w:t>
            </w:r>
          </w:p>
        </w:tc>
        <w:tc>
          <w:tcPr>
            <w:tcW w:w="98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174.1)</w:t>
            </w:r>
          </w:p>
        </w:tc>
      </w:tr>
      <w:tr w:rsidR="00336793" w:rsidRPr="00A10A3B" w:rsidTr="00DF0B96">
        <w:tc>
          <w:tcPr>
            <w:tcW w:w="559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Other gains/(losses)</w:t>
            </w:r>
            <w:r w:rsidRPr="00E96950">
              <w:rPr>
                <w:rFonts w:eastAsiaTheme="minorEastAsia"/>
                <w:vertAlign w:val="superscript"/>
                <w:lang w:eastAsia="en-AU"/>
              </w:rPr>
              <w:t xml:space="preserve"> (</w:t>
            </w:r>
            <w:r w:rsidRPr="00A10A3B">
              <w:rPr>
                <w:rFonts w:eastAsiaTheme="minorEastAsia"/>
                <w:vertAlign w:val="superscript"/>
                <w:lang w:eastAsia="en-AU"/>
              </w:rPr>
              <w:t>a)</w:t>
            </w:r>
          </w:p>
        </w:tc>
        <w:tc>
          <w:tcPr>
            <w:tcW w:w="108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125.5)</w:t>
            </w:r>
          </w:p>
        </w:tc>
        <w:tc>
          <w:tcPr>
            <w:tcW w:w="99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3.4</w:t>
            </w:r>
          </w:p>
        </w:tc>
        <w:tc>
          <w:tcPr>
            <w:tcW w:w="99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183.2)</w:t>
            </w:r>
          </w:p>
        </w:tc>
        <w:tc>
          <w:tcPr>
            <w:tcW w:w="98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888.7)</w:t>
            </w:r>
          </w:p>
        </w:tc>
      </w:tr>
      <w:tr w:rsidR="00336793" w:rsidRPr="00A10A3B" w:rsidTr="00DF0B96">
        <w:tc>
          <w:tcPr>
            <w:tcW w:w="559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vertAlign w:val="superscript"/>
                <w:lang w:eastAsia="en-AU"/>
              </w:rPr>
            </w:pPr>
            <w:r w:rsidRPr="00A10A3B">
              <w:rPr>
                <w:rFonts w:eastAsiaTheme="minorEastAsia"/>
                <w:b/>
                <w:bCs/>
                <w:lang w:eastAsia="en-AU"/>
              </w:rPr>
              <w:t>Total other gains/(losses) from other economic flows</w:t>
            </w:r>
            <w:r w:rsidRPr="00E96950">
              <w:rPr>
                <w:rFonts w:eastAsiaTheme="minorEastAsia"/>
                <w:b/>
                <w:bCs/>
                <w:vertAlign w:val="superscript"/>
                <w:lang w:eastAsia="en-AU"/>
              </w:rPr>
              <w:t xml:space="preserve"> (</w:t>
            </w:r>
            <w:r w:rsidRPr="001833D9">
              <w:rPr>
                <w:rFonts w:eastAsiaTheme="minorEastAsia"/>
                <w:b/>
                <w:bCs/>
                <w:vertAlign w:val="superscript"/>
                <w:lang w:eastAsia="en-AU"/>
              </w:rPr>
              <w:t>a)</w:t>
            </w:r>
          </w:p>
        </w:tc>
        <w:tc>
          <w:tcPr>
            <w:tcW w:w="108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A10A3B">
              <w:rPr>
                <w:rFonts w:eastAsiaTheme="minorEastAsia" w:cs="Calibri"/>
                <w:b/>
                <w:bCs/>
                <w:color w:val="000000"/>
                <w:szCs w:val="22"/>
                <w:lang w:eastAsia="en-AU"/>
              </w:rPr>
              <w:t>547.1)</w:t>
            </w:r>
          </w:p>
        </w:tc>
        <w:tc>
          <w:tcPr>
            <w:tcW w:w="99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A10A3B">
              <w:rPr>
                <w:rFonts w:eastAsiaTheme="minorEastAsia" w:cs="Calibri"/>
                <w:b/>
                <w:bCs/>
                <w:color w:val="000000"/>
                <w:szCs w:val="22"/>
                <w:lang w:eastAsia="en-AU"/>
              </w:rPr>
              <w:t>390.1)</w:t>
            </w:r>
          </w:p>
        </w:tc>
        <w:tc>
          <w:tcPr>
            <w:tcW w:w="99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A10A3B">
              <w:rPr>
                <w:rFonts w:eastAsiaTheme="minorEastAsia" w:cs="Calibri"/>
                <w:b/>
                <w:bCs/>
                <w:color w:val="000000"/>
                <w:szCs w:val="22"/>
                <w:lang w:eastAsia="en-AU"/>
              </w:rPr>
              <w:t>547.9)</w:t>
            </w:r>
          </w:p>
        </w:tc>
        <w:tc>
          <w:tcPr>
            <w:tcW w:w="98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(1 241.6)</w:t>
            </w:r>
          </w:p>
        </w:tc>
      </w:tr>
    </w:tbl>
    <w:p w:rsidR="00336793" w:rsidRPr="006A75A2" w:rsidRDefault="00336793" w:rsidP="00DF0B96">
      <w:pPr>
        <w:pStyle w:val="Notes"/>
      </w:pPr>
      <w:r w:rsidRPr="006A75A2">
        <w:t>Not</w:t>
      </w:r>
      <w:r>
        <w:t>e</w:t>
      </w:r>
      <w:r w:rsidRPr="006A75A2">
        <w:t>:</w:t>
      </w:r>
    </w:p>
    <w:p w:rsidR="00336793" w:rsidRDefault="00336793" w:rsidP="00DF0B96">
      <w:pPr>
        <w:pStyle w:val="Notes"/>
      </w:pPr>
      <w:r>
        <w:t>(a)</w:t>
      </w:r>
      <w:r>
        <w:tab/>
        <w:t>June 2014 comparative figures have been restated. See Note 37.</w:t>
      </w:r>
    </w:p>
    <w:p w:rsidR="00336793" w:rsidRPr="006A75A2" w:rsidRDefault="00336793" w:rsidP="00DF0B96">
      <w:pPr>
        <w:pStyle w:val="Notes"/>
      </w:pPr>
    </w:p>
    <w:p w:rsidR="00336793" w:rsidRDefault="00336793" w:rsidP="00DF0B96">
      <w:bookmarkStart w:id="62" w:name="_Toc400040263"/>
    </w:p>
    <w:p w:rsidR="00336793" w:rsidRPr="006A75A2" w:rsidRDefault="00336793" w:rsidP="00DF0B96">
      <w:pPr>
        <w:pStyle w:val="Heading2Notes"/>
        <w:rPr>
          <w:kern w:val="0"/>
        </w:rPr>
      </w:pPr>
      <w:bookmarkStart w:id="63" w:name="_Toc433984499"/>
      <w:r w:rsidRPr="006A75A2">
        <w:rPr>
          <w:kern w:val="0"/>
        </w:rPr>
        <w:t>Note 16:</w:t>
      </w:r>
      <w:r w:rsidRPr="006A75A2">
        <w:rPr>
          <w:kern w:val="0"/>
        </w:rPr>
        <w:tab/>
        <w:t>Advances paid and investments, loans and placements</w:t>
      </w:r>
      <w:bookmarkEnd w:id="62"/>
      <w:bookmarkEnd w:id="63"/>
    </w:p>
    <w:p w:rsidR="00336793" w:rsidRPr="00A10A3B"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29" w:type="dxa"/>
          <w:right w:w="29" w:type="dxa"/>
        </w:tblCellMar>
        <w:tblLook w:val="0000" w:firstRow="0" w:lastRow="0" w:firstColumn="0" w:lastColumn="0" w:noHBand="0" w:noVBand="0"/>
      </w:tblPr>
      <w:tblGrid>
        <w:gridCol w:w="5597"/>
        <w:gridCol w:w="783"/>
        <w:gridCol w:w="227"/>
        <w:gridCol w:w="932"/>
        <w:gridCol w:w="78"/>
        <w:gridCol w:w="1010"/>
        <w:gridCol w:w="824"/>
        <w:gridCol w:w="186"/>
      </w:tblGrid>
      <w:tr w:rsidR="00336793" w:rsidRPr="00A10A3B" w:rsidTr="00545B6B">
        <w:trPr>
          <w:tblHeader/>
        </w:trPr>
        <w:tc>
          <w:tcPr>
            <w:tcW w:w="559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942" w:type="dxa"/>
            <w:gridSpan w:val="3"/>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State of Victoria</w:t>
            </w:r>
          </w:p>
        </w:tc>
        <w:tc>
          <w:tcPr>
            <w:tcW w:w="78"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834"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General government sector</w:t>
            </w:r>
          </w:p>
        </w:tc>
        <w:tc>
          <w:tcPr>
            <w:tcW w:w="186"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r>
      <w:tr w:rsidR="00336793" w:rsidRPr="00A10A3B" w:rsidTr="00DF0B96">
        <w:trPr>
          <w:tblHeader/>
        </w:trPr>
        <w:tc>
          <w:tcPr>
            <w:tcW w:w="559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01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01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01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01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6380" w:type="dxa"/>
            <w:gridSpan w:val="2"/>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Current advances paid and investments, loans and placements</w:t>
            </w:r>
          </w:p>
        </w:tc>
        <w:tc>
          <w:tcPr>
            <w:tcW w:w="227"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1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1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1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Loans and advances paid</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29.8</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126.7</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59.7</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45.1</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Equities and managed investment schemes </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1 320.2</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1 304.7</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962.0</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711.2</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Australian dollar term deposits</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390.4</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781.7</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1 931.6</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1 862.7</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Debt securities</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4 706.2</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4 064.7</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6.5</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6.3</w:t>
            </w:r>
          </w:p>
        </w:tc>
      </w:tr>
      <w:tr w:rsidR="00336793" w:rsidRPr="00A10A3B" w:rsidTr="00DF0B96">
        <w:tc>
          <w:tcPr>
            <w:tcW w:w="559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Derivative financial instruments</w:t>
            </w:r>
            <w:r w:rsidRPr="00E96950">
              <w:rPr>
                <w:rFonts w:eastAsiaTheme="minorEastAsia"/>
                <w:vertAlign w:val="superscript"/>
                <w:lang w:eastAsia="en-AU"/>
              </w:rPr>
              <w:t xml:space="preserve"> (</w:t>
            </w:r>
            <w:r w:rsidRPr="00A10A3B">
              <w:rPr>
                <w:rFonts w:eastAsiaTheme="minorEastAsia"/>
                <w:vertAlign w:val="superscript"/>
                <w:lang w:eastAsia="en-AU"/>
              </w:rPr>
              <w:t>a)</w:t>
            </w:r>
          </w:p>
        </w:tc>
        <w:tc>
          <w:tcPr>
            <w:tcW w:w="101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105.6</w:t>
            </w:r>
          </w:p>
        </w:tc>
        <w:tc>
          <w:tcPr>
            <w:tcW w:w="101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311.9</w:t>
            </w:r>
          </w:p>
        </w:tc>
        <w:tc>
          <w:tcPr>
            <w:tcW w:w="101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0.2</w:t>
            </w:r>
          </w:p>
        </w:tc>
        <w:tc>
          <w:tcPr>
            <w:tcW w:w="101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vertAlign w:val="superscript"/>
                <w:lang w:eastAsia="en-AU"/>
              </w:rPr>
            </w:pPr>
            <w:r w:rsidRPr="00A10A3B">
              <w:rPr>
                <w:rFonts w:eastAsiaTheme="minorEastAsia"/>
                <w:b/>
                <w:bCs/>
                <w:lang w:eastAsia="en-AU"/>
              </w:rPr>
              <w:t>Total current advances paid and investments, loans and placements</w:t>
            </w:r>
            <w:r w:rsidRPr="00E96950">
              <w:rPr>
                <w:rFonts w:eastAsiaTheme="minorEastAsia"/>
                <w:b/>
                <w:bCs/>
                <w:vertAlign w:val="superscript"/>
                <w:lang w:eastAsia="en-AU"/>
              </w:rPr>
              <w:t xml:space="preserve"> (</w:t>
            </w:r>
            <w:r w:rsidRPr="00A10A3B">
              <w:rPr>
                <w:rFonts w:eastAsiaTheme="minorEastAsia"/>
                <w:b/>
                <w:bCs/>
                <w:vertAlign w:val="superscript"/>
                <w:lang w:eastAsia="en-AU"/>
              </w:rPr>
              <w:t>a)</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6 552.2</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6 589.7</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2 960.1</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2 625.3</w:t>
            </w:r>
          </w:p>
        </w:tc>
      </w:tr>
      <w:tr w:rsidR="00336793" w:rsidRPr="00A10A3B" w:rsidTr="00DF0B96">
        <w:tc>
          <w:tcPr>
            <w:tcW w:w="6380" w:type="dxa"/>
            <w:gridSpan w:val="2"/>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Non</w:t>
            </w:r>
            <w:r>
              <w:rPr>
                <w:rFonts w:eastAsiaTheme="minorEastAsia"/>
                <w:b/>
                <w:bCs/>
                <w:lang w:eastAsia="en-AU"/>
              </w:rPr>
              <w:noBreakHyphen/>
            </w:r>
            <w:r w:rsidRPr="00A10A3B">
              <w:rPr>
                <w:rFonts w:eastAsiaTheme="minorEastAsia"/>
                <w:b/>
                <w:bCs/>
                <w:lang w:eastAsia="en-AU"/>
              </w:rPr>
              <w:t>current advances paid and investments, loans and placements</w:t>
            </w:r>
          </w:p>
        </w:tc>
        <w:tc>
          <w:tcPr>
            <w:tcW w:w="227"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Loans and advances paid</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91.6</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1 668.4</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4 512.0</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4 541.8</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Equities and managed investment schemes </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22 875.9</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15 467.0</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273.0</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241.0</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Australian dollar term deposits</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158.6</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156.1</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198.3</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170.4</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Debt securities</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4 210.8</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7 387.4</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34.3</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44.7</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Derivative financial instruments</w:t>
            </w:r>
            <w:r w:rsidRPr="00E96950">
              <w:rPr>
                <w:rFonts w:eastAsiaTheme="minorEastAsia"/>
                <w:vertAlign w:val="superscript"/>
                <w:lang w:eastAsia="en-AU"/>
              </w:rPr>
              <w:t xml:space="preserve"> (</w:t>
            </w:r>
            <w:r w:rsidRPr="00A10A3B">
              <w:rPr>
                <w:rFonts w:eastAsiaTheme="minorEastAsia"/>
                <w:vertAlign w:val="superscript"/>
                <w:lang w:eastAsia="en-AU"/>
              </w:rPr>
              <w:t>a)</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549.3</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281.8</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597" w:type="dxa"/>
            <w:tcBorders>
              <w:top w:val="single" w:sz="6" w:space="0" w:color="000000"/>
              <w:left w:val="nil"/>
              <w:bottom w:val="nil"/>
              <w:right w:val="nil"/>
            </w:tcBorders>
            <w:shd w:val="solid" w:color="FFFFFF" w:fill="auto"/>
          </w:tcPr>
          <w:p w:rsidR="00336793" w:rsidRPr="00A10A3B" w:rsidRDefault="00336793" w:rsidP="00DF0B96">
            <w:pPr>
              <w:pStyle w:val="Tabletext"/>
              <w:rPr>
                <w:rFonts w:eastAsiaTheme="minorEastAsia"/>
                <w:b/>
                <w:bCs/>
                <w:vertAlign w:val="superscript"/>
                <w:lang w:eastAsia="en-AU"/>
              </w:rPr>
            </w:pPr>
            <w:r w:rsidRPr="00A10A3B">
              <w:rPr>
                <w:rFonts w:eastAsiaTheme="minorEastAsia"/>
                <w:b/>
                <w:bCs/>
                <w:lang w:eastAsia="en-AU"/>
              </w:rPr>
              <w:t>Total non</w:t>
            </w:r>
            <w:r>
              <w:rPr>
                <w:rFonts w:eastAsiaTheme="minorEastAsia"/>
                <w:b/>
                <w:bCs/>
                <w:lang w:eastAsia="en-AU"/>
              </w:rPr>
              <w:noBreakHyphen/>
            </w:r>
            <w:r w:rsidRPr="00A10A3B">
              <w:rPr>
                <w:rFonts w:eastAsiaTheme="minorEastAsia"/>
                <w:b/>
                <w:bCs/>
                <w:lang w:eastAsia="en-AU"/>
              </w:rPr>
              <w:t>current advances paid and investments, loans and placements</w:t>
            </w:r>
            <w:r w:rsidRPr="00E96950">
              <w:rPr>
                <w:rFonts w:eastAsiaTheme="minorEastAsia"/>
                <w:b/>
                <w:bCs/>
                <w:vertAlign w:val="superscript"/>
                <w:lang w:eastAsia="en-AU"/>
              </w:rPr>
              <w:t xml:space="preserve"> (</w:t>
            </w:r>
            <w:r w:rsidRPr="00A10A3B">
              <w:rPr>
                <w:rFonts w:eastAsiaTheme="minorEastAsia"/>
                <w:b/>
                <w:bCs/>
                <w:vertAlign w:val="superscript"/>
                <w:lang w:eastAsia="en-AU"/>
              </w:rPr>
              <w:t>a)</w:t>
            </w:r>
          </w:p>
        </w:tc>
        <w:tc>
          <w:tcPr>
            <w:tcW w:w="101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27 886.3</w:t>
            </w:r>
          </w:p>
        </w:tc>
        <w:tc>
          <w:tcPr>
            <w:tcW w:w="101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24 960.7</w:t>
            </w:r>
          </w:p>
        </w:tc>
        <w:tc>
          <w:tcPr>
            <w:tcW w:w="1010" w:type="dxa"/>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5 017.6</w:t>
            </w:r>
          </w:p>
        </w:tc>
        <w:tc>
          <w:tcPr>
            <w:tcW w:w="101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4 997.9</w:t>
            </w:r>
          </w:p>
        </w:tc>
      </w:tr>
      <w:tr w:rsidR="00336793" w:rsidRPr="00A10A3B" w:rsidTr="00DF0B96">
        <w:tc>
          <w:tcPr>
            <w:tcW w:w="559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vertAlign w:val="superscript"/>
                <w:lang w:eastAsia="en-AU"/>
              </w:rPr>
            </w:pPr>
            <w:r w:rsidRPr="00A10A3B">
              <w:rPr>
                <w:rFonts w:eastAsiaTheme="minorEastAsia"/>
                <w:b/>
                <w:bCs/>
                <w:lang w:eastAsia="en-AU"/>
              </w:rPr>
              <w:t>Total advances paid and investments, loans and placements</w:t>
            </w:r>
            <w:r>
              <w:rPr>
                <w:rFonts w:eastAsiaTheme="minorEastAsia"/>
                <w:b/>
                <w:bCs/>
                <w:vertAlign w:val="superscript"/>
                <w:lang w:eastAsia="en-AU"/>
              </w:rPr>
              <w:t> </w:t>
            </w:r>
            <w:r w:rsidRPr="00E96950">
              <w:rPr>
                <w:rFonts w:eastAsiaTheme="minorEastAsia"/>
                <w:b/>
                <w:bCs/>
                <w:vertAlign w:val="superscript"/>
                <w:lang w:eastAsia="en-AU"/>
              </w:rPr>
              <w:t>(</w:t>
            </w:r>
            <w:r w:rsidRPr="00A10A3B">
              <w:rPr>
                <w:rFonts w:eastAsiaTheme="minorEastAsia"/>
                <w:b/>
                <w:bCs/>
                <w:vertAlign w:val="superscript"/>
                <w:lang w:eastAsia="en-AU"/>
              </w:rPr>
              <w:t>a)</w:t>
            </w:r>
          </w:p>
        </w:tc>
        <w:tc>
          <w:tcPr>
            <w:tcW w:w="101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34 438.5</w:t>
            </w:r>
          </w:p>
        </w:tc>
        <w:tc>
          <w:tcPr>
            <w:tcW w:w="101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31 550.4</w:t>
            </w:r>
          </w:p>
        </w:tc>
        <w:tc>
          <w:tcPr>
            <w:tcW w:w="101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7 977.6</w:t>
            </w:r>
          </w:p>
        </w:tc>
        <w:tc>
          <w:tcPr>
            <w:tcW w:w="101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7 623.2</w:t>
            </w:r>
          </w:p>
        </w:tc>
      </w:tr>
      <w:tr w:rsidR="00336793" w:rsidRPr="00A10A3B" w:rsidTr="00DF0B96">
        <w:tc>
          <w:tcPr>
            <w:tcW w:w="559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Represented by:</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1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01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597" w:type="dxa"/>
            <w:tcBorders>
              <w:top w:val="nil"/>
              <w:left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Advances paid</w:t>
            </w:r>
          </w:p>
        </w:tc>
        <w:tc>
          <w:tcPr>
            <w:tcW w:w="1010" w:type="dxa"/>
            <w:gridSpan w:val="2"/>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121.4</w:t>
            </w:r>
          </w:p>
        </w:tc>
        <w:tc>
          <w:tcPr>
            <w:tcW w:w="1010" w:type="dxa"/>
            <w:gridSpan w:val="2"/>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1 795.1</w:t>
            </w:r>
          </w:p>
        </w:tc>
        <w:tc>
          <w:tcPr>
            <w:tcW w:w="1010" w:type="dxa"/>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4 571.8</w:t>
            </w:r>
          </w:p>
        </w:tc>
        <w:tc>
          <w:tcPr>
            <w:tcW w:w="1010" w:type="dxa"/>
            <w:gridSpan w:val="2"/>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4 586.9</w:t>
            </w:r>
          </w:p>
        </w:tc>
      </w:tr>
      <w:tr w:rsidR="00336793" w:rsidRPr="00A10A3B" w:rsidTr="00DF0B96">
        <w:tc>
          <w:tcPr>
            <w:tcW w:w="5597" w:type="dxa"/>
            <w:tcBorders>
              <w:top w:val="nil"/>
              <w:left w:val="nil"/>
              <w:bottom w:val="single" w:sz="12" w:space="0" w:color="000000"/>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Investments, loans and placements</w:t>
            </w:r>
            <w:r w:rsidRPr="00E96950">
              <w:rPr>
                <w:rFonts w:eastAsiaTheme="minorEastAsia"/>
                <w:vertAlign w:val="superscript"/>
                <w:lang w:eastAsia="en-AU"/>
              </w:rPr>
              <w:t xml:space="preserve"> (</w:t>
            </w:r>
            <w:r w:rsidRPr="00A10A3B">
              <w:rPr>
                <w:rFonts w:eastAsiaTheme="minorEastAsia"/>
                <w:vertAlign w:val="superscript"/>
                <w:lang w:eastAsia="en-AU"/>
              </w:rPr>
              <w:t>a)</w:t>
            </w:r>
          </w:p>
        </w:tc>
        <w:tc>
          <w:tcPr>
            <w:tcW w:w="1010" w:type="dxa"/>
            <w:gridSpan w:val="2"/>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34 317.1</w:t>
            </w:r>
          </w:p>
        </w:tc>
        <w:tc>
          <w:tcPr>
            <w:tcW w:w="1010" w:type="dxa"/>
            <w:gridSpan w:val="2"/>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29 755.3</w:t>
            </w:r>
          </w:p>
        </w:tc>
        <w:tc>
          <w:tcPr>
            <w:tcW w:w="1010" w:type="dxa"/>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3 405.9</w:t>
            </w:r>
          </w:p>
        </w:tc>
        <w:tc>
          <w:tcPr>
            <w:tcW w:w="1010" w:type="dxa"/>
            <w:gridSpan w:val="2"/>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3 036.3</w:t>
            </w:r>
          </w:p>
        </w:tc>
      </w:tr>
    </w:tbl>
    <w:p w:rsidR="00336793" w:rsidRPr="006A75A2" w:rsidRDefault="00336793" w:rsidP="00DF0B96">
      <w:pPr>
        <w:pStyle w:val="Notes"/>
      </w:pPr>
      <w:r>
        <w:t>Note</w:t>
      </w:r>
      <w:r w:rsidRPr="006A75A2">
        <w:t>:</w:t>
      </w:r>
    </w:p>
    <w:p w:rsidR="00336793" w:rsidRDefault="00336793" w:rsidP="00DF0B96">
      <w:pPr>
        <w:pStyle w:val="Notes"/>
      </w:pPr>
      <w:r>
        <w:t>(a)</w:t>
      </w:r>
      <w:r>
        <w:tab/>
        <w:t>June 2014 comparative figures have been restated. See Note 37.</w:t>
      </w:r>
    </w:p>
    <w:p w:rsidR="00336793" w:rsidRPr="006A75A2" w:rsidRDefault="00336793" w:rsidP="00DF0B96">
      <w:pPr>
        <w:pStyle w:val="Notes"/>
      </w:pPr>
    </w:p>
    <w:p w:rsidR="00336793" w:rsidRPr="006A75A2" w:rsidRDefault="00336793" w:rsidP="00DF0B96">
      <w:pPr>
        <w:pStyle w:val="Notes"/>
      </w:pPr>
    </w:p>
    <w:p w:rsidR="00336793" w:rsidRPr="006A75A2" w:rsidRDefault="00336793" w:rsidP="00DF0B96"/>
    <w:p w:rsidR="00336793" w:rsidRPr="006A75A2" w:rsidRDefault="00336793" w:rsidP="00DF0B96">
      <w:r w:rsidRPr="006A75A2">
        <w:br w:type="page"/>
      </w:r>
    </w:p>
    <w:p w:rsidR="00336793" w:rsidRPr="006A75A2" w:rsidRDefault="00336793" w:rsidP="00DF0B96">
      <w:pPr>
        <w:pStyle w:val="Heading2Notes"/>
        <w:rPr>
          <w:kern w:val="0"/>
        </w:rPr>
      </w:pPr>
      <w:bookmarkStart w:id="64" w:name="_Toc400040264"/>
      <w:bookmarkStart w:id="65" w:name="_Toc433984500"/>
      <w:bookmarkStart w:id="66" w:name="OLE_LINK1"/>
      <w:r w:rsidRPr="006A75A2">
        <w:rPr>
          <w:kern w:val="0"/>
        </w:rPr>
        <w:lastRenderedPageBreak/>
        <w:t>Note 17:</w:t>
      </w:r>
      <w:r w:rsidRPr="006A75A2">
        <w:rPr>
          <w:kern w:val="0"/>
        </w:rPr>
        <w:tab/>
        <w:t>Receivables</w:t>
      </w:r>
      <w:bookmarkEnd w:id="64"/>
      <w:bookmarkEnd w:id="65"/>
    </w:p>
    <w:bookmarkEnd w:id="66"/>
    <w:p w:rsidR="00336793" w:rsidRPr="006A75A2" w:rsidRDefault="00336793" w:rsidP="00DF0B96">
      <w:pPr>
        <w:pStyle w:val="Heading5"/>
      </w:pPr>
      <w:r>
        <w:t>(a)</w:t>
      </w:r>
      <w:r>
        <w:tab/>
      </w:r>
      <w:r w:rsidRPr="006A75A2">
        <w:t xml:space="preserve">Total </w:t>
      </w:r>
      <w:r w:rsidRPr="001A7D3F">
        <w:t>Receivables</w:t>
      </w:r>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1120"/>
        <w:gridCol w:w="27"/>
        <w:gridCol w:w="198"/>
        <w:gridCol w:w="895"/>
        <w:gridCol w:w="950"/>
        <w:gridCol w:w="170"/>
      </w:tblGrid>
      <w:tr w:rsidR="00336793" w:rsidRPr="00A10A3B" w:rsidTr="00545B6B">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2267" w:type="dxa"/>
            <w:gridSpan w:val="3"/>
            <w:tcBorders>
              <w:top w:val="single" w:sz="6" w:space="0" w:color="auto"/>
              <w:left w:val="nil"/>
              <w:bottom w:val="nil"/>
              <w:right w:val="nil"/>
            </w:tcBorders>
            <w:shd w:val="clear" w:color="000000" w:fill="000000"/>
            <w:vAlign w:val="bottom"/>
          </w:tcPr>
          <w:p w:rsidR="00336793" w:rsidRPr="00A10A3B" w:rsidRDefault="00336793" w:rsidP="00545B6B">
            <w:pPr>
              <w:pStyle w:val="TabletextheadingCentred"/>
              <w:rPr>
                <w:rFonts w:eastAsiaTheme="minorEastAsia"/>
                <w:lang w:eastAsia="en-AU"/>
              </w:rPr>
            </w:pPr>
            <w:r w:rsidRPr="00A10A3B">
              <w:rPr>
                <w:rFonts w:eastAsiaTheme="minorEastAsia"/>
                <w:lang w:eastAsia="en-AU"/>
              </w:rPr>
              <w:t>State of Victoria</w:t>
            </w:r>
          </w:p>
        </w:tc>
        <w:tc>
          <w:tcPr>
            <w:tcW w:w="198" w:type="dxa"/>
            <w:tcBorders>
              <w:top w:val="single" w:sz="6" w:space="0" w:color="auto"/>
              <w:left w:val="nil"/>
              <w:bottom w:val="nil"/>
              <w:right w:val="nil"/>
            </w:tcBorders>
            <w:shd w:val="clear" w:color="000000" w:fill="000000"/>
            <w:vAlign w:val="bottom"/>
          </w:tcPr>
          <w:p w:rsidR="00336793" w:rsidRPr="00A10A3B" w:rsidRDefault="00336793" w:rsidP="00545B6B">
            <w:pPr>
              <w:pStyle w:val="TabletextheadingCentred"/>
              <w:rPr>
                <w:rFonts w:eastAsiaTheme="minorEastAsia" w:cs="Calibri"/>
                <w:iCs/>
                <w:szCs w:val="22"/>
                <w:lang w:eastAsia="en-AU"/>
              </w:rPr>
            </w:pPr>
            <w:r w:rsidRPr="00A10A3B">
              <w:rPr>
                <w:rFonts w:eastAsiaTheme="minorEastAsia"/>
                <w:lang w:eastAsia="en-AU"/>
              </w:rPr>
              <w:t xml:space="preserve"> </w:t>
            </w:r>
          </w:p>
        </w:tc>
        <w:tc>
          <w:tcPr>
            <w:tcW w:w="1845" w:type="dxa"/>
            <w:gridSpan w:val="2"/>
            <w:tcBorders>
              <w:top w:val="single" w:sz="6" w:space="0" w:color="auto"/>
              <w:left w:val="nil"/>
              <w:bottom w:val="nil"/>
              <w:right w:val="nil"/>
            </w:tcBorders>
            <w:shd w:val="clear" w:color="000000" w:fill="000000"/>
            <w:vAlign w:val="bottom"/>
          </w:tcPr>
          <w:p w:rsidR="00336793" w:rsidRPr="00A10A3B" w:rsidRDefault="00336793" w:rsidP="00545B6B">
            <w:pPr>
              <w:pStyle w:val="TabletextheadingCentred"/>
              <w:rPr>
                <w:rFonts w:eastAsiaTheme="minorEastAsia"/>
                <w:lang w:eastAsia="en-AU"/>
              </w:rPr>
            </w:pPr>
            <w:r w:rsidRPr="00A10A3B">
              <w:rPr>
                <w:rFonts w:eastAsiaTheme="minorEastAsia"/>
                <w:lang w:eastAsia="en-AU"/>
              </w:rPr>
              <w:t>General government sector</w:t>
            </w:r>
          </w:p>
        </w:tc>
        <w:tc>
          <w:tcPr>
            <w:tcW w:w="170"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120" w:type="dxa"/>
            <w:gridSpan w:val="3"/>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Contractual</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3"/>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Sales of goods and services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1 178.0</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1 183.3</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674.5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647.2</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Accrued investment income</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73.1</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76.8</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16.6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22.8</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receivables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1 199.4</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1 007.6</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1 262.3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1 097.7</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Provision for doubtful contractual receivables </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135.9)</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144.1)</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69.4)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72.2)</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Statutory</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Sales of goods and services </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4.9</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7.2</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5.6</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Taxes receivables </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2 337.6</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2 084.8</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2 491.8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2 141.0</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Fines and regulatory fees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1 760.7</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1 670.4</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1 760.7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1 670.4</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GST input tax credits recoverable</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806.3</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781.4</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254.9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270.9</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Provision for doubtful statutory receivables </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838.4)</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842.9)</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838.4)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842.9)</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Other</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Actuarially determined</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403.5</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572.1</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receivables</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6 789.2</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6 396.5</w:t>
            </w:r>
          </w:p>
        </w:tc>
        <w:tc>
          <w:tcPr>
            <w:tcW w:w="1120" w:type="dxa"/>
            <w:gridSpan w:val="3"/>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5 555.3</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4 940.6</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Represented by:</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157" w:type="dxa"/>
            <w:tcBorders>
              <w:top w:val="nil"/>
              <w:left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Current receivables</w:t>
            </w:r>
          </w:p>
        </w:tc>
        <w:tc>
          <w:tcPr>
            <w:tcW w:w="1120" w:type="dxa"/>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5 515.1</w:t>
            </w:r>
          </w:p>
        </w:tc>
        <w:tc>
          <w:tcPr>
            <w:tcW w:w="1120" w:type="dxa"/>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5 113.3</w:t>
            </w:r>
          </w:p>
        </w:tc>
        <w:tc>
          <w:tcPr>
            <w:tcW w:w="1120" w:type="dxa"/>
            <w:gridSpan w:val="3"/>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4 446.7</w:t>
            </w:r>
          </w:p>
        </w:tc>
        <w:tc>
          <w:tcPr>
            <w:tcW w:w="1120" w:type="dxa"/>
            <w:gridSpan w:val="2"/>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4 006.9</w:t>
            </w:r>
          </w:p>
        </w:tc>
      </w:tr>
      <w:tr w:rsidR="00336793" w:rsidRPr="00A10A3B" w:rsidTr="00DF0B96">
        <w:tc>
          <w:tcPr>
            <w:tcW w:w="5157" w:type="dxa"/>
            <w:tcBorders>
              <w:top w:val="nil"/>
              <w:left w:val="nil"/>
              <w:bottom w:val="single" w:sz="12"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Non</w:t>
            </w:r>
            <w:r>
              <w:rPr>
                <w:rFonts w:eastAsiaTheme="minorEastAsia"/>
                <w:lang w:eastAsia="en-AU"/>
              </w:rPr>
              <w:noBreakHyphen/>
            </w:r>
            <w:r w:rsidRPr="00A10A3B">
              <w:rPr>
                <w:rFonts w:eastAsiaTheme="minorEastAsia"/>
                <w:lang w:eastAsia="en-AU"/>
              </w:rPr>
              <w:t>current receivables</w:t>
            </w:r>
          </w:p>
        </w:tc>
        <w:tc>
          <w:tcPr>
            <w:tcW w:w="1120" w:type="dxa"/>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1 274.2</w:t>
            </w:r>
          </w:p>
        </w:tc>
        <w:tc>
          <w:tcPr>
            <w:tcW w:w="1120" w:type="dxa"/>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1 283.2</w:t>
            </w:r>
          </w:p>
        </w:tc>
        <w:tc>
          <w:tcPr>
            <w:tcW w:w="1120" w:type="dxa"/>
            <w:gridSpan w:val="3"/>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1 108.6</w:t>
            </w:r>
          </w:p>
        </w:tc>
        <w:tc>
          <w:tcPr>
            <w:tcW w:w="1120" w:type="dxa"/>
            <w:gridSpan w:val="2"/>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933.7</w:t>
            </w:r>
          </w:p>
        </w:tc>
      </w:tr>
    </w:tbl>
    <w:p w:rsidR="00336793" w:rsidRDefault="00336793" w:rsidP="00DF0B96">
      <w:pPr>
        <w:pStyle w:val="Notes"/>
      </w:pPr>
    </w:p>
    <w:p w:rsidR="00336793" w:rsidRPr="006A75A2" w:rsidRDefault="00336793" w:rsidP="00DF0B96">
      <w:pPr>
        <w:spacing w:after="0"/>
        <w:rPr>
          <w:rFonts w:ascii="Calibri" w:hAnsi="Calibri"/>
          <w:b/>
        </w:rPr>
      </w:pPr>
    </w:p>
    <w:p w:rsidR="00336793" w:rsidRPr="006A75A2" w:rsidRDefault="00336793" w:rsidP="00DF0B96">
      <w:pPr>
        <w:pStyle w:val="Heading5"/>
        <w:spacing w:before="0"/>
      </w:pPr>
      <w:r>
        <w:t>(b)</w:t>
      </w:r>
      <w:r>
        <w:tab/>
      </w:r>
      <w:r w:rsidRPr="001A7D3F">
        <w:t>Ageing</w:t>
      </w:r>
      <w:r w:rsidRPr="006A75A2">
        <w:t xml:space="preserve"> analysis of contractual receivables </w:t>
      </w:r>
    </w:p>
    <w:p w:rsidR="00336793" w:rsidRPr="00A10A3B" w:rsidRDefault="00336793" w:rsidP="00DF0B96">
      <w:pPr>
        <w:pStyle w:val="million"/>
      </w:pPr>
      <w:r>
        <w:t>($ million)</w:t>
      </w:r>
    </w:p>
    <w:tbl>
      <w:tblPr>
        <w:tblW w:w="9641" w:type="dxa"/>
        <w:tblInd w:w="28" w:type="dxa"/>
        <w:tblLayout w:type="fixed"/>
        <w:tblCellMar>
          <w:left w:w="45" w:type="dxa"/>
          <w:right w:w="45" w:type="dxa"/>
        </w:tblCellMar>
        <w:tblLook w:val="0000" w:firstRow="0" w:lastRow="0" w:firstColumn="0" w:lastColumn="0" w:noHBand="0" w:noVBand="0"/>
      </w:tblPr>
      <w:tblGrid>
        <w:gridCol w:w="2285"/>
        <w:gridCol w:w="154"/>
        <w:gridCol w:w="1092"/>
        <w:gridCol w:w="182"/>
        <w:gridCol w:w="178"/>
        <w:gridCol w:w="626"/>
        <w:gridCol w:w="960"/>
        <w:gridCol w:w="1040"/>
        <w:gridCol w:w="794"/>
        <w:gridCol w:w="250"/>
        <w:gridCol w:w="1040"/>
        <w:gridCol w:w="1040"/>
      </w:tblGrid>
      <w:tr w:rsidR="00336793" w:rsidRPr="00B03906" w:rsidTr="00DF0B96">
        <w:trPr>
          <w:tblHeader/>
        </w:trPr>
        <w:tc>
          <w:tcPr>
            <w:tcW w:w="2285" w:type="dxa"/>
            <w:tcBorders>
              <w:top w:val="single" w:sz="6" w:space="0" w:color="auto"/>
              <w:left w:val="single" w:sz="6" w:space="0" w:color="auto"/>
              <w:right w:val="nil"/>
            </w:tcBorders>
            <w:shd w:val="clear" w:color="000000" w:fill="000000"/>
            <w:vAlign w:val="bottom"/>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 xml:space="preserve">  </w:t>
            </w:r>
          </w:p>
        </w:tc>
        <w:tc>
          <w:tcPr>
            <w:tcW w:w="1246" w:type="dxa"/>
            <w:gridSpan w:val="2"/>
            <w:tcBorders>
              <w:top w:val="single" w:sz="6" w:space="0" w:color="auto"/>
              <w:left w:val="nil"/>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Not past due</w:t>
            </w:r>
          </w:p>
        </w:tc>
        <w:tc>
          <w:tcPr>
            <w:tcW w:w="182" w:type="dxa"/>
            <w:tcBorders>
              <w:top w:val="single" w:sz="6" w:space="0" w:color="auto"/>
              <w:left w:val="nil"/>
              <w:right w:val="nil"/>
            </w:tcBorders>
            <w:shd w:val="clear" w:color="000000" w:fill="000000"/>
            <w:vAlign w:val="bottom"/>
          </w:tcPr>
          <w:p w:rsidR="00336793" w:rsidRPr="00B03906" w:rsidRDefault="00336793" w:rsidP="00DF0B96">
            <w:pPr>
              <w:pStyle w:val="Tabletextheading"/>
              <w:jc w:val="center"/>
              <w:rPr>
                <w:rFonts w:eastAsiaTheme="minorEastAsia" w:cs="Calibri"/>
                <w:iCs/>
                <w:color w:val="FFFFFF"/>
                <w:sz w:val="20"/>
                <w:szCs w:val="22"/>
                <w:lang w:eastAsia="en-AU"/>
              </w:rPr>
            </w:pPr>
            <w:r w:rsidRPr="00B03906">
              <w:rPr>
                <w:rFonts w:eastAsiaTheme="minorEastAsia"/>
                <w:iCs/>
                <w:color w:val="FFFFFF"/>
                <w:sz w:val="20"/>
                <w:lang w:eastAsia="en-AU"/>
              </w:rPr>
              <w:t xml:space="preserve">  </w:t>
            </w:r>
          </w:p>
        </w:tc>
        <w:tc>
          <w:tcPr>
            <w:tcW w:w="178" w:type="dxa"/>
            <w:tcBorders>
              <w:top w:val="single" w:sz="6" w:space="0" w:color="auto"/>
              <w:left w:val="nil"/>
              <w:right w:val="nil"/>
            </w:tcBorders>
            <w:shd w:val="clear" w:color="000000" w:fill="000000"/>
            <w:vAlign w:val="bottom"/>
          </w:tcPr>
          <w:p w:rsidR="00336793" w:rsidRPr="00B03906" w:rsidRDefault="00336793" w:rsidP="00DF0B96">
            <w:pPr>
              <w:pStyle w:val="Tabletextheading"/>
              <w:jc w:val="center"/>
              <w:rPr>
                <w:rFonts w:eastAsiaTheme="minorEastAsia" w:cs="Calibri"/>
                <w:iCs/>
                <w:color w:val="FFFFFF"/>
                <w:sz w:val="20"/>
                <w:szCs w:val="22"/>
                <w:lang w:eastAsia="en-AU"/>
              </w:rPr>
            </w:pPr>
            <w:r w:rsidRPr="00B03906">
              <w:rPr>
                <w:rFonts w:eastAsiaTheme="minorEastAsia"/>
                <w:iCs/>
                <w:color w:val="FFFFFF"/>
                <w:sz w:val="20"/>
                <w:lang w:eastAsia="en-AU"/>
              </w:rPr>
              <w:t xml:space="preserve"> </w:t>
            </w:r>
          </w:p>
        </w:tc>
        <w:tc>
          <w:tcPr>
            <w:tcW w:w="3420" w:type="dxa"/>
            <w:gridSpan w:val="4"/>
            <w:tcBorders>
              <w:top w:val="single" w:sz="6" w:space="0" w:color="auto"/>
              <w:left w:val="nil"/>
              <w:right w:val="nil"/>
            </w:tcBorders>
            <w:shd w:val="clear" w:color="000000" w:fill="000000"/>
            <w:vAlign w:val="bottom"/>
          </w:tcPr>
          <w:p w:rsidR="00336793" w:rsidRPr="00B03906" w:rsidRDefault="00336793" w:rsidP="00DF0B96">
            <w:pPr>
              <w:pStyle w:val="Tabletextheading"/>
              <w:jc w:val="center"/>
              <w:rPr>
                <w:rFonts w:eastAsiaTheme="minorEastAsia"/>
                <w:iCs/>
                <w:color w:val="FFFFFF"/>
                <w:sz w:val="20"/>
                <w:lang w:eastAsia="en-AU"/>
              </w:rPr>
            </w:pPr>
            <w:r w:rsidRPr="00B03906">
              <w:rPr>
                <w:rFonts w:eastAsiaTheme="minorEastAsia"/>
                <w:iCs/>
                <w:color w:val="FFFFFF"/>
                <w:sz w:val="20"/>
                <w:lang w:eastAsia="en-AU"/>
              </w:rPr>
              <w:t>Past due and not impaired</w:t>
            </w:r>
          </w:p>
        </w:tc>
        <w:tc>
          <w:tcPr>
            <w:tcW w:w="250" w:type="dxa"/>
            <w:tcBorders>
              <w:top w:val="single" w:sz="6" w:space="0" w:color="auto"/>
              <w:left w:val="nil"/>
              <w:right w:val="nil"/>
            </w:tcBorders>
            <w:shd w:val="clear" w:color="000000" w:fill="000000"/>
            <w:vAlign w:val="bottom"/>
          </w:tcPr>
          <w:p w:rsidR="00336793" w:rsidRPr="00B03906" w:rsidRDefault="00336793" w:rsidP="00DF0B96">
            <w:pPr>
              <w:pStyle w:val="Tabletextheading"/>
              <w:jc w:val="center"/>
              <w:rPr>
                <w:rFonts w:eastAsiaTheme="minorEastAsia" w:cs="Calibri"/>
                <w:iCs/>
                <w:color w:val="FFFFFF"/>
                <w:sz w:val="20"/>
                <w:szCs w:val="22"/>
                <w:lang w:eastAsia="en-AU"/>
              </w:rPr>
            </w:pPr>
            <w:r w:rsidRPr="00B03906">
              <w:rPr>
                <w:rFonts w:eastAsiaTheme="minorEastAsia"/>
                <w:iCs/>
                <w:color w:val="FFFFFF"/>
                <w:sz w:val="20"/>
                <w:lang w:eastAsia="en-AU"/>
              </w:rPr>
              <w:t xml:space="preserve"> </w:t>
            </w:r>
          </w:p>
        </w:tc>
        <w:tc>
          <w:tcPr>
            <w:tcW w:w="1040" w:type="dxa"/>
            <w:tcBorders>
              <w:top w:val="single" w:sz="6" w:space="0" w:color="auto"/>
              <w:left w:val="nil"/>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Impaired</w:t>
            </w:r>
          </w:p>
        </w:tc>
        <w:tc>
          <w:tcPr>
            <w:tcW w:w="1040" w:type="dxa"/>
            <w:tcBorders>
              <w:top w:val="single" w:sz="6" w:space="0" w:color="auto"/>
              <w:left w:val="nil"/>
              <w:right w:val="single" w:sz="6" w:space="0" w:color="auto"/>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Total</w:t>
            </w:r>
          </w:p>
        </w:tc>
      </w:tr>
      <w:tr w:rsidR="00336793" w:rsidRPr="00B03906" w:rsidTr="00DF0B96">
        <w:trPr>
          <w:tblHeader/>
        </w:trPr>
        <w:tc>
          <w:tcPr>
            <w:tcW w:w="2439" w:type="dxa"/>
            <w:gridSpan w:val="2"/>
            <w:tcBorders>
              <w:top w:val="nil"/>
              <w:left w:val="single" w:sz="6" w:space="0" w:color="auto"/>
              <w:bottom w:val="nil"/>
              <w:right w:val="nil"/>
            </w:tcBorders>
            <w:shd w:val="clear" w:color="000000" w:fill="000000"/>
            <w:vAlign w:val="bottom"/>
          </w:tcPr>
          <w:p w:rsidR="00336793" w:rsidRPr="00B03906" w:rsidRDefault="00336793" w:rsidP="00DF0B96">
            <w:pPr>
              <w:pStyle w:val="Tabletext"/>
              <w:rPr>
                <w:rFonts w:eastAsiaTheme="minorEastAsia"/>
                <w:i/>
                <w:iCs/>
                <w:sz w:val="20"/>
                <w:lang w:eastAsia="en-AU"/>
              </w:rPr>
            </w:pPr>
            <w:r w:rsidRPr="00B03906">
              <w:rPr>
                <w:rFonts w:eastAsiaTheme="minorEastAsia"/>
                <w:i/>
                <w:iCs/>
                <w:sz w:val="20"/>
                <w:lang w:eastAsia="en-AU"/>
              </w:rPr>
              <w:t>State of Victoria</w:t>
            </w:r>
          </w:p>
        </w:tc>
        <w:tc>
          <w:tcPr>
            <w:tcW w:w="1092" w:type="dxa"/>
            <w:tcBorders>
              <w:top w:val="nil"/>
              <w:left w:val="nil"/>
              <w:bottom w:val="nil"/>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 xml:space="preserve">and not </w:t>
            </w:r>
          </w:p>
        </w:tc>
        <w:tc>
          <w:tcPr>
            <w:tcW w:w="986" w:type="dxa"/>
            <w:gridSpan w:val="3"/>
            <w:tcBorders>
              <w:top w:val="nil"/>
              <w:left w:val="nil"/>
              <w:bottom w:val="nil"/>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Less than</w:t>
            </w:r>
          </w:p>
        </w:tc>
        <w:tc>
          <w:tcPr>
            <w:tcW w:w="960" w:type="dxa"/>
            <w:tcBorders>
              <w:top w:val="nil"/>
              <w:left w:val="nil"/>
              <w:bottom w:val="nil"/>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1</w:t>
            </w:r>
            <w:r>
              <w:rPr>
                <w:rFonts w:eastAsiaTheme="minorEastAsia"/>
                <w:iCs/>
                <w:color w:val="FFFFFF"/>
                <w:sz w:val="20"/>
                <w:lang w:eastAsia="en-AU"/>
              </w:rPr>
              <w:noBreakHyphen/>
            </w:r>
            <w:r w:rsidRPr="00B03906">
              <w:rPr>
                <w:rFonts w:eastAsiaTheme="minorEastAsia"/>
                <w:iCs/>
                <w:color w:val="FFFFFF"/>
                <w:sz w:val="20"/>
                <w:lang w:eastAsia="en-AU"/>
              </w:rPr>
              <w:t>3</w:t>
            </w:r>
          </w:p>
        </w:tc>
        <w:tc>
          <w:tcPr>
            <w:tcW w:w="1040" w:type="dxa"/>
            <w:tcBorders>
              <w:top w:val="nil"/>
              <w:left w:val="nil"/>
              <w:bottom w:val="nil"/>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3 months</w:t>
            </w:r>
            <w:r>
              <w:rPr>
                <w:rFonts w:eastAsiaTheme="minorEastAsia"/>
                <w:iCs/>
                <w:color w:val="FFFFFF"/>
                <w:sz w:val="20"/>
                <w:lang w:eastAsia="en-AU"/>
              </w:rPr>
              <w:noBreakHyphen/>
            </w:r>
          </w:p>
        </w:tc>
        <w:tc>
          <w:tcPr>
            <w:tcW w:w="1044" w:type="dxa"/>
            <w:gridSpan w:val="2"/>
            <w:tcBorders>
              <w:top w:val="nil"/>
              <w:left w:val="nil"/>
              <w:bottom w:val="nil"/>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More than</w:t>
            </w:r>
          </w:p>
        </w:tc>
        <w:tc>
          <w:tcPr>
            <w:tcW w:w="1040" w:type="dxa"/>
            <w:tcBorders>
              <w:top w:val="nil"/>
              <w:left w:val="nil"/>
              <w:bottom w:val="nil"/>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 xml:space="preserve"> </w:t>
            </w:r>
          </w:p>
        </w:tc>
        <w:tc>
          <w:tcPr>
            <w:tcW w:w="1040" w:type="dxa"/>
            <w:tcBorders>
              <w:top w:val="nil"/>
              <w:left w:val="nil"/>
              <w:bottom w:val="nil"/>
              <w:right w:val="single" w:sz="6" w:space="0" w:color="auto"/>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 xml:space="preserve"> </w:t>
            </w:r>
          </w:p>
        </w:tc>
      </w:tr>
      <w:tr w:rsidR="00336793" w:rsidRPr="00B03906" w:rsidTr="00DF0B96">
        <w:trPr>
          <w:tblHeader/>
        </w:trPr>
        <w:tc>
          <w:tcPr>
            <w:tcW w:w="2439" w:type="dxa"/>
            <w:gridSpan w:val="2"/>
            <w:tcBorders>
              <w:top w:val="nil"/>
              <w:left w:val="single" w:sz="6" w:space="0" w:color="auto"/>
              <w:bottom w:val="single" w:sz="6" w:space="0" w:color="auto"/>
              <w:right w:val="nil"/>
            </w:tcBorders>
            <w:shd w:val="clear" w:color="000000" w:fill="000000"/>
            <w:vAlign w:val="bottom"/>
          </w:tcPr>
          <w:p w:rsidR="00336793" w:rsidRPr="00B03906" w:rsidRDefault="00336793" w:rsidP="00DF0B96">
            <w:pPr>
              <w:pStyle w:val="Tabletext"/>
              <w:rPr>
                <w:rFonts w:eastAsiaTheme="minorEastAsia"/>
                <w:i/>
                <w:iCs/>
                <w:sz w:val="20"/>
                <w:lang w:eastAsia="en-AU"/>
              </w:rPr>
            </w:pPr>
            <w:r w:rsidRPr="00B03906">
              <w:rPr>
                <w:rFonts w:eastAsiaTheme="minorEastAsia"/>
                <w:i/>
                <w:iCs/>
                <w:sz w:val="20"/>
                <w:lang w:eastAsia="en-AU"/>
              </w:rPr>
              <w:t>2015</w:t>
            </w:r>
          </w:p>
        </w:tc>
        <w:tc>
          <w:tcPr>
            <w:tcW w:w="1092" w:type="dxa"/>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impaired</w:t>
            </w:r>
          </w:p>
        </w:tc>
        <w:tc>
          <w:tcPr>
            <w:tcW w:w="986" w:type="dxa"/>
            <w:gridSpan w:val="3"/>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1 month</w:t>
            </w:r>
          </w:p>
        </w:tc>
        <w:tc>
          <w:tcPr>
            <w:tcW w:w="960" w:type="dxa"/>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months</w:t>
            </w:r>
          </w:p>
        </w:tc>
        <w:tc>
          <w:tcPr>
            <w:tcW w:w="1040" w:type="dxa"/>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1 year</w:t>
            </w:r>
          </w:p>
        </w:tc>
        <w:tc>
          <w:tcPr>
            <w:tcW w:w="1044" w:type="dxa"/>
            <w:gridSpan w:val="2"/>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1 year</w:t>
            </w:r>
          </w:p>
        </w:tc>
        <w:tc>
          <w:tcPr>
            <w:tcW w:w="1040" w:type="dxa"/>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 xml:space="preserve"> </w:t>
            </w:r>
          </w:p>
        </w:tc>
        <w:tc>
          <w:tcPr>
            <w:tcW w:w="1040" w:type="dxa"/>
            <w:tcBorders>
              <w:top w:val="nil"/>
              <w:left w:val="nil"/>
              <w:bottom w:val="single" w:sz="6" w:space="0" w:color="auto"/>
              <w:right w:val="single" w:sz="6" w:space="0" w:color="auto"/>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 xml:space="preserve"> </w:t>
            </w:r>
          </w:p>
        </w:tc>
      </w:tr>
      <w:tr w:rsidR="00336793" w:rsidRPr="00B03906" w:rsidTr="00DF0B96">
        <w:tc>
          <w:tcPr>
            <w:tcW w:w="2439" w:type="dxa"/>
            <w:gridSpan w:val="2"/>
            <w:tcBorders>
              <w:top w:val="single" w:sz="6" w:space="0" w:color="auto"/>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Sale of goods and services</w:t>
            </w:r>
          </w:p>
        </w:tc>
        <w:tc>
          <w:tcPr>
            <w:tcW w:w="1092"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662.</w:t>
            </w:r>
            <w:r>
              <w:rPr>
                <w:rFonts w:eastAsiaTheme="minorEastAsia"/>
                <w:sz w:val="20"/>
                <w:lang w:eastAsia="en-AU"/>
              </w:rPr>
              <w:t>1</w:t>
            </w:r>
          </w:p>
        </w:tc>
        <w:tc>
          <w:tcPr>
            <w:tcW w:w="986" w:type="dxa"/>
            <w:gridSpan w:val="3"/>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233.4</w:t>
            </w:r>
          </w:p>
        </w:tc>
        <w:tc>
          <w:tcPr>
            <w:tcW w:w="960"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80.5</w:t>
            </w:r>
          </w:p>
        </w:tc>
        <w:tc>
          <w:tcPr>
            <w:tcW w:w="1040"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120.8</w:t>
            </w:r>
          </w:p>
        </w:tc>
        <w:tc>
          <w:tcPr>
            <w:tcW w:w="1044" w:type="dxa"/>
            <w:gridSpan w:val="2"/>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75.9</w:t>
            </w:r>
          </w:p>
        </w:tc>
        <w:tc>
          <w:tcPr>
            <w:tcW w:w="1040"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5.1</w:t>
            </w:r>
          </w:p>
        </w:tc>
        <w:tc>
          <w:tcPr>
            <w:tcW w:w="1040"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1 17</w:t>
            </w:r>
            <w:r>
              <w:rPr>
                <w:rFonts w:eastAsiaTheme="minorEastAsia"/>
                <w:sz w:val="20"/>
                <w:lang w:eastAsia="en-AU"/>
              </w:rPr>
              <w:t>8</w:t>
            </w:r>
            <w:r w:rsidRPr="00B03906">
              <w:rPr>
                <w:rFonts w:eastAsiaTheme="minorEastAsia"/>
                <w:sz w:val="20"/>
                <w:lang w:eastAsia="en-AU"/>
              </w:rPr>
              <w:t>.</w:t>
            </w:r>
            <w:r>
              <w:rPr>
                <w:rFonts w:eastAsiaTheme="minorEastAsia"/>
                <w:sz w:val="20"/>
                <w:lang w:eastAsia="en-AU"/>
              </w:rPr>
              <w:t>0</w:t>
            </w:r>
          </w:p>
        </w:tc>
      </w:tr>
      <w:tr w:rsidR="00336793" w:rsidRPr="00B03906" w:rsidTr="00DF0B96">
        <w:tc>
          <w:tcPr>
            <w:tcW w:w="2439" w:type="dxa"/>
            <w:gridSpan w:val="2"/>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Accrued investment income</w:t>
            </w:r>
          </w:p>
        </w:tc>
        <w:tc>
          <w:tcPr>
            <w:tcW w:w="1092"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62.5</w:t>
            </w:r>
          </w:p>
        </w:tc>
        <w:tc>
          <w:tcPr>
            <w:tcW w:w="986" w:type="dxa"/>
            <w:gridSpan w:val="3"/>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10.5</w:t>
            </w:r>
          </w:p>
        </w:tc>
        <w:tc>
          <w:tcPr>
            <w:tcW w:w="96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0.1</w:t>
            </w:r>
          </w:p>
        </w:tc>
        <w:tc>
          <w:tcPr>
            <w:tcW w:w="10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044" w:type="dxa"/>
            <w:gridSpan w:val="2"/>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0.1</w:t>
            </w:r>
          </w:p>
        </w:tc>
        <w:tc>
          <w:tcPr>
            <w:tcW w:w="10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0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73.1</w:t>
            </w:r>
          </w:p>
        </w:tc>
      </w:tr>
      <w:tr w:rsidR="00336793" w:rsidRPr="00B03906" w:rsidTr="00DF0B96">
        <w:tc>
          <w:tcPr>
            <w:tcW w:w="2439" w:type="dxa"/>
            <w:gridSpan w:val="2"/>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Other receivables</w:t>
            </w:r>
          </w:p>
        </w:tc>
        <w:tc>
          <w:tcPr>
            <w:tcW w:w="1092"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960.8</w:t>
            </w:r>
          </w:p>
        </w:tc>
        <w:tc>
          <w:tcPr>
            <w:tcW w:w="986" w:type="dxa"/>
            <w:gridSpan w:val="3"/>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w:t>
            </w:r>
            <w:r>
              <w:rPr>
                <w:rFonts w:eastAsiaTheme="minorEastAsia"/>
                <w:sz w:val="20"/>
                <w:lang w:eastAsia="en-AU"/>
              </w:rPr>
              <w:t>59.2</w:t>
            </w:r>
          </w:p>
        </w:tc>
        <w:tc>
          <w:tcPr>
            <w:tcW w:w="96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21.6</w:t>
            </w:r>
          </w:p>
        </w:tc>
        <w:tc>
          <w:tcPr>
            <w:tcW w:w="10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72.6</w:t>
            </w:r>
          </w:p>
        </w:tc>
        <w:tc>
          <w:tcPr>
            <w:tcW w:w="1044" w:type="dxa"/>
            <w:gridSpan w:val="2"/>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85.3</w:t>
            </w:r>
          </w:p>
        </w:tc>
        <w:tc>
          <w:tcPr>
            <w:tcW w:w="1040" w:type="dxa"/>
            <w:tcBorders>
              <w:top w:val="nil"/>
              <w:left w:val="nil"/>
              <w:bottom w:val="nil"/>
              <w:right w:val="nil"/>
            </w:tcBorders>
          </w:tcPr>
          <w:p w:rsidR="00336793" w:rsidRPr="00B0390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p>
        </w:tc>
        <w:tc>
          <w:tcPr>
            <w:tcW w:w="10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1 </w:t>
            </w:r>
            <w:r>
              <w:rPr>
                <w:rFonts w:eastAsiaTheme="minorEastAsia"/>
                <w:sz w:val="20"/>
                <w:lang w:eastAsia="en-AU"/>
              </w:rPr>
              <w:t>199.4</w:t>
            </w:r>
          </w:p>
        </w:tc>
      </w:tr>
      <w:tr w:rsidR="00336793" w:rsidRPr="00B03906" w:rsidTr="00DF0B96">
        <w:tc>
          <w:tcPr>
            <w:tcW w:w="2439" w:type="dxa"/>
            <w:gridSpan w:val="2"/>
            <w:tcBorders>
              <w:top w:val="single" w:sz="6" w:space="0" w:color="auto"/>
              <w:left w:val="nil"/>
              <w:bottom w:val="single" w:sz="12" w:space="0" w:color="auto"/>
              <w:right w:val="nil"/>
            </w:tcBorders>
          </w:tcPr>
          <w:p w:rsidR="00336793" w:rsidRPr="00B03906" w:rsidRDefault="00336793" w:rsidP="00DF0B96">
            <w:pPr>
              <w:pStyle w:val="Tabletext"/>
              <w:rPr>
                <w:rFonts w:eastAsiaTheme="minorEastAsia"/>
                <w:b/>
                <w:bCs/>
                <w:sz w:val="20"/>
                <w:lang w:eastAsia="en-AU"/>
              </w:rPr>
            </w:pPr>
            <w:r w:rsidRPr="00B03906">
              <w:rPr>
                <w:rFonts w:eastAsiaTheme="minorEastAsia"/>
                <w:b/>
                <w:bCs/>
                <w:sz w:val="20"/>
                <w:lang w:eastAsia="en-AU"/>
              </w:rPr>
              <w:t xml:space="preserve"> </w:t>
            </w:r>
          </w:p>
        </w:tc>
        <w:tc>
          <w:tcPr>
            <w:tcW w:w="1092" w:type="dxa"/>
            <w:tcBorders>
              <w:top w:val="single" w:sz="6" w:space="0" w:color="auto"/>
              <w:left w:val="nil"/>
              <w:bottom w:val="single" w:sz="12" w:space="0" w:color="auto"/>
              <w:right w:val="nil"/>
            </w:tcBorders>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1 685.5</w:t>
            </w:r>
          </w:p>
        </w:tc>
        <w:tc>
          <w:tcPr>
            <w:tcW w:w="986" w:type="dxa"/>
            <w:gridSpan w:val="3"/>
            <w:tcBorders>
              <w:top w:val="single" w:sz="6" w:space="0" w:color="auto"/>
              <w:left w:val="nil"/>
              <w:bottom w:val="single" w:sz="12" w:space="0" w:color="auto"/>
              <w:right w:val="nil"/>
            </w:tcBorders>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3</w:t>
            </w:r>
            <w:r>
              <w:rPr>
                <w:rFonts w:eastAsiaTheme="minorEastAsia"/>
                <w:b/>
                <w:bCs/>
                <w:sz w:val="20"/>
                <w:lang w:eastAsia="en-AU"/>
              </w:rPr>
              <w:t>03</w:t>
            </w:r>
            <w:r w:rsidRPr="00B03906">
              <w:rPr>
                <w:rFonts w:eastAsiaTheme="minorEastAsia"/>
                <w:b/>
                <w:bCs/>
                <w:sz w:val="20"/>
                <w:lang w:eastAsia="en-AU"/>
              </w:rPr>
              <w:t>.</w:t>
            </w:r>
            <w:r>
              <w:rPr>
                <w:rFonts w:eastAsiaTheme="minorEastAsia"/>
                <w:b/>
                <w:bCs/>
                <w:sz w:val="20"/>
                <w:lang w:eastAsia="en-AU"/>
              </w:rPr>
              <w:t>1</w:t>
            </w:r>
          </w:p>
        </w:tc>
        <w:tc>
          <w:tcPr>
            <w:tcW w:w="960" w:type="dxa"/>
            <w:tcBorders>
              <w:top w:val="single" w:sz="6" w:space="0" w:color="auto"/>
              <w:left w:val="nil"/>
              <w:bottom w:val="single" w:sz="12" w:space="0" w:color="auto"/>
              <w:right w:val="nil"/>
            </w:tcBorders>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102.1</w:t>
            </w:r>
          </w:p>
        </w:tc>
        <w:tc>
          <w:tcPr>
            <w:tcW w:w="1040" w:type="dxa"/>
            <w:tcBorders>
              <w:top w:val="single" w:sz="6" w:space="0" w:color="auto"/>
              <w:left w:val="nil"/>
              <w:bottom w:val="single" w:sz="12" w:space="0" w:color="auto"/>
              <w:right w:val="nil"/>
            </w:tcBorders>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193.3</w:t>
            </w:r>
          </w:p>
        </w:tc>
        <w:tc>
          <w:tcPr>
            <w:tcW w:w="1044" w:type="dxa"/>
            <w:gridSpan w:val="2"/>
            <w:tcBorders>
              <w:top w:val="single" w:sz="6" w:space="0" w:color="auto"/>
              <w:left w:val="nil"/>
              <w:bottom w:val="single" w:sz="12" w:space="0" w:color="auto"/>
              <w:right w:val="nil"/>
            </w:tcBorders>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161.3</w:t>
            </w:r>
          </w:p>
        </w:tc>
        <w:tc>
          <w:tcPr>
            <w:tcW w:w="1040" w:type="dxa"/>
            <w:tcBorders>
              <w:top w:val="single" w:sz="6" w:space="0" w:color="auto"/>
              <w:left w:val="nil"/>
              <w:bottom w:val="single" w:sz="12" w:space="0" w:color="auto"/>
              <w:right w:val="nil"/>
            </w:tcBorders>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5.1</w:t>
            </w:r>
          </w:p>
        </w:tc>
        <w:tc>
          <w:tcPr>
            <w:tcW w:w="1040" w:type="dxa"/>
            <w:tcBorders>
              <w:top w:val="single" w:sz="6" w:space="0" w:color="auto"/>
              <w:left w:val="nil"/>
              <w:bottom w:val="single" w:sz="12" w:space="0" w:color="auto"/>
              <w:right w:val="nil"/>
            </w:tcBorders>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2 4</w:t>
            </w:r>
            <w:r>
              <w:rPr>
                <w:rFonts w:eastAsiaTheme="minorEastAsia"/>
                <w:b/>
                <w:bCs/>
                <w:sz w:val="20"/>
                <w:lang w:eastAsia="en-AU"/>
              </w:rPr>
              <w:t>50</w:t>
            </w:r>
            <w:r w:rsidRPr="00B03906">
              <w:rPr>
                <w:rFonts w:eastAsiaTheme="minorEastAsia"/>
                <w:b/>
                <w:bCs/>
                <w:sz w:val="20"/>
                <w:lang w:eastAsia="en-AU"/>
              </w:rPr>
              <w:t>.</w:t>
            </w:r>
            <w:r>
              <w:rPr>
                <w:rFonts w:eastAsiaTheme="minorEastAsia"/>
                <w:b/>
                <w:bCs/>
                <w:sz w:val="20"/>
                <w:lang w:eastAsia="en-AU"/>
              </w:rPr>
              <w:t>4</w:t>
            </w:r>
          </w:p>
        </w:tc>
      </w:tr>
      <w:tr w:rsidR="00336793" w:rsidRPr="00B03906" w:rsidTr="00DF0B96">
        <w:tc>
          <w:tcPr>
            <w:tcW w:w="2439" w:type="dxa"/>
            <w:gridSpan w:val="2"/>
            <w:tcBorders>
              <w:top w:val="single" w:sz="12" w:space="0" w:color="auto"/>
              <w:left w:val="nil"/>
              <w:bottom w:val="single" w:sz="6" w:space="0" w:color="auto"/>
              <w:right w:val="nil"/>
            </w:tcBorders>
            <w:shd w:val="solid" w:color="000000" w:fill="auto"/>
          </w:tcPr>
          <w:p w:rsidR="00336793" w:rsidRPr="00B03906" w:rsidRDefault="00336793" w:rsidP="00DF0B96">
            <w:pPr>
              <w:pStyle w:val="Tabletext"/>
              <w:rPr>
                <w:rFonts w:eastAsiaTheme="minorEastAsia"/>
                <w:i/>
                <w:iCs/>
                <w:sz w:val="20"/>
                <w:vertAlign w:val="superscript"/>
                <w:lang w:eastAsia="en-AU"/>
              </w:rPr>
            </w:pPr>
            <w:r w:rsidRPr="00B03906">
              <w:rPr>
                <w:rFonts w:eastAsiaTheme="minorEastAsia"/>
                <w:i/>
                <w:iCs/>
                <w:sz w:val="20"/>
                <w:lang w:eastAsia="en-AU"/>
              </w:rPr>
              <w:t>2014</w:t>
            </w:r>
          </w:p>
        </w:tc>
        <w:tc>
          <w:tcPr>
            <w:tcW w:w="1092" w:type="dxa"/>
            <w:tcBorders>
              <w:top w:val="single" w:sz="12" w:space="0" w:color="auto"/>
              <w:left w:val="nil"/>
              <w:bottom w:val="single" w:sz="6" w:space="0" w:color="auto"/>
              <w:right w:val="nil"/>
            </w:tcBorders>
            <w:shd w:val="solid" w:color="000000" w:fill="auto"/>
          </w:tcPr>
          <w:p w:rsidR="00336793" w:rsidRPr="00B03906" w:rsidRDefault="00336793" w:rsidP="00DF0B96">
            <w:pPr>
              <w:pStyle w:val="TableofFigures"/>
              <w:rPr>
                <w:rFonts w:eastAsiaTheme="minorEastAsia"/>
                <w:i/>
                <w:sz w:val="20"/>
                <w:lang w:eastAsia="en-AU"/>
              </w:rPr>
            </w:pPr>
            <w:r w:rsidRPr="00B03906">
              <w:rPr>
                <w:rFonts w:eastAsiaTheme="minorEastAsia"/>
                <w:i/>
                <w:sz w:val="20"/>
                <w:lang w:eastAsia="en-AU"/>
              </w:rPr>
              <w:t xml:space="preserve">  </w:t>
            </w:r>
          </w:p>
        </w:tc>
        <w:tc>
          <w:tcPr>
            <w:tcW w:w="986" w:type="dxa"/>
            <w:gridSpan w:val="3"/>
            <w:tcBorders>
              <w:top w:val="single" w:sz="12" w:space="0" w:color="auto"/>
              <w:left w:val="nil"/>
              <w:bottom w:val="single" w:sz="6" w:space="0" w:color="auto"/>
              <w:right w:val="nil"/>
            </w:tcBorders>
            <w:shd w:val="solid" w:color="000000" w:fill="auto"/>
          </w:tcPr>
          <w:p w:rsidR="00336793" w:rsidRPr="00B03906" w:rsidRDefault="00336793" w:rsidP="00DF0B96">
            <w:pPr>
              <w:pStyle w:val="TableofFigures"/>
              <w:rPr>
                <w:rFonts w:eastAsiaTheme="minorEastAsia"/>
                <w:i/>
                <w:sz w:val="20"/>
                <w:lang w:eastAsia="en-AU"/>
              </w:rPr>
            </w:pPr>
            <w:r w:rsidRPr="00B03906">
              <w:rPr>
                <w:rFonts w:eastAsiaTheme="minorEastAsia"/>
                <w:i/>
                <w:sz w:val="20"/>
                <w:lang w:eastAsia="en-AU"/>
              </w:rPr>
              <w:t xml:space="preserve">  </w:t>
            </w:r>
          </w:p>
        </w:tc>
        <w:tc>
          <w:tcPr>
            <w:tcW w:w="960" w:type="dxa"/>
            <w:tcBorders>
              <w:top w:val="single" w:sz="12" w:space="0" w:color="auto"/>
              <w:left w:val="nil"/>
              <w:bottom w:val="single" w:sz="6" w:space="0" w:color="auto"/>
              <w:right w:val="nil"/>
            </w:tcBorders>
            <w:shd w:val="solid" w:color="000000" w:fill="auto"/>
          </w:tcPr>
          <w:p w:rsidR="00336793" w:rsidRPr="00B03906" w:rsidRDefault="00336793" w:rsidP="00DF0B96">
            <w:pPr>
              <w:pStyle w:val="TableofFigures"/>
              <w:rPr>
                <w:rFonts w:eastAsiaTheme="minorEastAsia"/>
                <w:i/>
                <w:sz w:val="20"/>
                <w:lang w:eastAsia="en-AU"/>
              </w:rPr>
            </w:pPr>
            <w:r w:rsidRPr="00B03906">
              <w:rPr>
                <w:rFonts w:eastAsiaTheme="minorEastAsia"/>
                <w:i/>
                <w:sz w:val="20"/>
                <w:lang w:eastAsia="en-AU"/>
              </w:rPr>
              <w:t xml:space="preserve">  </w:t>
            </w:r>
          </w:p>
        </w:tc>
        <w:tc>
          <w:tcPr>
            <w:tcW w:w="1040" w:type="dxa"/>
            <w:tcBorders>
              <w:top w:val="single" w:sz="12" w:space="0" w:color="auto"/>
              <w:left w:val="nil"/>
              <w:bottom w:val="single" w:sz="6" w:space="0" w:color="auto"/>
              <w:right w:val="nil"/>
            </w:tcBorders>
            <w:shd w:val="solid" w:color="000000" w:fill="auto"/>
          </w:tcPr>
          <w:p w:rsidR="00336793" w:rsidRPr="00B03906" w:rsidRDefault="00336793" w:rsidP="00DF0B96">
            <w:pPr>
              <w:pStyle w:val="TableofFigures"/>
              <w:rPr>
                <w:rFonts w:eastAsiaTheme="minorEastAsia"/>
                <w:i/>
                <w:sz w:val="20"/>
                <w:lang w:eastAsia="en-AU"/>
              </w:rPr>
            </w:pPr>
            <w:r w:rsidRPr="00B03906">
              <w:rPr>
                <w:rFonts w:eastAsiaTheme="minorEastAsia"/>
                <w:i/>
                <w:sz w:val="20"/>
                <w:lang w:eastAsia="en-AU"/>
              </w:rPr>
              <w:t xml:space="preserve">  </w:t>
            </w:r>
          </w:p>
        </w:tc>
        <w:tc>
          <w:tcPr>
            <w:tcW w:w="1044" w:type="dxa"/>
            <w:gridSpan w:val="2"/>
            <w:tcBorders>
              <w:top w:val="single" w:sz="12" w:space="0" w:color="auto"/>
              <w:left w:val="nil"/>
              <w:bottom w:val="single" w:sz="6" w:space="0" w:color="auto"/>
              <w:right w:val="nil"/>
            </w:tcBorders>
            <w:shd w:val="solid" w:color="000000" w:fill="auto"/>
          </w:tcPr>
          <w:p w:rsidR="00336793" w:rsidRPr="00B03906" w:rsidRDefault="00336793" w:rsidP="00DF0B96">
            <w:pPr>
              <w:pStyle w:val="TableofFigures"/>
              <w:rPr>
                <w:rFonts w:eastAsiaTheme="minorEastAsia"/>
                <w:i/>
                <w:sz w:val="20"/>
                <w:lang w:eastAsia="en-AU"/>
              </w:rPr>
            </w:pPr>
            <w:r w:rsidRPr="00B03906">
              <w:rPr>
                <w:rFonts w:eastAsiaTheme="minorEastAsia"/>
                <w:i/>
                <w:sz w:val="20"/>
                <w:lang w:eastAsia="en-AU"/>
              </w:rPr>
              <w:t xml:space="preserve">  </w:t>
            </w:r>
          </w:p>
        </w:tc>
        <w:tc>
          <w:tcPr>
            <w:tcW w:w="1040" w:type="dxa"/>
            <w:tcBorders>
              <w:top w:val="single" w:sz="12" w:space="0" w:color="auto"/>
              <w:left w:val="nil"/>
              <w:bottom w:val="single" w:sz="6" w:space="0" w:color="auto"/>
              <w:right w:val="nil"/>
            </w:tcBorders>
            <w:shd w:val="solid" w:color="000000" w:fill="auto"/>
          </w:tcPr>
          <w:p w:rsidR="00336793" w:rsidRPr="00B03906" w:rsidRDefault="00336793" w:rsidP="00DF0B96">
            <w:pPr>
              <w:pStyle w:val="TableofFigures"/>
              <w:rPr>
                <w:rFonts w:eastAsiaTheme="minorEastAsia"/>
                <w:i/>
                <w:sz w:val="20"/>
                <w:lang w:eastAsia="en-AU"/>
              </w:rPr>
            </w:pPr>
            <w:r w:rsidRPr="00B03906">
              <w:rPr>
                <w:rFonts w:eastAsiaTheme="minorEastAsia"/>
                <w:i/>
                <w:sz w:val="20"/>
                <w:lang w:eastAsia="en-AU"/>
              </w:rPr>
              <w:t xml:space="preserve">  </w:t>
            </w:r>
          </w:p>
        </w:tc>
        <w:tc>
          <w:tcPr>
            <w:tcW w:w="1040" w:type="dxa"/>
            <w:tcBorders>
              <w:top w:val="single" w:sz="12" w:space="0" w:color="auto"/>
              <w:left w:val="nil"/>
              <w:bottom w:val="single" w:sz="6" w:space="0" w:color="auto"/>
              <w:right w:val="nil"/>
            </w:tcBorders>
            <w:shd w:val="solid" w:color="000000" w:fill="auto"/>
          </w:tcPr>
          <w:p w:rsidR="00336793" w:rsidRPr="00B03906" w:rsidRDefault="00336793" w:rsidP="00DF0B96">
            <w:pPr>
              <w:pStyle w:val="TableofFigures"/>
              <w:rPr>
                <w:rFonts w:eastAsiaTheme="minorEastAsia"/>
                <w:i/>
                <w:sz w:val="20"/>
                <w:lang w:eastAsia="en-AU"/>
              </w:rPr>
            </w:pPr>
            <w:r w:rsidRPr="00B03906">
              <w:rPr>
                <w:rFonts w:eastAsiaTheme="minorEastAsia"/>
                <w:i/>
                <w:sz w:val="20"/>
                <w:lang w:eastAsia="en-AU"/>
              </w:rPr>
              <w:t xml:space="preserve">  </w:t>
            </w:r>
          </w:p>
        </w:tc>
      </w:tr>
      <w:tr w:rsidR="00336793" w:rsidRPr="00B03906" w:rsidTr="00DF0B96">
        <w:tc>
          <w:tcPr>
            <w:tcW w:w="2439" w:type="dxa"/>
            <w:gridSpan w:val="2"/>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Sale of goods and services</w:t>
            </w:r>
          </w:p>
        </w:tc>
        <w:tc>
          <w:tcPr>
            <w:tcW w:w="1092"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696.6</w:t>
            </w:r>
          </w:p>
        </w:tc>
        <w:tc>
          <w:tcPr>
            <w:tcW w:w="986" w:type="dxa"/>
            <w:gridSpan w:val="3"/>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238.4</w:t>
            </w:r>
          </w:p>
        </w:tc>
        <w:tc>
          <w:tcPr>
            <w:tcW w:w="96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90.2</w:t>
            </w:r>
          </w:p>
        </w:tc>
        <w:tc>
          <w:tcPr>
            <w:tcW w:w="10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78.4</w:t>
            </w:r>
          </w:p>
        </w:tc>
        <w:tc>
          <w:tcPr>
            <w:tcW w:w="1044" w:type="dxa"/>
            <w:gridSpan w:val="2"/>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60.9</w:t>
            </w:r>
          </w:p>
        </w:tc>
        <w:tc>
          <w:tcPr>
            <w:tcW w:w="10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18.9</w:t>
            </w:r>
          </w:p>
        </w:tc>
        <w:tc>
          <w:tcPr>
            <w:tcW w:w="10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1 183.3</w:t>
            </w:r>
          </w:p>
        </w:tc>
      </w:tr>
      <w:tr w:rsidR="00336793" w:rsidRPr="00B03906" w:rsidTr="00DF0B96">
        <w:tc>
          <w:tcPr>
            <w:tcW w:w="2439" w:type="dxa"/>
            <w:gridSpan w:val="2"/>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Accrued investment income</w:t>
            </w:r>
          </w:p>
        </w:tc>
        <w:tc>
          <w:tcPr>
            <w:tcW w:w="1092"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73.1</w:t>
            </w:r>
          </w:p>
        </w:tc>
        <w:tc>
          <w:tcPr>
            <w:tcW w:w="986" w:type="dxa"/>
            <w:gridSpan w:val="3"/>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3.5</w:t>
            </w:r>
          </w:p>
        </w:tc>
        <w:tc>
          <w:tcPr>
            <w:tcW w:w="96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Pr>
                <w:rFonts w:eastAsiaTheme="minorEastAsia"/>
                <w:sz w:val="20"/>
                <w:lang w:eastAsia="en-AU"/>
              </w:rPr>
              <w:t>..</w:t>
            </w:r>
          </w:p>
        </w:tc>
        <w:tc>
          <w:tcPr>
            <w:tcW w:w="10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0.2</w:t>
            </w:r>
          </w:p>
        </w:tc>
        <w:tc>
          <w:tcPr>
            <w:tcW w:w="1044" w:type="dxa"/>
            <w:gridSpan w:val="2"/>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0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0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76.8</w:t>
            </w:r>
          </w:p>
        </w:tc>
      </w:tr>
      <w:tr w:rsidR="00336793" w:rsidRPr="00B03906" w:rsidTr="00DF0B96">
        <w:tc>
          <w:tcPr>
            <w:tcW w:w="2439" w:type="dxa"/>
            <w:gridSpan w:val="2"/>
            <w:tcBorders>
              <w:top w:val="nil"/>
              <w:left w:val="nil"/>
              <w:bottom w:val="single" w:sz="6" w:space="0" w:color="auto"/>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Other receivables</w:t>
            </w:r>
          </w:p>
        </w:tc>
        <w:tc>
          <w:tcPr>
            <w:tcW w:w="1092"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653.9</w:t>
            </w:r>
          </w:p>
        </w:tc>
        <w:tc>
          <w:tcPr>
            <w:tcW w:w="986" w:type="dxa"/>
            <w:gridSpan w:val="3"/>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86.3</w:t>
            </w:r>
          </w:p>
        </w:tc>
        <w:tc>
          <w:tcPr>
            <w:tcW w:w="960"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14.2</w:t>
            </w:r>
          </w:p>
        </w:tc>
        <w:tc>
          <w:tcPr>
            <w:tcW w:w="1040"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186.8</w:t>
            </w:r>
          </w:p>
        </w:tc>
        <w:tc>
          <w:tcPr>
            <w:tcW w:w="1044" w:type="dxa"/>
            <w:gridSpan w:val="2"/>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65.3</w:t>
            </w:r>
          </w:p>
        </w:tc>
        <w:tc>
          <w:tcPr>
            <w:tcW w:w="1040"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1.0</w:t>
            </w:r>
          </w:p>
        </w:tc>
        <w:tc>
          <w:tcPr>
            <w:tcW w:w="1040"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1 007.6</w:t>
            </w:r>
          </w:p>
        </w:tc>
      </w:tr>
      <w:tr w:rsidR="00336793" w:rsidRPr="00B03906" w:rsidTr="00DF0B96">
        <w:tc>
          <w:tcPr>
            <w:tcW w:w="2439" w:type="dxa"/>
            <w:gridSpan w:val="2"/>
            <w:tcBorders>
              <w:top w:val="single" w:sz="6" w:space="0" w:color="auto"/>
              <w:left w:val="nil"/>
              <w:bottom w:val="single" w:sz="12" w:space="0" w:color="000000"/>
              <w:right w:val="nil"/>
            </w:tcBorders>
            <w:shd w:val="clear" w:color="auto" w:fill="auto"/>
          </w:tcPr>
          <w:p w:rsidR="00336793" w:rsidRPr="00B03906" w:rsidRDefault="00336793" w:rsidP="00DF0B96">
            <w:pPr>
              <w:pStyle w:val="Tabletext"/>
              <w:rPr>
                <w:rFonts w:eastAsiaTheme="minorEastAsia"/>
                <w:b/>
                <w:bCs/>
                <w:sz w:val="20"/>
                <w:lang w:eastAsia="en-AU"/>
              </w:rPr>
            </w:pPr>
            <w:r w:rsidRPr="00B03906">
              <w:rPr>
                <w:rFonts w:eastAsiaTheme="minorEastAsia"/>
                <w:b/>
                <w:bCs/>
                <w:sz w:val="20"/>
                <w:lang w:eastAsia="en-AU"/>
              </w:rPr>
              <w:t xml:space="preserve"> </w:t>
            </w:r>
          </w:p>
        </w:tc>
        <w:tc>
          <w:tcPr>
            <w:tcW w:w="1092"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1 423.6</w:t>
            </w:r>
          </w:p>
        </w:tc>
        <w:tc>
          <w:tcPr>
            <w:tcW w:w="986" w:type="dxa"/>
            <w:gridSpan w:val="3"/>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328.2</w:t>
            </w:r>
          </w:p>
        </w:tc>
        <w:tc>
          <w:tcPr>
            <w:tcW w:w="96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104.4</w:t>
            </w:r>
          </w:p>
        </w:tc>
        <w:tc>
          <w:tcPr>
            <w:tcW w:w="104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265.4</w:t>
            </w:r>
          </w:p>
        </w:tc>
        <w:tc>
          <w:tcPr>
            <w:tcW w:w="1044" w:type="dxa"/>
            <w:gridSpan w:val="2"/>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126.2</w:t>
            </w:r>
          </w:p>
        </w:tc>
        <w:tc>
          <w:tcPr>
            <w:tcW w:w="104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20.0</w:t>
            </w:r>
          </w:p>
        </w:tc>
        <w:tc>
          <w:tcPr>
            <w:tcW w:w="104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2 267.7</w:t>
            </w:r>
          </w:p>
        </w:tc>
      </w:tr>
    </w:tbl>
    <w:p w:rsidR="00336793" w:rsidRPr="00A10A3B"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2144"/>
        <w:gridCol w:w="309"/>
        <w:gridCol w:w="1050"/>
        <w:gridCol w:w="1008"/>
        <w:gridCol w:w="966"/>
        <w:gridCol w:w="1040"/>
        <w:gridCol w:w="446"/>
        <w:gridCol w:w="284"/>
        <w:gridCol w:w="310"/>
        <w:gridCol w:w="1040"/>
        <w:gridCol w:w="1040"/>
      </w:tblGrid>
      <w:tr w:rsidR="00336793" w:rsidRPr="00A10A3B" w:rsidTr="00DF0B96">
        <w:trPr>
          <w:tblHeader/>
        </w:trPr>
        <w:tc>
          <w:tcPr>
            <w:tcW w:w="2144" w:type="dxa"/>
            <w:tcBorders>
              <w:top w:val="single" w:sz="6" w:space="0" w:color="auto"/>
              <w:left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sz w:val="20"/>
                <w:lang w:eastAsia="en-AU"/>
              </w:rPr>
            </w:pPr>
            <w:r w:rsidRPr="00A10A3B">
              <w:rPr>
                <w:rFonts w:eastAsiaTheme="minorEastAsia"/>
                <w:color w:val="FFFFFF"/>
                <w:sz w:val="20"/>
                <w:lang w:eastAsia="en-AU"/>
              </w:rPr>
              <w:t xml:space="preserve">General </w:t>
            </w:r>
          </w:p>
        </w:tc>
        <w:tc>
          <w:tcPr>
            <w:tcW w:w="1359" w:type="dxa"/>
            <w:gridSpan w:val="2"/>
            <w:tcBorders>
              <w:top w:val="single" w:sz="6" w:space="0" w:color="auto"/>
              <w:left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Not past due</w:t>
            </w:r>
          </w:p>
        </w:tc>
        <w:tc>
          <w:tcPr>
            <w:tcW w:w="1008" w:type="dxa"/>
            <w:tcBorders>
              <w:top w:val="single" w:sz="6" w:space="0" w:color="auto"/>
              <w:left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 xml:space="preserve"> </w:t>
            </w:r>
          </w:p>
        </w:tc>
        <w:tc>
          <w:tcPr>
            <w:tcW w:w="2452" w:type="dxa"/>
            <w:gridSpan w:val="3"/>
            <w:tcBorders>
              <w:top w:val="single" w:sz="6" w:space="0" w:color="auto"/>
              <w:left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Past due and not impaired</w:t>
            </w:r>
          </w:p>
        </w:tc>
        <w:tc>
          <w:tcPr>
            <w:tcW w:w="284" w:type="dxa"/>
            <w:tcBorders>
              <w:top w:val="single" w:sz="6" w:space="0" w:color="auto"/>
              <w:left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 xml:space="preserve"> </w:t>
            </w:r>
          </w:p>
        </w:tc>
        <w:tc>
          <w:tcPr>
            <w:tcW w:w="310" w:type="dxa"/>
            <w:tcBorders>
              <w:top w:val="single" w:sz="6" w:space="0" w:color="auto"/>
              <w:left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 xml:space="preserve"> </w:t>
            </w:r>
          </w:p>
        </w:tc>
        <w:tc>
          <w:tcPr>
            <w:tcW w:w="1040" w:type="dxa"/>
            <w:tcBorders>
              <w:top w:val="single" w:sz="6" w:space="0" w:color="auto"/>
              <w:left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Impaired</w:t>
            </w:r>
          </w:p>
        </w:tc>
        <w:tc>
          <w:tcPr>
            <w:tcW w:w="1040" w:type="dxa"/>
            <w:tcBorders>
              <w:top w:val="single" w:sz="6" w:space="0" w:color="auto"/>
              <w:left w:val="nil"/>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Total</w:t>
            </w:r>
          </w:p>
        </w:tc>
      </w:tr>
      <w:tr w:rsidR="00336793" w:rsidRPr="00A10A3B" w:rsidTr="00DF0B96">
        <w:trPr>
          <w:tblHeader/>
        </w:trPr>
        <w:tc>
          <w:tcPr>
            <w:tcW w:w="2453" w:type="dxa"/>
            <w:gridSpan w:val="2"/>
            <w:tcBorders>
              <w:top w:val="nil"/>
              <w:left w:val="single" w:sz="6" w:space="0" w:color="auto"/>
              <w:bottom w:val="nil"/>
              <w:right w:val="nil"/>
            </w:tcBorders>
            <w:shd w:val="clear" w:color="000000" w:fill="000000"/>
            <w:vAlign w:val="bottom"/>
          </w:tcPr>
          <w:p w:rsidR="00336793" w:rsidRPr="00A10A3B" w:rsidRDefault="00336793" w:rsidP="00DF0B96">
            <w:pPr>
              <w:pStyle w:val="Tabletextheading"/>
              <w:jc w:val="left"/>
              <w:rPr>
                <w:rFonts w:eastAsiaTheme="minorEastAsia"/>
                <w:color w:val="FFFFFF"/>
                <w:sz w:val="20"/>
                <w:lang w:eastAsia="en-AU"/>
              </w:rPr>
            </w:pPr>
            <w:r w:rsidRPr="00A10A3B">
              <w:rPr>
                <w:rFonts w:eastAsiaTheme="minorEastAsia"/>
                <w:color w:val="FFFFFF"/>
                <w:sz w:val="20"/>
                <w:lang w:eastAsia="en-AU"/>
              </w:rPr>
              <w:t>government sector</w:t>
            </w:r>
          </w:p>
        </w:tc>
        <w:tc>
          <w:tcPr>
            <w:tcW w:w="1050" w:type="dxa"/>
            <w:tcBorders>
              <w:top w:val="nil"/>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 xml:space="preserve">and not </w:t>
            </w:r>
          </w:p>
        </w:tc>
        <w:tc>
          <w:tcPr>
            <w:tcW w:w="1008" w:type="dxa"/>
            <w:tcBorders>
              <w:top w:val="nil"/>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Less than</w:t>
            </w:r>
          </w:p>
        </w:tc>
        <w:tc>
          <w:tcPr>
            <w:tcW w:w="966" w:type="dxa"/>
            <w:tcBorders>
              <w:top w:val="nil"/>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1</w:t>
            </w:r>
            <w:r>
              <w:rPr>
                <w:rFonts w:eastAsiaTheme="minorEastAsia"/>
                <w:color w:val="FFFFFF"/>
                <w:sz w:val="20"/>
                <w:lang w:eastAsia="en-AU"/>
              </w:rPr>
              <w:noBreakHyphen/>
            </w:r>
            <w:r w:rsidRPr="00A10A3B">
              <w:rPr>
                <w:rFonts w:eastAsiaTheme="minorEastAsia"/>
                <w:color w:val="FFFFFF"/>
                <w:sz w:val="20"/>
                <w:lang w:eastAsia="en-AU"/>
              </w:rPr>
              <w:t xml:space="preserve">3 </w:t>
            </w:r>
          </w:p>
        </w:tc>
        <w:tc>
          <w:tcPr>
            <w:tcW w:w="1040" w:type="dxa"/>
            <w:tcBorders>
              <w:top w:val="nil"/>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3 months</w:t>
            </w:r>
            <w:r>
              <w:rPr>
                <w:rFonts w:eastAsiaTheme="minorEastAsia"/>
                <w:color w:val="FFFFFF"/>
                <w:sz w:val="20"/>
                <w:lang w:eastAsia="en-AU"/>
              </w:rPr>
              <w:noBreakHyphen/>
            </w:r>
          </w:p>
        </w:tc>
        <w:tc>
          <w:tcPr>
            <w:tcW w:w="1040" w:type="dxa"/>
            <w:gridSpan w:val="3"/>
            <w:tcBorders>
              <w:top w:val="nil"/>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More than</w:t>
            </w:r>
          </w:p>
        </w:tc>
        <w:tc>
          <w:tcPr>
            <w:tcW w:w="1040" w:type="dxa"/>
            <w:tcBorders>
              <w:top w:val="nil"/>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 xml:space="preserve"> </w:t>
            </w:r>
          </w:p>
        </w:tc>
        <w:tc>
          <w:tcPr>
            <w:tcW w:w="1040" w:type="dxa"/>
            <w:tcBorders>
              <w:top w:val="nil"/>
              <w:left w:val="nil"/>
              <w:bottom w:val="nil"/>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 xml:space="preserve"> </w:t>
            </w:r>
          </w:p>
        </w:tc>
      </w:tr>
      <w:tr w:rsidR="00336793" w:rsidRPr="00A10A3B" w:rsidTr="00DF0B96">
        <w:trPr>
          <w:tblHeader/>
        </w:trPr>
        <w:tc>
          <w:tcPr>
            <w:tcW w:w="2453" w:type="dxa"/>
            <w:gridSpan w:val="2"/>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sz w:val="20"/>
                <w:lang w:eastAsia="en-AU"/>
              </w:rPr>
            </w:pPr>
            <w:r w:rsidRPr="00A10A3B">
              <w:rPr>
                <w:rFonts w:eastAsiaTheme="minorEastAsia"/>
                <w:color w:val="FFFFFF"/>
                <w:sz w:val="20"/>
                <w:lang w:eastAsia="en-AU"/>
              </w:rPr>
              <w:t>2015</w:t>
            </w:r>
          </w:p>
        </w:tc>
        <w:tc>
          <w:tcPr>
            <w:tcW w:w="105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impaired</w:t>
            </w:r>
          </w:p>
        </w:tc>
        <w:tc>
          <w:tcPr>
            <w:tcW w:w="1008"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1 month</w:t>
            </w:r>
          </w:p>
        </w:tc>
        <w:tc>
          <w:tcPr>
            <w:tcW w:w="966"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months</w:t>
            </w:r>
          </w:p>
        </w:tc>
        <w:tc>
          <w:tcPr>
            <w:tcW w:w="104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1 year</w:t>
            </w:r>
          </w:p>
        </w:tc>
        <w:tc>
          <w:tcPr>
            <w:tcW w:w="1040" w:type="dxa"/>
            <w:gridSpan w:val="3"/>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1 year</w:t>
            </w:r>
          </w:p>
        </w:tc>
        <w:tc>
          <w:tcPr>
            <w:tcW w:w="104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 xml:space="preserve"> </w:t>
            </w:r>
          </w:p>
        </w:tc>
        <w:tc>
          <w:tcPr>
            <w:tcW w:w="104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 xml:space="preserve"> </w:t>
            </w:r>
          </w:p>
        </w:tc>
      </w:tr>
      <w:tr w:rsidR="00336793" w:rsidRPr="00A10A3B" w:rsidTr="00DF0B96">
        <w:tc>
          <w:tcPr>
            <w:tcW w:w="2453"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Sale of goods and services</w:t>
            </w:r>
          </w:p>
        </w:tc>
        <w:tc>
          <w:tcPr>
            <w:tcW w:w="105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373.4</w:t>
            </w:r>
          </w:p>
        </w:tc>
        <w:tc>
          <w:tcPr>
            <w:tcW w:w="1008"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88.3</w:t>
            </w:r>
          </w:p>
        </w:tc>
        <w:tc>
          <w:tcPr>
            <w:tcW w:w="966"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47.6</w:t>
            </w:r>
          </w:p>
        </w:tc>
        <w:tc>
          <w:tcPr>
            <w:tcW w:w="104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91.8</w:t>
            </w:r>
          </w:p>
        </w:tc>
        <w:tc>
          <w:tcPr>
            <w:tcW w:w="1040" w:type="dxa"/>
            <w:gridSpan w:val="3"/>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69.4</w:t>
            </w:r>
          </w:p>
        </w:tc>
        <w:tc>
          <w:tcPr>
            <w:tcW w:w="104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4.1</w:t>
            </w:r>
          </w:p>
        </w:tc>
        <w:tc>
          <w:tcPr>
            <w:tcW w:w="104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674.5</w:t>
            </w:r>
          </w:p>
        </w:tc>
      </w:tr>
      <w:tr w:rsidR="00336793" w:rsidRPr="00A10A3B" w:rsidTr="00DF0B96">
        <w:tc>
          <w:tcPr>
            <w:tcW w:w="2453" w:type="dxa"/>
            <w:gridSpan w:val="2"/>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Accrued investment income</w:t>
            </w:r>
          </w:p>
        </w:tc>
        <w:tc>
          <w:tcPr>
            <w:tcW w:w="105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12.7</w:t>
            </w:r>
          </w:p>
        </w:tc>
        <w:tc>
          <w:tcPr>
            <w:tcW w:w="1008"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3.8</w:t>
            </w:r>
          </w:p>
        </w:tc>
        <w:tc>
          <w:tcPr>
            <w:tcW w:w="96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w:t>
            </w:r>
          </w:p>
        </w:tc>
        <w:tc>
          <w:tcPr>
            <w:tcW w:w="1040" w:type="dxa"/>
            <w:gridSpan w:val="3"/>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0.1</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16.6</w:t>
            </w:r>
          </w:p>
        </w:tc>
      </w:tr>
      <w:tr w:rsidR="00336793" w:rsidRPr="00A10A3B" w:rsidTr="00DF0B96">
        <w:tc>
          <w:tcPr>
            <w:tcW w:w="2453" w:type="dxa"/>
            <w:gridSpan w:val="2"/>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Other receivables</w:t>
            </w:r>
          </w:p>
        </w:tc>
        <w:tc>
          <w:tcPr>
            <w:tcW w:w="105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A10A3B">
              <w:rPr>
                <w:rFonts w:ascii="Calibri" w:eastAsiaTheme="minorEastAsia" w:hAnsi="Calibri" w:cs="Calibri"/>
                <w:sz w:val="20"/>
                <w:szCs w:val="22"/>
                <w:lang w:eastAsia="en-AU"/>
              </w:rPr>
              <w:t>1 086.4</w:t>
            </w:r>
          </w:p>
        </w:tc>
        <w:tc>
          <w:tcPr>
            <w:tcW w:w="1008"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30.4</w:t>
            </w:r>
          </w:p>
        </w:tc>
        <w:tc>
          <w:tcPr>
            <w:tcW w:w="96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29.1</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87.8</w:t>
            </w:r>
          </w:p>
        </w:tc>
        <w:tc>
          <w:tcPr>
            <w:tcW w:w="1040" w:type="dxa"/>
            <w:gridSpan w:val="3"/>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28.2</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0.3</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1 262.3</w:t>
            </w:r>
          </w:p>
        </w:tc>
      </w:tr>
      <w:tr w:rsidR="00336793" w:rsidRPr="00A10A3B" w:rsidTr="00DF0B96">
        <w:tc>
          <w:tcPr>
            <w:tcW w:w="2453" w:type="dxa"/>
            <w:gridSpan w:val="2"/>
            <w:tcBorders>
              <w:top w:val="single" w:sz="6" w:space="0" w:color="auto"/>
              <w:left w:val="nil"/>
              <w:bottom w:val="single" w:sz="12" w:space="0" w:color="auto"/>
              <w:right w:val="nil"/>
            </w:tcBorders>
          </w:tcPr>
          <w:p w:rsidR="00336793" w:rsidRPr="00A10A3B" w:rsidRDefault="00336793" w:rsidP="00DF0B96">
            <w:pPr>
              <w:autoSpaceDE w:val="0"/>
              <w:autoSpaceDN w:val="0"/>
              <w:adjustRightInd w:val="0"/>
              <w:spacing w:after="0"/>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w:t>
            </w:r>
          </w:p>
        </w:tc>
        <w:tc>
          <w:tcPr>
            <w:tcW w:w="1050" w:type="dxa"/>
            <w:tcBorders>
              <w:top w:val="single" w:sz="6" w:space="0" w:color="auto"/>
              <w:left w:val="nil"/>
              <w:bottom w:val="single" w:sz="12"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1 472.5</w:t>
            </w:r>
          </w:p>
        </w:tc>
        <w:tc>
          <w:tcPr>
            <w:tcW w:w="1008" w:type="dxa"/>
            <w:tcBorders>
              <w:top w:val="single" w:sz="6" w:space="0" w:color="auto"/>
              <w:left w:val="nil"/>
              <w:bottom w:val="single" w:sz="12"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122.5</w:t>
            </w:r>
          </w:p>
        </w:tc>
        <w:tc>
          <w:tcPr>
            <w:tcW w:w="966" w:type="dxa"/>
            <w:tcBorders>
              <w:top w:val="single" w:sz="6" w:space="0" w:color="auto"/>
              <w:left w:val="nil"/>
              <w:bottom w:val="single" w:sz="12"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76.7</w:t>
            </w:r>
          </w:p>
        </w:tc>
        <w:tc>
          <w:tcPr>
            <w:tcW w:w="1040" w:type="dxa"/>
            <w:tcBorders>
              <w:top w:val="single" w:sz="6" w:space="0" w:color="auto"/>
              <w:left w:val="nil"/>
              <w:bottom w:val="single" w:sz="12"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179.7</w:t>
            </w:r>
          </w:p>
        </w:tc>
        <w:tc>
          <w:tcPr>
            <w:tcW w:w="1040" w:type="dxa"/>
            <w:gridSpan w:val="3"/>
            <w:tcBorders>
              <w:top w:val="single" w:sz="6" w:space="0" w:color="auto"/>
              <w:left w:val="nil"/>
              <w:bottom w:val="single" w:sz="12"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97.7</w:t>
            </w:r>
          </w:p>
        </w:tc>
        <w:tc>
          <w:tcPr>
            <w:tcW w:w="1040" w:type="dxa"/>
            <w:tcBorders>
              <w:top w:val="single" w:sz="6" w:space="0" w:color="auto"/>
              <w:left w:val="nil"/>
              <w:bottom w:val="single" w:sz="12"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4.4</w:t>
            </w:r>
          </w:p>
        </w:tc>
        <w:tc>
          <w:tcPr>
            <w:tcW w:w="1040" w:type="dxa"/>
            <w:tcBorders>
              <w:top w:val="single" w:sz="6" w:space="0" w:color="auto"/>
              <w:left w:val="nil"/>
              <w:bottom w:val="single" w:sz="12"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1 953.4</w:t>
            </w:r>
          </w:p>
        </w:tc>
      </w:tr>
      <w:tr w:rsidR="00336793" w:rsidRPr="00A10A3B" w:rsidTr="00DF0B96">
        <w:tc>
          <w:tcPr>
            <w:tcW w:w="2453" w:type="dxa"/>
            <w:gridSpan w:val="2"/>
            <w:tcBorders>
              <w:top w:val="single" w:sz="12" w:space="0" w:color="auto"/>
              <w:left w:val="nil"/>
              <w:bottom w:val="single" w:sz="6" w:space="0" w:color="auto"/>
              <w:right w:val="nil"/>
            </w:tcBorders>
            <w:shd w:val="solid" w:color="000000" w:fill="auto"/>
          </w:tcPr>
          <w:p w:rsidR="00336793" w:rsidRPr="00A10A3B" w:rsidRDefault="00336793" w:rsidP="00DF0B96">
            <w:pPr>
              <w:autoSpaceDE w:val="0"/>
              <w:autoSpaceDN w:val="0"/>
              <w:adjustRightInd w:val="0"/>
              <w:spacing w:after="0"/>
              <w:rPr>
                <w:rFonts w:ascii="Calibri" w:eastAsiaTheme="minorEastAsia" w:hAnsi="Calibri" w:cs="Calibri"/>
                <w:i/>
                <w:iCs/>
                <w:sz w:val="20"/>
                <w:szCs w:val="22"/>
                <w:vertAlign w:val="superscript"/>
                <w:lang w:eastAsia="en-AU"/>
              </w:rPr>
            </w:pPr>
            <w:r w:rsidRPr="00A10A3B">
              <w:rPr>
                <w:rFonts w:ascii="Calibri" w:eastAsiaTheme="minorEastAsia" w:hAnsi="Calibri" w:cs="Calibri"/>
                <w:i/>
                <w:iCs/>
                <w:sz w:val="20"/>
                <w:szCs w:val="22"/>
                <w:lang w:eastAsia="en-AU"/>
              </w:rPr>
              <w:t>2014</w:t>
            </w:r>
          </w:p>
        </w:tc>
        <w:tc>
          <w:tcPr>
            <w:tcW w:w="1050" w:type="dxa"/>
            <w:tcBorders>
              <w:top w:val="single" w:sz="12" w:space="0" w:color="auto"/>
              <w:left w:val="nil"/>
              <w:bottom w:val="single" w:sz="6" w:space="0" w:color="auto"/>
              <w:right w:val="nil"/>
            </w:tcBorders>
            <w:shd w:val="solid" w:color="000000"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p>
        </w:tc>
        <w:tc>
          <w:tcPr>
            <w:tcW w:w="1008" w:type="dxa"/>
            <w:tcBorders>
              <w:top w:val="single" w:sz="12" w:space="0" w:color="auto"/>
              <w:left w:val="nil"/>
              <w:bottom w:val="single" w:sz="6" w:space="0" w:color="auto"/>
              <w:right w:val="nil"/>
            </w:tcBorders>
            <w:shd w:val="solid" w:color="000000"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p>
        </w:tc>
        <w:tc>
          <w:tcPr>
            <w:tcW w:w="966" w:type="dxa"/>
            <w:tcBorders>
              <w:top w:val="single" w:sz="12" w:space="0" w:color="auto"/>
              <w:left w:val="nil"/>
              <w:bottom w:val="single" w:sz="6" w:space="0" w:color="auto"/>
              <w:right w:val="nil"/>
            </w:tcBorders>
            <w:shd w:val="solid" w:color="000000"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p>
        </w:tc>
        <w:tc>
          <w:tcPr>
            <w:tcW w:w="1040" w:type="dxa"/>
            <w:tcBorders>
              <w:top w:val="single" w:sz="12" w:space="0" w:color="auto"/>
              <w:left w:val="nil"/>
              <w:bottom w:val="single" w:sz="6" w:space="0" w:color="auto"/>
              <w:right w:val="nil"/>
            </w:tcBorders>
            <w:shd w:val="solid" w:color="000000"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p>
        </w:tc>
        <w:tc>
          <w:tcPr>
            <w:tcW w:w="1040" w:type="dxa"/>
            <w:gridSpan w:val="3"/>
            <w:tcBorders>
              <w:top w:val="single" w:sz="12" w:space="0" w:color="auto"/>
              <w:left w:val="nil"/>
              <w:bottom w:val="single" w:sz="6" w:space="0" w:color="auto"/>
              <w:right w:val="nil"/>
            </w:tcBorders>
            <w:shd w:val="solid" w:color="000000"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p>
        </w:tc>
        <w:tc>
          <w:tcPr>
            <w:tcW w:w="1040" w:type="dxa"/>
            <w:tcBorders>
              <w:top w:val="single" w:sz="12" w:space="0" w:color="auto"/>
              <w:left w:val="nil"/>
              <w:bottom w:val="single" w:sz="6" w:space="0" w:color="auto"/>
              <w:right w:val="nil"/>
            </w:tcBorders>
            <w:shd w:val="solid" w:color="000000"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p>
        </w:tc>
        <w:tc>
          <w:tcPr>
            <w:tcW w:w="1040" w:type="dxa"/>
            <w:tcBorders>
              <w:top w:val="single" w:sz="12" w:space="0" w:color="auto"/>
              <w:left w:val="nil"/>
              <w:bottom w:val="single" w:sz="6" w:space="0" w:color="auto"/>
              <w:right w:val="nil"/>
            </w:tcBorders>
            <w:shd w:val="solid" w:color="000000"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p>
        </w:tc>
      </w:tr>
      <w:tr w:rsidR="00336793" w:rsidRPr="00A10A3B" w:rsidTr="00DF0B96">
        <w:tc>
          <w:tcPr>
            <w:tcW w:w="2453" w:type="dxa"/>
            <w:gridSpan w:val="2"/>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Sale of goods </w:t>
            </w:r>
            <w:r w:rsidRPr="00A10A3B">
              <w:rPr>
                <w:rFonts w:ascii="Calibri" w:eastAsiaTheme="minorEastAsia" w:hAnsi="Calibri" w:cs="Calibri"/>
                <w:sz w:val="20"/>
                <w:lang w:eastAsia="en-AU"/>
              </w:rPr>
              <w:t>and</w:t>
            </w:r>
            <w:r w:rsidRPr="00A10A3B">
              <w:rPr>
                <w:rFonts w:ascii="Calibri" w:eastAsiaTheme="minorEastAsia" w:hAnsi="Calibri" w:cs="Calibri"/>
                <w:sz w:val="20"/>
                <w:szCs w:val="22"/>
                <w:lang w:eastAsia="en-AU"/>
              </w:rPr>
              <w:t xml:space="preserve"> services</w:t>
            </w:r>
          </w:p>
        </w:tc>
        <w:tc>
          <w:tcPr>
            <w:tcW w:w="105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368.2</w:t>
            </w:r>
          </w:p>
        </w:tc>
        <w:tc>
          <w:tcPr>
            <w:tcW w:w="1008"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110.4</w:t>
            </w:r>
          </w:p>
        </w:tc>
        <w:tc>
          <w:tcPr>
            <w:tcW w:w="96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61.0</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45.4</w:t>
            </w:r>
          </w:p>
        </w:tc>
        <w:tc>
          <w:tcPr>
            <w:tcW w:w="1040" w:type="dxa"/>
            <w:gridSpan w:val="3"/>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47.5</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14.7</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647.2</w:t>
            </w:r>
          </w:p>
        </w:tc>
      </w:tr>
      <w:tr w:rsidR="00336793" w:rsidRPr="00A10A3B" w:rsidTr="00DF0B96">
        <w:tc>
          <w:tcPr>
            <w:tcW w:w="2453" w:type="dxa"/>
            <w:gridSpan w:val="2"/>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Accrued investment income</w:t>
            </w:r>
          </w:p>
        </w:tc>
        <w:tc>
          <w:tcPr>
            <w:tcW w:w="105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19.0</w:t>
            </w:r>
          </w:p>
        </w:tc>
        <w:tc>
          <w:tcPr>
            <w:tcW w:w="1008"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3.6</w:t>
            </w:r>
          </w:p>
        </w:tc>
        <w:tc>
          <w:tcPr>
            <w:tcW w:w="96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0.2</w:t>
            </w:r>
          </w:p>
        </w:tc>
        <w:tc>
          <w:tcPr>
            <w:tcW w:w="1040" w:type="dxa"/>
            <w:gridSpan w:val="3"/>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22.8</w:t>
            </w:r>
          </w:p>
        </w:tc>
      </w:tr>
      <w:tr w:rsidR="00336793" w:rsidRPr="00A10A3B" w:rsidTr="00DF0B96">
        <w:tc>
          <w:tcPr>
            <w:tcW w:w="2453" w:type="dxa"/>
            <w:gridSpan w:val="2"/>
            <w:tcBorders>
              <w:top w:val="nil"/>
              <w:left w:val="nil"/>
              <w:bottom w:val="single" w:sz="6" w:space="0" w:color="auto"/>
              <w:right w:val="nil"/>
            </w:tcBorders>
          </w:tcPr>
          <w:p w:rsidR="00336793" w:rsidRPr="00A10A3B" w:rsidRDefault="00336793" w:rsidP="00DF0B96">
            <w:pPr>
              <w:autoSpaceDE w:val="0"/>
              <w:autoSpaceDN w:val="0"/>
              <w:adjustRightInd w:val="0"/>
              <w:spacing w:after="0"/>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Other receivables</w:t>
            </w:r>
          </w:p>
        </w:tc>
        <w:tc>
          <w:tcPr>
            <w:tcW w:w="105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811.6</w:t>
            </w:r>
          </w:p>
        </w:tc>
        <w:tc>
          <w:tcPr>
            <w:tcW w:w="1008"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66.4</w:t>
            </w:r>
          </w:p>
        </w:tc>
        <w:tc>
          <w:tcPr>
            <w:tcW w:w="966"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10.6</w:t>
            </w:r>
          </w:p>
        </w:tc>
        <w:tc>
          <w:tcPr>
            <w:tcW w:w="104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202.3</w:t>
            </w:r>
          </w:p>
        </w:tc>
        <w:tc>
          <w:tcPr>
            <w:tcW w:w="1040" w:type="dxa"/>
            <w:gridSpan w:val="3"/>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5.8</w:t>
            </w:r>
          </w:p>
        </w:tc>
        <w:tc>
          <w:tcPr>
            <w:tcW w:w="104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1.1</w:t>
            </w:r>
          </w:p>
        </w:tc>
        <w:tc>
          <w:tcPr>
            <w:tcW w:w="104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1 097.7</w:t>
            </w:r>
          </w:p>
        </w:tc>
      </w:tr>
      <w:tr w:rsidR="00336793" w:rsidRPr="00A10A3B" w:rsidTr="00DF0B96">
        <w:tc>
          <w:tcPr>
            <w:tcW w:w="2453"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w:t>
            </w:r>
          </w:p>
        </w:tc>
        <w:tc>
          <w:tcPr>
            <w:tcW w:w="1050"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1 198.9</w:t>
            </w:r>
          </w:p>
        </w:tc>
        <w:tc>
          <w:tcPr>
            <w:tcW w:w="1008"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180.4</w:t>
            </w:r>
          </w:p>
        </w:tc>
        <w:tc>
          <w:tcPr>
            <w:tcW w:w="966"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71.6</w:t>
            </w:r>
          </w:p>
        </w:tc>
        <w:tc>
          <w:tcPr>
            <w:tcW w:w="1040"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247.9</w:t>
            </w:r>
          </w:p>
        </w:tc>
        <w:tc>
          <w:tcPr>
            <w:tcW w:w="1040" w:type="dxa"/>
            <w:gridSpan w:val="3"/>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53.3</w:t>
            </w:r>
          </w:p>
        </w:tc>
        <w:tc>
          <w:tcPr>
            <w:tcW w:w="1040"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15.7</w:t>
            </w:r>
          </w:p>
        </w:tc>
        <w:tc>
          <w:tcPr>
            <w:tcW w:w="1040"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1 767.8</w:t>
            </w:r>
          </w:p>
        </w:tc>
      </w:tr>
    </w:tbl>
    <w:p w:rsidR="00336793" w:rsidRDefault="00336793" w:rsidP="00DF0B96">
      <w:pPr>
        <w:pStyle w:val="Notes"/>
      </w:pPr>
    </w:p>
    <w:p w:rsidR="00336793" w:rsidRPr="001C4735" w:rsidRDefault="00336793" w:rsidP="00DF0B96">
      <w:pPr>
        <w:pStyle w:val="Heading2NotesContd"/>
        <w:rPr>
          <w:i/>
        </w:rPr>
      </w:pPr>
      <w:r w:rsidRPr="006A75A2">
        <w:lastRenderedPageBreak/>
        <w:t>Note 17:</w:t>
      </w:r>
      <w:r w:rsidRPr="006A75A2">
        <w:tab/>
        <w:t>Receivables</w:t>
      </w:r>
      <w:r>
        <w:t xml:space="preserve"> </w:t>
      </w:r>
      <w:r>
        <w:rPr>
          <w:i/>
        </w:rPr>
        <w:t>(continued)</w:t>
      </w:r>
    </w:p>
    <w:p w:rsidR="00336793" w:rsidRPr="006A75A2" w:rsidRDefault="00336793" w:rsidP="00DF0B96">
      <w:pPr>
        <w:pStyle w:val="Heading5"/>
      </w:pPr>
      <w:r>
        <w:t>(c)</w:t>
      </w:r>
      <w:r>
        <w:tab/>
      </w:r>
      <w:r w:rsidRPr="0060677B">
        <w:t>Movement in provision of doubtful contractual receivables</w:t>
      </w:r>
    </w:p>
    <w:p w:rsidR="00336793" w:rsidRPr="000F3043"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417"/>
        <w:gridCol w:w="270"/>
        <w:gridCol w:w="785"/>
        <w:gridCol w:w="1055"/>
        <w:gridCol w:w="236"/>
        <w:gridCol w:w="819"/>
        <w:gridCol w:w="1055"/>
      </w:tblGrid>
      <w:tr w:rsidR="00336793" w:rsidRPr="000F3043" w:rsidTr="00DF0B96">
        <w:tc>
          <w:tcPr>
            <w:tcW w:w="5417" w:type="dxa"/>
            <w:tcBorders>
              <w:top w:val="single" w:sz="6" w:space="0" w:color="auto"/>
              <w:left w:val="single" w:sz="6" w:space="0" w:color="auto"/>
              <w:bottom w:val="nil"/>
              <w:right w:val="nil"/>
            </w:tcBorders>
            <w:shd w:val="clear" w:color="000000" w:fill="000000"/>
          </w:tcPr>
          <w:p w:rsidR="00336793" w:rsidRPr="000F3043" w:rsidRDefault="00336793" w:rsidP="00DF0B96">
            <w:pPr>
              <w:pStyle w:val="Tabletextheading"/>
              <w:jc w:val="left"/>
              <w:rPr>
                <w:rFonts w:eastAsiaTheme="minorEastAsia"/>
                <w:color w:val="FFFFFF"/>
                <w:lang w:eastAsia="en-AU"/>
              </w:rPr>
            </w:pPr>
            <w:r w:rsidRPr="000F3043">
              <w:rPr>
                <w:rFonts w:eastAsiaTheme="minorEastAsia"/>
                <w:color w:val="FFFFFF"/>
                <w:lang w:eastAsia="en-AU"/>
              </w:rPr>
              <w:t xml:space="preserve"> </w:t>
            </w:r>
          </w:p>
        </w:tc>
        <w:tc>
          <w:tcPr>
            <w:tcW w:w="270" w:type="dxa"/>
            <w:tcBorders>
              <w:top w:val="single" w:sz="6" w:space="0" w:color="auto"/>
              <w:left w:val="nil"/>
              <w:bottom w:val="nil"/>
              <w:right w:val="nil"/>
            </w:tcBorders>
            <w:shd w:val="clear" w:color="000000" w:fill="000000"/>
          </w:tcPr>
          <w:p w:rsidR="00336793" w:rsidRPr="000F3043" w:rsidRDefault="00336793" w:rsidP="00DF0B96">
            <w:pPr>
              <w:pStyle w:val="TabletextheadingCentred"/>
              <w:rPr>
                <w:rFonts w:eastAsiaTheme="minorEastAsia"/>
                <w:lang w:eastAsia="en-AU"/>
              </w:rPr>
            </w:pPr>
            <w:r w:rsidRPr="000F3043">
              <w:rPr>
                <w:rFonts w:eastAsiaTheme="minorEastAsia"/>
                <w:lang w:eastAsia="en-AU"/>
              </w:rPr>
              <w:t xml:space="preserve"> </w:t>
            </w:r>
          </w:p>
        </w:tc>
        <w:tc>
          <w:tcPr>
            <w:tcW w:w="1840" w:type="dxa"/>
            <w:gridSpan w:val="2"/>
            <w:tcBorders>
              <w:top w:val="single" w:sz="6" w:space="0" w:color="auto"/>
              <w:left w:val="nil"/>
              <w:bottom w:val="nil"/>
              <w:right w:val="nil"/>
            </w:tcBorders>
            <w:shd w:val="clear" w:color="000000" w:fill="000000"/>
          </w:tcPr>
          <w:p w:rsidR="00336793" w:rsidRPr="000F3043" w:rsidRDefault="00336793" w:rsidP="00DF0B96">
            <w:pPr>
              <w:pStyle w:val="TabletextheadingCentred"/>
              <w:rPr>
                <w:rFonts w:eastAsiaTheme="minorEastAsia"/>
                <w:iCs/>
                <w:lang w:eastAsia="en-AU"/>
              </w:rPr>
            </w:pPr>
          </w:p>
          <w:p w:rsidR="00336793" w:rsidRPr="000F3043" w:rsidRDefault="00336793" w:rsidP="00DF0B96">
            <w:pPr>
              <w:pStyle w:val="TabletextheadingCentred"/>
              <w:rPr>
                <w:rFonts w:eastAsiaTheme="minorEastAsia"/>
                <w:iCs/>
                <w:lang w:eastAsia="en-AU"/>
              </w:rPr>
            </w:pPr>
            <w:r w:rsidRPr="000F3043">
              <w:rPr>
                <w:rFonts w:eastAsiaTheme="minorEastAsia"/>
                <w:iCs/>
                <w:lang w:eastAsia="en-AU"/>
              </w:rPr>
              <w:t>State of Victoria</w:t>
            </w:r>
          </w:p>
        </w:tc>
        <w:tc>
          <w:tcPr>
            <w:tcW w:w="236" w:type="dxa"/>
            <w:tcBorders>
              <w:top w:val="single" w:sz="6" w:space="0" w:color="auto"/>
              <w:left w:val="nil"/>
              <w:bottom w:val="nil"/>
              <w:right w:val="nil"/>
            </w:tcBorders>
            <w:shd w:val="clear" w:color="000000" w:fill="000000"/>
          </w:tcPr>
          <w:p w:rsidR="00336793" w:rsidRPr="000F3043" w:rsidRDefault="00336793" w:rsidP="00DF0B96">
            <w:pPr>
              <w:pStyle w:val="TabletextheadingCentred"/>
              <w:rPr>
                <w:rFonts w:eastAsiaTheme="minorEastAsia"/>
                <w:lang w:eastAsia="en-AU"/>
              </w:rPr>
            </w:pPr>
            <w:r w:rsidRPr="000F3043">
              <w:rPr>
                <w:rFonts w:eastAsiaTheme="minorEastAsia"/>
                <w:lang w:eastAsia="en-AU"/>
              </w:rPr>
              <w:t xml:space="preserve"> </w:t>
            </w:r>
          </w:p>
        </w:tc>
        <w:tc>
          <w:tcPr>
            <w:tcW w:w="1874" w:type="dxa"/>
            <w:gridSpan w:val="2"/>
            <w:tcBorders>
              <w:top w:val="single" w:sz="6" w:space="0" w:color="auto"/>
              <w:left w:val="nil"/>
              <w:bottom w:val="nil"/>
              <w:right w:val="single" w:sz="6" w:space="0" w:color="auto"/>
            </w:tcBorders>
            <w:shd w:val="clear" w:color="000000" w:fill="000000"/>
          </w:tcPr>
          <w:p w:rsidR="00336793" w:rsidRPr="000F3043" w:rsidRDefault="00336793" w:rsidP="00DF0B96">
            <w:pPr>
              <w:pStyle w:val="TabletextheadingCentred"/>
              <w:rPr>
                <w:rFonts w:eastAsiaTheme="minorEastAsia"/>
                <w:iCs/>
                <w:lang w:eastAsia="en-AU"/>
              </w:rPr>
            </w:pPr>
            <w:r w:rsidRPr="000F3043">
              <w:rPr>
                <w:rFonts w:eastAsiaTheme="minorEastAsia"/>
                <w:iCs/>
                <w:lang w:eastAsia="en-AU"/>
              </w:rPr>
              <w:t xml:space="preserve">General </w:t>
            </w:r>
          </w:p>
          <w:p w:rsidR="00336793" w:rsidRPr="000F3043" w:rsidRDefault="00336793" w:rsidP="00DF0B96">
            <w:pPr>
              <w:pStyle w:val="TabletextheadingCentred"/>
              <w:rPr>
                <w:rFonts w:eastAsiaTheme="minorEastAsia"/>
                <w:iCs/>
                <w:lang w:eastAsia="en-AU"/>
              </w:rPr>
            </w:pPr>
            <w:r w:rsidRPr="000F3043">
              <w:rPr>
                <w:rFonts w:eastAsiaTheme="minorEastAsia"/>
                <w:iCs/>
                <w:lang w:eastAsia="en-AU"/>
              </w:rPr>
              <w:t>government sector</w:t>
            </w:r>
          </w:p>
        </w:tc>
      </w:tr>
      <w:tr w:rsidR="00336793" w:rsidRPr="000F3043" w:rsidTr="00DF0B96">
        <w:tc>
          <w:tcPr>
            <w:tcW w:w="5417" w:type="dxa"/>
            <w:tcBorders>
              <w:top w:val="nil"/>
              <w:left w:val="single" w:sz="6" w:space="0" w:color="auto"/>
              <w:bottom w:val="single" w:sz="6" w:space="0" w:color="auto"/>
              <w:right w:val="nil"/>
            </w:tcBorders>
            <w:shd w:val="clear" w:color="000000" w:fill="000000"/>
          </w:tcPr>
          <w:p w:rsidR="00336793" w:rsidRPr="000F3043" w:rsidRDefault="00336793" w:rsidP="00DF0B96">
            <w:pPr>
              <w:pStyle w:val="Tabletextheading"/>
              <w:jc w:val="left"/>
              <w:rPr>
                <w:rFonts w:eastAsiaTheme="minorEastAsia"/>
                <w:color w:val="FFFFFF"/>
                <w:lang w:eastAsia="en-AU"/>
              </w:rPr>
            </w:pPr>
            <w:r w:rsidRPr="000F3043">
              <w:rPr>
                <w:rFonts w:eastAsiaTheme="minorEastAsia"/>
                <w:color w:val="FFFFFF"/>
                <w:lang w:eastAsia="en-AU"/>
              </w:rPr>
              <w:t xml:space="preserve"> </w:t>
            </w:r>
          </w:p>
        </w:tc>
        <w:tc>
          <w:tcPr>
            <w:tcW w:w="1055" w:type="dxa"/>
            <w:gridSpan w:val="2"/>
            <w:tcBorders>
              <w:top w:val="nil"/>
              <w:left w:val="nil"/>
              <w:bottom w:val="single" w:sz="6" w:space="0" w:color="auto"/>
              <w:right w:val="nil"/>
            </w:tcBorders>
            <w:shd w:val="clear" w:color="000000" w:fill="000000"/>
          </w:tcPr>
          <w:p w:rsidR="00336793" w:rsidRPr="000F3043" w:rsidRDefault="00336793" w:rsidP="00DF0B96">
            <w:pPr>
              <w:pStyle w:val="Tabletextheading"/>
              <w:rPr>
                <w:rFonts w:eastAsiaTheme="minorEastAsia"/>
                <w:iCs/>
                <w:color w:val="FFFFFF"/>
                <w:lang w:eastAsia="en-AU"/>
              </w:rPr>
            </w:pPr>
            <w:r w:rsidRPr="000F3043">
              <w:rPr>
                <w:rFonts w:eastAsiaTheme="minorEastAsia"/>
                <w:iCs/>
                <w:color w:val="FFFFFF"/>
                <w:lang w:eastAsia="en-AU"/>
              </w:rPr>
              <w:t>2015</w:t>
            </w:r>
          </w:p>
        </w:tc>
        <w:tc>
          <w:tcPr>
            <w:tcW w:w="1055" w:type="dxa"/>
            <w:tcBorders>
              <w:top w:val="nil"/>
              <w:left w:val="nil"/>
              <w:bottom w:val="single" w:sz="6" w:space="0" w:color="auto"/>
              <w:right w:val="nil"/>
            </w:tcBorders>
            <w:shd w:val="clear" w:color="000000" w:fill="000000"/>
          </w:tcPr>
          <w:p w:rsidR="00336793" w:rsidRPr="000F3043" w:rsidRDefault="00336793" w:rsidP="00DF0B96">
            <w:pPr>
              <w:pStyle w:val="Tabletextheading"/>
              <w:rPr>
                <w:rFonts w:eastAsiaTheme="minorEastAsia"/>
                <w:iCs/>
                <w:color w:val="FFFFFF"/>
                <w:lang w:eastAsia="en-AU"/>
              </w:rPr>
            </w:pPr>
            <w:r w:rsidRPr="000F3043">
              <w:rPr>
                <w:rFonts w:eastAsiaTheme="minorEastAsia"/>
                <w:iCs/>
                <w:color w:val="FFFFFF"/>
                <w:lang w:eastAsia="en-AU"/>
              </w:rPr>
              <w:t>2014</w:t>
            </w:r>
          </w:p>
        </w:tc>
        <w:tc>
          <w:tcPr>
            <w:tcW w:w="1055" w:type="dxa"/>
            <w:gridSpan w:val="2"/>
            <w:tcBorders>
              <w:top w:val="nil"/>
              <w:left w:val="nil"/>
              <w:bottom w:val="single" w:sz="6" w:space="0" w:color="auto"/>
              <w:right w:val="nil"/>
            </w:tcBorders>
            <w:shd w:val="clear" w:color="000000" w:fill="000000"/>
          </w:tcPr>
          <w:p w:rsidR="00336793" w:rsidRPr="000F3043" w:rsidRDefault="00336793" w:rsidP="00DF0B96">
            <w:pPr>
              <w:pStyle w:val="Tabletextheading"/>
              <w:rPr>
                <w:rFonts w:eastAsiaTheme="minorEastAsia"/>
                <w:iCs/>
                <w:color w:val="FFFFFF"/>
                <w:lang w:eastAsia="en-AU"/>
              </w:rPr>
            </w:pPr>
            <w:r w:rsidRPr="000F3043">
              <w:rPr>
                <w:rFonts w:eastAsiaTheme="minorEastAsia"/>
                <w:iCs/>
                <w:color w:val="FFFFFF"/>
                <w:lang w:eastAsia="en-AU"/>
              </w:rPr>
              <w:t>2015</w:t>
            </w:r>
          </w:p>
        </w:tc>
        <w:tc>
          <w:tcPr>
            <w:tcW w:w="1055" w:type="dxa"/>
            <w:tcBorders>
              <w:top w:val="nil"/>
              <w:left w:val="nil"/>
              <w:bottom w:val="single" w:sz="6" w:space="0" w:color="auto"/>
              <w:right w:val="single" w:sz="6" w:space="0" w:color="auto"/>
            </w:tcBorders>
            <w:shd w:val="clear" w:color="000000" w:fill="000000"/>
          </w:tcPr>
          <w:p w:rsidR="00336793" w:rsidRPr="000F3043" w:rsidRDefault="00336793" w:rsidP="00DF0B96">
            <w:pPr>
              <w:pStyle w:val="Tabletextheading"/>
              <w:rPr>
                <w:rFonts w:eastAsiaTheme="minorEastAsia"/>
                <w:iCs/>
                <w:color w:val="FFFFFF"/>
                <w:lang w:eastAsia="en-AU"/>
              </w:rPr>
            </w:pPr>
            <w:r w:rsidRPr="000F3043">
              <w:rPr>
                <w:rFonts w:eastAsiaTheme="minorEastAsia"/>
                <w:iCs/>
                <w:color w:val="FFFFFF"/>
                <w:lang w:eastAsia="en-AU"/>
              </w:rPr>
              <w:t>2014</w:t>
            </w:r>
          </w:p>
        </w:tc>
      </w:tr>
      <w:tr w:rsidR="00336793" w:rsidRPr="000F3043" w:rsidTr="00DF0B96">
        <w:tc>
          <w:tcPr>
            <w:tcW w:w="5417" w:type="dxa"/>
            <w:tcBorders>
              <w:top w:val="single" w:sz="6" w:space="0" w:color="auto"/>
              <w:left w:val="nil"/>
              <w:bottom w:val="nil"/>
              <w:right w:val="nil"/>
            </w:tcBorders>
          </w:tcPr>
          <w:p w:rsidR="00336793" w:rsidRPr="000F3043" w:rsidRDefault="00336793" w:rsidP="00DF0B96">
            <w:pPr>
              <w:autoSpaceDE w:val="0"/>
              <w:autoSpaceDN w:val="0"/>
              <w:adjustRightInd w:val="0"/>
              <w:spacing w:after="0"/>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Opening balance</w:t>
            </w:r>
          </w:p>
        </w:tc>
        <w:tc>
          <w:tcPr>
            <w:tcW w:w="1055" w:type="dxa"/>
            <w:gridSpan w:val="2"/>
            <w:tcBorders>
              <w:top w:val="single" w:sz="6" w:space="0" w:color="auto"/>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0F3043">
              <w:rPr>
                <w:rFonts w:ascii="Calibri" w:eastAsiaTheme="minorEastAsia" w:hAnsi="Calibri" w:cs="Calibri"/>
                <w:sz w:val="22"/>
                <w:szCs w:val="22"/>
                <w:lang w:eastAsia="en-AU"/>
              </w:rPr>
              <w:t>144.1)</w:t>
            </w:r>
          </w:p>
        </w:tc>
        <w:tc>
          <w:tcPr>
            <w:tcW w:w="1055" w:type="dxa"/>
            <w:tcBorders>
              <w:top w:val="single" w:sz="6" w:space="0" w:color="auto"/>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0F3043">
              <w:rPr>
                <w:rFonts w:ascii="Calibri" w:eastAsiaTheme="minorEastAsia" w:hAnsi="Calibri" w:cs="Calibri"/>
                <w:sz w:val="22"/>
                <w:szCs w:val="22"/>
                <w:lang w:eastAsia="en-AU"/>
              </w:rPr>
              <w:t>145.9)</w:t>
            </w:r>
          </w:p>
        </w:tc>
        <w:tc>
          <w:tcPr>
            <w:tcW w:w="1055" w:type="dxa"/>
            <w:gridSpan w:val="2"/>
            <w:tcBorders>
              <w:top w:val="single" w:sz="6" w:space="0" w:color="auto"/>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0F3043">
              <w:rPr>
                <w:rFonts w:ascii="Calibri" w:eastAsiaTheme="minorEastAsia" w:hAnsi="Calibri" w:cs="Calibri"/>
                <w:sz w:val="22"/>
                <w:szCs w:val="22"/>
                <w:lang w:eastAsia="en-AU"/>
              </w:rPr>
              <w:t>72.2)</w:t>
            </w:r>
          </w:p>
        </w:tc>
        <w:tc>
          <w:tcPr>
            <w:tcW w:w="1055" w:type="dxa"/>
            <w:tcBorders>
              <w:top w:val="single" w:sz="6" w:space="0" w:color="auto"/>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0F3043">
              <w:rPr>
                <w:rFonts w:ascii="Calibri" w:eastAsiaTheme="minorEastAsia" w:hAnsi="Calibri" w:cs="Calibri"/>
                <w:sz w:val="22"/>
                <w:szCs w:val="22"/>
                <w:lang w:eastAsia="en-AU"/>
              </w:rPr>
              <w:t>68.5)</w:t>
            </w:r>
          </w:p>
        </w:tc>
      </w:tr>
      <w:tr w:rsidR="00336793" w:rsidRPr="000F3043" w:rsidTr="00DF0B96">
        <w:tc>
          <w:tcPr>
            <w:tcW w:w="5417" w:type="dxa"/>
            <w:tcBorders>
              <w:top w:val="nil"/>
              <w:left w:val="nil"/>
              <w:bottom w:val="nil"/>
              <w:right w:val="nil"/>
            </w:tcBorders>
          </w:tcPr>
          <w:p w:rsidR="00336793" w:rsidRPr="000F3043" w:rsidRDefault="00336793" w:rsidP="00DF0B96">
            <w:pPr>
              <w:autoSpaceDE w:val="0"/>
              <w:autoSpaceDN w:val="0"/>
              <w:adjustRightInd w:val="0"/>
              <w:spacing w:after="0"/>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Reversal of unused provision recognised in the net results</w:t>
            </w:r>
          </w:p>
        </w:tc>
        <w:tc>
          <w:tcPr>
            <w:tcW w:w="1055" w:type="dxa"/>
            <w:gridSpan w:val="2"/>
            <w:tcBorders>
              <w:top w:val="nil"/>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 xml:space="preserve"> 19.7</w:t>
            </w:r>
          </w:p>
        </w:tc>
        <w:tc>
          <w:tcPr>
            <w:tcW w:w="1055" w:type="dxa"/>
            <w:tcBorders>
              <w:top w:val="nil"/>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 xml:space="preserve"> 8.2</w:t>
            </w:r>
          </w:p>
        </w:tc>
        <w:tc>
          <w:tcPr>
            <w:tcW w:w="1055" w:type="dxa"/>
            <w:gridSpan w:val="2"/>
            <w:tcBorders>
              <w:top w:val="nil"/>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 xml:space="preserve"> 19.5</w:t>
            </w:r>
          </w:p>
        </w:tc>
        <w:tc>
          <w:tcPr>
            <w:tcW w:w="1055" w:type="dxa"/>
            <w:tcBorders>
              <w:top w:val="nil"/>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 xml:space="preserve"> 5.3</w:t>
            </w:r>
          </w:p>
        </w:tc>
      </w:tr>
      <w:tr w:rsidR="00336793" w:rsidRPr="000F3043" w:rsidTr="00DF0B96">
        <w:tc>
          <w:tcPr>
            <w:tcW w:w="5417" w:type="dxa"/>
            <w:tcBorders>
              <w:top w:val="nil"/>
              <w:left w:val="nil"/>
              <w:bottom w:val="nil"/>
              <w:right w:val="nil"/>
            </w:tcBorders>
          </w:tcPr>
          <w:p w:rsidR="00336793" w:rsidRPr="000F3043" w:rsidRDefault="00336793" w:rsidP="00DF0B96">
            <w:pPr>
              <w:autoSpaceDE w:val="0"/>
              <w:autoSpaceDN w:val="0"/>
              <w:adjustRightInd w:val="0"/>
              <w:spacing w:after="0"/>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Increase in provision recognised in the net results</w:t>
            </w:r>
          </w:p>
        </w:tc>
        <w:tc>
          <w:tcPr>
            <w:tcW w:w="1055" w:type="dxa"/>
            <w:gridSpan w:val="2"/>
            <w:tcBorders>
              <w:top w:val="nil"/>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0F3043">
              <w:rPr>
                <w:rFonts w:ascii="Calibri" w:eastAsiaTheme="minorEastAsia" w:hAnsi="Calibri" w:cs="Calibri"/>
                <w:sz w:val="22"/>
                <w:szCs w:val="22"/>
                <w:lang w:eastAsia="en-AU"/>
              </w:rPr>
              <w:t>23.2)</w:t>
            </w:r>
          </w:p>
        </w:tc>
        <w:tc>
          <w:tcPr>
            <w:tcW w:w="1055" w:type="dxa"/>
            <w:tcBorders>
              <w:top w:val="nil"/>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0F3043">
              <w:rPr>
                <w:rFonts w:ascii="Calibri" w:eastAsiaTheme="minorEastAsia" w:hAnsi="Calibri" w:cs="Calibri"/>
                <w:sz w:val="22"/>
                <w:szCs w:val="22"/>
                <w:lang w:eastAsia="en-AU"/>
              </w:rPr>
              <w:t>27.1)</w:t>
            </w:r>
          </w:p>
        </w:tc>
        <w:tc>
          <w:tcPr>
            <w:tcW w:w="1055" w:type="dxa"/>
            <w:gridSpan w:val="2"/>
            <w:tcBorders>
              <w:top w:val="nil"/>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0F3043">
              <w:rPr>
                <w:rFonts w:ascii="Calibri" w:eastAsiaTheme="minorEastAsia" w:hAnsi="Calibri" w:cs="Calibri"/>
                <w:sz w:val="22"/>
                <w:szCs w:val="22"/>
                <w:lang w:eastAsia="en-AU"/>
              </w:rPr>
              <w:t>19.3)</w:t>
            </w:r>
          </w:p>
        </w:tc>
        <w:tc>
          <w:tcPr>
            <w:tcW w:w="1055" w:type="dxa"/>
            <w:tcBorders>
              <w:top w:val="nil"/>
              <w:left w:val="nil"/>
              <w:bottom w:val="nil"/>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0F3043">
              <w:rPr>
                <w:rFonts w:ascii="Calibri" w:eastAsiaTheme="minorEastAsia" w:hAnsi="Calibri" w:cs="Calibri"/>
                <w:sz w:val="22"/>
                <w:szCs w:val="22"/>
                <w:lang w:eastAsia="en-AU"/>
              </w:rPr>
              <w:t>19.9)</w:t>
            </w:r>
          </w:p>
        </w:tc>
      </w:tr>
      <w:tr w:rsidR="00336793" w:rsidRPr="000F3043" w:rsidTr="00DF0B96">
        <w:tc>
          <w:tcPr>
            <w:tcW w:w="5417" w:type="dxa"/>
            <w:tcBorders>
              <w:top w:val="nil"/>
              <w:left w:val="nil"/>
              <w:bottom w:val="single" w:sz="6" w:space="0" w:color="auto"/>
              <w:right w:val="nil"/>
            </w:tcBorders>
          </w:tcPr>
          <w:p w:rsidR="00336793" w:rsidRPr="000F3043" w:rsidRDefault="00336793" w:rsidP="00DF0B96">
            <w:pPr>
              <w:autoSpaceDE w:val="0"/>
              <w:autoSpaceDN w:val="0"/>
              <w:adjustRightInd w:val="0"/>
              <w:spacing w:after="0"/>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Reversal of provision of receivables written off during the year as uncollectible</w:t>
            </w:r>
          </w:p>
        </w:tc>
        <w:tc>
          <w:tcPr>
            <w:tcW w:w="1055" w:type="dxa"/>
            <w:gridSpan w:val="2"/>
            <w:tcBorders>
              <w:top w:val="nil"/>
              <w:left w:val="nil"/>
              <w:bottom w:val="single" w:sz="6" w:space="0" w:color="auto"/>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 xml:space="preserve"> 11.7</w:t>
            </w:r>
          </w:p>
        </w:tc>
        <w:tc>
          <w:tcPr>
            <w:tcW w:w="1055" w:type="dxa"/>
            <w:tcBorders>
              <w:top w:val="nil"/>
              <w:left w:val="nil"/>
              <w:bottom w:val="single" w:sz="6" w:space="0" w:color="auto"/>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 xml:space="preserve"> 20.8</w:t>
            </w:r>
          </w:p>
        </w:tc>
        <w:tc>
          <w:tcPr>
            <w:tcW w:w="1055" w:type="dxa"/>
            <w:gridSpan w:val="2"/>
            <w:tcBorders>
              <w:top w:val="nil"/>
              <w:left w:val="nil"/>
              <w:bottom w:val="single" w:sz="6" w:space="0" w:color="auto"/>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 xml:space="preserve"> 2.6</w:t>
            </w:r>
          </w:p>
        </w:tc>
        <w:tc>
          <w:tcPr>
            <w:tcW w:w="1055" w:type="dxa"/>
            <w:tcBorders>
              <w:top w:val="nil"/>
              <w:left w:val="nil"/>
              <w:bottom w:val="single" w:sz="6" w:space="0" w:color="auto"/>
              <w:right w:val="nil"/>
            </w:tcBorders>
          </w:tcPr>
          <w:p w:rsidR="00336793" w:rsidRPr="000F304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F3043">
              <w:rPr>
                <w:rFonts w:ascii="Calibri" w:eastAsiaTheme="minorEastAsia" w:hAnsi="Calibri" w:cs="Calibri"/>
                <w:sz w:val="22"/>
                <w:szCs w:val="22"/>
                <w:lang w:eastAsia="en-AU"/>
              </w:rPr>
              <w:t xml:space="preserve"> 10.8</w:t>
            </w:r>
          </w:p>
        </w:tc>
      </w:tr>
      <w:tr w:rsidR="00336793" w:rsidRPr="000F3043" w:rsidTr="00DF0B96">
        <w:tc>
          <w:tcPr>
            <w:tcW w:w="5417" w:type="dxa"/>
            <w:tcBorders>
              <w:top w:val="single" w:sz="6" w:space="0" w:color="auto"/>
              <w:left w:val="nil"/>
              <w:bottom w:val="single" w:sz="12" w:space="0" w:color="000000"/>
              <w:right w:val="nil"/>
            </w:tcBorders>
          </w:tcPr>
          <w:p w:rsidR="00336793" w:rsidRPr="000F3043" w:rsidRDefault="00336793" w:rsidP="00DF0B96">
            <w:pPr>
              <w:autoSpaceDE w:val="0"/>
              <w:autoSpaceDN w:val="0"/>
              <w:adjustRightInd w:val="0"/>
              <w:spacing w:after="0"/>
              <w:rPr>
                <w:rFonts w:ascii="Calibri" w:eastAsiaTheme="minorEastAsia" w:hAnsi="Calibri" w:cs="Calibri"/>
                <w:b/>
                <w:bCs/>
                <w:sz w:val="22"/>
                <w:szCs w:val="22"/>
                <w:lang w:eastAsia="en-AU"/>
              </w:rPr>
            </w:pPr>
            <w:r w:rsidRPr="000F3043">
              <w:rPr>
                <w:rFonts w:ascii="Calibri" w:eastAsiaTheme="minorEastAsia" w:hAnsi="Calibri" w:cs="Calibri"/>
                <w:b/>
                <w:bCs/>
                <w:sz w:val="22"/>
                <w:szCs w:val="22"/>
                <w:lang w:eastAsia="en-AU"/>
              </w:rPr>
              <w:t>Closing balance</w:t>
            </w:r>
          </w:p>
        </w:tc>
        <w:tc>
          <w:tcPr>
            <w:tcW w:w="1055" w:type="dxa"/>
            <w:gridSpan w:val="2"/>
            <w:tcBorders>
              <w:top w:val="single" w:sz="6" w:space="0" w:color="auto"/>
              <w:left w:val="nil"/>
              <w:bottom w:val="single" w:sz="12" w:space="0" w:color="000000"/>
              <w:right w:val="nil"/>
            </w:tcBorders>
            <w:shd w:val="solid" w:color="FFFFFF" w:fill="auto"/>
          </w:tcPr>
          <w:p w:rsidR="00336793" w:rsidRPr="000F3043"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2"/>
                <w:szCs w:val="22"/>
                <w:lang w:eastAsia="en-AU"/>
              </w:rPr>
              <w:t>(</w:t>
            </w:r>
            <w:r w:rsidRPr="000F3043">
              <w:rPr>
                <w:rFonts w:ascii="Calibri" w:eastAsiaTheme="minorEastAsia" w:hAnsi="Calibri" w:cs="Calibri"/>
                <w:b/>
                <w:bCs/>
                <w:sz w:val="22"/>
                <w:szCs w:val="22"/>
                <w:lang w:eastAsia="en-AU"/>
              </w:rPr>
              <w:t>135.9)</w:t>
            </w:r>
          </w:p>
        </w:tc>
        <w:tc>
          <w:tcPr>
            <w:tcW w:w="1055" w:type="dxa"/>
            <w:tcBorders>
              <w:top w:val="single" w:sz="6" w:space="0" w:color="auto"/>
              <w:left w:val="nil"/>
              <w:bottom w:val="single" w:sz="12" w:space="0" w:color="000000"/>
              <w:right w:val="nil"/>
            </w:tcBorders>
            <w:shd w:val="solid" w:color="FFFFFF" w:fill="auto"/>
          </w:tcPr>
          <w:p w:rsidR="00336793" w:rsidRPr="000F3043"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2"/>
                <w:szCs w:val="22"/>
                <w:lang w:eastAsia="en-AU"/>
              </w:rPr>
              <w:t>(</w:t>
            </w:r>
            <w:r w:rsidRPr="000F3043">
              <w:rPr>
                <w:rFonts w:ascii="Calibri" w:eastAsiaTheme="minorEastAsia" w:hAnsi="Calibri" w:cs="Calibri"/>
                <w:b/>
                <w:bCs/>
                <w:sz w:val="22"/>
                <w:szCs w:val="22"/>
                <w:lang w:eastAsia="en-AU"/>
              </w:rPr>
              <w:t>144.1)</w:t>
            </w:r>
          </w:p>
        </w:tc>
        <w:tc>
          <w:tcPr>
            <w:tcW w:w="1055" w:type="dxa"/>
            <w:gridSpan w:val="2"/>
            <w:tcBorders>
              <w:top w:val="single" w:sz="6" w:space="0" w:color="auto"/>
              <w:left w:val="nil"/>
              <w:bottom w:val="single" w:sz="12" w:space="0" w:color="000000"/>
              <w:right w:val="nil"/>
            </w:tcBorders>
            <w:shd w:val="solid" w:color="FFFFFF" w:fill="auto"/>
          </w:tcPr>
          <w:p w:rsidR="00336793" w:rsidRPr="000F3043"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2"/>
                <w:szCs w:val="22"/>
                <w:lang w:eastAsia="en-AU"/>
              </w:rPr>
              <w:t>(</w:t>
            </w:r>
            <w:r w:rsidRPr="000F3043">
              <w:rPr>
                <w:rFonts w:ascii="Calibri" w:eastAsiaTheme="minorEastAsia" w:hAnsi="Calibri" w:cs="Calibri"/>
                <w:b/>
                <w:bCs/>
                <w:sz w:val="22"/>
                <w:szCs w:val="22"/>
                <w:lang w:eastAsia="en-AU"/>
              </w:rPr>
              <w:t>69.4)</w:t>
            </w:r>
          </w:p>
        </w:tc>
        <w:tc>
          <w:tcPr>
            <w:tcW w:w="1055" w:type="dxa"/>
            <w:tcBorders>
              <w:top w:val="single" w:sz="6" w:space="0" w:color="auto"/>
              <w:left w:val="nil"/>
              <w:bottom w:val="single" w:sz="12" w:space="0" w:color="000000"/>
              <w:right w:val="nil"/>
            </w:tcBorders>
            <w:shd w:val="solid" w:color="FFFFFF" w:fill="auto"/>
          </w:tcPr>
          <w:p w:rsidR="00336793" w:rsidRPr="000F3043"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2"/>
                <w:szCs w:val="22"/>
                <w:lang w:eastAsia="en-AU"/>
              </w:rPr>
              <w:t>(</w:t>
            </w:r>
            <w:r w:rsidRPr="000F3043">
              <w:rPr>
                <w:rFonts w:ascii="Calibri" w:eastAsiaTheme="minorEastAsia" w:hAnsi="Calibri" w:cs="Calibri"/>
                <w:b/>
                <w:bCs/>
                <w:sz w:val="22"/>
                <w:szCs w:val="22"/>
                <w:lang w:eastAsia="en-AU"/>
              </w:rPr>
              <w:t>72.2)</w:t>
            </w:r>
          </w:p>
        </w:tc>
      </w:tr>
    </w:tbl>
    <w:p w:rsidR="00336793" w:rsidRDefault="00336793" w:rsidP="00DF0B96">
      <w:pPr>
        <w:pStyle w:val="Notes"/>
      </w:pPr>
    </w:p>
    <w:p w:rsidR="00336793" w:rsidRDefault="00336793" w:rsidP="00DF0B96">
      <w:pPr>
        <w:pStyle w:val="Notes"/>
      </w:pPr>
    </w:p>
    <w:p w:rsidR="00336793" w:rsidRPr="008263E0" w:rsidRDefault="00336793" w:rsidP="00DF0B96">
      <w:pPr>
        <w:spacing w:after="0"/>
        <w:rPr>
          <w:rFonts w:ascii="Calibri" w:hAnsi="Calibri"/>
          <w:b/>
          <w:sz w:val="28"/>
          <w:szCs w:val="22"/>
        </w:rPr>
      </w:pPr>
      <w:bookmarkStart w:id="67" w:name="_Toc400040265"/>
    </w:p>
    <w:p w:rsidR="00336793" w:rsidRDefault="00336793" w:rsidP="00DF0B96">
      <w:pPr>
        <w:sectPr w:rsidR="00336793" w:rsidSect="00DF0B96">
          <w:headerReference w:type="even" r:id="rId50"/>
          <w:headerReference w:type="default" r:id="rId51"/>
          <w:footerReference w:type="even" r:id="rId52"/>
          <w:footerReference w:type="default" r:id="rId53"/>
          <w:pgSz w:w="11906" w:h="16838" w:code="9"/>
          <w:pgMar w:top="1152" w:right="1152" w:bottom="1152" w:left="1152" w:header="720" w:footer="720" w:gutter="0"/>
          <w:cols w:space="708"/>
          <w:docGrid w:linePitch="360"/>
        </w:sectPr>
      </w:pPr>
    </w:p>
    <w:p w:rsidR="00336793" w:rsidRPr="006A75A2" w:rsidRDefault="00336793" w:rsidP="00DF0B96">
      <w:pPr>
        <w:pStyle w:val="Heading2Notes"/>
        <w:rPr>
          <w:kern w:val="0"/>
        </w:rPr>
      </w:pPr>
      <w:bookmarkStart w:id="68" w:name="_Toc433984501"/>
      <w:r w:rsidRPr="006A75A2">
        <w:rPr>
          <w:kern w:val="0"/>
        </w:rPr>
        <w:lastRenderedPageBreak/>
        <w:t>Note 18:</w:t>
      </w:r>
      <w:r w:rsidRPr="006A75A2">
        <w:rPr>
          <w:kern w:val="0"/>
        </w:rPr>
        <w:tab/>
        <w:t>Joint ventures</w:t>
      </w:r>
      <w:bookmarkEnd w:id="68"/>
    </w:p>
    <w:p w:rsidR="00336793" w:rsidRPr="00622DA0" w:rsidRDefault="00336793" w:rsidP="00DF0B96">
      <w:r>
        <w:t xml:space="preserve">Investments in joint arrangements are classified as either associates, joint ventures or joint operations. </w:t>
      </w:r>
      <w:r>
        <w:br/>
        <w:t>Associates and joint ventures are accounted for in the financial statement using the equity method.</w:t>
      </w:r>
    </w:p>
    <w:p w:rsidR="00336793" w:rsidRPr="006A75A2" w:rsidRDefault="00336793" w:rsidP="00DF0B96">
      <w:pPr>
        <w:pStyle w:val="Heading5"/>
      </w:pPr>
      <w:r w:rsidRPr="006A75A2">
        <w:t>(a)</w:t>
      </w:r>
      <w:r w:rsidRPr="006A75A2">
        <w:tab/>
        <w:t>Investments accounted for using the equity method</w:t>
      </w:r>
    </w:p>
    <w:p w:rsidR="00336793" w:rsidRPr="004331BE" w:rsidRDefault="00336793" w:rsidP="00DF0B96">
      <w:pPr>
        <w:pStyle w:val="million"/>
        <w:rPr>
          <w:rFonts w:ascii="Times New Roman" w:hAnsi="Times New Roman"/>
          <w:i w:val="0"/>
          <w:szCs w:val="20"/>
          <w:lang w:eastAsia="en-AU"/>
        </w:rPr>
      </w:pPr>
      <w:r w:rsidRPr="006A75A2">
        <w:t>($</w:t>
      </w: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1120"/>
      </w:tblGrid>
      <w:tr w:rsidR="00336793" w:rsidRPr="004331BE" w:rsidTr="00DF0B96">
        <w:tc>
          <w:tcPr>
            <w:tcW w:w="7397" w:type="dxa"/>
            <w:tcBorders>
              <w:top w:val="single" w:sz="6" w:space="0" w:color="000000"/>
              <w:left w:val="single" w:sz="6" w:space="0" w:color="000000"/>
              <w:bottom w:val="single" w:sz="6" w:space="0" w:color="000000"/>
              <w:right w:val="nil"/>
            </w:tcBorders>
            <w:shd w:val="clear" w:color="000000" w:fill="000000"/>
          </w:tcPr>
          <w:p w:rsidR="00336793" w:rsidRPr="004331BE" w:rsidRDefault="00336793" w:rsidP="00DF0B96">
            <w:pPr>
              <w:pStyle w:val="Tabletext"/>
              <w:rPr>
                <w:rFonts w:eastAsiaTheme="minorEastAsia"/>
                <w:b/>
                <w:lang w:eastAsia="en-AU"/>
              </w:rPr>
            </w:pPr>
            <w:r w:rsidRPr="004331BE">
              <w:rPr>
                <w:rFonts w:eastAsiaTheme="minorEastAsia"/>
                <w:b/>
                <w:lang w:eastAsia="en-AU"/>
              </w:rPr>
              <w:t xml:space="preserve">  </w:t>
            </w:r>
          </w:p>
        </w:tc>
        <w:tc>
          <w:tcPr>
            <w:tcW w:w="1120" w:type="dxa"/>
            <w:tcBorders>
              <w:top w:val="single" w:sz="6" w:space="0" w:color="000000"/>
              <w:left w:val="nil"/>
              <w:bottom w:val="single" w:sz="6" w:space="0" w:color="000000"/>
              <w:right w:val="nil"/>
            </w:tcBorders>
            <w:shd w:val="clear" w:color="000000" w:fill="000000"/>
          </w:tcPr>
          <w:p w:rsidR="00336793" w:rsidRPr="00997B24" w:rsidRDefault="00336793" w:rsidP="00DF0B96">
            <w:pPr>
              <w:pStyle w:val="Tabletextheading"/>
              <w:rPr>
                <w:rFonts w:eastAsiaTheme="minorEastAsia"/>
                <w:iCs/>
                <w:color w:val="FFFFFF"/>
                <w:lang w:eastAsia="en-AU"/>
              </w:rPr>
            </w:pPr>
            <w:r w:rsidRPr="00997B24">
              <w:rPr>
                <w:rFonts w:eastAsiaTheme="minorEastAsia"/>
                <w:iCs/>
                <w:color w:val="FFFFFF"/>
                <w:lang w:eastAsia="en-AU"/>
              </w:rPr>
              <w:t>2015</w:t>
            </w:r>
          </w:p>
        </w:tc>
        <w:tc>
          <w:tcPr>
            <w:tcW w:w="1120" w:type="dxa"/>
            <w:tcBorders>
              <w:top w:val="single" w:sz="6" w:space="0" w:color="000000"/>
              <w:left w:val="nil"/>
              <w:bottom w:val="single" w:sz="6" w:space="0" w:color="000000"/>
              <w:right w:val="single" w:sz="6" w:space="0" w:color="000000"/>
            </w:tcBorders>
            <w:shd w:val="clear" w:color="000000" w:fill="000000"/>
          </w:tcPr>
          <w:p w:rsidR="00336793" w:rsidRPr="00997B24" w:rsidRDefault="00336793" w:rsidP="00DF0B96">
            <w:pPr>
              <w:pStyle w:val="Tabletextheading"/>
              <w:rPr>
                <w:rFonts w:eastAsiaTheme="minorEastAsia"/>
                <w:iCs/>
                <w:color w:val="FFFFFF"/>
                <w:lang w:eastAsia="en-AU"/>
              </w:rPr>
            </w:pPr>
            <w:r w:rsidRPr="00997B24">
              <w:rPr>
                <w:rFonts w:eastAsiaTheme="minorEastAsia"/>
                <w:iCs/>
                <w:color w:val="FFFFFF"/>
                <w:lang w:eastAsia="en-AU"/>
              </w:rPr>
              <w:t>2014</w:t>
            </w:r>
          </w:p>
        </w:tc>
      </w:tr>
      <w:tr w:rsidR="00336793" w:rsidRPr="004331BE" w:rsidTr="00DF0B96">
        <w:tc>
          <w:tcPr>
            <w:tcW w:w="7397" w:type="dxa"/>
            <w:tcBorders>
              <w:top w:val="single" w:sz="6" w:space="0" w:color="000000"/>
              <w:left w:val="nil"/>
              <w:bottom w:val="nil"/>
              <w:right w:val="nil"/>
            </w:tcBorders>
          </w:tcPr>
          <w:p w:rsidR="00336793" w:rsidRPr="004331BE" w:rsidRDefault="00336793" w:rsidP="00DF0B96">
            <w:pPr>
              <w:pStyle w:val="Tabletext"/>
              <w:rPr>
                <w:rFonts w:eastAsiaTheme="minorEastAsia"/>
                <w:lang w:eastAsia="en-AU"/>
              </w:rPr>
            </w:pPr>
            <w:r w:rsidRPr="004331BE">
              <w:rPr>
                <w:rFonts w:eastAsiaTheme="minorEastAsia"/>
                <w:lang w:eastAsia="en-AU"/>
              </w:rPr>
              <w:t>The Australian Regenerative Medicine Institute</w:t>
            </w:r>
          </w:p>
        </w:tc>
        <w:tc>
          <w:tcPr>
            <w:tcW w:w="1120" w:type="dxa"/>
            <w:tcBorders>
              <w:top w:val="single" w:sz="6" w:space="0" w:color="000000"/>
              <w:left w:val="nil"/>
              <w:bottom w:val="nil"/>
              <w:right w:val="nil"/>
            </w:tcBorders>
          </w:tcPr>
          <w:p w:rsidR="00336793" w:rsidRPr="004331BE" w:rsidRDefault="00336793" w:rsidP="00DF0B96">
            <w:pPr>
              <w:pStyle w:val="TableofFigures"/>
              <w:rPr>
                <w:rFonts w:eastAsiaTheme="minorEastAsia"/>
                <w:lang w:eastAsia="en-AU"/>
              </w:rPr>
            </w:pPr>
            <w:r w:rsidRPr="004331BE">
              <w:rPr>
                <w:rFonts w:eastAsiaTheme="minorEastAsia"/>
                <w:lang w:eastAsia="en-AU"/>
              </w:rPr>
              <w:t xml:space="preserve"> 35.0</w:t>
            </w:r>
          </w:p>
        </w:tc>
        <w:tc>
          <w:tcPr>
            <w:tcW w:w="1120" w:type="dxa"/>
            <w:tcBorders>
              <w:top w:val="single" w:sz="6" w:space="0" w:color="000000"/>
              <w:left w:val="nil"/>
              <w:bottom w:val="nil"/>
              <w:right w:val="nil"/>
            </w:tcBorders>
          </w:tcPr>
          <w:p w:rsidR="00336793" w:rsidRPr="004331BE" w:rsidRDefault="00336793" w:rsidP="00DF0B96">
            <w:pPr>
              <w:pStyle w:val="TableofFigures"/>
              <w:rPr>
                <w:rFonts w:eastAsiaTheme="minorEastAsia"/>
                <w:lang w:eastAsia="en-AU"/>
              </w:rPr>
            </w:pPr>
            <w:r w:rsidRPr="004331BE">
              <w:rPr>
                <w:rFonts w:eastAsiaTheme="minorEastAsia"/>
                <w:lang w:eastAsia="en-AU"/>
              </w:rPr>
              <w:t xml:space="preserve"> 35.0</w:t>
            </w:r>
          </w:p>
        </w:tc>
      </w:tr>
      <w:tr w:rsidR="00336793" w:rsidRPr="004331BE" w:rsidTr="00DF0B96">
        <w:tc>
          <w:tcPr>
            <w:tcW w:w="7397" w:type="dxa"/>
            <w:tcBorders>
              <w:top w:val="nil"/>
              <w:left w:val="nil"/>
              <w:bottom w:val="nil"/>
              <w:right w:val="nil"/>
            </w:tcBorders>
          </w:tcPr>
          <w:p w:rsidR="00336793" w:rsidRPr="004331BE" w:rsidRDefault="00336793" w:rsidP="00DF0B96">
            <w:pPr>
              <w:pStyle w:val="Tabletext"/>
              <w:rPr>
                <w:rFonts w:eastAsiaTheme="minorEastAsia"/>
                <w:lang w:eastAsia="en-AU"/>
              </w:rPr>
            </w:pPr>
            <w:r w:rsidRPr="004331BE">
              <w:rPr>
                <w:rFonts w:eastAsiaTheme="minorEastAsia"/>
                <w:lang w:eastAsia="en-AU"/>
              </w:rPr>
              <w:t>Property Exchange Australia Limited</w:t>
            </w:r>
          </w:p>
        </w:tc>
        <w:tc>
          <w:tcPr>
            <w:tcW w:w="1120" w:type="dxa"/>
            <w:tcBorders>
              <w:top w:val="nil"/>
              <w:left w:val="nil"/>
              <w:bottom w:val="nil"/>
              <w:right w:val="nil"/>
            </w:tcBorders>
          </w:tcPr>
          <w:p w:rsidR="00336793" w:rsidRPr="004331BE" w:rsidRDefault="00336793" w:rsidP="00DF0B96">
            <w:pPr>
              <w:pStyle w:val="TableofFigures"/>
              <w:rPr>
                <w:rFonts w:eastAsiaTheme="minorEastAsia"/>
                <w:lang w:eastAsia="en-AU"/>
              </w:rPr>
            </w:pPr>
            <w:r w:rsidRPr="004331BE">
              <w:rPr>
                <w:rFonts w:eastAsiaTheme="minorEastAsia"/>
                <w:lang w:eastAsia="en-AU"/>
              </w:rPr>
              <w:t xml:space="preserve"> 9.6</w:t>
            </w:r>
          </w:p>
        </w:tc>
        <w:tc>
          <w:tcPr>
            <w:tcW w:w="1120" w:type="dxa"/>
            <w:tcBorders>
              <w:top w:val="nil"/>
              <w:left w:val="nil"/>
              <w:bottom w:val="nil"/>
              <w:right w:val="nil"/>
            </w:tcBorders>
          </w:tcPr>
          <w:p w:rsidR="00336793" w:rsidRPr="004331BE" w:rsidRDefault="00336793" w:rsidP="00DF0B96">
            <w:pPr>
              <w:pStyle w:val="TableofFigures"/>
              <w:rPr>
                <w:rFonts w:eastAsiaTheme="minorEastAsia"/>
                <w:lang w:eastAsia="en-AU"/>
              </w:rPr>
            </w:pPr>
            <w:r w:rsidRPr="004331BE">
              <w:rPr>
                <w:rFonts w:eastAsiaTheme="minorEastAsia"/>
                <w:lang w:eastAsia="en-AU"/>
              </w:rPr>
              <w:t xml:space="preserve"> 9.0</w:t>
            </w:r>
          </w:p>
        </w:tc>
      </w:tr>
      <w:tr w:rsidR="00336793" w:rsidRPr="004331BE" w:rsidTr="00DF0B96">
        <w:tc>
          <w:tcPr>
            <w:tcW w:w="7397" w:type="dxa"/>
            <w:tcBorders>
              <w:top w:val="single" w:sz="6" w:space="0" w:color="auto"/>
              <w:left w:val="nil"/>
              <w:bottom w:val="nil"/>
              <w:right w:val="nil"/>
            </w:tcBorders>
          </w:tcPr>
          <w:p w:rsidR="00336793" w:rsidRPr="004331BE" w:rsidRDefault="00336793" w:rsidP="00DF0B96">
            <w:pPr>
              <w:pStyle w:val="Tabletext"/>
              <w:rPr>
                <w:rFonts w:eastAsiaTheme="minorEastAsia"/>
                <w:b/>
                <w:lang w:eastAsia="en-AU"/>
              </w:rPr>
            </w:pPr>
            <w:r w:rsidRPr="004331BE">
              <w:rPr>
                <w:rFonts w:eastAsiaTheme="minorEastAsia"/>
                <w:b/>
                <w:lang w:eastAsia="en-AU"/>
              </w:rPr>
              <w:t>Total general government sector</w:t>
            </w:r>
          </w:p>
        </w:tc>
        <w:tc>
          <w:tcPr>
            <w:tcW w:w="1120" w:type="dxa"/>
            <w:tcBorders>
              <w:top w:val="single" w:sz="6" w:space="0" w:color="auto"/>
              <w:left w:val="nil"/>
              <w:bottom w:val="nil"/>
              <w:right w:val="nil"/>
            </w:tcBorders>
          </w:tcPr>
          <w:p w:rsidR="00336793" w:rsidRPr="004331BE" w:rsidRDefault="00336793" w:rsidP="00DF0B96">
            <w:pPr>
              <w:pStyle w:val="TableofFigures"/>
              <w:rPr>
                <w:rFonts w:eastAsiaTheme="minorEastAsia"/>
                <w:b/>
                <w:lang w:eastAsia="en-AU"/>
              </w:rPr>
            </w:pPr>
            <w:r w:rsidRPr="004331BE">
              <w:rPr>
                <w:rFonts w:eastAsiaTheme="minorEastAsia"/>
                <w:b/>
                <w:lang w:eastAsia="en-AU"/>
              </w:rPr>
              <w:t xml:space="preserve"> 44.6</w:t>
            </w:r>
          </w:p>
        </w:tc>
        <w:tc>
          <w:tcPr>
            <w:tcW w:w="1120" w:type="dxa"/>
            <w:tcBorders>
              <w:top w:val="single" w:sz="6" w:space="0" w:color="auto"/>
              <w:left w:val="nil"/>
              <w:bottom w:val="nil"/>
              <w:right w:val="nil"/>
            </w:tcBorders>
          </w:tcPr>
          <w:p w:rsidR="00336793" w:rsidRPr="004331BE" w:rsidRDefault="00336793" w:rsidP="00DF0B96">
            <w:pPr>
              <w:pStyle w:val="TableofFigures"/>
              <w:rPr>
                <w:rFonts w:eastAsiaTheme="minorEastAsia"/>
                <w:b/>
                <w:lang w:eastAsia="en-AU"/>
              </w:rPr>
            </w:pPr>
            <w:r w:rsidRPr="004331BE">
              <w:rPr>
                <w:rFonts w:eastAsiaTheme="minorEastAsia"/>
                <w:b/>
                <w:lang w:eastAsia="en-AU"/>
              </w:rPr>
              <w:t xml:space="preserve"> 44.1</w:t>
            </w:r>
          </w:p>
        </w:tc>
      </w:tr>
      <w:tr w:rsidR="00336793" w:rsidRPr="004331BE" w:rsidTr="00DF0B96">
        <w:tc>
          <w:tcPr>
            <w:tcW w:w="7397" w:type="dxa"/>
            <w:tcBorders>
              <w:top w:val="nil"/>
              <w:left w:val="nil"/>
              <w:bottom w:val="single" w:sz="6" w:space="0" w:color="auto"/>
              <w:right w:val="nil"/>
            </w:tcBorders>
          </w:tcPr>
          <w:p w:rsidR="00336793" w:rsidRPr="004331BE" w:rsidRDefault="00336793" w:rsidP="00DF0B96">
            <w:pPr>
              <w:pStyle w:val="Tabletext"/>
              <w:rPr>
                <w:rFonts w:eastAsiaTheme="minorEastAsia"/>
                <w:lang w:eastAsia="en-AU"/>
              </w:rPr>
            </w:pPr>
            <w:r w:rsidRPr="004331BE">
              <w:rPr>
                <w:rFonts w:eastAsiaTheme="minorEastAsia"/>
                <w:lang w:eastAsia="en-AU"/>
              </w:rPr>
              <w:t>Snowy Hydro Limited</w:t>
            </w:r>
          </w:p>
        </w:tc>
        <w:tc>
          <w:tcPr>
            <w:tcW w:w="1120" w:type="dxa"/>
            <w:tcBorders>
              <w:top w:val="nil"/>
              <w:left w:val="nil"/>
              <w:bottom w:val="single" w:sz="6" w:space="0" w:color="auto"/>
              <w:right w:val="nil"/>
            </w:tcBorders>
          </w:tcPr>
          <w:p w:rsidR="00336793" w:rsidRPr="004331BE" w:rsidRDefault="00336793" w:rsidP="00DF0B96">
            <w:pPr>
              <w:pStyle w:val="TableofFigures"/>
              <w:rPr>
                <w:rFonts w:eastAsiaTheme="minorEastAsia"/>
                <w:lang w:eastAsia="en-AU"/>
              </w:rPr>
            </w:pPr>
            <w:r w:rsidRPr="004331BE">
              <w:rPr>
                <w:rFonts w:eastAsiaTheme="minorEastAsia"/>
                <w:lang w:eastAsia="en-AU"/>
              </w:rPr>
              <w:t>1 976.2</w:t>
            </w:r>
          </w:p>
        </w:tc>
        <w:tc>
          <w:tcPr>
            <w:tcW w:w="1120" w:type="dxa"/>
            <w:tcBorders>
              <w:top w:val="nil"/>
              <w:left w:val="nil"/>
              <w:bottom w:val="single" w:sz="6" w:space="0" w:color="auto"/>
              <w:right w:val="nil"/>
            </w:tcBorders>
          </w:tcPr>
          <w:p w:rsidR="00336793" w:rsidRPr="004331BE" w:rsidRDefault="00336793" w:rsidP="00DF0B96">
            <w:pPr>
              <w:pStyle w:val="TableofFigures"/>
              <w:rPr>
                <w:rFonts w:eastAsiaTheme="minorEastAsia"/>
                <w:lang w:eastAsia="en-AU"/>
              </w:rPr>
            </w:pPr>
            <w:r w:rsidRPr="004331BE">
              <w:rPr>
                <w:rFonts w:eastAsiaTheme="minorEastAsia"/>
                <w:lang w:eastAsia="en-AU"/>
              </w:rPr>
              <w:t>1 511.0</w:t>
            </w:r>
          </w:p>
        </w:tc>
      </w:tr>
      <w:tr w:rsidR="00336793" w:rsidRPr="004331BE" w:rsidTr="00DF0B96">
        <w:tc>
          <w:tcPr>
            <w:tcW w:w="7397" w:type="dxa"/>
            <w:tcBorders>
              <w:top w:val="single" w:sz="6" w:space="0" w:color="auto"/>
              <w:left w:val="nil"/>
              <w:bottom w:val="single" w:sz="12" w:space="0" w:color="000000"/>
              <w:right w:val="nil"/>
            </w:tcBorders>
            <w:shd w:val="clear" w:color="auto" w:fill="auto"/>
          </w:tcPr>
          <w:p w:rsidR="00336793" w:rsidRPr="004331BE" w:rsidRDefault="00336793" w:rsidP="00DF0B96">
            <w:pPr>
              <w:pStyle w:val="Tabletext"/>
              <w:rPr>
                <w:rFonts w:eastAsiaTheme="minorEastAsia"/>
                <w:b/>
                <w:lang w:eastAsia="en-AU"/>
              </w:rPr>
            </w:pPr>
            <w:r w:rsidRPr="004331BE">
              <w:rPr>
                <w:rFonts w:eastAsiaTheme="minorEastAsia"/>
                <w:b/>
                <w:lang w:eastAsia="en-AU"/>
              </w:rPr>
              <w:t xml:space="preserve">Total investments </w:t>
            </w:r>
          </w:p>
        </w:tc>
        <w:tc>
          <w:tcPr>
            <w:tcW w:w="1120" w:type="dxa"/>
            <w:tcBorders>
              <w:top w:val="single" w:sz="6" w:space="0" w:color="auto"/>
              <w:left w:val="nil"/>
              <w:bottom w:val="single" w:sz="12" w:space="0" w:color="000000"/>
              <w:right w:val="nil"/>
            </w:tcBorders>
            <w:shd w:val="clear" w:color="auto" w:fill="auto"/>
          </w:tcPr>
          <w:p w:rsidR="00336793" w:rsidRPr="004331BE" w:rsidRDefault="00336793" w:rsidP="00DF0B96">
            <w:pPr>
              <w:pStyle w:val="TableofFigures"/>
              <w:rPr>
                <w:rFonts w:eastAsiaTheme="minorEastAsia"/>
                <w:b/>
                <w:lang w:eastAsia="en-AU"/>
              </w:rPr>
            </w:pPr>
            <w:r w:rsidRPr="004331BE">
              <w:rPr>
                <w:rFonts w:eastAsiaTheme="minorEastAsia"/>
                <w:b/>
                <w:lang w:eastAsia="en-AU"/>
              </w:rPr>
              <w:t>2 020.8</w:t>
            </w:r>
          </w:p>
        </w:tc>
        <w:tc>
          <w:tcPr>
            <w:tcW w:w="1120" w:type="dxa"/>
            <w:tcBorders>
              <w:top w:val="single" w:sz="6" w:space="0" w:color="auto"/>
              <w:left w:val="nil"/>
              <w:bottom w:val="single" w:sz="12" w:space="0" w:color="000000"/>
              <w:right w:val="nil"/>
            </w:tcBorders>
            <w:shd w:val="clear" w:color="auto" w:fill="auto"/>
          </w:tcPr>
          <w:p w:rsidR="00336793" w:rsidRPr="004331BE" w:rsidRDefault="00336793" w:rsidP="00DF0B96">
            <w:pPr>
              <w:pStyle w:val="TableofFigures"/>
              <w:rPr>
                <w:rFonts w:eastAsiaTheme="minorEastAsia"/>
                <w:b/>
                <w:lang w:eastAsia="en-AU"/>
              </w:rPr>
            </w:pPr>
            <w:r w:rsidRPr="004331BE">
              <w:rPr>
                <w:rFonts w:eastAsiaTheme="minorEastAsia"/>
                <w:b/>
                <w:lang w:eastAsia="en-AU"/>
              </w:rPr>
              <w:t>1 555.1</w:t>
            </w:r>
          </w:p>
        </w:tc>
      </w:tr>
    </w:tbl>
    <w:p w:rsidR="00336793" w:rsidRDefault="00336793" w:rsidP="00DF0B96">
      <w:pPr>
        <w:pStyle w:val="Notes"/>
      </w:pPr>
    </w:p>
    <w:p w:rsidR="00336793" w:rsidRDefault="00336793" w:rsidP="00DF0B96"/>
    <w:p w:rsidR="00336793" w:rsidRPr="00326F10" w:rsidRDefault="00336793" w:rsidP="00DF0B96">
      <w:pPr>
        <w:pStyle w:val="Heading5"/>
      </w:pPr>
      <w:r w:rsidRPr="00326F10">
        <w:t>Movements in carrying amounts for investments accounted for using the equity method</w:t>
      </w:r>
    </w:p>
    <w:p w:rsidR="00336793" w:rsidRPr="004331BE" w:rsidRDefault="00336793" w:rsidP="00DF0B96">
      <w:pPr>
        <w:pStyle w:val="million"/>
      </w:pPr>
      <w:r w:rsidRPr="006A75A2">
        <w:t>($</w:t>
      </w:r>
      <w:r>
        <w:t> million)</w:t>
      </w:r>
    </w:p>
    <w:tbl>
      <w:tblPr>
        <w:tblW w:w="14597" w:type="dxa"/>
        <w:tblInd w:w="28" w:type="dxa"/>
        <w:tblLayout w:type="fixed"/>
        <w:tblCellMar>
          <w:left w:w="45" w:type="dxa"/>
          <w:right w:w="45" w:type="dxa"/>
        </w:tblCellMar>
        <w:tblLook w:val="0000" w:firstRow="0" w:lastRow="0" w:firstColumn="0" w:lastColumn="0" w:noHBand="0" w:noVBand="0"/>
      </w:tblPr>
      <w:tblGrid>
        <w:gridCol w:w="6497"/>
        <w:gridCol w:w="180"/>
        <w:gridCol w:w="843"/>
        <w:gridCol w:w="1024"/>
        <w:gridCol w:w="176"/>
        <w:gridCol w:w="848"/>
        <w:gridCol w:w="1024"/>
        <w:gridCol w:w="180"/>
        <w:gridCol w:w="843"/>
        <w:gridCol w:w="1024"/>
        <w:gridCol w:w="203"/>
        <w:gridCol w:w="783"/>
        <w:gridCol w:w="972"/>
      </w:tblGrid>
      <w:tr w:rsidR="00336793" w:rsidRPr="004331BE" w:rsidTr="00DF0B96">
        <w:trPr>
          <w:tblHeader/>
        </w:trPr>
        <w:tc>
          <w:tcPr>
            <w:tcW w:w="6497" w:type="dxa"/>
            <w:tcBorders>
              <w:top w:val="single" w:sz="6" w:space="0" w:color="auto"/>
              <w:left w:val="single" w:sz="6" w:space="0" w:color="auto"/>
              <w:bottom w:val="nil"/>
              <w:right w:val="nil"/>
            </w:tcBorders>
            <w:shd w:val="clear" w:color="000000" w:fill="000000"/>
            <w:vAlign w:val="bottom"/>
          </w:tcPr>
          <w:p w:rsidR="00336793" w:rsidRPr="004331BE" w:rsidRDefault="00336793" w:rsidP="00DF0B96">
            <w:pPr>
              <w:pStyle w:val="Tabletext"/>
              <w:rPr>
                <w:rFonts w:eastAsiaTheme="minorEastAsia"/>
                <w:lang w:eastAsia="en-AU"/>
              </w:rPr>
            </w:pPr>
            <w:r w:rsidRPr="004331BE">
              <w:rPr>
                <w:rFonts w:eastAsiaTheme="minorEastAsia"/>
                <w:lang w:eastAsia="en-AU"/>
              </w:rPr>
              <w:t xml:space="preserve"> </w:t>
            </w:r>
          </w:p>
        </w:tc>
        <w:tc>
          <w:tcPr>
            <w:tcW w:w="180" w:type="dxa"/>
            <w:tcBorders>
              <w:top w:val="single" w:sz="6" w:space="0" w:color="auto"/>
              <w:left w:val="nil"/>
              <w:bottom w:val="nil"/>
              <w:right w:val="nil"/>
            </w:tcBorders>
            <w:shd w:val="clear" w:color="000000" w:fill="000000"/>
            <w:vAlign w:val="bottom"/>
          </w:tcPr>
          <w:p w:rsidR="00336793" w:rsidRPr="004331BE" w:rsidRDefault="00336793" w:rsidP="00DF0B96">
            <w:pPr>
              <w:pStyle w:val="TabletextheadingCentred"/>
              <w:rPr>
                <w:rFonts w:eastAsiaTheme="minorEastAsia"/>
                <w:lang w:eastAsia="en-AU"/>
              </w:rPr>
            </w:pPr>
            <w:r w:rsidRPr="004331BE">
              <w:rPr>
                <w:rFonts w:eastAsiaTheme="minorEastAsia"/>
                <w:lang w:eastAsia="en-AU"/>
              </w:rPr>
              <w:t xml:space="preserve"> </w:t>
            </w:r>
          </w:p>
        </w:tc>
        <w:tc>
          <w:tcPr>
            <w:tcW w:w="1867" w:type="dxa"/>
            <w:gridSpan w:val="2"/>
            <w:tcBorders>
              <w:top w:val="single" w:sz="6" w:space="0" w:color="auto"/>
              <w:left w:val="nil"/>
              <w:bottom w:val="nil"/>
              <w:right w:val="nil"/>
            </w:tcBorders>
            <w:shd w:val="clear" w:color="000000" w:fill="000000"/>
            <w:vAlign w:val="bottom"/>
          </w:tcPr>
          <w:p w:rsidR="00336793" w:rsidRPr="004331BE" w:rsidRDefault="00336793" w:rsidP="00DF0B96">
            <w:pPr>
              <w:pStyle w:val="TabletextheadingCentred"/>
              <w:rPr>
                <w:rFonts w:eastAsiaTheme="minorEastAsia"/>
                <w:lang w:eastAsia="en-AU"/>
              </w:rPr>
            </w:pPr>
            <w:r w:rsidRPr="004331BE">
              <w:rPr>
                <w:rFonts w:eastAsiaTheme="minorEastAsia"/>
                <w:lang w:eastAsia="en-AU"/>
              </w:rPr>
              <w:t>The Australian Regenerative Medicine Institute</w:t>
            </w:r>
          </w:p>
        </w:tc>
        <w:tc>
          <w:tcPr>
            <w:tcW w:w="176" w:type="dxa"/>
            <w:tcBorders>
              <w:top w:val="single" w:sz="6" w:space="0" w:color="auto"/>
              <w:left w:val="nil"/>
              <w:bottom w:val="nil"/>
              <w:right w:val="nil"/>
            </w:tcBorders>
            <w:shd w:val="clear" w:color="000000" w:fill="000000"/>
            <w:vAlign w:val="bottom"/>
          </w:tcPr>
          <w:p w:rsidR="00336793" w:rsidRPr="004331BE" w:rsidRDefault="00336793" w:rsidP="00DF0B96">
            <w:pPr>
              <w:pStyle w:val="TabletextheadingCentred"/>
              <w:rPr>
                <w:rFonts w:eastAsiaTheme="minorEastAsia"/>
                <w:lang w:eastAsia="en-AU"/>
              </w:rPr>
            </w:pPr>
            <w:r w:rsidRPr="004331BE">
              <w:rPr>
                <w:rFonts w:eastAsiaTheme="minorEastAsia"/>
                <w:lang w:eastAsia="en-AU"/>
              </w:rPr>
              <w:t xml:space="preserve"> </w:t>
            </w:r>
          </w:p>
        </w:tc>
        <w:tc>
          <w:tcPr>
            <w:tcW w:w="1872" w:type="dxa"/>
            <w:gridSpan w:val="2"/>
            <w:tcBorders>
              <w:top w:val="single" w:sz="6" w:space="0" w:color="auto"/>
              <w:left w:val="nil"/>
              <w:bottom w:val="nil"/>
              <w:right w:val="nil"/>
            </w:tcBorders>
            <w:shd w:val="clear" w:color="000000" w:fill="000000"/>
            <w:vAlign w:val="bottom"/>
          </w:tcPr>
          <w:p w:rsidR="00336793" w:rsidRPr="004331BE" w:rsidRDefault="00336793" w:rsidP="00DF0B96">
            <w:pPr>
              <w:pStyle w:val="TabletextheadingCentred"/>
              <w:rPr>
                <w:rFonts w:eastAsiaTheme="minorEastAsia"/>
                <w:lang w:eastAsia="en-AU"/>
              </w:rPr>
            </w:pPr>
          </w:p>
          <w:p w:rsidR="00336793" w:rsidRPr="004331BE" w:rsidRDefault="00336793" w:rsidP="00DF0B96">
            <w:pPr>
              <w:pStyle w:val="TabletextheadingCentred"/>
              <w:rPr>
                <w:rFonts w:eastAsiaTheme="minorEastAsia" w:cs="Calibri"/>
                <w:iCs/>
                <w:color w:val="FFFFFF"/>
                <w:szCs w:val="22"/>
                <w:vertAlign w:val="superscript"/>
                <w:lang w:eastAsia="en-AU"/>
              </w:rPr>
            </w:pPr>
            <w:r w:rsidRPr="004331BE">
              <w:rPr>
                <w:rFonts w:eastAsiaTheme="minorEastAsia"/>
                <w:lang w:eastAsia="en-AU"/>
              </w:rPr>
              <w:t xml:space="preserve">Property Exchange Australia Limited </w:t>
            </w:r>
            <w:r w:rsidRPr="004331BE">
              <w:rPr>
                <w:rFonts w:eastAsiaTheme="minorEastAsia"/>
                <w:vertAlign w:val="superscript"/>
                <w:lang w:eastAsia="en-AU"/>
              </w:rPr>
              <w:t>(a)</w:t>
            </w:r>
          </w:p>
        </w:tc>
        <w:tc>
          <w:tcPr>
            <w:tcW w:w="180" w:type="dxa"/>
            <w:tcBorders>
              <w:top w:val="single" w:sz="6" w:space="0" w:color="auto"/>
              <w:left w:val="nil"/>
              <w:bottom w:val="nil"/>
              <w:right w:val="nil"/>
            </w:tcBorders>
            <w:shd w:val="clear" w:color="000000" w:fill="000000"/>
            <w:vAlign w:val="bottom"/>
          </w:tcPr>
          <w:p w:rsidR="00336793" w:rsidRPr="004331BE" w:rsidRDefault="00336793" w:rsidP="00DF0B96">
            <w:pPr>
              <w:pStyle w:val="TabletextheadingCentred"/>
              <w:rPr>
                <w:rFonts w:eastAsiaTheme="minorEastAsia"/>
                <w:lang w:eastAsia="en-AU"/>
              </w:rPr>
            </w:pPr>
            <w:r w:rsidRPr="004331BE">
              <w:rPr>
                <w:rFonts w:eastAsiaTheme="minorEastAsia"/>
                <w:lang w:eastAsia="en-AU"/>
              </w:rPr>
              <w:t xml:space="preserve"> </w:t>
            </w:r>
          </w:p>
        </w:tc>
        <w:tc>
          <w:tcPr>
            <w:tcW w:w="1867" w:type="dxa"/>
            <w:gridSpan w:val="2"/>
            <w:tcBorders>
              <w:top w:val="single" w:sz="6" w:space="0" w:color="auto"/>
              <w:left w:val="nil"/>
              <w:bottom w:val="nil"/>
              <w:right w:val="nil"/>
            </w:tcBorders>
            <w:shd w:val="clear" w:color="000000" w:fill="000000"/>
            <w:vAlign w:val="bottom"/>
          </w:tcPr>
          <w:p w:rsidR="00336793" w:rsidRPr="004331BE" w:rsidRDefault="00336793" w:rsidP="00DF0B96">
            <w:pPr>
              <w:pStyle w:val="TabletextheadingCentred"/>
              <w:rPr>
                <w:rFonts w:eastAsiaTheme="minorEastAsia"/>
                <w:lang w:eastAsia="en-AU"/>
              </w:rPr>
            </w:pPr>
          </w:p>
          <w:p w:rsidR="00336793" w:rsidRPr="004331BE" w:rsidRDefault="00336793" w:rsidP="00DF0B96">
            <w:pPr>
              <w:pStyle w:val="TabletextheadingCentred"/>
              <w:rPr>
                <w:rFonts w:eastAsiaTheme="minorEastAsia"/>
                <w:vertAlign w:val="superscript"/>
                <w:lang w:eastAsia="en-AU"/>
              </w:rPr>
            </w:pPr>
            <w:r w:rsidRPr="004331BE">
              <w:rPr>
                <w:rFonts w:eastAsiaTheme="minorEastAsia"/>
                <w:lang w:eastAsia="en-AU"/>
              </w:rPr>
              <w:t xml:space="preserve">Snowy Hydro Limited </w:t>
            </w:r>
            <w:r w:rsidRPr="004331BE">
              <w:rPr>
                <w:rFonts w:eastAsiaTheme="minorEastAsia"/>
                <w:vertAlign w:val="superscript"/>
                <w:lang w:eastAsia="en-AU"/>
              </w:rPr>
              <w:t>(a)</w:t>
            </w:r>
          </w:p>
        </w:tc>
        <w:tc>
          <w:tcPr>
            <w:tcW w:w="203" w:type="dxa"/>
            <w:tcBorders>
              <w:top w:val="single" w:sz="6" w:space="0" w:color="auto"/>
              <w:left w:val="nil"/>
              <w:bottom w:val="nil"/>
              <w:right w:val="nil"/>
            </w:tcBorders>
            <w:shd w:val="clear" w:color="000000" w:fill="000000"/>
            <w:vAlign w:val="bottom"/>
          </w:tcPr>
          <w:p w:rsidR="00336793" w:rsidRPr="004331BE" w:rsidRDefault="00336793" w:rsidP="00DF0B96">
            <w:pPr>
              <w:pStyle w:val="TabletextheadingCentred"/>
              <w:rPr>
                <w:rFonts w:eastAsiaTheme="minorEastAsia"/>
                <w:lang w:eastAsia="en-AU"/>
              </w:rPr>
            </w:pPr>
            <w:r w:rsidRPr="004331BE">
              <w:rPr>
                <w:rFonts w:eastAsiaTheme="minorEastAsia"/>
                <w:lang w:eastAsia="en-AU"/>
              </w:rPr>
              <w:t xml:space="preserve"> </w:t>
            </w:r>
          </w:p>
        </w:tc>
        <w:tc>
          <w:tcPr>
            <w:tcW w:w="1755" w:type="dxa"/>
            <w:gridSpan w:val="2"/>
            <w:tcBorders>
              <w:top w:val="single" w:sz="6" w:space="0" w:color="auto"/>
              <w:left w:val="nil"/>
              <w:bottom w:val="nil"/>
              <w:right w:val="single" w:sz="6" w:space="0" w:color="auto"/>
            </w:tcBorders>
            <w:shd w:val="clear" w:color="000000" w:fill="000000"/>
            <w:vAlign w:val="bottom"/>
          </w:tcPr>
          <w:p w:rsidR="00336793" w:rsidRPr="004331BE" w:rsidRDefault="00336793" w:rsidP="00DF0B96">
            <w:pPr>
              <w:pStyle w:val="TabletextheadingCentred"/>
              <w:rPr>
                <w:rFonts w:eastAsiaTheme="minorEastAsia"/>
                <w:lang w:eastAsia="en-AU"/>
              </w:rPr>
            </w:pPr>
          </w:p>
          <w:p w:rsidR="00336793" w:rsidRPr="004331BE" w:rsidRDefault="00336793" w:rsidP="00DF0B96">
            <w:pPr>
              <w:pStyle w:val="TabletextheadingCentred"/>
              <w:rPr>
                <w:rFonts w:eastAsiaTheme="minorEastAsia"/>
                <w:lang w:eastAsia="en-AU"/>
              </w:rPr>
            </w:pPr>
          </w:p>
          <w:p w:rsidR="00336793" w:rsidRPr="004331BE" w:rsidRDefault="00336793" w:rsidP="00DF0B96">
            <w:pPr>
              <w:pStyle w:val="TabletextheadingCentred"/>
              <w:rPr>
                <w:rFonts w:eastAsiaTheme="minorEastAsia"/>
                <w:lang w:eastAsia="en-AU"/>
              </w:rPr>
            </w:pPr>
            <w:r w:rsidRPr="004331BE">
              <w:rPr>
                <w:rFonts w:eastAsiaTheme="minorEastAsia"/>
                <w:lang w:eastAsia="en-AU"/>
              </w:rPr>
              <w:t>Total</w:t>
            </w:r>
          </w:p>
        </w:tc>
      </w:tr>
      <w:tr w:rsidR="00336793" w:rsidRPr="004331BE" w:rsidTr="00DF0B96">
        <w:trPr>
          <w:tblHeader/>
        </w:trPr>
        <w:tc>
          <w:tcPr>
            <w:tcW w:w="6497" w:type="dxa"/>
            <w:tcBorders>
              <w:top w:val="nil"/>
              <w:left w:val="single" w:sz="6" w:space="0" w:color="auto"/>
              <w:bottom w:val="single" w:sz="6" w:space="0" w:color="auto"/>
              <w:right w:val="nil"/>
            </w:tcBorders>
            <w:shd w:val="clear" w:color="000000" w:fill="000000"/>
            <w:vAlign w:val="bottom"/>
          </w:tcPr>
          <w:p w:rsidR="00336793" w:rsidRPr="004331BE" w:rsidRDefault="00336793" w:rsidP="00DF0B96">
            <w:pPr>
              <w:pStyle w:val="Tabletext"/>
              <w:rPr>
                <w:rFonts w:eastAsiaTheme="minorEastAsia"/>
                <w:i/>
                <w:iCs/>
                <w:lang w:eastAsia="en-AU"/>
              </w:rPr>
            </w:pPr>
          </w:p>
        </w:tc>
        <w:tc>
          <w:tcPr>
            <w:tcW w:w="1023" w:type="dxa"/>
            <w:gridSpan w:val="2"/>
            <w:tcBorders>
              <w:top w:val="nil"/>
              <w:left w:val="nil"/>
              <w:bottom w:val="single" w:sz="6" w:space="0" w:color="auto"/>
              <w:right w:val="nil"/>
            </w:tcBorders>
            <w:shd w:val="clear" w:color="000000" w:fill="000000"/>
            <w:vAlign w:val="bottom"/>
          </w:tcPr>
          <w:p w:rsidR="00336793" w:rsidRPr="004331BE" w:rsidRDefault="00336793" w:rsidP="00DF0B96">
            <w:pPr>
              <w:pStyle w:val="Tabletextheading"/>
              <w:rPr>
                <w:rFonts w:eastAsiaTheme="minorEastAsia"/>
                <w:iCs/>
                <w:color w:val="FFFFFF"/>
                <w:lang w:eastAsia="en-AU"/>
              </w:rPr>
            </w:pPr>
            <w:r w:rsidRPr="004331BE">
              <w:rPr>
                <w:rFonts w:eastAsiaTheme="minorEastAsia"/>
                <w:iCs/>
                <w:color w:val="FFFFFF"/>
                <w:lang w:eastAsia="en-AU"/>
              </w:rPr>
              <w:t>2015</w:t>
            </w:r>
          </w:p>
        </w:tc>
        <w:tc>
          <w:tcPr>
            <w:tcW w:w="1024" w:type="dxa"/>
            <w:tcBorders>
              <w:top w:val="nil"/>
              <w:left w:val="nil"/>
              <w:bottom w:val="single" w:sz="6" w:space="0" w:color="auto"/>
              <w:right w:val="nil"/>
            </w:tcBorders>
            <w:shd w:val="clear" w:color="000000" w:fill="000000"/>
            <w:vAlign w:val="bottom"/>
          </w:tcPr>
          <w:p w:rsidR="00336793" w:rsidRPr="004331BE" w:rsidRDefault="00336793" w:rsidP="00DF0B96">
            <w:pPr>
              <w:pStyle w:val="Tabletextheading"/>
              <w:rPr>
                <w:rFonts w:eastAsiaTheme="minorEastAsia"/>
                <w:iCs/>
                <w:color w:val="FFFFFF"/>
                <w:lang w:eastAsia="en-AU"/>
              </w:rPr>
            </w:pPr>
            <w:r w:rsidRPr="004331BE">
              <w:rPr>
                <w:rFonts w:eastAsiaTheme="minorEastAsia"/>
                <w:iCs/>
                <w:color w:val="FFFFFF"/>
                <w:lang w:eastAsia="en-AU"/>
              </w:rPr>
              <w:t>2014</w:t>
            </w:r>
          </w:p>
        </w:tc>
        <w:tc>
          <w:tcPr>
            <w:tcW w:w="1024" w:type="dxa"/>
            <w:gridSpan w:val="2"/>
            <w:tcBorders>
              <w:top w:val="nil"/>
              <w:left w:val="nil"/>
              <w:bottom w:val="single" w:sz="6" w:space="0" w:color="auto"/>
              <w:right w:val="nil"/>
            </w:tcBorders>
            <w:shd w:val="clear" w:color="000000" w:fill="000000"/>
            <w:vAlign w:val="bottom"/>
          </w:tcPr>
          <w:p w:rsidR="00336793" w:rsidRPr="004331BE" w:rsidRDefault="00336793" w:rsidP="00DF0B96">
            <w:pPr>
              <w:pStyle w:val="Tabletextheading"/>
              <w:rPr>
                <w:rFonts w:eastAsiaTheme="minorEastAsia"/>
                <w:iCs/>
                <w:color w:val="FFFFFF"/>
                <w:lang w:eastAsia="en-AU"/>
              </w:rPr>
            </w:pPr>
            <w:r w:rsidRPr="004331BE">
              <w:rPr>
                <w:rFonts w:eastAsiaTheme="minorEastAsia"/>
                <w:iCs/>
                <w:color w:val="FFFFFF"/>
                <w:lang w:eastAsia="en-AU"/>
              </w:rPr>
              <w:t>2015</w:t>
            </w:r>
          </w:p>
        </w:tc>
        <w:tc>
          <w:tcPr>
            <w:tcW w:w="1024" w:type="dxa"/>
            <w:tcBorders>
              <w:top w:val="nil"/>
              <w:left w:val="nil"/>
              <w:bottom w:val="single" w:sz="6" w:space="0" w:color="auto"/>
              <w:right w:val="nil"/>
            </w:tcBorders>
            <w:shd w:val="clear" w:color="000000" w:fill="000000"/>
            <w:vAlign w:val="bottom"/>
          </w:tcPr>
          <w:p w:rsidR="00336793" w:rsidRPr="004331BE" w:rsidRDefault="00336793" w:rsidP="00DF0B96">
            <w:pPr>
              <w:pStyle w:val="Tabletextheading"/>
              <w:rPr>
                <w:rFonts w:eastAsiaTheme="minorEastAsia"/>
                <w:iCs/>
                <w:color w:val="FFFFFF"/>
                <w:lang w:eastAsia="en-AU"/>
              </w:rPr>
            </w:pPr>
            <w:r w:rsidRPr="004331BE">
              <w:rPr>
                <w:rFonts w:eastAsiaTheme="minorEastAsia"/>
                <w:iCs/>
                <w:color w:val="FFFFFF"/>
                <w:lang w:eastAsia="en-AU"/>
              </w:rPr>
              <w:t>2014</w:t>
            </w:r>
          </w:p>
        </w:tc>
        <w:tc>
          <w:tcPr>
            <w:tcW w:w="1023" w:type="dxa"/>
            <w:gridSpan w:val="2"/>
            <w:tcBorders>
              <w:top w:val="nil"/>
              <w:left w:val="nil"/>
              <w:bottom w:val="single" w:sz="6" w:space="0" w:color="auto"/>
              <w:right w:val="nil"/>
            </w:tcBorders>
            <w:shd w:val="clear" w:color="000000" w:fill="000000"/>
            <w:vAlign w:val="bottom"/>
          </w:tcPr>
          <w:p w:rsidR="00336793" w:rsidRPr="004331BE" w:rsidRDefault="00336793" w:rsidP="00DF0B96">
            <w:pPr>
              <w:pStyle w:val="Tabletextheading"/>
              <w:rPr>
                <w:rFonts w:eastAsiaTheme="minorEastAsia"/>
                <w:iCs/>
                <w:color w:val="FFFFFF"/>
                <w:lang w:eastAsia="en-AU"/>
              </w:rPr>
            </w:pPr>
            <w:r w:rsidRPr="004331BE">
              <w:rPr>
                <w:rFonts w:eastAsiaTheme="minorEastAsia"/>
                <w:iCs/>
                <w:color w:val="FFFFFF"/>
                <w:lang w:eastAsia="en-AU"/>
              </w:rPr>
              <w:t>2015</w:t>
            </w:r>
          </w:p>
        </w:tc>
        <w:tc>
          <w:tcPr>
            <w:tcW w:w="1024" w:type="dxa"/>
            <w:tcBorders>
              <w:top w:val="nil"/>
              <w:left w:val="nil"/>
              <w:bottom w:val="single" w:sz="6" w:space="0" w:color="auto"/>
              <w:right w:val="nil"/>
            </w:tcBorders>
            <w:shd w:val="clear" w:color="000000" w:fill="000000"/>
            <w:vAlign w:val="bottom"/>
          </w:tcPr>
          <w:p w:rsidR="00336793" w:rsidRPr="004331BE" w:rsidRDefault="00336793" w:rsidP="00DF0B96">
            <w:pPr>
              <w:pStyle w:val="Tabletextheading"/>
              <w:rPr>
                <w:rFonts w:eastAsiaTheme="minorEastAsia"/>
                <w:iCs/>
                <w:color w:val="FFFFFF"/>
                <w:lang w:eastAsia="en-AU"/>
              </w:rPr>
            </w:pPr>
            <w:r w:rsidRPr="004331BE">
              <w:rPr>
                <w:rFonts w:eastAsiaTheme="minorEastAsia"/>
                <w:iCs/>
                <w:color w:val="FFFFFF"/>
                <w:lang w:eastAsia="en-AU"/>
              </w:rPr>
              <w:t>2014</w:t>
            </w:r>
          </w:p>
        </w:tc>
        <w:tc>
          <w:tcPr>
            <w:tcW w:w="986" w:type="dxa"/>
            <w:gridSpan w:val="2"/>
            <w:tcBorders>
              <w:top w:val="nil"/>
              <w:left w:val="nil"/>
              <w:bottom w:val="single" w:sz="6" w:space="0" w:color="auto"/>
              <w:right w:val="nil"/>
            </w:tcBorders>
            <w:shd w:val="clear" w:color="000000" w:fill="000000"/>
            <w:vAlign w:val="bottom"/>
          </w:tcPr>
          <w:p w:rsidR="00336793" w:rsidRPr="004331BE" w:rsidRDefault="00336793" w:rsidP="00DF0B96">
            <w:pPr>
              <w:pStyle w:val="Tabletextheading"/>
              <w:rPr>
                <w:rFonts w:eastAsiaTheme="minorEastAsia"/>
                <w:iCs/>
                <w:color w:val="FFFFFF"/>
                <w:lang w:eastAsia="en-AU"/>
              </w:rPr>
            </w:pPr>
            <w:r w:rsidRPr="004331BE">
              <w:rPr>
                <w:rFonts w:eastAsiaTheme="minorEastAsia"/>
                <w:iCs/>
                <w:color w:val="FFFFFF"/>
                <w:lang w:eastAsia="en-AU"/>
              </w:rPr>
              <w:t>2015</w:t>
            </w:r>
          </w:p>
        </w:tc>
        <w:tc>
          <w:tcPr>
            <w:tcW w:w="972" w:type="dxa"/>
            <w:tcBorders>
              <w:top w:val="nil"/>
              <w:left w:val="nil"/>
              <w:bottom w:val="single" w:sz="6" w:space="0" w:color="auto"/>
              <w:right w:val="single" w:sz="6" w:space="0" w:color="auto"/>
            </w:tcBorders>
            <w:shd w:val="clear" w:color="000000" w:fill="000000"/>
            <w:vAlign w:val="bottom"/>
          </w:tcPr>
          <w:p w:rsidR="00336793" w:rsidRPr="004331BE" w:rsidRDefault="00336793" w:rsidP="00DF0B96">
            <w:pPr>
              <w:pStyle w:val="Tabletextheading"/>
              <w:rPr>
                <w:rFonts w:eastAsiaTheme="minorEastAsia"/>
                <w:iCs/>
                <w:color w:val="FFFFFF"/>
                <w:lang w:eastAsia="en-AU"/>
              </w:rPr>
            </w:pPr>
            <w:r w:rsidRPr="004331BE">
              <w:rPr>
                <w:rFonts w:eastAsiaTheme="minorEastAsia"/>
                <w:iCs/>
                <w:color w:val="FFFFFF"/>
                <w:lang w:eastAsia="en-AU"/>
              </w:rPr>
              <w:t>2014</w:t>
            </w:r>
          </w:p>
        </w:tc>
      </w:tr>
      <w:tr w:rsidR="00336793" w:rsidRPr="004331BE" w:rsidTr="00DF0B96">
        <w:tc>
          <w:tcPr>
            <w:tcW w:w="6497" w:type="dxa"/>
            <w:tcBorders>
              <w:top w:val="single" w:sz="6" w:space="0" w:color="auto"/>
              <w:left w:val="nil"/>
              <w:bottom w:val="nil"/>
              <w:right w:val="nil"/>
            </w:tcBorders>
          </w:tcPr>
          <w:p w:rsidR="00336793" w:rsidRPr="004331BE" w:rsidRDefault="00336793" w:rsidP="00DF0B96">
            <w:pPr>
              <w:pStyle w:val="Tabletext"/>
              <w:rPr>
                <w:rFonts w:eastAsiaTheme="minorEastAsia"/>
                <w:b/>
                <w:lang w:eastAsia="en-AU"/>
              </w:rPr>
            </w:pPr>
            <w:r w:rsidRPr="004331BE">
              <w:rPr>
                <w:rFonts w:eastAsiaTheme="minorEastAsia"/>
                <w:b/>
                <w:lang w:eastAsia="en-AU"/>
              </w:rPr>
              <w:t>Opening balance</w:t>
            </w:r>
          </w:p>
        </w:tc>
        <w:tc>
          <w:tcPr>
            <w:tcW w:w="1023" w:type="dxa"/>
            <w:gridSpan w:val="2"/>
            <w:tcBorders>
              <w:top w:val="single" w:sz="6" w:space="0" w:color="auto"/>
              <w:left w:val="nil"/>
              <w:bottom w:val="nil"/>
              <w:right w:val="nil"/>
            </w:tcBorders>
          </w:tcPr>
          <w:p w:rsidR="00336793" w:rsidRPr="004331BE" w:rsidRDefault="00336793" w:rsidP="00DF0B96">
            <w:pPr>
              <w:pStyle w:val="TableofFigures"/>
              <w:rPr>
                <w:rFonts w:eastAsiaTheme="minorEastAsia"/>
                <w:b/>
                <w:szCs w:val="22"/>
                <w:lang w:eastAsia="en-AU"/>
              </w:rPr>
            </w:pPr>
            <w:r w:rsidRPr="004331BE">
              <w:rPr>
                <w:rFonts w:eastAsiaTheme="minorEastAsia"/>
                <w:b/>
                <w:szCs w:val="22"/>
                <w:lang w:eastAsia="en-AU"/>
              </w:rPr>
              <w:t xml:space="preserve"> 35.0</w:t>
            </w:r>
          </w:p>
        </w:tc>
        <w:tc>
          <w:tcPr>
            <w:tcW w:w="1024" w:type="dxa"/>
            <w:tcBorders>
              <w:top w:val="single" w:sz="6" w:space="0" w:color="auto"/>
              <w:left w:val="nil"/>
              <w:bottom w:val="nil"/>
              <w:right w:val="nil"/>
            </w:tcBorders>
          </w:tcPr>
          <w:p w:rsidR="00336793" w:rsidRPr="004331BE" w:rsidRDefault="00336793" w:rsidP="00DF0B96">
            <w:pPr>
              <w:pStyle w:val="TableofFigures"/>
              <w:rPr>
                <w:rFonts w:eastAsiaTheme="minorEastAsia"/>
                <w:b/>
                <w:szCs w:val="22"/>
                <w:lang w:eastAsia="en-AU"/>
              </w:rPr>
            </w:pPr>
            <w:r w:rsidRPr="004331BE">
              <w:rPr>
                <w:rFonts w:eastAsiaTheme="minorEastAsia"/>
                <w:b/>
                <w:szCs w:val="22"/>
                <w:lang w:eastAsia="en-AU"/>
              </w:rPr>
              <w:t xml:space="preserve"> 35.0</w:t>
            </w:r>
          </w:p>
        </w:tc>
        <w:tc>
          <w:tcPr>
            <w:tcW w:w="1024" w:type="dxa"/>
            <w:gridSpan w:val="2"/>
            <w:tcBorders>
              <w:top w:val="single" w:sz="6" w:space="0" w:color="auto"/>
              <w:left w:val="nil"/>
              <w:bottom w:val="nil"/>
              <w:right w:val="nil"/>
            </w:tcBorders>
          </w:tcPr>
          <w:p w:rsidR="00336793" w:rsidRPr="004331BE" w:rsidRDefault="00336793" w:rsidP="00DF0B96">
            <w:pPr>
              <w:pStyle w:val="TableofFigures"/>
              <w:rPr>
                <w:rFonts w:eastAsiaTheme="minorEastAsia"/>
                <w:b/>
                <w:szCs w:val="22"/>
                <w:lang w:eastAsia="en-AU"/>
              </w:rPr>
            </w:pPr>
            <w:r w:rsidRPr="004331BE">
              <w:rPr>
                <w:rFonts w:eastAsiaTheme="minorEastAsia"/>
                <w:b/>
                <w:szCs w:val="22"/>
                <w:lang w:eastAsia="en-AU"/>
              </w:rPr>
              <w:t xml:space="preserve"> 9.0</w:t>
            </w:r>
          </w:p>
        </w:tc>
        <w:tc>
          <w:tcPr>
            <w:tcW w:w="1024" w:type="dxa"/>
            <w:tcBorders>
              <w:top w:val="single" w:sz="6" w:space="0" w:color="auto"/>
              <w:left w:val="nil"/>
              <w:bottom w:val="nil"/>
              <w:right w:val="nil"/>
            </w:tcBorders>
          </w:tcPr>
          <w:p w:rsidR="00336793" w:rsidRPr="004331BE" w:rsidRDefault="00336793" w:rsidP="00DF0B96">
            <w:pPr>
              <w:pStyle w:val="TableofFigures"/>
              <w:rPr>
                <w:rFonts w:eastAsiaTheme="minorEastAsia"/>
                <w:b/>
                <w:szCs w:val="22"/>
                <w:lang w:eastAsia="en-AU"/>
              </w:rPr>
            </w:pPr>
            <w:r w:rsidRPr="004331BE">
              <w:rPr>
                <w:rFonts w:eastAsiaTheme="minorEastAsia"/>
                <w:b/>
                <w:szCs w:val="22"/>
                <w:lang w:eastAsia="en-AU"/>
              </w:rPr>
              <w:t xml:space="preserve"> 14.4</w:t>
            </w:r>
          </w:p>
        </w:tc>
        <w:tc>
          <w:tcPr>
            <w:tcW w:w="1023" w:type="dxa"/>
            <w:gridSpan w:val="2"/>
            <w:tcBorders>
              <w:top w:val="single" w:sz="6" w:space="0" w:color="auto"/>
              <w:left w:val="nil"/>
              <w:bottom w:val="nil"/>
              <w:right w:val="nil"/>
            </w:tcBorders>
          </w:tcPr>
          <w:p w:rsidR="00336793" w:rsidRPr="004331BE" w:rsidRDefault="00336793" w:rsidP="00DF0B96">
            <w:pPr>
              <w:pStyle w:val="TableofFigures"/>
              <w:rPr>
                <w:rFonts w:eastAsiaTheme="minorEastAsia" w:cs="Calibri"/>
                <w:b/>
                <w:color w:val="000000"/>
                <w:szCs w:val="22"/>
                <w:lang w:eastAsia="en-AU"/>
              </w:rPr>
            </w:pPr>
            <w:r w:rsidRPr="004331BE">
              <w:rPr>
                <w:rFonts w:eastAsiaTheme="minorEastAsia"/>
                <w:b/>
                <w:szCs w:val="22"/>
                <w:lang w:eastAsia="en-AU"/>
              </w:rPr>
              <w:t>1 511.0</w:t>
            </w:r>
          </w:p>
        </w:tc>
        <w:tc>
          <w:tcPr>
            <w:tcW w:w="1024" w:type="dxa"/>
            <w:tcBorders>
              <w:top w:val="single" w:sz="6" w:space="0" w:color="auto"/>
              <w:left w:val="nil"/>
              <w:bottom w:val="nil"/>
              <w:right w:val="nil"/>
            </w:tcBorders>
          </w:tcPr>
          <w:p w:rsidR="00336793" w:rsidRPr="004331BE" w:rsidRDefault="00336793" w:rsidP="00DF0B96">
            <w:pPr>
              <w:pStyle w:val="TableofFigures"/>
              <w:rPr>
                <w:rFonts w:eastAsiaTheme="minorEastAsia"/>
                <w:b/>
                <w:szCs w:val="22"/>
                <w:lang w:eastAsia="en-AU"/>
              </w:rPr>
            </w:pPr>
            <w:r w:rsidRPr="004331BE">
              <w:rPr>
                <w:rFonts w:eastAsiaTheme="minorEastAsia"/>
                <w:b/>
                <w:szCs w:val="22"/>
                <w:lang w:eastAsia="en-AU"/>
              </w:rPr>
              <w:t>1 616.6</w:t>
            </w:r>
          </w:p>
        </w:tc>
        <w:tc>
          <w:tcPr>
            <w:tcW w:w="986" w:type="dxa"/>
            <w:gridSpan w:val="2"/>
            <w:tcBorders>
              <w:top w:val="single" w:sz="6" w:space="0" w:color="auto"/>
              <w:left w:val="nil"/>
              <w:bottom w:val="nil"/>
              <w:right w:val="nil"/>
            </w:tcBorders>
          </w:tcPr>
          <w:p w:rsidR="00336793" w:rsidRPr="004331BE" w:rsidRDefault="00336793" w:rsidP="00DF0B96">
            <w:pPr>
              <w:pStyle w:val="TableofFigures"/>
              <w:rPr>
                <w:rFonts w:eastAsiaTheme="minorEastAsia" w:cs="Calibri"/>
                <w:b/>
                <w:color w:val="000000"/>
                <w:szCs w:val="22"/>
                <w:lang w:eastAsia="en-AU"/>
              </w:rPr>
            </w:pPr>
            <w:r w:rsidRPr="004331BE">
              <w:rPr>
                <w:rFonts w:eastAsiaTheme="minorEastAsia"/>
                <w:b/>
                <w:bCs/>
                <w:szCs w:val="22"/>
                <w:lang w:eastAsia="en-AU"/>
              </w:rPr>
              <w:t xml:space="preserve">1 </w:t>
            </w:r>
            <w:r w:rsidRPr="004331BE">
              <w:rPr>
                <w:rFonts w:eastAsiaTheme="minorEastAsia" w:cs="Calibri"/>
                <w:b/>
                <w:color w:val="000000"/>
                <w:szCs w:val="22"/>
                <w:lang w:eastAsia="en-AU"/>
              </w:rPr>
              <w:t>555.0</w:t>
            </w:r>
          </w:p>
        </w:tc>
        <w:tc>
          <w:tcPr>
            <w:tcW w:w="972" w:type="dxa"/>
            <w:tcBorders>
              <w:top w:val="single" w:sz="6" w:space="0" w:color="auto"/>
              <w:left w:val="nil"/>
              <w:bottom w:val="nil"/>
              <w:right w:val="nil"/>
            </w:tcBorders>
          </w:tcPr>
          <w:p w:rsidR="00336793" w:rsidRPr="004331BE" w:rsidRDefault="00336793" w:rsidP="00DF0B96">
            <w:pPr>
              <w:pStyle w:val="TableofFigures"/>
              <w:rPr>
                <w:rFonts w:eastAsiaTheme="minorEastAsia" w:cs="Calibri"/>
                <w:b/>
                <w:color w:val="000000"/>
                <w:szCs w:val="22"/>
                <w:lang w:eastAsia="en-AU"/>
              </w:rPr>
            </w:pPr>
            <w:r w:rsidRPr="004331BE">
              <w:rPr>
                <w:rFonts w:eastAsiaTheme="minorEastAsia"/>
                <w:b/>
                <w:bCs/>
                <w:szCs w:val="22"/>
                <w:lang w:eastAsia="en-AU"/>
              </w:rPr>
              <w:t xml:space="preserve">1 </w:t>
            </w:r>
            <w:r w:rsidRPr="004331BE">
              <w:rPr>
                <w:rFonts w:eastAsiaTheme="minorEastAsia" w:cs="Calibri"/>
                <w:b/>
                <w:color w:val="000000"/>
                <w:szCs w:val="22"/>
                <w:lang w:eastAsia="en-AU"/>
              </w:rPr>
              <w:t>666.1</w:t>
            </w:r>
          </w:p>
        </w:tc>
      </w:tr>
      <w:tr w:rsidR="00336793" w:rsidRPr="004331BE" w:rsidTr="00DF0B96">
        <w:tc>
          <w:tcPr>
            <w:tcW w:w="6497" w:type="dxa"/>
            <w:tcBorders>
              <w:top w:val="nil"/>
              <w:left w:val="nil"/>
              <w:bottom w:val="nil"/>
              <w:right w:val="nil"/>
            </w:tcBorders>
          </w:tcPr>
          <w:p w:rsidR="00336793" w:rsidRPr="004331BE" w:rsidRDefault="00336793" w:rsidP="00DF0B96">
            <w:pPr>
              <w:pStyle w:val="Tabletext"/>
              <w:rPr>
                <w:rFonts w:eastAsiaTheme="minorEastAsia"/>
                <w:lang w:eastAsia="en-AU"/>
              </w:rPr>
            </w:pPr>
            <w:r w:rsidRPr="004331BE">
              <w:rPr>
                <w:rFonts w:eastAsiaTheme="minorEastAsia"/>
                <w:lang w:eastAsia="en-AU"/>
              </w:rPr>
              <w:t xml:space="preserve">   Share of profit/(loss) after income tax</w:t>
            </w:r>
          </w:p>
        </w:tc>
        <w:tc>
          <w:tcPr>
            <w:tcW w:w="1023" w:type="dxa"/>
            <w:gridSpan w:val="2"/>
            <w:tcBorders>
              <w:top w:val="nil"/>
              <w:left w:val="nil"/>
              <w:bottom w:val="nil"/>
              <w:right w:val="nil"/>
            </w:tcBorders>
          </w:tcPr>
          <w:p w:rsidR="00336793" w:rsidRPr="004331BE" w:rsidRDefault="00336793" w:rsidP="00DF0B96">
            <w:pPr>
              <w:pStyle w:val="TableofFigures"/>
              <w:rPr>
                <w:rFonts w:eastAsiaTheme="minorEastAsia"/>
                <w:szCs w:val="22"/>
                <w:lang w:eastAsia="en-AU"/>
              </w:rPr>
            </w:pPr>
            <w:r w:rsidRPr="004331BE">
              <w:rPr>
                <w:rFonts w:eastAsiaTheme="minorEastAsia"/>
                <w:szCs w:val="22"/>
                <w:lang w:eastAsia="en-AU"/>
              </w:rPr>
              <w:t>..</w:t>
            </w:r>
          </w:p>
        </w:tc>
        <w:tc>
          <w:tcPr>
            <w:tcW w:w="1024" w:type="dxa"/>
            <w:tcBorders>
              <w:top w:val="nil"/>
              <w:left w:val="nil"/>
              <w:bottom w:val="nil"/>
              <w:right w:val="nil"/>
            </w:tcBorders>
          </w:tcPr>
          <w:p w:rsidR="00336793" w:rsidRPr="004331BE" w:rsidRDefault="00336793" w:rsidP="00DF0B96">
            <w:pPr>
              <w:pStyle w:val="TableofFigures"/>
              <w:rPr>
                <w:rFonts w:eastAsiaTheme="minorEastAsia"/>
                <w:szCs w:val="22"/>
                <w:lang w:eastAsia="en-AU"/>
              </w:rPr>
            </w:pPr>
            <w:r w:rsidRPr="004331BE">
              <w:rPr>
                <w:rFonts w:eastAsiaTheme="minorEastAsia"/>
                <w:szCs w:val="22"/>
                <w:lang w:eastAsia="en-AU"/>
              </w:rPr>
              <w:t>..</w:t>
            </w:r>
          </w:p>
        </w:tc>
        <w:tc>
          <w:tcPr>
            <w:tcW w:w="1024" w:type="dxa"/>
            <w:gridSpan w:val="2"/>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szCs w:val="22"/>
                <w:lang w:eastAsia="en-AU"/>
              </w:rPr>
              <w:t>(</w:t>
            </w:r>
            <w:r w:rsidRPr="004331BE">
              <w:rPr>
                <w:rFonts w:eastAsiaTheme="minorEastAsia" w:cs="Calibri"/>
                <w:color w:val="000000"/>
                <w:szCs w:val="22"/>
                <w:lang w:eastAsia="en-AU"/>
              </w:rPr>
              <w:t>4.0)</w:t>
            </w:r>
          </w:p>
        </w:tc>
        <w:tc>
          <w:tcPr>
            <w:tcW w:w="1024" w:type="dxa"/>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szCs w:val="22"/>
                <w:lang w:eastAsia="en-AU"/>
              </w:rPr>
              <w:t>(</w:t>
            </w:r>
            <w:r w:rsidRPr="004331BE">
              <w:rPr>
                <w:rFonts w:eastAsiaTheme="minorEastAsia" w:cs="Calibri"/>
                <w:color w:val="000000"/>
                <w:szCs w:val="22"/>
                <w:lang w:eastAsia="en-AU"/>
              </w:rPr>
              <w:t>3.5)</w:t>
            </w:r>
          </w:p>
        </w:tc>
        <w:tc>
          <w:tcPr>
            <w:tcW w:w="1023" w:type="dxa"/>
            <w:gridSpan w:val="2"/>
            <w:tcBorders>
              <w:top w:val="nil"/>
              <w:left w:val="nil"/>
              <w:bottom w:val="nil"/>
              <w:right w:val="nil"/>
            </w:tcBorders>
            <w:shd w:val="solid" w:color="FFFFFF" w:fill="auto"/>
          </w:tcPr>
          <w:p w:rsidR="00336793" w:rsidRPr="004331BE" w:rsidRDefault="00336793" w:rsidP="00DF0B96">
            <w:pPr>
              <w:pStyle w:val="TableofFigures"/>
              <w:rPr>
                <w:rFonts w:eastAsiaTheme="minorEastAsia" w:cs="Calibri"/>
                <w:color w:val="000000"/>
                <w:szCs w:val="22"/>
                <w:lang w:eastAsia="en-AU"/>
              </w:rPr>
            </w:pPr>
            <w:r>
              <w:rPr>
                <w:rFonts w:eastAsiaTheme="minorEastAsia"/>
                <w:szCs w:val="22"/>
                <w:lang w:eastAsia="en-AU"/>
              </w:rPr>
              <w:t>(</w:t>
            </w:r>
            <w:r w:rsidRPr="004331BE">
              <w:rPr>
                <w:rFonts w:eastAsiaTheme="minorEastAsia" w:cs="Calibri"/>
                <w:color w:val="000000"/>
                <w:szCs w:val="22"/>
                <w:lang w:eastAsia="en-AU"/>
              </w:rPr>
              <w:t>29.6)</w:t>
            </w:r>
          </w:p>
        </w:tc>
        <w:tc>
          <w:tcPr>
            <w:tcW w:w="1024" w:type="dxa"/>
            <w:tcBorders>
              <w:top w:val="nil"/>
              <w:left w:val="nil"/>
              <w:bottom w:val="nil"/>
              <w:right w:val="nil"/>
            </w:tcBorders>
            <w:shd w:val="solid" w:color="FFFFFF" w:fill="auto"/>
          </w:tcPr>
          <w:p w:rsidR="00336793" w:rsidRPr="004331BE" w:rsidRDefault="00336793" w:rsidP="00DF0B96">
            <w:pPr>
              <w:pStyle w:val="TableofFigures"/>
              <w:rPr>
                <w:rFonts w:eastAsiaTheme="minorEastAsia"/>
                <w:szCs w:val="22"/>
                <w:lang w:eastAsia="en-AU"/>
              </w:rPr>
            </w:pPr>
            <w:r w:rsidRPr="004331BE">
              <w:rPr>
                <w:rFonts w:eastAsiaTheme="minorEastAsia"/>
                <w:szCs w:val="22"/>
                <w:lang w:eastAsia="en-AU"/>
              </w:rPr>
              <w:t xml:space="preserve"> 141.8</w:t>
            </w:r>
          </w:p>
        </w:tc>
        <w:tc>
          <w:tcPr>
            <w:tcW w:w="986" w:type="dxa"/>
            <w:gridSpan w:val="2"/>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bCs/>
                <w:szCs w:val="22"/>
                <w:lang w:eastAsia="en-AU"/>
              </w:rPr>
              <w:t>(</w:t>
            </w:r>
            <w:r w:rsidRPr="004331BE">
              <w:rPr>
                <w:rFonts w:eastAsiaTheme="minorEastAsia" w:cs="Calibri"/>
                <w:color w:val="000000"/>
                <w:szCs w:val="22"/>
                <w:lang w:eastAsia="en-AU"/>
              </w:rPr>
              <w:t>33.5)</w:t>
            </w:r>
          </w:p>
        </w:tc>
        <w:tc>
          <w:tcPr>
            <w:tcW w:w="972" w:type="dxa"/>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sidRPr="004331BE">
              <w:rPr>
                <w:rFonts w:eastAsiaTheme="minorEastAsia"/>
                <w:bCs/>
                <w:szCs w:val="22"/>
                <w:lang w:eastAsia="en-AU"/>
              </w:rPr>
              <w:t xml:space="preserve"> 138.4</w:t>
            </w:r>
          </w:p>
        </w:tc>
      </w:tr>
      <w:tr w:rsidR="00336793" w:rsidRPr="004331BE" w:rsidTr="00DF0B96">
        <w:tc>
          <w:tcPr>
            <w:tcW w:w="6497" w:type="dxa"/>
            <w:tcBorders>
              <w:top w:val="nil"/>
              <w:left w:val="nil"/>
              <w:bottom w:val="nil"/>
              <w:right w:val="nil"/>
            </w:tcBorders>
          </w:tcPr>
          <w:p w:rsidR="00336793" w:rsidRPr="004331BE" w:rsidRDefault="00336793" w:rsidP="00DF0B96">
            <w:pPr>
              <w:pStyle w:val="Tabletext"/>
              <w:rPr>
                <w:rFonts w:eastAsiaTheme="minorEastAsia"/>
                <w:lang w:eastAsia="en-AU"/>
              </w:rPr>
            </w:pPr>
            <w:r w:rsidRPr="004331BE">
              <w:rPr>
                <w:rFonts w:eastAsiaTheme="minorEastAsia"/>
                <w:lang w:eastAsia="en-AU"/>
              </w:rPr>
              <w:t xml:space="preserve">   Dividends received/receivable</w:t>
            </w:r>
          </w:p>
        </w:tc>
        <w:tc>
          <w:tcPr>
            <w:tcW w:w="1023" w:type="dxa"/>
            <w:gridSpan w:val="2"/>
            <w:tcBorders>
              <w:top w:val="nil"/>
              <w:left w:val="nil"/>
              <w:bottom w:val="nil"/>
              <w:right w:val="nil"/>
            </w:tcBorders>
          </w:tcPr>
          <w:p w:rsidR="00336793" w:rsidRPr="004331BE" w:rsidRDefault="00336793" w:rsidP="00DF0B96">
            <w:pPr>
              <w:pStyle w:val="TableofFigures"/>
              <w:rPr>
                <w:rFonts w:eastAsiaTheme="minorEastAsia"/>
                <w:szCs w:val="22"/>
                <w:lang w:eastAsia="en-AU"/>
              </w:rPr>
            </w:pPr>
            <w:r w:rsidRPr="004331BE">
              <w:rPr>
                <w:rFonts w:eastAsiaTheme="minorEastAsia"/>
                <w:szCs w:val="22"/>
                <w:lang w:eastAsia="en-AU"/>
              </w:rPr>
              <w:t>..</w:t>
            </w:r>
          </w:p>
        </w:tc>
        <w:tc>
          <w:tcPr>
            <w:tcW w:w="1024" w:type="dxa"/>
            <w:tcBorders>
              <w:top w:val="nil"/>
              <w:left w:val="nil"/>
              <w:bottom w:val="nil"/>
              <w:right w:val="nil"/>
            </w:tcBorders>
          </w:tcPr>
          <w:p w:rsidR="00336793" w:rsidRPr="004331BE" w:rsidRDefault="00336793" w:rsidP="00DF0B96">
            <w:pPr>
              <w:pStyle w:val="TableofFigures"/>
              <w:rPr>
                <w:rFonts w:eastAsiaTheme="minorEastAsia"/>
                <w:szCs w:val="22"/>
                <w:lang w:eastAsia="en-AU"/>
              </w:rPr>
            </w:pPr>
            <w:r w:rsidRPr="004331BE">
              <w:rPr>
                <w:rFonts w:eastAsiaTheme="minorEastAsia"/>
                <w:szCs w:val="22"/>
                <w:lang w:eastAsia="en-AU"/>
              </w:rPr>
              <w:t>..</w:t>
            </w:r>
          </w:p>
        </w:tc>
        <w:tc>
          <w:tcPr>
            <w:tcW w:w="1024" w:type="dxa"/>
            <w:gridSpan w:val="2"/>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sidRPr="004331BE">
              <w:rPr>
                <w:rFonts w:eastAsiaTheme="minorEastAsia"/>
                <w:szCs w:val="22"/>
                <w:lang w:eastAsia="en-AU"/>
              </w:rPr>
              <w:t>..</w:t>
            </w:r>
          </w:p>
        </w:tc>
        <w:tc>
          <w:tcPr>
            <w:tcW w:w="1024" w:type="dxa"/>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sidRPr="004331BE">
              <w:rPr>
                <w:rFonts w:eastAsiaTheme="minorEastAsia"/>
                <w:szCs w:val="22"/>
                <w:lang w:eastAsia="en-AU"/>
              </w:rPr>
              <w:t>..</w:t>
            </w:r>
          </w:p>
        </w:tc>
        <w:tc>
          <w:tcPr>
            <w:tcW w:w="1023" w:type="dxa"/>
            <w:gridSpan w:val="2"/>
            <w:tcBorders>
              <w:top w:val="nil"/>
              <w:left w:val="nil"/>
              <w:bottom w:val="nil"/>
              <w:right w:val="nil"/>
            </w:tcBorders>
            <w:shd w:val="solid" w:color="FFFFFF" w:fill="auto"/>
          </w:tcPr>
          <w:p w:rsidR="00336793" w:rsidRPr="004331BE" w:rsidRDefault="00336793" w:rsidP="00DF0B96">
            <w:pPr>
              <w:pStyle w:val="TableofFigures"/>
              <w:rPr>
                <w:rFonts w:eastAsiaTheme="minorEastAsia" w:cs="Calibri"/>
                <w:color w:val="000000"/>
                <w:szCs w:val="22"/>
                <w:lang w:eastAsia="en-AU"/>
              </w:rPr>
            </w:pPr>
            <w:r>
              <w:rPr>
                <w:rFonts w:eastAsiaTheme="minorEastAsia"/>
                <w:szCs w:val="22"/>
                <w:lang w:eastAsia="en-AU"/>
              </w:rPr>
              <w:t>(</w:t>
            </w:r>
            <w:r w:rsidRPr="004331BE">
              <w:rPr>
                <w:rFonts w:eastAsiaTheme="minorEastAsia" w:cs="Calibri"/>
                <w:color w:val="000000"/>
                <w:szCs w:val="22"/>
                <w:lang w:eastAsia="en-AU"/>
              </w:rPr>
              <w:t>45.0)</w:t>
            </w:r>
          </w:p>
        </w:tc>
        <w:tc>
          <w:tcPr>
            <w:tcW w:w="1024" w:type="dxa"/>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szCs w:val="22"/>
                <w:lang w:eastAsia="en-AU"/>
              </w:rPr>
              <w:t>(</w:t>
            </w:r>
            <w:r w:rsidRPr="004331BE">
              <w:rPr>
                <w:rFonts w:eastAsiaTheme="minorEastAsia" w:cs="Calibri"/>
                <w:color w:val="000000"/>
                <w:szCs w:val="22"/>
                <w:lang w:eastAsia="en-AU"/>
              </w:rPr>
              <w:t>72.5)</w:t>
            </w:r>
          </w:p>
        </w:tc>
        <w:tc>
          <w:tcPr>
            <w:tcW w:w="986" w:type="dxa"/>
            <w:gridSpan w:val="2"/>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bCs/>
                <w:szCs w:val="22"/>
                <w:lang w:eastAsia="en-AU"/>
              </w:rPr>
              <w:t>(</w:t>
            </w:r>
            <w:r w:rsidRPr="004331BE">
              <w:rPr>
                <w:rFonts w:eastAsiaTheme="minorEastAsia" w:cs="Calibri"/>
                <w:color w:val="000000"/>
                <w:szCs w:val="22"/>
                <w:lang w:eastAsia="en-AU"/>
              </w:rPr>
              <w:t>45.0)</w:t>
            </w:r>
          </w:p>
        </w:tc>
        <w:tc>
          <w:tcPr>
            <w:tcW w:w="972" w:type="dxa"/>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bCs/>
                <w:szCs w:val="22"/>
                <w:lang w:eastAsia="en-AU"/>
              </w:rPr>
              <w:t>(</w:t>
            </w:r>
            <w:r w:rsidRPr="004331BE">
              <w:rPr>
                <w:rFonts w:eastAsiaTheme="minorEastAsia" w:cs="Calibri"/>
                <w:color w:val="000000"/>
                <w:szCs w:val="22"/>
                <w:lang w:eastAsia="en-AU"/>
              </w:rPr>
              <w:t>72.5)</w:t>
            </w:r>
          </w:p>
        </w:tc>
      </w:tr>
      <w:tr w:rsidR="00336793" w:rsidRPr="004331BE" w:rsidTr="00DF0B96">
        <w:tc>
          <w:tcPr>
            <w:tcW w:w="6497" w:type="dxa"/>
            <w:tcBorders>
              <w:top w:val="nil"/>
              <w:left w:val="nil"/>
              <w:bottom w:val="nil"/>
              <w:right w:val="nil"/>
            </w:tcBorders>
          </w:tcPr>
          <w:p w:rsidR="00336793" w:rsidRPr="004331BE" w:rsidRDefault="00336793" w:rsidP="00DF0B96">
            <w:pPr>
              <w:pStyle w:val="Tabletext"/>
              <w:rPr>
                <w:rFonts w:eastAsiaTheme="minorEastAsia" w:cs="Calibri"/>
                <w:color w:val="000000"/>
                <w:szCs w:val="22"/>
                <w:lang w:eastAsia="en-AU"/>
              </w:rPr>
            </w:pPr>
            <w:r w:rsidRPr="004331BE">
              <w:rPr>
                <w:rFonts w:eastAsiaTheme="minorEastAsia"/>
                <w:lang w:eastAsia="en-AU"/>
              </w:rPr>
              <w:t xml:space="preserve">   Share </w:t>
            </w:r>
            <w:r w:rsidRPr="004331BE">
              <w:rPr>
                <w:rFonts w:eastAsiaTheme="minorEastAsia" w:cs="Calibri"/>
                <w:color w:val="000000"/>
                <w:szCs w:val="22"/>
                <w:lang w:eastAsia="en-AU"/>
              </w:rPr>
              <w:t>of increment on revaluation of property, plant and equipment</w:t>
            </w:r>
          </w:p>
        </w:tc>
        <w:tc>
          <w:tcPr>
            <w:tcW w:w="1023" w:type="dxa"/>
            <w:gridSpan w:val="2"/>
            <w:tcBorders>
              <w:top w:val="nil"/>
              <w:left w:val="nil"/>
              <w:bottom w:val="nil"/>
              <w:right w:val="nil"/>
            </w:tcBorders>
          </w:tcPr>
          <w:p w:rsidR="00336793" w:rsidRPr="004331BE" w:rsidRDefault="00336793" w:rsidP="00DF0B96">
            <w:pPr>
              <w:pStyle w:val="TableofFigures"/>
              <w:rPr>
                <w:rFonts w:eastAsiaTheme="minorEastAsia"/>
                <w:szCs w:val="22"/>
                <w:lang w:eastAsia="en-AU"/>
              </w:rPr>
            </w:pPr>
            <w:r w:rsidRPr="004331BE">
              <w:rPr>
                <w:rFonts w:eastAsiaTheme="minorEastAsia"/>
                <w:szCs w:val="22"/>
                <w:lang w:eastAsia="en-AU"/>
              </w:rPr>
              <w:t>..</w:t>
            </w:r>
          </w:p>
        </w:tc>
        <w:tc>
          <w:tcPr>
            <w:tcW w:w="1024" w:type="dxa"/>
            <w:tcBorders>
              <w:top w:val="nil"/>
              <w:left w:val="nil"/>
              <w:bottom w:val="nil"/>
              <w:right w:val="nil"/>
            </w:tcBorders>
          </w:tcPr>
          <w:p w:rsidR="00336793" w:rsidRPr="004331BE" w:rsidRDefault="00336793" w:rsidP="00DF0B96">
            <w:pPr>
              <w:pStyle w:val="TableofFigures"/>
              <w:rPr>
                <w:rFonts w:eastAsiaTheme="minorEastAsia"/>
                <w:szCs w:val="22"/>
                <w:lang w:eastAsia="en-AU"/>
              </w:rPr>
            </w:pPr>
            <w:r w:rsidRPr="004331BE">
              <w:rPr>
                <w:rFonts w:eastAsiaTheme="minorEastAsia"/>
                <w:szCs w:val="22"/>
                <w:lang w:eastAsia="en-AU"/>
              </w:rPr>
              <w:t>..</w:t>
            </w:r>
          </w:p>
        </w:tc>
        <w:tc>
          <w:tcPr>
            <w:tcW w:w="1024" w:type="dxa"/>
            <w:gridSpan w:val="2"/>
            <w:tcBorders>
              <w:top w:val="nil"/>
              <w:left w:val="nil"/>
              <w:bottom w:val="nil"/>
              <w:right w:val="nil"/>
            </w:tcBorders>
            <w:shd w:val="solid" w:color="FFFFFF" w:fill="auto"/>
          </w:tcPr>
          <w:p w:rsidR="00336793" w:rsidRPr="004331BE" w:rsidRDefault="00336793" w:rsidP="00DF0B96">
            <w:pPr>
              <w:pStyle w:val="TableofFigures"/>
              <w:rPr>
                <w:rFonts w:eastAsiaTheme="minorEastAsia" w:cs="Calibri"/>
                <w:color w:val="000000"/>
                <w:szCs w:val="22"/>
                <w:lang w:eastAsia="en-AU"/>
              </w:rPr>
            </w:pPr>
            <w:r w:rsidRPr="004331BE">
              <w:rPr>
                <w:rFonts w:eastAsiaTheme="minorEastAsia"/>
                <w:szCs w:val="22"/>
                <w:lang w:eastAsia="en-AU"/>
              </w:rPr>
              <w:t xml:space="preserve"> </w:t>
            </w:r>
            <w:r w:rsidRPr="004331BE">
              <w:rPr>
                <w:rFonts w:eastAsiaTheme="minorEastAsia" w:cs="Calibri"/>
                <w:color w:val="000000"/>
                <w:szCs w:val="22"/>
                <w:lang w:eastAsia="en-AU"/>
              </w:rPr>
              <w:t>4.7</w:t>
            </w:r>
          </w:p>
        </w:tc>
        <w:tc>
          <w:tcPr>
            <w:tcW w:w="1024" w:type="dxa"/>
            <w:tcBorders>
              <w:top w:val="nil"/>
              <w:left w:val="nil"/>
              <w:bottom w:val="nil"/>
              <w:right w:val="nil"/>
            </w:tcBorders>
            <w:shd w:val="solid" w:color="FFFFFF" w:fill="auto"/>
          </w:tcPr>
          <w:p w:rsidR="00336793" w:rsidRPr="004331BE" w:rsidRDefault="00336793" w:rsidP="00DF0B96">
            <w:pPr>
              <w:pStyle w:val="TableofFigures"/>
              <w:rPr>
                <w:rFonts w:eastAsiaTheme="minorEastAsia" w:cs="Calibri"/>
                <w:color w:val="000000"/>
                <w:szCs w:val="22"/>
                <w:lang w:eastAsia="en-AU"/>
              </w:rPr>
            </w:pPr>
            <w:r w:rsidRPr="004331BE">
              <w:rPr>
                <w:rFonts w:eastAsiaTheme="minorEastAsia"/>
                <w:szCs w:val="22"/>
                <w:lang w:eastAsia="en-AU"/>
              </w:rPr>
              <w:t xml:space="preserve"> </w:t>
            </w:r>
            <w:r w:rsidRPr="004331BE">
              <w:rPr>
                <w:rFonts w:eastAsiaTheme="minorEastAsia" w:cs="Calibri"/>
                <w:color w:val="000000"/>
                <w:szCs w:val="22"/>
                <w:lang w:eastAsia="en-AU"/>
              </w:rPr>
              <w:t>0.3</w:t>
            </w:r>
          </w:p>
        </w:tc>
        <w:tc>
          <w:tcPr>
            <w:tcW w:w="1023" w:type="dxa"/>
            <w:gridSpan w:val="2"/>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sidRPr="004331BE">
              <w:rPr>
                <w:rFonts w:eastAsiaTheme="minorEastAsia"/>
                <w:szCs w:val="22"/>
                <w:lang w:eastAsia="en-AU"/>
              </w:rPr>
              <w:t xml:space="preserve"> 539.7</w:t>
            </w:r>
          </w:p>
        </w:tc>
        <w:tc>
          <w:tcPr>
            <w:tcW w:w="1024" w:type="dxa"/>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szCs w:val="22"/>
                <w:lang w:eastAsia="en-AU"/>
              </w:rPr>
              <w:t>(</w:t>
            </w:r>
            <w:r w:rsidRPr="004331BE">
              <w:rPr>
                <w:rFonts w:eastAsiaTheme="minorEastAsia" w:cs="Calibri"/>
                <w:color w:val="000000"/>
                <w:szCs w:val="22"/>
                <w:lang w:eastAsia="en-AU"/>
              </w:rPr>
              <w:t>175.0)</w:t>
            </w:r>
          </w:p>
        </w:tc>
        <w:tc>
          <w:tcPr>
            <w:tcW w:w="986" w:type="dxa"/>
            <w:gridSpan w:val="2"/>
            <w:tcBorders>
              <w:top w:val="nil"/>
              <w:left w:val="nil"/>
              <w:bottom w:val="nil"/>
              <w:right w:val="nil"/>
            </w:tcBorders>
            <w:shd w:val="solid" w:color="FFFFFF" w:fill="auto"/>
          </w:tcPr>
          <w:p w:rsidR="00336793" w:rsidRPr="004331BE" w:rsidRDefault="00336793" w:rsidP="00DF0B96">
            <w:pPr>
              <w:pStyle w:val="TableofFigures"/>
              <w:rPr>
                <w:rFonts w:eastAsiaTheme="minorEastAsia" w:cs="Calibri"/>
                <w:color w:val="000000"/>
                <w:szCs w:val="22"/>
                <w:lang w:eastAsia="en-AU"/>
              </w:rPr>
            </w:pPr>
            <w:r w:rsidRPr="004331BE">
              <w:rPr>
                <w:rFonts w:eastAsiaTheme="minorEastAsia"/>
                <w:szCs w:val="22"/>
                <w:lang w:eastAsia="en-AU"/>
              </w:rPr>
              <w:t xml:space="preserve"> </w:t>
            </w:r>
            <w:r w:rsidRPr="004331BE">
              <w:rPr>
                <w:rFonts w:eastAsiaTheme="minorEastAsia" w:cs="Calibri"/>
                <w:color w:val="000000"/>
                <w:szCs w:val="22"/>
                <w:lang w:eastAsia="en-AU"/>
              </w:rPr>
              <w:t>544.5</w:t>
            </w:r>
          </w:p>
        </w:tc>
        <w:tc>
          <w:tcPr>
            <w:tcW w:w="972" w:type="dxa"/>
            <w:tcBorders>
              <w:top w:val="nil"/>
              <w:left w:val="nil"/>
              <w:bottom w:val="nil"/>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bCs/>
                <w:szCs w:val="22"/>
                <w:lang w:eastAsia="en-AU"/>
              </w:rPr>
              <w:t>(</w:t>
            </w:r>
            <w:r w:rsidRPr="004331BE">
              <w:rPr>
                <w:rFonts w:eastAsiaTheme="minorEastAsia" w:cs="Calibri"/>
                <w:color w:val="000000"/>
                <w:szCs w:val="22"/>
                <w:lang w:eastAsia="en-AU"/>
              </w:rPr>
              <w:t>174.8)</w:t>
            </w:r>
          </w:p>
        </w:tc>
      </w:tr>
      <w:tr w:rsidR="00336793" w:rsidRPr="004331BE" w:rsidTr="00DF0B96">
        <w:tc>
          <w:tcPr>
            <w:tcW w:w="6497" w:type="dxa"/>
            <w:tcBorders>
              <w:top w:val="nil"/>
              <w:left w:val="nil"/>
              <w:bottom w:val="single" w:sz="6" w:space="0" w:color="auto"/>
              <w:right w:val="nil"/>
            </w:tcBorders>
          </w:tcPr>
          <w:p w:rsidR="00336793" w:rsidRPr="004331BE" w:rsidRDefault="00336793" w:rsidP="00DF0B96">
            <w:pPr>
              <w:pStyle w:val="Tabletext"/>
              <w:rPr>
                <w:rFonts w:eastAsiaTheme="minorEastAsia"/>
                <w:lang w:eastAsia="en-AU"/>
              </w:rPr>
            </w:pPr>
            <w:r w:rsidRPr="004331BE">
              <w:rPr>
                <w:rFonts w:eastAsiaTheme="minorEastAsia"/>
                <w:lang w:eastAsia="en-AU"/>
              </w:rPr>
              <w:t xml:space="preserve">   Other</w:t>
            </w:r>
          </w:p>
        </w:tc>
        <w:tc>
          <w:tcPr>
            <w:tcW w:w="1023" w:type="dxa"/>
            <w:gridSpan w:val="2"/>
            <w:tcBorders>
              <w:top w:val="nil"/>
              <w:left w:val="nil"/>
              <w:bottom w:val="single" w:sz="6" w:space="0" w:color="auto"/>
              <w:right w:val="nil"/>
            </w:tcBorders>
          </w:tcPr>
          <w:p w:rsidR="00336793" w:rsidRPr="004331BE" w:rsidRDefault="00336793" w:rsidP="00DF0B96">
            <w:pPr>
              <w:pStyle w:val="TableofFigures"/>
              <w:rPr>
                <w:rFonts w:eastAsiaTheme="minorEastAsia"/>
                <w:szCs w:val="22"/>
                <w:lang w:eastAsia="en-AU"/>
              </w:rPr>
            </w:pPr>
            <w:r w:rsidRPr="004331BE">
              <w:rPr>
                <w:rFonts w:eastAsiaTheme="minorEastAsia"/>
                <w:szCs w:val="22"/>
                <w:lang w:eastAsia="en-AU"/>
              </w:rPr>
              <w:t>..</w:t>
            </w:r>
          </w:p>
        </w:tc>
        <w:tc>
          <w:tcPr>
            <w:tcW w:w="1024" w:type="dxa"/>
            <w:tcBorders>
              <w:top w:val="nil"/>
              <w:left w:val="nil"/>
              <w:bottom w:val="single" w:sz="6" w:space="0" w:color="auto"/>
              <w:right w:val="nil"/>
            </w:tcBorders>
          </w:tcPr>
          <w:p w:rsidR="00336793" w:rsidRPr="004331BE" w:rsidRDefault="00336793" w:rsidP="00DF0B96">
            <w:pPr>
              <w:pStyle w:val="TableofFigures"/>
              <w:rPr>
                <w:rFonts w:eastAsiaTheme="minorEastAsia"/>
                <w:szCs w:val="22"/>
                <w:lang w:eastAsia="en-AU"/>
              </w:rPr>
            </w:pPr>
            <w:r w:rsidRPr="004331BE">
              <w:rPr>
                <w:rFonts w:eastAsiaTheme="minorEastAsia"/>
                <w:szCs w:val="22"/>
                <w:lang w:eastAsia="en-AU"/>
              </w:rPr>
              <w:t>..</w:t>
            </w:r>
          </w:p>
        </w:tc>
        <w:tc>
          <w:tcPr>
            <w:tcW w:w="1024" w:type="dxa"/>
            <w:gridSpan w:val="2"/>
            <w:tcBorders>
              <w:top w:val="nil"/>
              <w:left w:val="nil"/>
              <w:bottom w:val="single" w:sz="6" w:space="0" w:color="auto"/>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szCs w:val="22"/>
                <w:lang w:eastAsia="en-AU"/>
              </w:rPr>
              <w:t>(</w:t>
            </w:r>
            <w:r w:rsidRPr="004331BE">
              <w:rPr>
                <w:rFonts w:eastAsiaTheme="minorEastAsia" w:cs="Calibri"/>
                <w:color w:val="000000"/>
                <w:szCs w:val="22"/>
                <w:lang w:eastAsia="en-AU"/>
              </w:rPr>
              <w:t>0.2)</w:t>
            </w:r>
          </w:p>
        </w:tc>
        <w:tc>
          <w:tcPr>
            <w:tcW w:w="1024" w:type="dxa"/>
            <w:tcBorders>
              <w:top w:val="nil"/>
              <w:left w:val="nil"/>
              <w:bottom w:val="single" w:sz="6" w:space="0" w:color="auto"/>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szCs w:val="22"/>
                <w:lang w:eastAsia="en-AU"/>
              </w:rPr>
              <w:t>(</w:t>
            </w:r>
            <w:r w:rsidRPr="004331BE">
              <w:rPr>
                <w:rFonts w:eastAsiaTheme="minorEastAsia" w:cs="Calibri"/>
                <w:color w:val="000000"/>
                <w:szCs w:val="22"/>
                <w:lang w:eastAsia="en-AU"/>
              </w:rPr>
              <w:t>2.2)</w:t>
            </w:r>
          </w:p>
        </w:tc>
        <w:tc>
          <w:tcPr>
            <w:tcW w:w="1023" w:type="dxa"/>
            <w:gridSpan w:val="2"/>
            <w:tcBorders>
              <w:top w:val="nil"/>
              <w:left w:val="nil"/>
              <w:bottom w:val="single" w:sz="6" w:space="0" w:color="auto"/>
              <w:right w:val="nil"/>
            </w:tcBorders>
          </w:tcPr>
          <w:p w:rsidR="00336793" w:rsidRPr="004331BE" w:rsidRDefault="00336793" w:rsidP="00DF0B96">
            <w:pPr>
              <w:pStyle w:val="TableofFigures"/>
              <w:rPr>
                <w:rFonts w:eastAsiaTheme="minorEastAsia"/>
                <w:szCs w:val="22"/>
                <w:lang w:eastAsia="en-AU"/>
              </w:rPr>
            </w:pPr>
            <w:r w:rsidRPr="004331BE">
              <w:rPr>
                <w:rFonts w:eastAsiaTheme="minorEastAsia"/>
                <w:szCs w:val="22"/>
                <w:lang w:eastAsia="en-AU"/>
              </w:rPr>
              <w:t>..</w:t>
            </w:r>
          </w:p>
        </w:tc>
        <w:tc>
          <w:tcPr>
            <w:tcW w:w="1024" w:type="dxa"/>
            <w:tcBorders>
              <w:top w:val="nil"/>
              <w:left w:val="nil"/>
              <w:bottom w:val="single" w:sz="6" w:space="0" w:color="auto"/>
              <w:right w:val="nil"/>
            </w:tcBorders>
          </w:tcPr>
          <w:p w:rsidR="00336793" w:rsidRPr="004331BE" w:rsidRDefault="00336793" w:rsidP="00DF0B96">
            <w:pPr>
              <w:pStyle w:val="TableofFigures"/>
              <w:rPr>
                <w:rFonts w:eastAsiaTheme="minorEastAsia" w:cs="Calibri"/>
                <w:color w:val="000000"/>
                <w:szCs w:val="22"/>
                <w:lang w:eastAsia="en-AU"/>
              </w:rPr>
            </w:pPr>
            <w:r w:rsidRPr="004331BE">
              <w:rPr>
                <w:rFonts w:eastAsiaTheme="minorEastAsia"/>
                <w:szCs w:val="22"/>
                <w:lang w:eastAsia="en-AU"/>
              </w:rPr>
              <w:t>.</w:t>
            </w:r>
            <w:r w:rsidRPr="004331BE">
              <w:rPr>
                <w:rFonts w:eastAsiaTheme="minorEastAsia" w:cs="Calibri"/>
                <w:color w:val="000000"/>
                <w:szCs w:val="22"/>
                <w:lang w:eastAsia="en-AU"/>
              </w:rPr>
              <w:t>.</w:t>
            </w:r>
          </w:p>
        </w:tc>
        <w:tc>
          <w:tcPr>
            <w:tcW w:w="986" w:type="dxa"/>
            <w:gridSpan w:val="2"/>
            <w:tcBorders>
              <w:top w:val="nil"/>
              <w:left w:val="nil"/>
              <w:bottom w:val="single" w:sz="6" w:space="0" w:color="auto"/>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bCs/>
                <w:szCs w:val="22"/>
                <w:lang w:eastAsia="en-AU"/>
              </w:rPr>
              <w:t>(</w:t>
            </w:r>
            <w:r w:rsidRPr="004331BE">
              <w:rPr>
                <w:rFonts w:eastAsiaTheme="minorEastAsia" w:cs="Calibri"/>
                <w:color w:val="000000"/>
                <w:szCs w:val="22"/>
                <w:lang w:eastAsia="en-AU"/>
              </w:rPr>
              <w:t>0.2)</w:t>
            </w:r>
          </w:p>
        </w:tc>
        <w:tc>
          <w:tcPr>
            <w:tcW w:w="972" w:type="dxa"/>
            <w:tcBorders>
              <w:top w:val="nil"/>
              <w:left w:val="nil"/>
              <w:bottom w:val="single" w:sz="6" w:space="0" w:color="auto"/>
              <w:right w:val="nil"/>
            </w:tcBorders>
          </w:tcPr>
          <w:p w:rsidR="00336793" w:rsidRPr="004331BE" w:rsidRDefault="00336793" w:rsidP="00DF0B96">
            <w:pPr>
              <w:pStyle w:val="TableofFigures"/>
              <w:rPr>
                <w:rFonts w:eastAsiaTheme="minorEastAsia" w:cs="Calibri"/>
                <w:color w:val="000000"/>
                <w:szCs w:val="22"/>
                <w:lang w:eastAsia="en-AU"/>
              </w:rPr>
            </w:pPr>
            <w:r>
              <w:rPr>
                <w:rFonts w:eastAsiaTheme="minorEastAsia"/>
                <w:bCs/>
                <w:szCs w:val="22"/>
                <w:lang w:eastAsia="en-AU"/>
              </w:rPr>
              <w:t>(</w:t>
            </w:r>
            <w:r w:rsidRPr="004331BE">
              <w:rPr>
                <w:rFonts w:eastAsiaTheme="minorEastAsia" w:cs="Calibri"/>
                <w:color w:val="000000"/>
                <w:szCs w:val="22"/>
                <w:lang w:eastAsia="en-AU"/>
              </w:rPr>
              <w:t>2.2)</w:t>
            </w:r>
          </w:p>
        </w:tc>
      </w:tr>
      <w:tr w:rsidR="00336793" w:rsidRPr="004331BE" w:rsidTr="00DF0B96">
        <w:tc>
          <w:tcPr>
            <w:tcW w:w="6497" w:type="dxa"/>
            <w:tcBorders>
              <w:top w:val="single" w:sz="6" w:space="0" w:color="auto"/>
              <w:left w:val="nil"/>
              <w:bottom w:val="single" w:sz="12" w:space="0" w:color="000000"/>
              <w:right w:val="nil"/>
            </w:tcBorders>
            <w:shd w:val="clear" w:color="auto" w:fill="auto"/>
          </w:tcPr>
          <w:p w:rsidR="00336793" w:rsidRPr="004331BE" w:rsidRDefault="00336793" w:rsidP="00DF0B96">
            <w:pPr>
              <w:pStyle w:val="Tabletext"/>
              <w:rPr>
                <w:rFonts w:eastAsiaTheme="minorEastAsia"/>
                <w:b/>
                <w:bCs/>
                <w:lang w:eastAsia="en-AU"/>
              </w:rPr>
            </w:pPr>
            <w:r w:rsidRPr="004331BE">
              <w:rPr>
                <w:rFonts w:eastAsiaTheme="minorEastAsia"/>
                <w:b/>
                <w:bCs/>
                <w:lang w:eastAsia="en-AU"/>
              </w:rPr>
              <w:t>Closing balance</w:t>
            </w:r>
          </w:p>
        </w:tc>
        <w:tc>
          <w:tcPr>
            <w:tcW w:w="1023" w:type="dxa"/>
            <w:gridSpan w:val="2"/>
            <w:tcBorders>
              <w:top w:val="single" w:sz="6" w:space="0" w:color="auto"/>
              <w:left w:val="nil"/>
              <w:bottom w:val="single" w:sz="12" w:space="0" w:color="000000"/>
              <w:right w:val="nil"/>
            </w:tcBorders>
            <w:shd w:val="clear" w:color="auto" w:fill="auto"/>
          </w:tcPr>
          <w:p w:rsidR="00336793" w:rsidRPr="004331BE" w:rsidRDefault="00336793" w:rsidP="00DF0B96">
            <w:pPr>
              <w:pStyle w:val="TableofFigures"/>
              <w:rPr>
                <w:rFonts w:eastAsiaTheme="minorEastAsia"/>
                <w:b/>
                <w:bCs/>
                <w:lang w:eastAsia="en-AU"/>
              </w:rPr>
            </w:pPr>
            <w:r w:rsidRPr="004331BE">
              <w:rPr>
                <w:rFonts w:eastAsiaTheme="minorEastAsia"/>
                <w:b/>
                <w:bCs/>
                <w:lang w:eastAsia="en-AU"/>
              </w:rPr>
              <w:t xml:space="preserve"> 35.0</w:t>
            </w:r>
          </w:p>
        </w:tc>
        <w:tc>
          <w:tcPr>
            <w:tcW w:w="1024" w:type="dxa"/>
            <w:tcBorders>
              <w:top w:val="single" w:sz="6" w:space="0" w:color="auto"/>
              <w:left w:val="nil"/>
              <w:bottom w:val="single" w:sz="12" w:space="0" w:color="000000"/>
              <w:right w:val="nil"/>
            </w:tcBorders>
            <w:shd w:val="clear" w:color="auto" w:fill="auto"/>
          </w:tcPr>
          <w:p w:rsidR="00336793" w:rsidRPr="004331BE" w:rsidRDefault="00336793" w:rsidP="00DF0B96">
            <w:pPr>
              <w:pStyle w:val="TableofFigures"/>
              <w:rPr>
                <w:rFonts w:eastAsiaTheme="minorEastAsia"/>
                <w:b/>
                <w:bCs/>
                <w:lang w:eastAsia="en-AU"/>
              </w:rPr>
            </w:pPr>
            <w:r w:rsidRPr="004331BE">
              <w:rPr>
                <w:rFonts w:eastAsiaTheme="minorEastAsia"/>
                <w:b/>
                <w:bCs/>
                <w:lang w:eastAsia="en-AU"/>
              </w:rPr>
              <w:t xml:space="preserve"> 35.0</w:t>
            </w:r>
          </w:p>
        </w:tc>
        <w:tc>
          <w:tcPr>
            <w:tcW w:w="1024" w:type="dxa"/>
            <w:gridSpan w:val="2"/>
            <w:tcBorders>
              <w:top w:val="single" w:sz="6" w:space="0" w:color="auto"/>
              <w:left w:val="nil"/>
              <w:bottom w:val="single" w:sz="12" w:space="0" w:color="000000"/>
              <w:right w:val="nil"/>
            </w:tcBorders>
            <w:shd w:val="clear" w:color="auto" w:fill="auto"/>
          </w:tcPr>
          <w:p w:rsidR="00336793" w:rsidRPr="004331BE" w:rsidRDefault="00336793" w:rsidP="00DF0B96">
            <w:pPr>
              <w:pStyle w:val="TableofFigures"/>
              <w:rPr>
                <w:rFonts w:eastAsiaTheme="minorEastAsia"/>
                <w:b/>
                <w:bCs/>
                <w:lang w:eastAsia="en-AU"/>
              </w:rPr>
            </w:pPr>
            <w:r w:rsidRPr="004331BE">
              <w:rPr>
                <w:rFonts w:eastAsiaTheme="minorEastAsia"/>
                <w:b/>
                <w:bCs/>
                <w:lang w:eastAsia="en-AU"/>
              </w:rPr>
              <w:t xml:space="preserve"> 9.6</w:t>
            </w:r>
          </w:p>
        </w:tc>
        <w:tc>
          <w:tcPr>
            <w:tcW w:w="1024" w:type="dxa"/>
            <w:tcBorders>
              <w:top w:val="single" w:sz="6" w:space="0" w:color="auto"/>
              <w:left w:val="nil"/>
              <w:bottom w:val="single" w:sz="12" w:space="0" w:color="000000"/>
              <w:right w:val="nil"/>
            </w:tcBorders>
            <w:shd w:val="clear" w:color="auto" w:fill="auto"/>
          </w:tcPr>
          <w:p w:rsidR="00336793" w:rsidRPr="004331BE" w:rsidRDefault="00336793" w:rsidP="00DF0B96">
            <w:pPr>
              <w:pStyle w:val="TableofFigures"/>
              <w:rPr>
                <w:rFonts w:eastAsiaTheme="minorEastAsia"/>
                <w:b/>
                <w:bCs/>
                <w:lang w:eastAsia="en-AU"/>
              </w:rPr>
            </w:pPr>
            <w:r w:rsidRPr="004331BE">
              <w:rPr>
                <w:rFonts w:eastAsiaTheme="minorEastAsia"/>
                <w:b/>
                <w:bCs/>
                <w:lang w:eastAsia="en-AU"/>
              </w:rPr>
              <w:t xml:space="preserve"> 9.0</w:t>
            </w:r>
          </w:p>
        </w:tc>
        <w:tc>
          <w:tcPr>
            <w:tcW w:w="1023" w:type="dxa"/>
            <w:gridSpan w:val="2"/>
            <w:tcBorders>
              <w:top w:val="single" w:sz="6" w:space="0" w:color="auto"/>
              <w:left w:val="nil"/>
              <w:bottom w:val="single" w:sz="12" w:space="0" w:color="000000"/>
              <w:right w:val="nil"/>
            </w:tcBorders>
            <w:shd w:val="clear" w:color="auto" w:fill="auto"/>
          </w:tcPr>
          <w:p w:rsidR="00336793" w:rsidRPr="004331BE" w:rsidRDefault="00336793" w:rsidP="00DF0B96">
            <w:pPr>
              <w:pStyle w:val="TableofFigures"/>
              <w:rPr>
                <w:rFonts w:eastAsiaTheme="minorEastAsia"/>
                <w:b/>
                <w:bCs/>
                <w:lang w:eastAsia="en-AU"/>
              </w:rPr>
            </w:pPr>
            <w:r w:rsidRPr="004331BE">
              <w:rPr>
                <w:rFonts w:eastAsiaTheme="minorEastAsia"/>
                <w:b/>
                <w:bCs/>
                <w:lang w:eastAsia="en-AU"/>
              </w:rPr>
              <w:t>1 976.2</w:t>
            </w:r>
          </w:p>
        </w:tc>
        <w:tc>
          <w:tcPr>
            <w:tcW w:w="1024" w:type="dxa"/>
            <w:tcBorders>
              <w:top w:val="single" w:sz="6" w:space="0" w:color="auto"/>
              <w:left w:val="nil"/>
              <w:bottom w:val="single" w:sz="12" w:space="0" w:color="000000"/>
              <w:right w:val="nil"/>
            </w:tcBorders>
            <w:shd w:val="clear" w:color="auto" w:fill="auto"/>
          </w:tcPr>
          <w:p w:rsidR="00336793" w:rsidRPr="004331BE" w:rsidRDefault="00336793" w:rsidP="00DF0B96">
            <w:pPr>
              <w:pStyle w:val="TableofFigures"/>
              <w:rPr>
                <w:rFonts w:eastAsiaTheme="minorEastAsia"/>
                <w:b/>
                <w:bCs/>
                <w:lang w:eastAsia="en-AU"/>
              </w:rPr>
            </w:pPr>
            <w:r w:rsidRPr="004331BE">
              <w:rPr>
                <w:rFonts w:eastAsiaTheme="minorEastAsia"/>
                <w:b/>
                <w:bCs/>
                <w:lang w:eastAsia="en-AU"/>
              </w:rPr>
              <w:t>1 511.0</w:t>
            </w:r>
          </w:p>
        </w:tc>
        <w:tc>
          <w:tcPr>
            <w:tcW w:w="986" w:type="dxa"/>
            <w:gridSpan w:val="2"/>
            <w:tcBorders>
              <w:top w:val="single" w:sz="6" w:space="0" w:color="auto"/>
              <w:left w:val="nil"/>
              <w:bottom w:val="single" w:sz="12" w:space="0" w:color="000000"/>
              <w:right w:val="nil"/>
            </w:tcBorders>
            <w:shd w:val="clear" w:color="auto" w:fill="auto"/>
          </w:tcPr>
          <w:p w:rsidR="00336793" w:rsidRPr="004331BE" w:rsidRDefault="00336793" w:rsidP="00DF0B96">
            <w:pPr>
              <w:pStyle w:val="TableofFigures"/>
              <w:rPr>
                <w:rFonts w:eastAsiaTheme="minorEastAsia" w:cs="Calibri"/>
                <w:b/>
                <w:bCs/>
                <w:color w:val="000000"/>
                <w:szCs w:val="22"/>
                <w:lang w:eastAsia="en-AU"/>
              </w:rPr>
            </w:pPr>
            <w:r w:rsidRPr="004331BE">
              <w:rPr>
                <w:rFonts w:eastAsiaTheme="minorEastAsia"/>
                <w:b/>
                <w:bCs/>
                <w:lang w:eastAsia="en-AU"/>
              </w:rPr>
              <w:t xml:space="preserve">2 </w:t>
            </w:r>
            <w:r w:rsidRPr="004331BE">
              <w:rPr>
                <w:rFonts w:eastAsiaTheme="minorEastAsia" w:cs="Calibri"/>
                <w:b/>
                <w:bCs/>
                <w:color w:val="000000"/>
                <w:szCs w:val="22"/>
                <w:lang w:eastAsia="en-AU"/>
              </w:rPr>
              <w:t>020.8</w:t>
            </w:r>
          </w:p>
        </w:tc>
        <w:tc>
          <w:tcPr>
            <w:tcW w:w="972" w:type="dxa"/>
            <w:tcBorders>
              <w:top w:val="single" w:sz="6" w:space="0" w:color="auto"/>
              <w:left w:val="nil"/>
              <w:bottom w:val="single" w:sz="12" w:space="0" w:color="000000"/>
              <w:right w:val="nil"/>
            </w:tcBorders>
            <w:shd w:val="clear" w:color="auto" w:fill="auto"/>
          </w:tcPr>
          <w:p w:rsidR="00336793" w:rsidRPr="004331BE" w:rsidRDefault="00336793" w:rsidP="00DF0B96">
            <w:pPr>
              <w:pStyle w:val="TableofFigures"/>
              <w:rPr>
                <w:rFonts w:eastAsiaTheme="minorEastAsia" w:cs="Calibri"/>
                <w:b/>
                <w:bCs/>
                <w:color w:val="000000"/>
                <w:szCs w:val="22"/>
                <w:lang w:eastAsia="en-AU"/>
              </w:rPr>
            </w:pPr>
            <w:r w:rsidRPr="004331BE">
              <w:rPr>
                <w:rFonts w:eastAsiaTheme="minorEastAsia"/>
                <w:b/>
                <w:bCs/>
                <w:lang w:eastAsia="en-AU"/>
              </w:rPr>
              <w:t xml:space="preserve">1 </w:t>
            </w:r>
            <w:r>
              <w:rPr>
                <w:rFonts w:eastAsiaTheme="minorEastAsia" w:cs="Calibri"/>
                <w:b/>
                <w:bCs/>
                <w:color w:val="000000"/>
                <w:szCs w:val="22"/>
                <w:lang w:eastAsia="en-AU"/>
              </w:rPr>
              <w:t>555.1</w:t>
            </w:r>
          </w:p>
        </w:tc>
      </w:tr>
    </w:tbl>
    <w:p w:rsidR="00336793" w:rsidRPr="006A75A2" w:rsidRDefault="00336793" w:rsidP="00DF0B96">
      <w:pPr>
        <w:pStyle w:val="Notes"/>
      </w:pPr>
      <w:r w:rsidRPr="006A75A2">
        <w:t>Note:</w:t>
      </w:r>
    </w:p>
    <w:p w:rsidR="00336793" w:rsidRDefault="00336793" w:rsidP="00DF0B96">
      <w:pPr>
        <w:pStyle w:val="Notes"/>
      </w:pPr>
      <w:r>
        <w:t>(a)</w:t>
      </w:r>
      <w:r>
        <w:tab/>
        <w:t>June 2014 comparative figures have been restated to reflect more current information.</w:t>
      </w:r>
    </w:p>
    <w:p w:rsidR="00336793" w:rsidRDefault="00336793" w:rsidP="00DF0B96"/>
    <w:p w:rsidR="00336793" w:rsidRDefault="00336793" w:rsidP="00DF0B96">
      <w:pPr>
        <w:sectPr w:rsidR="00336793" w:rsidSect="00DF0B96">
          <w:headerReference w:type="even" r:id="rId54"/>
          <w:headerReference w:type="default" r:id="rId55"/>
          <w:footerReference w:type="even" r:id="rId56"/>
          <w:footerReference w:type="default" r:id="rId57"/>
          <w:pgSz w:w="16838" w:h="11906" w:orient="landscape" w:code="9"/>
          <w:pgMar w:top="1152" w:right="1152" w:bottom="1152" w:left="1152" w:header="720" w:footer="720" w:gutter="0"/>
          <w:cols w:space="708"/>
          <w:docGrid w:linePitch="360"/>
        </w:sectPr>
      </w:pPr>
    </w:p>
    <w:bookmarkEnd w:id="67"/>
    <w:p w:rsidR="00336793" w:rsidRPr="006A75A2" w:rsidRDefault="00336793" w:rsidP="00DF0B96">
      <w:pPr>
        <w:pStyle w:val="Heading2NotesContd"/>
        <w:rPr>
          <w:i/>
          <w:kern w:val="0"/>
        </w:rPr>
      </w:pPr>
      <w:r w:rsidRPr="006A75A2">
        <w:rPr>
          <w:kern w:val="0"/>
        </w:rPr>
        <w:lastRenderedPageBreak/>
        <w:t>Note 18:</w:t>
      </w:r>
      <w:r w:rsidRPr="006A75A2">
        <w:rPr>
          <w:kern w:val="0"/>
        </w:rPr>
        <w:tab/>
        <w:t xml:space="preserve">Joint ventures </w:t>
      </w:r>
      <w:r w:rsidRPr="006A75A2">
        <w:rPr>
          <w:i/>
          <w:kern w:val="0"/>
        </w:rPr>
        <w:t>(continued)</w:t>
      </w:r>
    </w:p>
    <w:p w:rsidR="00336793" w:rsidRPr="006A75A2" w:rsidRDefault="00336793" w:rsidP="00DF0B96">
      <w:pPr>
        <w:pStyle w:val="Heading5"/>
      </w:pPr>
      <w:r w:rsidRPr="006A75A2">
        <w:t>The Australia Regenerative Medicine Institute</w:t>
      </w:r>
    </w:p>
    <w:p w:rsidR="00336793" w:rsidRPr="006A75A2" w:rsidRDefault="00336793" w:rsidP="00DF0B96">
      <w:r w:rsidRPr="006A75A2">
        <w:t xml:space="preserve">The Department of </w:t>
      </w:r>
      <w:r>
        <w:t>Health and Human Services (DHHS</w:t>
      </w:r>
      <w:r w:rsidRPr="006A75A2">
        <w:t>) has a joint venture interest with Monash University in the Australian Regenerative Medicine Institute (ARMI). ARMI was established to construct and operate a facility which will promote Victoria as a global leader in regenerative medical research, foster and develop existing research collaboration on both domestic and overseas projects and provide a major site for both undergraduate and post graduate training programs.</w:t>
      </w:r>
    </w:p>
    <w:p w:rsidR="00336793" w:rsidRDefault="00336793" w:rsidP="00DF0B96">
      <w:pPr>
        <w:spacing w:after="0"/>
      </w:pPr>
      <w:r w:rsidRPr="006A75A2">
        <w:t>The Victorian Government</w:t>
      </w:r>
      <w:r>
        <w:t>’</w:t>
      </w:r>
      <w:r w:rsidRPr="006A75A2">
        <w:t>s ownership interest of ARMI at 30 June 201</w:t>
      </w:r>
      <w:r>
        <w:t>5</w:t>
      </w:r>
      <w:r w:rsidRPr="006A75A2">
        <w:t xml:space="preserve"> </w:t>
      </w:r>
      <w:r w:rsidRPr="005811FE">
        <w:t>was 20.</w:t>
      </w:r>
      <w:r>
        <w:t>1 per cent</w:t>
      </w:r>
      <w:r w:rsidRPr="006A75A2">
        <w:t xml:space="preserve"> (20.2</w:t>
      </w:r>
      <w:r>
        <w:t> per cent</w:t>
      </w:r>
      <w:r w:rsidRPr="006A75A2">
        <w:t xml:space="preserve"> in 201</w:t>
      </w:r>
      <w:r>
        <w:t>4</w:t>
      </w:r>
      <w:r w:rsidRPr="006A75A2">
        <w:t>).</w:t>
      </w:r>
    </w:p>
    <w:p w:rsidR="00336793" w:rsidRPr="006A75A2" w:rsidRDefault="00336793" w:rsidP="00DF0B96">
      <w:pPr>
        <w:pStyle w:val="Heading5"/>
      </w:pPr>
      <w:r w:rsidRPr="006A75A2">
        <w:t xml:space="preserve">Property </w:t>
      </w:r>
      <w:r w:rsidRPr="008A59A1">
        <w:t>Exchange</w:t>
      </w:r>
      <w:r w:rsidRPr="006A75A2">
        <w:t xml:space="preserve"> Australia Limited</w:t>
      </w:r>
    </w:p>
    <w:p w:rsidR="00336793" w:rsidRPr="006A75A2" w:rsidRDefault="00336793" w:rsidP="00DF0B96">
      <w:r w:rsidRPr="006A75A2">
        <w:t xml:space="preserve">The Department of </w:t>
      </w:r>
      <w:r>
        <w:t>Environment, Land, Water and Planning (DELWP</w:t>
      </w:r>
      <w:r w:rsidRPr="006A75A2">
        <w:t>) has an investment in an associate entity, Property Exchange Australia Limited (PEXA</w:t>
      </w:r>
      <w:r>
        <w:t>).</w:t>
      </w:r>
      <w:r w:rsidRPr="006A75A2">
        <w:t xml:space="preserve"> </w:t>
      </w:r>
      <w:r>
        <w:t>PEXA was established in January </w:t>
      </w:r>
      <w:r w:rsidRPr="006A75A2">
        <w:t>2010 to develop a single national electronic conveyancing system for settling property transactions.</w:t>
      </w:r>
    </w:p>
    <w:p w:rsidR="00336793" w:rsidRPr="006A75A2" w:rsidRDefault="00336793" w:rsidP="00DF0B96">
      <w:r w:rsidRPr="006A75A2">
        <w:t>PEXA was transferred to D</w:t>
      </w:r>
      <w:r>
        <w:t>ELWP</w:t>
      </w:r>
      <w:r w:rsidRPr="006A75A2">
        <w:t xml:space="preserve"> as part of the machinery of government change that resulted in the transfer of functions of Land Victoria from the</w:t>
      </w:r>
      <w:r>
        <w:t xml:space="preserve"> former</w:t>
      </w:r>
      <w:r w:rsidRPr="006A75A2">
        <w:t xml:space="preserve"> Department of </w:t>
      </w:r>
      <w:r>
        <w:t>Transport, Planning and Local Infrastructure</w:t>
      </w:r>
      <w:r w:rsidRPr="006A75A2">
        <w:t xml:space="preserve"> on 1</w:t>
      </w:r>
      <w:r>
        <w:t> </w:t>
      </w:r>
      <w:r w:rsidRPr="006A75A2">
        <w:t>J</w:t>
      </w:r>
      <w:r>
        <w:t>anuary 2015</w:t>
      </w:r>
      <w:r w:rsidRPr="006A75A2">
        <w:t>.</w:t>
      </w:r>
    </w:p>
    <w:p w:rsidR="00336793" w:rsidRPr="006A75A2" w:rsidRDefault="00336793" w:rsidP="00DF0B96">
      <w:r w:rsidRPr="006A75A2">
        <w:t>The Victorian Government</w:t>
      </w:r>
      <w:r>
        <w:t>’</w:t>
      </w:r>
      <w:r w:rsidRPr="006A75A2">
        <w:t>s ownership interest of PEXA at 30 June 201</w:t>
      </w:r>
      <w:r>
        <w:t>5</w:t>
      </w:r>
      <w:r w:rsidRPr="006A75A2">
        <w:t xml:space="preserve"> </w:t>
      </w:r>
      <w:r w:rsidRPr="005811FE">
        <w:t>was 11.6</w:t>
      </w:r>
      <w:r>
        <w:t> per cent</w:t>
      </w:r>
      <w:r w:rsidRPr="006A75A2">
        <w:t xml:space="preserve"> (</w:t>
      </w:r>
      <w:r>
        <w:t>11.9 per cent</w:t>
      </w:r>
      <w:r w:rsidRPr="006A75A2">
        <w:t xml:space="preserve"> in 201</w:t>
      </w:r>
      <w:r>
        <w:t>4</w:t>
      </w:r>
      <w:r w:rsidRPr="006A75A2">
        <w:t>).</w:t>
      </w:r>
    </w:p>
    <w:p w:rsidR="00336793" w:rsidRPr="006A75A2" w:rsidRDefault="00336793" w:rsidP="00DF0B96">
      <w:pPr>
        <w:pStyle w:val="Heading5"/>
      </w:pPr>
      <w:r w:rsidRPr="006A75A2">
        <w:t xml:space="preserve">Snowy </w:t>
      </w:r>
      <w:r w:rsidRPr="008A59A1">
        <w:t>Hydro</w:t>
      </w:r>
      <w:r w:rsidRPr="006A75A2">
        <w:t xml:space="preserve"> Limited</w:t>
      </w:r>
    </w:p>
    <w:p w:rsidR="00336793" w:rsidRDefault="00336793" w:rsidP="00DF0B96">
      <w:r w:rsidRPr="006A75A2">
        <w:t>Snowy Hydro Limited is a company jointly owned by the Commonwealth (13</w:t>
      </w:r>
      <w:r>
        <w:t> per cent</w:t>
      </w:r>
      <w:r w:rsidRPr="006A75A2">
        <w:t>), New South Wales (58</w:t>
      </w:r>
      <w:r>
        <w:t> per cent</w:t>
      </w:r>
      <w:r w:rsidRPr="006A75A2">
        <w:t>) and Victoria (29</w:t>
      </w:r>
      <w:r>
        <w:t> per cent</w:t>
      </w:r>
      <w:r w:rsidRPr="006A75A2">
        <w:t>), which owns and operates the Snowy Mountains Hydro Electric Scheme as an independent electricity generator in t</w:t>
      </w:r>
      <w:r>
        <w:t>he National Electricity Market.</w:t>
      </w:r>
    </w:p>
    <w:p w:rsidR="00336793" w:rsidRPr="006A75A2" w:rsidRDefault="00336793" w:rsidP="00DF0B96">
      <w:r w:rsidRPr="006A75A2">
        <w:t>The Victorian Government</w:t>
      </w:r>
      <w:r>
        <w:t>’</w:t>
      </w:r>
      <w:r w:rsidRPr="006A75A2">
        <w:t>s ownership interest of Snowy Hydro Limited at 30 June 201</w:t>
      </w:r>
      <w:r>
        <w:t>5</w:t>
      </w:r>
      <w:r w:rsidRPr="006A75A2">
        <w:t xml:space="preserve"> was </w:t>
      </w:r>
      <w:r w:rsidRPr="005811FE">
        <w:t>29.0</w:t>
      </w:r>
      <w:r>
        <w:t> per cent</w:t>
      </w:r>
      <w:r w:rsidRPr="005811FE">
        <w:t xml:space="preserve"> (</w:t>
      </w:r>
      <w:r w:rsidRPr="006A75A2">
        <w:t>29.0</w:t>
      </w:r>
      <w:r>
        <w:t> per cent</w:t>
      </w:r>
      <w:r w:rsidRPr="006A75A2">
        <w:t xml:space="preserve"> in 201</w:t>
      </w:r>
      <w:r>
        <w:t>4</w:t>
      </w:r>
      <w:r w:rsidRPr="006A75A2">
        <w:t>).</w:t>
      </w:r>
      <w:r>
        <w:t xml:space="preserve"> A summary of the State’s share of commitments is shown below.</w:t>
      </w:r>
    </w:p>
    <w:p w:rsidR="00336793" w:rsidRPr="00A10A3B" w:rsidRDefault="00336793" w:rsidP="00DF0B96">
      <w:pPr>
        <w:pStyle w:val="million"/>
        <w:rPr>
          <w:rFonts w:ascii="Times New Roman" w:hAnsi="Times New Roman"/>
          <w:i w:val="0"/>
          <w:szCs w:val="20"/>
          <w:lang w:eastAsia="en-AU"/>
        </w:rPr>
      </w:pPr>
      <w:r>
        <w:t>($ million)</w:t>
      </w:r>
    </w:p>
    <w:tbl>
      <w:tblPr>
        <w:tblW w:w="9647" w:type="dxa"/>
        <w:tblInd w:w="28" w:type="dxa"/>
        <w:tblLayout w:type="fixed"/>
        <w:tblCellMar>
          <w:left w:w="45" w:type="dxa"/>
          <w:right w:w="45" w:type="dxa"/>
        </w:tblCellMar>
        <w:tblLook w:val="0000" w:firstRow="0" w:lastRow="0" w:firstColumn="0" w:lastColumn="0" w:noHBand="0" w:noVBand="0"/>
      </w:tblPr>
      <w:tblGrid>
        <w:gridCol w:w="7487"/>
        <w:gridCol w:w="1080"/>
        <w:gridCol w:w="1080"/>
      </w:tblGrid>
      <w:tr w:rsidR="00336793" w:rsidRPr="00A10A3B" w:rsidTr="00DF0B96">
        <w:trPr>
          <w:tblHeader/>
        </w:trPr>
        <w:tc>
          <w:tcPr>
            <w:tcW w:w="7487"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Left"/>
              <w:rPr>
                <w:rFonts w:eastAsiaTheme="minorEastAsia"/>
                <w:lang w:eastAsia="en-AU"/>
              </w:rPr>
            </w:pPr>
            <w:r w:rsidRPr="00A10A3B">
              <w:rPr>
                <w:rFonts w:eastAsiaTheme="minorEastAsia"/>
                <w:lang w:eastAsia="en-AU"/>
              </w:rPr>
              <w:t>Commitments</w:t>
            </w:r>
          </w:p>
        </w:tc>
        <w:tc>
          <w:tcPr>
            <w:tcW w:w="108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080"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r>
      <w:tr w:rsidR="00336793" w:rsidRPr="00A10A3B" w:rsidTr="00DF0B96">
        <w:tc>
          <w:tcPr>
            <w:tcW w:w="7487"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Capital expenditure commitments</w:t>
            </w:r>
          </w:p>
        </w:tc>
        <w:tc>
          <w:tcPr>
            <w:tcW w:w="1080" w:type="dxa"/>
            <w:tcBorders>
              <w:top w:val="single" w:sz="6" w:space="0" w:color="auto"/>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 xml:space="preserve"> 5.6</w:t>
            </w:r>
          </w:p>
        </w:tc>
        <w:tc>
          <w:tcPr>
            <w:tcW w:w="108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3.0</w:t>
            </w:r>
          </w:p>
        </w:tc>
      </w:tr>
      <w:tr w:rsidR="00336793" w:rsidRPr="00A10A3B" w:rsidTr="00DF0B96">
        <w:tc>
          <w:tcPr>
            <w:tcW w:w="748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Operating lease commitments</w:t>
            </w:r>
          </w:p>
        </w:tc>
        <w:tc>
          <w:tcPr>
            <w:tcW w:w="1080"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 xml:space="preserve"> 86.0</w:t>
            </w:r>
          </w:p>
        </w:tc>
        <w:tc>
          <w:tcPr>
            <w:tcW w:w="108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20.0</w:t>
            </w:r>
          </w:p>
        </w:tc>
      </w:tr>
      <w:tr w:rsidR="00336793" w:rsidRPr="00A10A3B" w:rsidTr="00DF0B96">
        <w:tc>
          <w:tcPr>
            <w:tcW w:w="748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Other commitments</w:t>
            </w:r>
          </w:p>
        </w:tc>
        <w:tc>
          <w:tcPr>
            <w:tcW w:w="1080" w:type="dxa"/>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 xml:space="preserve"> 44.2</w:t>
            </w:r>
          </w:p>
        </w:tc>
        <w:tc>
          <w:tcPr>
            <w:tcW w:w="108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2.8</w:t>
            </w:r>
          </w:p>
        </w:tc>
      </w:tr>
      <w:tr w:rsidR="00336793" w:rsidRPr="00A10A3B" w:rsidTr="00DF0B96">
        <w:tc>
          <w:tcPr>
            <w:tcW w:w="748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commitments</w:t>
            </w:r>
          </w:p>
        </w:tc>
        <w:tc>
          <w:tcPr>
            <w:tcW w:w="108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sidRPr="00A10A3B">
              <w:rPr>
                <w:rFonts w:eastAsiaTheme="minorEastAsia"/>
                <w:b/>
                <w:bCs/>
                <w:lang w:eastAsia="en-AU"/>
              </w:rPr>
              <w:t xml:space="preserve"> 135.8</w:t>
            </w:r>
          </w:p>
        </w:tc>
        <w:tc>
          <w:tcPr>
            <w:tcW w:w="108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25.8</w:t>
            </w:r>
          </w:p>
        </w:tc>
      </w:tr>
    </w:tbl>
    <w:p w:rsidR="00336793" w:rsidRDefault="00336793" w:rsidP="00DF0B96">
      <w:pPr>
        <w:pStyle w:val="Notes"/>
      </w:pPr>
    </w:p>
    <w:p w:rsidR="00336793" w:rsidRDefault="00336793" w:rsidP="00DF0B96"/>
    <w:p w:rsidR="00336793" w:rsidRDefault="00336793" w:rsidP="00DF0B96">
      <w:pPr>
        <w:sectPr w:rsidR="00336793" w:rsidSect="00DF0B96">
          <w:headerReference w:type="even" r:id="rId58"/>
          <w:headerReference w:type="default" r:id="rId59"/>
          <w:footerReference w:type="even" r:id="rId60"/>
          <w:footerReference w:type="default" r:id="rId61"/>
          <w:headerReference w:type="first" r:id="rId62"/>
          <w:footerReference w:type="first" r:id="rId63"/>
          <w:pgSz w:w="11906" w:h="16838" w:code="9"/>
          <w:pgMar w:top="1152" w:right="1152" w:bottom="1152" w:left="1152" w:header="720" w:footer="720" w:gutter="0"/>
          <w:cols w:space="708"/>
          <w:docGrid w:linePitch="360"/>
        </w:sectPr>
      </w:pPr>
    </w:p>
    <w:p w:rsidR="00336793" w:rsidRPr="006A75A2" w:rsidRDefault="00336793" w:rsidP="00DF0B96">
      <w:pPr>
        <w:pStyle w:val="Heading2NotesContd"/>
        <w:rPr>
          <w:i/>
          <w:kern w:val="0"/>
        </w:rPr>
      </w:pPr>
      <w:r w:rsidRPr="006A75A2">
        <w:rPr>
          <w:kern w:val="0"/>
        </w:rPr>
        <w:lastRenderedPageBreak/>
        <w:t>Note 18:</w:t>
      </w:r>
      <w:r w:rsidRPr="006A75A2">
        <w:rPr>
          <w:kern w:val="0"/>
        </w:rPr>
        <w:tab/>
        <w:t xml:space="preserve">Joint ventures </w:t>
      </w:r>
      <w:r w:rsidRPr="006A75A2">
        <w:rPr>
          <w:i/>
          <w:kern w:val="0"/>
        </w:rPr>
        <w:t>(continued)</w:t>
      </w:r>
    </w:p>
    <w:p w:rsidR="00336793" w:rsidRDefault="00336793" w:rsidP="00DF0B96">
      <w:pPr>
        <w:pStyle w:val="Heading5"/>
      </w:pPr>
      <w:r>
        <w:t>Summarised information for investments accounted for using the equity method</w:t>
      </w:r>
    </w:p>
    <w:p w:rsidR="00336793" w:rsidRPr="00A10A3B"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5043"/>
        <w:gridCol w:w="294"/>
        <w:gridCol w:w="278"/>
        <w:gridCol w:w="1115"/>
        <w:gridCol w:w="1120"/>
        <w:gridCol w:w="247"/>
        <w:gridCol w:w="873"/>
        <w:gridCol w:w="1120"/>
        <w:gridCol w:w="236"/>
        <w:gridCol w:w="884"/>
        <w:gridCol w:w="1120"/>
        <w:gridCol w:w="107"/>
        <w:gridCol w:w="129"/>
        <w:gridCol w:w="884"/>
        <w:gridCol w:w="1120"/>
      </w:tblGrid>
      <w:tr w:rsidR="00336793" w:rsidRPr="00B03906" w:rsidTr="00DF0B96">
        <w:trPr>
          <w:tblHeader/>
        </w:trPr>
        <w:tc>
          <w:tcPr>
            <w:tcW w:w="5043" w:type="dxa"/>
            <w:tcBorders>
              <w:top w:val="single" w:sz="6" w:space="0" w:color="auto"/>
              <w:left w:val="single" w:sz="6" w:space="0" w:color="auto"/>
              <w:bottom w:val="nil"/>
              <w:right w:val="nil"/>
            </w:tcBorders>
            <w:shd w:val="clear" w:color="000000" w:fill="000000"/>
            <w:vAlign w:val="bottom"/>
          </w:tcPr>
          <w:p w:rsidR="00336793" w:rsidRPr="00B03906" w:rsidRDefault="00336793" w:rsidP="00DF0B96">
            <w:pPr>
              <w:pStyle w:val="Tabletextheading"/>
              <w:jc w:val="left"/>
              <w:rPr>
                <w:rFonts w:eastAsiaTheme="minorEastAsia"/>
                <w:color w:val="FFFFFF"/>
                <w:sz w:val="21"/>
                <w:lang w:eastAsia="en-AU"/>
              </w:rPr>
            </w:pPr>
            <w:r w:rsidRPr="00B03906">
              <w:rPr>
                <w:rFonts w:eastAsiaTheme="minorEastAsia"/>
                <w:color w:val="FFFFFF"/>
                <w:sz w:val="21"/>
                <w:lang w:eastAsia="en-AU"/>
              </w:rPr>
              <w:t xml:space="preserve">  </w:t>
            </w:r>
          </w:p>
        </w:tc>
        <w:tc>
          <w:tcPr>
            <w:tcW w:w="294" w:type="dxa"/>
            <w:tcBorders>
              <w:top w:val="single" w:sz="6" w:space="0" w:color="auto"/>
              <w:left w:val="nil"/>
              <w:bottom w:val="nil"/>
              <w:right w:val="nil"/>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r w:rsidRPr="00B03906">
              <w:rPr>
                <w:rFonts w:eastAsiaTheme="minorEastAsia"/>
                <w:iCs/>
                <w:color w:val="FFFFFF"/>
                <w:sz w:val="21"/>
                <w:lang w:eastAsia="en-AU"/>
              </w:rPr>
              <w:t xml:space="preserve"> </w:t>
            </w:r>
          </w:p>
        </w:tc>
        <w:tc>
          <w:tcPr>
            <w:tcW w:w="2513" w:type="dxa"/>
            <w:gridSpan w:val="3"/>
            <w:tcBorders>
              <w:top w:val="single" w:sz="6" w:space="0" w:color="auto"/>
              <w:left w:val="nil"/>
              <w:bottom w:val="nil"/>
              <w:right w:val="nil"/>
            </w:tcBorders>
            <w:shd w:val="clear" w:color="000000" w:fill="000000"/>
            <w:vAlign w:val="bottom"/>
          </w:tcPr>
          <w:p w:rsidR="00336793" w:rsidRPr="00B03906" w:rsidRDefault="00336793" w:rsidP="00DF0B96">
            <w:pPr>
              <w:pStyle w:val="Tabletextheading"/>
              <w:jc w:val="center"/>
              <w:rPr>
                <w:rFonts w:eastAsiaTheme="minorEastAsia"/>
                <w:iCs/>
                <w:color w:val="FFFFFF"/>
                <w:sz w:val="21"/>
                <w:lang w:eastAsia="en-AU"/>
              </w:rPr>
            </w:pPr>
            <w:r w:rsidRPr="00B03906">
              <w:rPr>
                <w:rFonts w:eastAsiaTheme="minorEastAsia"/>
                <w:iCs/>
                <w:color w:val="FFFFFF"/>
                <w:sz w:val="21"/>
                <w:lang w:eastAsia="en-AU"/>
              </w:rPr>
              <w:t>The Australian Regenerative Medicine Institute</w:t>
            </w:r>
          </w:p>
        </w:tc>
        <w:tc>
          <w:tcPr>
            <w:tcW w:w="247" w:type="dxa"/>
            <w:tcBorders>
              <w:top w:val="single" w:sz="6" w:space="0" w:color="auto"/>
              <w:left w:val="nil"/>
              <w:bottom w:val="nil"/>
              <w:right w:val="nil"/>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r w:rsidRPr="00B03906">
              <w:rPr>
                <w:rFonts w:eastAsiaTheme="minorEastAsia"/>
                <w:iCs/>
                <w:color w:val="FFFFFF"/>
                <w:sz w:val="21"/>
                <w:lang w:eastAsia="en-AU"/>
              </w:rPr>
              <w:t xml:space="preserve"> </w:t>
            </w:r>
          </w:p>
        </w:tc>
        <w:tc>
          <w:tcPr>
            <w:tcW w:w="1993" w:type="dxa"/>
            <w:gridSpan w:val="2"/>
            <w:tcBorders>
              <w:top w:val="single" w:sz="6" w:space="0" w:color="auto"/>
              <w:left w:val="nil"/>
              <w:bottom w:val="nil"/>
              <w:right w:val="nil"/>
            </w:tcBorders>
            <w:shd w:val="clear" w:color="000000" w:fill="000000"/>
            <w:vAlign w:val="bottom"/>
          </w:tcPr>
          <w:p w:rsidR="00336793" w:rsidRPr="00B03906" w:rsidRDefault="00336793" w:rsidP="00DF0B96">
            <w:pPr>
              <w:pStyle w:val="Tabletextheading"/>
              <w:jc w:val="center"/>
              <w:rPr>
                <w:rFonts w:eastAsiaTheme="minorEastAsia"/>
                <w:iCs/>
                <w:color w:val="FFFFFF"/>
                <w:sz w:val="21"/>
                <w:lang w:eastAsia="en-AU"/>
              </w:rPr>
            </w:pPr>
            <w:r w:rsidRPr="00B03906">
              <w:rPr>
                <w:rFonts w:eastAsiaTheme="minorEastAsia"/>
                <w:iCs/>
                <w:color w:val="FFFFFF"/>
                <w:sz w:val="21"/>
                <w:lang w:eastAsia="en-AU"/>
              </w:rPr>
              <w:t>Property Exchange Australia Limited</w:t>
            </w:r>
          </w:p>
        </w:tc>
        <w:tc>
          <w:tcPr>
            <w:tcW w:w="236" w:type="dxa"/>
            <w:tcBorders>
              <w:top w:val="single" w:sz="6" w:space="0" w:color="auto"/>
              <w:left w:val="nil"/>
              <w:bottom w:val="nil"/>
              <w:right w:val="nil"/>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r w:rsidRPr="00B03906">
              <w:rPr>
                <w:rFonts w:eastAsiaTheme="minorEastAsia"/>
                <w:iCs/>
                <w:color w:val="FFFFFF"/>
                <w:sz w:val="21"/>
                <w:lang w:eastAsia="en-AU"/>
              </w:rPr>
              <w:t xml:space="preserve"> </w:t>
            </w:r>
          </w:p>
        </w:tc>
        <w:tc>
          <w:tcPr>
            <w:tcW w:w="2111" w:type="dxa"/>
            <w:gridSpan w:val="3"/>
            <w:tcBorders>
              <w:top w:val="single" w:sz="6" w:space="0" w:color="auto"/>
              <w:left w:val="nil"/>
              <w:bottom w:val="nil"/>
              <w:right w:val="nil"/>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p>
          <w:p w:rsidR="00336793" w:rsidRPr="00B03906" w:rsidRDefault="00336793" w:rsidP="00DF0B96">
            <w:pPr>
              <w:pStyle w:val="Tabletextheading"/>
              <w:jc w:val="center"/>
              <w:rPr>
                <w:rFonts w:eastAsiaTheme="minorEastAsia"/>
                <w:iCs/>
                <w:color w:val="FFFFFF"/>
                <w:sz w:val="21"/>
                <w:vertAlign w:val="superscript"/>
                <w:lang w:eastAsia="en-AU"/>
              </w:rPr>
            </w:pPr>
            <w:r w:rsidRPr="00B03906">
              <w:rPr>
                <w:rFonts w:eastAsiaTheme="minorEastAsia"/>
                <w:iCs/>
                <w:color w:val="FFFFFF"/>
                <w:sz w:val="21"/>
                <w:lang w:eastAsia="en-AU"/>
              </w:rPr>
              <w:t xml:space="preserve">Snowy Hydro Limited </w:t>
            </w:r>
            <w:r w:rsidRPr="00B03906">
              <w:rPr>
                <w:rFonts w:eastAsiaTheme="minorEastAsia"/>
                <w:iCs/>
                <w:color w:val="FFFFFF"/>
                <w:sz w:val="21"/>
                <w:vertAlign w:val="superscript"/>
                <w:lang w:eastAsia="en-AU"/>
              </w:rPr>
              <w:t>(a)</w:t>
            </w:r>
          </w:p>
        </w:tc>
        <w:tc>
          <w:tcPr>
            <w:tcW w:w="129" w:type="dxa"/>
            <w:tcBorders>
              <w:top w:val="single" w:sz="6" w:space="0" w:color="auto"/>
              <w:left w:val="nil"/>
              <w:bottom w:val="nil"/>
              <w:right w:val="nil"/>
            </w:tcBorders>
            <w:shd w:val="clear" w:color="000000" w:fill="000000"/>
            <w:vAlign w:val="bottom"/>
          </w:tcPr>
          <w:p w:rsidR="00336793" w:rsidRPr="00B03906" w:rsidRDefault="00336793" w:rsidP="00DF0B96">
            <w:pPr>
              <w:pStyle w:val="Tabletextheading"/>
              <w:jc w:val="center"/>
              <w:rPr>
                <w:rFonts w:eastAsiaTheme="minorEastAsia" w:cs="Calibri"/>
                <w:iCs/>
                <w:color w:val="FFFFFF"/>
                <w:sz w:val="21"/>
                <w:szCs w:val="22"/>
                <w:lang w:eastAsia="en-AU"/>
              </w:rPr>
            </w:pPr>
            <w:r w:rsidRPr="00B03906">
              <w:rPr>
                <w:rFonts w:eastAsiaTheme="minorEastAsia"/>
                <w:iCs/>
                <w:color w:val="FFFFFF"/>
                <w:sz w:val="21"/>
                <w:lang w:eastAsia="en-AU"/>
              </w:rPr>
              <w:t xml:space="preserve"> </w:t>
            </w:r>
          </w:p>
        </w:tc>
        <w:tc>
          <w:tcPr>
            <w:tcW w:w="2004" w:type="dxa"/>
            <w:gridSpan w:val="2"/>
            <w:tcBorders>
              <w:top w:val="single" w:sz="6" w:space="0" w:color="auto"/>
              <w:left w:val="nil"/>
              <w:bottom w:val="nil"/>
              <w:right w:val="single" w:sz="6" w:space="0" w:color="auto"/>
            </w:tcBorders>
            <w:shd w:val="clear" w:color="000000" w:fill="000000"/>
            <w:vAlign w:val="bottom"/>
          </w:tcPr>
          <w:p w:rsidR="00336793" w:rsidRPr="00B03906" w:rsidRDefault="00336793" w:rsidP="00DF0B96">
            <w:pPr>
              <w:pStyle w:val="Tabletextheading"/>
              <w:jc w:val="center"/>
              <w:rPr>
                <w:rFonts w:eastAsiaTheme="minorEastAsia"/>
                <w:iCs/>
                <w:color w:val="FFFFFF"/>
                <w:sz w:val="21"/>
                <w:lang w:eastAsia="en-AU"/>
              </w:rPr>
            </w:pPr>
          </w:p>
          <w:p w:rsidR="00336793" w:rsidRPr="00B03906" w:rsidRDefault="00336793" w:rsidP="00DF0B96">
            <w:pPr>
              <w:pStyle w:val="Tabletextheading"/>
              <w:jc w:val="center"/>
              <w:rPr>
                <w:rFonts w:eastAsiaTheme="minorEastAsia"/>
                <w:iCs/>
                <w:color w:val="FFFFFF"/>
                <w:sz w:val="21"/>
                <w:lang w:eastAsia="en-AU"/>
              </w:rPr>
            </w:pPr>
            <w:r w:rsidRPr="00B03906">
              <w:rPr>
                <w:rFonts w:eastAsiaTheme="minorEastAsia"/>
                <w:iCs/>
                <w:color w:val="FFFFFF"/>
                <w:sz w:val="21"/>
                <w:lang w:eastAsia="en-AU"/>
              </w:rPr>
              <w:t>Total</w:t>
            </w:r>
          </w:p>
        </w:tc>
      </w:tr>
      <w:tr w:rsidR="00336793" w:rsidRPr="00B03906" w:rsidTr="00DF0B96">
        <w:trPr>
          <w:tblHeader/>
        </w:trPr>
        <w:tc>
          <w:tcPr>
            <w:tcW w:w="5337" w:type="dxa"/>
            <w:gridSpan w:val="2"/>
            <w:tcBorders>
              <w:top w:val="nil"/>
              <w:left w:val="single" w:sz="6" w:space="0" w:color="auto"/>
              <w:bottom w:val="single" w:sz="6" w:space="0" w:color="auto"/>
              <w:right w:val="nil"/>
            </w:tcBorders>
            <w:shd w:val="clear" w:color="000000" w:fill="000000"/>
            <w:vAlign w:val="bottom"/>
          </w:tcPr>
          <w:p w:rsidR="00336793" w:rsidRPr="00B03906" w:rsidRDefault="00336793" w:rsidP="00DF0B96">
            <w:pPr>
              <w:pStyle w:val="Tabletextheading"/>
              <w:jc w:val="left"/>
              <w:rPr>
                <w:rFonts w:eastAsiaTheme="minorEastAsia"/>
                <w:iCs/>
                <w:color w:val="FFFFFF"/>
                <w:sz w:val="21"/>
                <w:lang w:eastAsia="en-AU"/>
              </w:rPr>
            </w:pPr>
            <w:r w:rsidRPr="00B03906">
              <w:rPr>
                <w:rFonts w:eastAsiaTheme="minorEastAsia"/>
                <w:iCs/>
                <w:color w:val="FFFFFF"/>
                <w:sz w:val="21"/>
                <w:lang w:eastAsia="en-AU"/>
              </w:rPr>
              <w:t>Summarised balance sheet as at 30 June</w:t>
            </w:r>
          </w:p>
        </w:tc>
        <w:tc>
          <w:tcPr>
            <w:tcW w:w="1393" w:type="dxa"/>
            <w:gridSpan w:val="2"/>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r w:rsidRPr="00B03906">
              <w:rPr>
                <w:rFonts w:eastAsiaTheme="minorEastAsia"/>
                <w:iCs/>
                <w:color w:val="FFFFFF"/>
                <w:sz w:val="21"/>
                <w:lang w:eastAsia="en-AU"/>
              </w:rPr>
              <w:t>2015</w:t>
            </w:r>
          </w:p>
        </w:tc>
        <w:tc>
          <w:tcPr>
            <w:tcW w:w="1120" w:type="dxa"/>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r w:rsidRPr="00B03906">
              <w:rPr>
                <w:rFonts w:eastAsiaTheme="minorEastAsia"/>
                <w:iCs/>
                <w:color w:val="FFFFFF"/>
                <w:sz w:val="21"/>
                <w:lang w:eastAsia="en-AU"/>
              </w:rPr>
              <w:t>2014</w:t>
            </w:r>
          </w:p>
        </w:tc>
        <w:tc>
          <w:tcPr>
            <w:tcW w:w="1120" w:type="dxa"/>
            <w:gridSpan w:val="2"/>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r w:rsidRPr="00B03906">
              <w:rPr>
                <w:rFonts w:eastAsiaTheme="minorEastAsia"/>
                <w:iCs/>
                <w:color w:val="FFFFFF"/>
                <w:sz w:val="21"/>
                <w:lang w:eastAsia="en-AU"/>
              </w:rPr>
              <w:t>2015</w:t>
            </w:r>
          </w:p>
        </w:tc>
        <w:tc>
          <w:tcPr>
            <w:tcW w:w="1120" w:type="dxa"/>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r w:rsidRPr="00B03906">
              <w:rPr>
                <w:rFonts w:eastAsiaTheme="minorEastAsia"/>
                <w:iCs/>
                <w:color w:val="FFFFFF"/>
                <w:sz w:val="21"/>
                <w:lang w:eastAsia="en-AU"/>
              </w:rPr>
              <w:t>2014</w:t>
            </w:r>
          </w:p>
        </w:tc>
        <w:tc>
          <w:tcPr>
            <w:tcW w:w="1120" w:type="dxa"/>
            <w:gridSpan w:val="2"/>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r w:rsidRPr="00B03906">
              <w:rPr>
                <w:rFonts w:eastAsiaTheme="minorEastAsia"/>
                <w:iCs/>
                <w:color w:val="FFFFFF"/>
                <w:sz w:val="21"/>
                <w:lang w:eastAsia="en-AU"/>
              </w:rPr>
              <w:t>2015</w:t>
            </w:r>
          </w:p>
        </w:tc>
        <w:tc>
          <w:tcPr>
            <w:tcW w:w="1120" w:type="dxa"/>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r w:rsidRPr="00B03906">
              <w:rPr>
                <w:rFonts w:eastAsiaTheme="minorEastAsia"/>
                <w:iCs/>
                <w:color w:val="FFFFFF"/>
                <w:sz w:val="21"/>
                <w:lang w:eastAsia="en-AU"/>
              </w:rPr>
              <w:t>2014</w:t>
            </w:r>
          </w:p>
        </w:tc>
        <w:tc>
          <w:tcPr>
            <w:tcW w:w="1120" w:type="dxa"/>
            <w:gridSpan w:val="3"/>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r w:rsidRPr="00B03906">
              <w:rPr>
                <w:rFonts w:eastAsiaTheme="minorEastAsia"/>
                <w:iCs/>
                <w:color w:val="FFFFFF"/>
                <w:sz w:val="21"/>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B03906" w:rsidRDefault="00336793" w:rsidP="00DF0B96">
            <w:pPr>
              <w:pStyle w:val="Tabletextheading"/>
              <w:rPr>
                <w:rFonts w:eastAsiaTheme="minorEastAsia"/>
                <w:iCs/>
                <w:color w:val="FFFFFF"/>
                <w:sz w:val="21"/>
                <w:lang w:eastAsia="en-AU"/>
              </w:rPr>
            </w:pPr>
            <w:r w:rsidRPr="00B03906">
              <w:rPr>
                <w:rFonts w:eastAsiaTheme="minorEastAsia"/>
                <w:iCs/>
                <w:color w:val="FFFFFF"/>
                <w:sz w:val="21"/>
                <w:lang w:eastAsia="en-AU"/>
              </w:rPr>
              <w:t>2014</w:t>
            </w:r>
          </w:p>
        </w:tc>
      </w:tr>
      <w:tr w:rsidR="00336793" w:rsidRPr="00B03906" w:rsidTr="00DF0B96">
        <w:tc>
          <w:tcPr>
            <w:tcW w:w="5337" w:type="dxa"/>
            <w:gridSpan w:val="2"/>
            <w:tcBorders>
              <w:top w:val="single" w:sz="6" w:space="0" w:color="auto"/>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Current assets</w:t>
            </w:r>
          </w:p>
        </w:tc>
        <w:tc>
          <w:tcPr>
            <w:tcW w:w="1393" w:type="dxa"/>
            <w:gridSpan w:val="2"/>
            <w:tcBorders>
              <w:top w:val="single" w:sz="6" w:space="0" w:color="auto"/>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single" w:sz="6" w:space="0" w:color="auto"/>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gridSpan w:val="2"/>
            <w:tcBorders>
              <w:top w:val="single" w:sz="6" w:space="0" w:color="auto"/>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single" w:sz="6" w:space="0" w:color="auto"/>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gridSpan w:val="2"/>
            <w:tcBorders>
              <w:top w:val="single" w:sz="6" w:space="0" w:color="auto"/>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single" w:sz="6" w:space="0" w:color="auto"/>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gridSpan w:val="3"/>
            <w:tcBorders>
              <w:top w:val="single" w:sz="6" w:space="0" w:color="auto"/>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single" w:sz="6" w:space="0" w:color="auto"/>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r>
      <w:tr w:rsidR="00336793" w:rsidRPr="00B03906" w:rsidTr="00DF0B96">
        <w:tc>
          <w:tcPr>
            <w:tcW w:w="5337"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 xml:space="preserve">    Cash and cash equivalent</w:t>
            </w:r>
          </w:p>
        </w:tc>
        <w:tc>
          <w:tcPr>
            <w:tcW w:w="1393"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2.2</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3.0</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p>
        </w:tc>
        <w:tc>
          <w:tcPr>
            <w:tcW w:w="1120" w:type="dxa"/>
            <w:gridSpan w:val="3"/>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2.2</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3.0</w:t>
            </w:r>
          </w:p>
        </w:tc>
      </w:tr>
      <w:tr w:rsidR="00336793" w:rsidRPr="00B03906" w:rsidTr="00DF0B96">
        <w:tc>
          <w:tcPr>
            <w:tcW w:w="5337"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 xml:space="preserve">    Other current assets (excluding cash)</w:t>
            </w:r>
          </w:p>
        </w:tc>
        <w:tc>
          <w:tcPr>
            <w:tcW w:w="1393"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0.1</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288.3</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216.2</w:t>
            </w:r>
          </w:p>
        </w:tc>
        <w:tc>
          <w:tcPr>
            <w:tcW w:w="1120" w:type="dxa"/>
            <w:gridSpan w:val="3"/>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288.4</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216.2</w:t>
            </w:r>
          </w:p>
        </w:tc>
      </w:tr>
      <w:tr w:rsidR="00336793" w:rsidRPr="00B03906" w:rsidTr="00DF0B96">
        <w:tc>
          <w:tcPr>
            <w:tcW w:w="5337"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Total current assets</w:t>
            </w:r>
          </w:p>
        </w:tc>
        <w:tc>
          <w:tcPr>
            <w:tcW w:w="1393"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2.3</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3.0</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288.3</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216.2</w:t>
            </w:r>
          </w:p>
        </w:tc>
        <w:tc>
          <w:tcPr>
            <w:tcW w:w="1120" w:type="dxa"/>
            <w:gridSpan w:val="3"/>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290.7</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219.2</w:t>
            </w:r>
          </w:p>
        </w:tc>
      </w:tr>
      <w:tr w:rsidR="00336793" w:rsidRPr="00B03906" w:rsidTr="00DF0B96">
        <w:tc>
          <w:tcPr>
            <w:tcW w:w="5337"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Non</w:t>
            </w:r>
            <w:r>
              <w:rPr>
                <w:rFonts w:ascii="Calibri" w:eastAsiaTheme="minorEastAsia" w:hAnsi="Calibri" w:cs="Calibri"/>
                <w:b/>
                <w:bCs/>
                <w:sz w:val="21"/>
                <w:szCs w:val="22"/>
                <w:lang w:eastAsia="en-AU"/>
              </w:rPr>
              <w:noBreakHyphen/>
            </w:r>
            <w:r w:rsidRPr="00B03906">
              <w:rPr>
                <w:rFonts w:ascii="Calibri" w:eastAsiaTheme="minorEastAsia" w:hAnsi="Calibri" w:cs="Calibri"/>
                <w:b/>
                <w:bCs/>
                <w:sz w:val="21"/>
                <w:szCs w:val="22"/>
                <w:lang w:eastAsia="en-AU"/>
              </w:rPr>
              <w:t>current assets</w:t>
            </w:r>
          </w:p>
        </w:tc>
        <w:tc>
          <w:tcPr>
            <w:tcW w:w="1393"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35.0</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35.0</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7.9</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7.6</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2159.5</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1459.4</w:t>
            </w:r>
          </w:p>
        </w:tc>
        <w:tc>
          <w:tcPr>
            <w:tcW w:w="1120" w:type="dxa"/>
            <w:gridSpan w:val="3"/>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2202.4</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1502.0</w:t>
            </w:r>
          </w:p>
        </w:tc>
      </w:tr>
      <w:tr w:rsidR="00336793" w:rsidRPr="00B03906" w:rsidTr="00DF0B96">
        <w:tc>
          <w:tcPr>
            <w:tcW w:w="5337" w:type="dxa"/>
            <w:gridSpan w:val="2"/>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Total assets</w:t>
            </w:r>
          </w:p>
        </w:tc>
        <w:tc>
          <w:tcPr>
            <w:tcW w:w="1393" w:type="dxa"/>
            <w:gridSpan w:val="2"/>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35.0</w:t>
            </w:r>
          </w:p>
        </w:tc>
        <w:tc>
          <w:tcPr>
            <w:tcW w:w="1120" w:type="dxa"/>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35.0</w:t>
            </w:r>
          </w:p>
        </w:tc>
        <w:tc>
          <w:tcPr>
            <w:tcW w:w="1120" w:type="dxa"/>
            <w:gridSpan w:val="2"/>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10.3</w:t>
            </w:r>
          </w:p>
        </w:tc>
        <w:tc>
          <w:tcPr>
            <w:tcW w:w="1120" w:type="dxa"/>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10.6</w:t>
            </w:r>
          </w:p>
        </w:tc>
        <w:tc>
          <w:tcPr>
            <w:tcW w:w="1120" w:type="dxa"/>
            <w:gridSpan w:val="2"/>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2 447.8</w:t>
            </w:r>
          </w:p>
        </w:tc>
        <w:tc>
          <w:tcPr>
            <w:tcW w:w="1120" w:type="dxa"/>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1 675.6</w:t>
            </w:r>
          </w:p>
        </w:tc>
        <w:tc>
          <w:tcPr>
            <w:tcW w:w="1120" w:type="dxa"/>
            <w:gridSpan w:val="3"/>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2 493.1</w:t>
            </w:r>
          </w:p>
        </w:tc>
        <w:tc>
          <w:tcPr>
            <w:tcW w:w="1120" w:type="dxa"/>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1 721.2</w:t>
            </w:r>
          </w:p>
        </w:tc>
      </w:tr>
      <w:tr w:rsidR="00336793" w:rsidRPr="00B03906" w:rsidTr="00DF0B96">
        <w:tc>
          <w:tcPr>
            <w:tcW w:w="5337"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Current liabilities</w:t>
            </w:r>
          </w:p>
        </w:tc>
        <w:tc>
          <w:tcPr>
            <w:tcW w:w="1393"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gridSpan w:val="3"/>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r>
      <w:tr w:rsidR="00336793" w:rsidRPr="00B03906" w:rsidTr="00DF0B96">
        <w:tc>
          <w:tcPr>
            <w:tcW w:w="5337"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r w:rsidRPr="00B03906">
              <w:rPr>
                <w:rFonts w:ascii="Calibri" w:eastAsiaTheme="minorEastAsia" w:hAnsi="Calibri" w:cs="Calibri"/>
                <w:b/>
                <w:bCs/>
                <w:sz w:val="21"/>
                <w:szCs w:val="22"/>
                <w:lang w:eastAsia="en-AU"/>
              </w:rPr>
              <w:t xml:space="preserve">    </w:t>
            </w:r>
            <w:r w:rsidRPr="00B03906">
              <w:rPr>
                <w:rFonts w:ascii="Calibri" w:eastAsiaTheme="minorEastAsia" w:hAnsi="Calibri" w:cs="Calibri"/>
                <w:sz w:val="21"/>
                <w:szCs w:val="22"/>
                <w:lang w:eastAsia="en-AU"/>
              </w:rPr>
              <w:t>Financial liabilities (excluding payables, provisions)</w:t>
            </w:r>
          </w:p>
        </w:tc>
        <w:tc>
          <w:tcPr>
            <w:tcW w:w="1393"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0.6</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1.5</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86.0</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54.5</w:t>
            </w:r>
          </w:p>
        </w:tc>
        <w:tc>
          <w:tcPr>
            <w:tcW w:w="1120" w:type="dxa"/>
            <w:gridSpan w:val="3"/>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86.7</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56.1</w:t>
            </w:r>
          </w:p>
        </w:tc>
      </w:tr>
      <w:tr w:rsidR="00336793" w:rsidRPr="00B03906" w:rsidTr="00DF0B96">
        <w:tc>
          <w:tcPr>
            <w:tcW w:w="5337"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Total current liabilities</w:t>
            </w:r>
          </w:p>
        </w:tc>
        <w:tc>
          <w:tcPr>
            <w:tcW w:w="1393"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0.6</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1.5</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86.0</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54.5</w:t>
            </w:r>
          </w:p>
        </w:tc>
        <w:tc>
          <w:tcPr>
            <w:tcW w:w="1120" w:type="dxa"/>
            <w:gridSpan w:val="3"/>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86.7</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56.1</w:t>
            </w:r>
          </w:p>
        </w:tc>
      </w:tr>
      <w:tr w:rsidR="00336793" w:rsidRPr="00B03906" w:rsidTr="00DF0B96">
        <w:tc>
          <w:tcPr>
            <w:tcW w:w="5337"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Non</w:t>
            </w:r>
            <w:r>
              <w:rPr>
                <w:rFonts w:ascii="Calibri" w:eastAsiaTheme="minorEastAsia" w:hAnsi="Calibri" w:cs="Calibri"/>
                <w:b/>
                <w:bCs/>
                <w:sz w:val="21"/>
                <w:szCs w:val="22"/>
                <w:lang w:eastAsia="en-AU"/>
              </w:rPr>
              <w:noBreakHyphen/>
            </w:r>
            <w:r w:rsidRPr="00B03906">
              <w:rPr>
                <w:rFonts w:ascii="Calibri" w:eastAsiaTheme="minorEastAsia" w:hAnsi="Calibri" w:cs="Calibri"/>
                <w:b/>
                <w:bCs/>
                <w:sz w:val="21"/>
                <w:szCs w:val="22"/>
                <w:lang w:eastAsia="en-AU"/>
              </w:rPr>
              <w:t>current liabilities</w:t>
            </w:r>
          </w:p>
        </w:tc>
        <w:tc>
          <w:tcPr>
            <w:tcW w:w="1393"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gridSpan w:val="3"/>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p>
        </w:tc>
      </w:tr>
      <w:tr w:rsidR="00336793" w:rsidRPr="00B03906" w:rsidTr="00DF0B96">
        <w:tc>
          <w:tcPr>
            <w:tcW w:w="5615" w:type="dxa"/>
            <w:gridSpan w:val="3"/>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sz w:val="21"/>
                <w:szCs w:val="22"/>
                <w:lang w:eastAsia="en-AU"/>
              </w:rPr>
            </w:pPr>
            <w:r w:rsidRPr="00B03906">
              <w:rPr>
                <w:rFonts w:ascii="Calibri" w:eastAsiaTheme="minorEastAsia" w:hAnsi="Calibri" w:cs="Calibri"/>
                <w:b/>
                <w:bCs/>
                <w:sz w:val="21"/>
                <w:szCs w:val="22"/>
                <w:lang w:eastAsia="en-AU"/>
              </w:rPr>
              <w:t xml:space="preserve">    </w:t>
            </w:r>
            <w:r w:rsidRPr="00B03906">
              <w:rPr>
                <w:rFonts w:ascii="Calibri" w:eastAsiaTheme="minorEastAsia" w:hAnsi="Calibri" w:cs="Calibri"/>
                <w:sz w:val="21"/>
                <w:szCs w:val="22"/>
                <w:lang w:eastAsia="en-AU"/>
              </w:rPr>
              <w:t>Other non</w:t>
            </w:r>
            <w:r>
              <w:rPr>
                <w:rFonts w:ascii="Calibri" w:eastAsiaTheme="minorEastAsia" w:hAnsi="Calibri" w:cs="Calibri"/>
                <w:sz w:val="21"/>
                <w:szCs w:val="22"/>
                <w:lang w:eastAsia="en-AU"/>
              </w:rPr>
              <w:noBreakHyphen/>
            </w:r>
            <w:r w:rsidRPr="00B03906">
              <w:rPr>
                <w:rFonts w:ascii="Calibri" w:eastAsiaTheme="minorEastAsia" w:hAnsi="Calibri" w:cs="Calibri"/>
                <w:sz w:val="21"/>
                <w:szCs w:val="22"/>
                <w:lang w:eastAsia="en-AU"/>
              </w:rPr>
              <w:t>financial liabilities (including payables, provisions)</w:t>
            </w:r>
          </w:p>
        </w:tc>
        <w:tc>
          <w:tcPr>
            <w:tcW w:w="1115"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0.1</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 xml:space="preserve"> 385.6</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 xml:space="preserve"> 110.1</w:t>
            </w:r>
          </w:p>
        </w:tc>
        <w:tc>
          <w:tcPr>
            <w:tcW w:w="1120" w:type="dxa"/>
            <w:gridSpan w:val="3"/>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 xml:space="preserve"> 385.7</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B03906">
              <w:rPr>
                <w:rFonts w:ascii="Calibri" w:eastAsiaTheme="minorEastAsia" w:hAnsi="Calibri" w:cs="Calibri"/>
                <w:sz w:val="21"/>
                <w:szCs w:val="22"/>
                <w:lang w:eastAsia="en-AU"/>
              </w:rPr>
              <w:t xml:space="preserve"> 110.2</w:t>
            </w:r>
          </w:p>
        </w:tc>
      </w:tr>
      <w:tr w:rsidR="00336793" w:rsidRPr="00B03906" w:rsidTr="00DF0B96">
        <w:tc>
          <w:tcPr>
            <w:tcW w:w="5337" w:type="dxa"/>
            <w:gridSpan w:val="2"/>
            <w:tcBorders>
              <w:top w:val="nil"/>
              <w:left w:val="nil"/>
              <w:bottom w:val="nil"/>
              <w:right w:val="nil"/>
            </w:tcBorders>
          </w:tcPr>
          <w:p w:rsidR="00336793" w:rsidRPr="00B03906" w:rsidRDefault="00336793" w:rsidP="00DF0B96">
            <w:pPr>
              <w:autoSpaceDE w:val="0"/>
              <w:autoSpaceDN w:val="0"/>
              <w:adjustRightInd w:val="0"/>
              <w:spacing w:after="0"/>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Total non</w:t>
            </w:r>
            <w:r>
              <w:rPr>
                <w:rFonts w:ascii="Calibri" w:eastAsiaTheme="minorEastAsia" w:hAnsi="Calibri" w:cs="Calibri"/>
                <w:b/>
                <w:bCs/>
                <w:sz w:val="21"/>
                <w:szCs w:val="22"/>
                <w:lang w:eastAsia="en-AU"/>
              </w:rPr>
              <w:noBreakHyphen/>
            </w:r>
            <w:r w:rsidRPr="00B03906">
              <w:rPr>
                <w:rFonts w:ascii="Calibri" w:eastAsiaTheme="minorEastAsia" w:hAnsi="Calibri" w:cs="Calibri"/>
                <w:b/>
                <w:bCs/>
                <w:sz w:val="21"/>
                <w:szCs w:val="22"/>
                <w:lang w:eastAsia="en-AU"/>
              </w:rPr>
              <w:t>current liabilities</w:t>
            </w:r>
          </w:p>
        </w:tc>
        <w:tc>
          <w:tcPr>
            <w:tcW w:w="1393"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0.</w:t>
            </w:r>
            <w:r>
              <w:rPr>
                <w:rFonts w:ascii="Calibri" w:eastAsiaTheme="minorEastAsia" w:hAnsi="Calibri" w:cs="Calibri"/>
                <w:b/>
                <w:bCs/>
                <w:sz w:val="21"/>
                <w:szCs w:val="22"/>
                <w:lang w:eastAsia="en-AU"/>
              </w:rPr>
              <w:t>1</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Pr>
                <w:rFonts w:ascii="Calibri" w:eastAsiaTheme="minorEastAsia" w:hAnsi="Calibri" w:cs="Calibri"/>
                <w:b/>
                <w:bCs/>
                <w:sz w:val="21"/>
                <w:szCs w:val="22"/>
                <w:lang w:eastAsia="en-AU"/>
              </w:rPr>
              <w:t>0.1</w:t>
            </w:r>
          </w:p>
        </w:tc>
        <w:tc>
          <w:tcPr>
            <w:tcW w:w="1120" w:type="dxa"/>
            <w:gridSpan w:val="2"/>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385.6</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110.1</w:t>
            </w:r>
          </w:p>
        </w:tc>
        <w:tc>
          <w:tcPr>
            <w:tcW w:w="1120" w:type="dxa"/>
            <w:gridSpan w:val="3"/>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385.7</w:t>
            </w:r>
          </w:p>
        </w:tc>
        <w:tc>
          <w:tcPr>
            <w:tcW w:w="1120" w:type="dxa"/>
            <w:tcBorders>
              <w:top w:val="nil"/>
              <w:left w:val="nil"/>
              <w:bottom w:val="nil"/>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110.2</w:t>
            </w:r>
          </w:p>
        </w:tc>
      </w:tr>
      <w:tr w:rsidR="00336793" w:rsidRPr="00B03906" w:rsidTr="00DF0B96">
        <w:tc>
          <w:tcPr>
            <w:tcW w:w="5337" w:type="dxa"/>
            <w:gridSpan w:val="2"/>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Total liabilities</w:t>
            </w:r>
          </w:p>
        </w:tc>
        <w:tc>
          <w:tcPr>
            <w:tcW w:w="1393" w:type="dxa"/>
            <w:gridSpan w:val="2"/>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w:t>
            </w:r>
          </w:p>
        </w:tc>
        <w:tc>
          <w:tcPr>
            <w:tcW w:w="1120" w:type="dxa"/>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w:t>
            </w:r>
          </w:p>
        </w:tc>
        <w:tc>
          <w:tcPr>
            <w:tcW w:w="1120" w:type="dxa"/>
            <w:gridSpan w:val="2"/>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0.7</w:t>
            </w:r>
          </w:p>
        </w:tc>
        <w:tc>
          <w:tcPr>
            <w:tcW w:w="1120" w:type="dxa"/>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1.6</w:t>
            </w:r>
          </w:p>
        </w:tc>
        <w:tc>
          <w:tcPr>
            <w:tcW w:w="1120" w:type="dxa"/>
            <w:gridSpan w:val="2"/>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471.6</w:t>
            </w:r>
          </w:p>
        </w:tc>
        <w:tc>
          <w:tcPr>
            <w:tcW w:w="1120" w:type="dxa"/>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164.6</w:t>
            </w:r>
          </w:p>
        </w:tc>
        <w:tc>
          <w:tcPr>
            <w:tcW w:w="1120" w:type="dxa"/>
            <w:gridSpan w:val="3"/>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472.3</w:t>
            </w:r>
          </w:p>
        </w:tc>
        <w:tc>
          <w:tcPr>
            <w:tcW w:w="1120" w:type="dxa"/>
            <w:tcBorders>
              <w:top w:val="single" w:sz="6" w:space="0" w:color="auto"/>
              <w:left w:val="nil"/>
              <w:bottom w:val="single" w:sz="6" w:space="0" w:color="auto"/>
              <w:right w:val="nil"/>
            </w:tcBorders>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166.2</w:t>
            </w:r>
          </w:p>
        </w:tc>
      </w:tr>
      <w:tr w:rsidR="00336793" w:rsidRPr="00B03906" w:rsidTr="00DF0B96">
        <w:tc>
          <w:tcPr>
            <w:tcW w:w="5337" w:type="dxa"/>
            <w:gridSpan w:val="2"/>
            <w:tcBorders>
              <w:top w:val="single" w:sz="6" w:space="0" w:color="auto"/>
              <w:left w:val="nil"/>
              <w:bottom w:val="single" w:sz="12" w:space="0" w:color="000000"/>
              <w:right w:val="nil"/>
            </w:tcBorders>
            <w:shd w:val="clear" w:color="auto" w:fill="auto"/>
          </w:tcPr>
          <w:p w:rsidR="00336793" w:rsidRPr="00B03906" w:rsidRDefault="00336793" w:rsidP="00DF0B96">
            <w:pPr>
              <w:autoSpaceDE w:val="0"/>
              <w:autoSpaceDN w:val="0"/>
              <w:adjustRightInd w:val="0"/>
              <w:spacing w:after="0"/>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Net assets</w:t>
            </w:r>
          </w:p>
        </w:tc>
        <w:tc>
          <w:tcPr>
            <w:tcW w:w="1393" w:type="dxa"/>
            <w:gridSpan w:val="2"/>
            <w:tcBorders>
              <w:top w:val="single" w:sz="6" w:space="0" w:color="auto"/>
              <w:left w:val="nil"/>
              <w:bottom w:val="single" w:sz="12" w:space="0" w:color="000000"/>
              <w:right w:val="nil"/>
            </w:tcBorders>
            <w:shd w:val="clear" w:color="auto" w:fill="auto"/>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35.0</w:t>
            </w:r>
          </w:p>
        </w:tc>
        <w:tc>
          <w:tcPr>
            <w:tcW w:w="1120" w:type="dxa"/>
            <w:tcBorders>
              <w:top w:val="single" w:sz="6" w:space="0" w:color="auto"/>
              <w:left w:val="nil"/>
              <w:bottom w:val="single" w:sz="12" w:space="0" w:color="000000"/>
              <w:right w:val="nil"/>
            </w:tcBorders>
            <w:shd w:val="clear" w:color="auto" w:fill="auto"/>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35.0</w:t>
            </w:r>
          </w:p>
        </w:tc>
        <w:tc>
          <w:tcPr>
            <w:tcW w:w="1120" w:type="dxa"/>
            <w:gridSpan w:val="2"/>
            <w:tcBorders>
              <w:top w:val="single" w:sz="6" w:space="0" w:color="auto"/>
              <w:left w:val="nil"/>
              <w:bottom w:val="single" w:sz="12" w:space="0" w:color="000000"/>
              <w:right w:val="nil"/>
            </w:tcBorders>
            <w:shd w:val="clear" w:color="auto" w:fill="auto"/>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9.6</w:t>
            </w:r>
          </w:p>
        </w:tc>
        <w:tc>
          <w:tcPr>
            <w:tcW w:w="1120" w:type="dxa"/>
            <w:tcBorders>
              <w:top w:val="single" w:sz="6" w:space="0" w:color="auto"/>
              <w:left w:val="nil"/>
              <w:bottom w:val="single" w:sz="12" w:space="0" w:color="000000"/>
              <w:right w:val="nil"/>
            </w:tcBorders>
            <w:shd w:val="clear" w:color="auto" w:fill="auto"/>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 xml:space="preserve"> 9.0</w:t>
            </w:r>
          </w:p>
        </w:tc>
        <w:tc>
          <w:tcPr>
            <w:tcW w:w="1120" w:type="dxa"/>
            <w:gridSpan w:val="2"/>
            <w:tcBorders>
              <w:top w:val="single" w:sz="6" w:space="0" w:color="auto"/>
              <w:left w:val="nil"/>
              <w:bottom w:val="single" w:sz="12" w:space="0" w:color="000000"/>
              <w:right w:val="nil"/>
            </w:tcBorders>
            <w:shd w:val="clear" w:color="auto" w:fill="auto"/>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1 976.2</w:t>
            </w:r>
          </w:p>
        </w:tc>
        <w:tc>
          <w:tcPr>
            <w:tcW w:w="1120" w:type="dxa"/>
            <w:tcBorders>
              <w:top w:val="single" w:sz="6" w:space="0" w:color="auto"/>
              <w:left w:val="nil"/>
              <w:bottom w:val="single" w:sz="12" w:space="0" w:color="000000"/>
              <w:right w:val="nil"/>
            </w:tcBorders>
            <w:shd w:val="clear" w:color="auto" w:fill="auto"/>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1 511.0</w:t>
            </w:r>
          </w:p>
        </w:tc>
        <w:tc>
          <w:tcPr>
            <w:tcW w:w="1120" w:type="dxa"/>
            <w:gridSpan w:val="3"/>
            <w:tcBorders>
              <w:top w:val="single" w:sz="6" w:space="0" w:color="auto"/>
              <w:left w:val="nil"/>
              <w:bottom w:val="single" w:sz="12" w:space="0" w:color="000000"/>
              <w:right w:val="nil"/>
            </w:tcBorders>
            <w:shd w:val="clear" w:color="auto" w:fill="auto"/>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B03906">
              <w:rPr>
                <w:rFonts w:ascii="Calibri" w:eastAsiaTheme="minorEastAsia" w:hAnsi="Calibri" w:cs="Calibri"/>
                <w:b/>
                <w:bCs/>
                <w:sz w:val="21"/>
                <w:szCs w:val="22"/>
                <w:lang w:eastAsia="en-AU"/>
              </w:rPr>
              <w:t>2 020.8</w:t>
            </w:r>
          </w:p>
        </w:tc>
        <w:tc>
          <w:tcPr>
            <w:tcW w:w="1120" w:type="dxa"/>
            <w:tcBorders>
              <w:top w:val="single" w:sz="6" w:space="0" w:color="auto"/>
              <w:left w:val="nil"/>
              <w:bottom w:val="single" w:sz="12" w:space="0" w:color="000000"/>
              <w:right w:val="nil"/>
            </w:tcBorders>
            <w:shd w:val="clear" w:color="auto" w:fill="auto"/>
          </w:tcPr>
          <w:p w:rsidR="00336793" w:rsidRPr="00B03906"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Pr>
                <w:rFonts w:ascii="Calibri" w:eastAsiaTheme="minorEastAsia" w:hAnsi="Calibri" w:cs="Calibri"/>
                <w:b/>
                <w:bCs/>
                <w:sz w:val="21"/>
                <w:szCs w:val="22"/>
                <w:lang w:eastAsia="en-AU"/>
              </w:rPr>
              <w:t>1 555.1</w:t>
            </w:r>
          </w:p>
        </w:tc>
      </w:tr>
    </w:tbl>
    <w:p w:rsidR="00336793" w:rsidRPr="00C227D5" w:rsidRDefault="00336793" w:rsidP="00DF0B96">
      <w:pPr>
        <w:pStyle w:val="4ptline"/>
      </w:pPr>
    </w:p>
    <w:tbl>
      <w:tblPr>
        <w:tblW w:w="14577" w:type="dxa"/>
        <w:tblInd w:w="28" w:type="dxa"/>
        <w:tblLayout w:type="fixed"/>
        <w:tblCellMar>
          <w:left w:w="43" w:type="dxa"/>
          <w:right w:w="43" w:type="dxa"/>
        </w:tblCellMar>
        <w:tblLook w:val="0000" w:firstRow="0" w:lastRow="0" w:firstColumn="0" w:lastColumn="0" w:noHBand="0" w:noVBand="0"/>
      </w:tblPr>
      <w:tblGrid>
        <w:gridCol w:w="5343"/>
        <w:gridCol w:w="1168"/>
        <w:gridCol w:w="227"/>
        <w:gridCol w:w="1107"/>
        <w:gridCol w:w="1125"/>
        <w:gridCol w:w="18"/>
        <w:gridCol w:w="1107"/>
        <w:gridCol w:w="1107"/>
        <w:gridCol w:w="18"/>
        <w:gridCol w:w="1107"/>
        <w:gridCol w:w="1125"/>
        <w:gridCol w:w="1125"/>
      </w:tblGrid>
      <w:tr w:rsidR="00336793" w:rsidRPr="00DB1F98" w:rsidTr="00DB1F98">
        <w:tc>
          <w:tcPr>
            <w:tcW w:w="6511" w:type="dxa"/>
            <w:gridSpan w:val="2"/>
            <w:tcBorders>
              <w:top w:val="single" w:sz="6" w:space="0" w:color="auto"/>
              <w:left w:val="single" w:sz="6" w:space="0" w:color="auto"/>
              <w:bottom w:val="single" w:sz="6" w:space="0" w:color="auto"/>
              <w:right w:val="nil"/>
            </w:tcBorders>
            <w:shd w:val="clear" w:color="000000" w:fill="000000"/>
          </w:tcPr>
          <w:p w:rsidR="00336793" w:rsidRPr="00DB1F98" w:rsidRDefault="00336793" w:rsidP="00DF0B96">
            <w:pPr>
              <w:pStyle w:val="Tabletextheading"/>
              <w:jc w:val="left"/>
              <w:rPr>
                <w:rFonts w:eastAsiaTheme="minorEastAsia"/>
                <w:color w:val="FFFFFF"/>
                <w:sz w:val="21"/>
                <w:lang w:eastAsia="en-AU"/>
              </w:rPr>
            </w:pPr>
            <w:r w:rsidRPr="00DB1F98">
              <w:rPr>
                <w:rFonts w:eastAsiaTheme="minorEastAsia"/>
                <w:color w:val="FFFFFF"/>
                <w:sz w:val="21"/>
                <w:lang w:eastAsia="en-AU"/>
              </w:rPr>
              <w:t xml:space="preserve">Summarised operating statement for the financial year ending 30 June </w:t>
            </w:r>
          </w:p>
        </w:tc>
        <w:tc>
          <w:tcPr>
            <w:tcW w:w="227" w:type="dxa"/>
            <w:tcBorders>
              <w:top w:val="single" w:sz="6" w:space="0" w:color="auto"/>
              <w:left w:val="nil"/>
              <w:bottom w:val="single" w:sz="6" w:space="0" w:color="auto"/>
              <w:right w:val="nil"/>
            </w:tcBorders>
            <w:shd w:val="clear" w:color="000000" w:fill="000000"/>
          </w:tcPr>
          <w:p w:rsidR="00336793" w:rsidRPr="00DB1F98" w:rsidRDefault="00336793" w:rsidP="00DF0B96">
            <w:pPr>
              <w:pStyle w:val="Tabletextheading"/>
              <w:rPr>
                <w:rFonts w:eastAsiaTheme="minorEastAsia"/>
                <w:color w:val="FFFFFF"/>
                <w:sz w:val="21"/>
                <w:lang w:eastAsia="en-AU"/>
              </w:rPr>
            </w:pPr>
            <w:r w:rsidRPr="00DB1F98">
              <w:rPr>
                <w:rFonts w:eastAsiaTheme="minorEastAsia"/>
                <w:color w:val="FFFFFF"/>
                <w:sz w:val="21"/>
                <w:lang w:eastAsia="en-AU"/>
              </w:rPr>
              <w:t xml:space="preserve"> </w:t>
            </w:r>
          </w:p>
        </w:tc>
        <w:tc>
          <w:tcPr>
            <w:tcW w:w="1107" w:type="dxa"/>
            <w:tcBorders>
              <w:top w:val="single" w:sz="6" w:space="0" w:color="auto"/>
              <w:left w:val="nil"/>
              <w:bottom w:val="single" w:sz="6" w:space="0" w:color="auto"/>
              <w:right w:val="nil"/>
            </w:tcBorders>
            <w:shd w:val="clear" w:color="000000" w:fill="000000"/>
          </w:tcPr>
          <w:p w:rsidR="00336793" w:rsidRPr="00DB1F98" w:rsidRDefault="00336793" w:rsidP="00DF0B96">
            <w:pPr>
              <w:pStyle w:val="Tabletextheading"/>
              <w:rPr>
                <w:rFonts w:eastAsiaTheme="minorEastAsia"/>
                <w:color w:val="FFFFFF"/>
                <w:sz w:val="21"/>
                <w:lang w:eastAsia="en-AU"/>
              </w:rPr>
            </w:pPr>
            <w:r w:rsidRPr="00DB1F98">
              <w:rPr>
                <w:rFonts w:eastAsiaTheme="minorEastAsia"/>
                <w:color w:val="FFFFFF"/>
                <w:sz w:val="21"/>
                <w:lang w:eastAsia="en-AU"/>
              </w:rPr>
              <w:t xml:space="preserve"> </w:t>
            </w:r>
          </w:p>
        </w:tc>
        <w:tc>
          <w:tcPr>
            <w:tcW w:w="1125" w:type="dxa"/>
            <w:tcBorders>
              <w:top w:val="single" w:sz="6" w:space="0" w:color="auto"/>
              <w:left w:val="nil"/>
              <w:bottom w:val="single" w:sz="6" w:space="0" w:color="auto"/>
              <w:right w:val="nil"/>
            </w:tcBorders>
            <w:shd w:val="clear" w:color="000000" w:fill="000000"/>
          </w:tcPr>
          <w:p w:rsidR="00336793" w:rsidRPr="00DB1F98" w:rsidRDefault="00336793" w:rsidP="00DF0B96">
            <w:pPr>
              <w:pStyle w:val="Tabletextheading"/>
              <w:rPr>
                <w:rFonts w:eastAsiaTheme="minorEastAsia"/>
                <w:color w:val="FFFFFF"/>
                <w:sz w:val="21"/>
                <w:lang w:eastAsia="en-AU"/>
              </w:rPr>
            </w:pPr>
            <w:r w:rsidRPr="00DB1F98">
              <w:rPr>
                <w:rFonts w:eastAsiaTheme="minorEastAsia"/>
                <w:color w:val="FFFFFF"/>
                <w:sz w:val="21"/>
                <w:lang w:eastAsia="en-AU"/>
              </w:rPr>
              <w:t xml:space="preserve"> </w:t>
            </w:r>
          </w:p>
        </w:tc>
        <w:tc>
          <w:tcPr>
            <w:tcW w:w="1125" w:type="dxa"/>
            <w:gridSpan w:val="2"/>
            <w:tcBorders>
              <w:top w:val="single" w:sz="6" w:space="0" w:color="auto"/>
              <w:left w:val="nil"/>
              <w:bottom w:val="single" w:sz="6" w:space="0" w:color="auto"/>
              <w:right w:val="nil"/>
            </w:tcBorders>
            <w:shd w:val="clear" w:color="000000" w:fill="000000"/>
          </w:tcPr>
          <w:p w:rsidR="00336793" w:rsidRPr="00DB1F98" w:rsidRDefault="00336793" w:rsidP="00DF0B96">
            <w:pPr>
              <w:pStyle w:val="Tabletextheading"/>
              <w:rPr>
                <w:rFonts w:eastAsiaTheme="minorEastAsia"/>
                <w:color w:val="FFFFFF"/>
                <w:sz w:val="21"/>
                <w:lang w:eastAsia="en-AU"/>
              </w:rPr>
            </w:pPr>
            <w:r w:rsidRPr="00DB1F98">
              <w:rPr>
                <w:rFonts w:eastAsiaTheme="minorEastAsia"/>
                <w:color w:val="FFFFFF"/>
                <w:sz w:val="21"/>
                <w:lang w:eastAsia="en-AU"/>
              </w:rPr>
              <w:t xml:space="preserve"> </w:t>
            </w:r>
          </w:p>
        </w:tc>
        <w:tc>
          <w:tcPr>
            <w:tcW w:w="1107" w:type="dxa"/>
            <w:tcBorders>
              <w:top w:val="single" w:sz="6" w:space="0" w:color="auto"/>
              <w:left w:val="nil"/>
              <w:bottom w:val="single" w:sz="6" w:space="0" w:color="auto"/>
              <w:right w:val="nil"/>
            </w:tcBorders>
            <w:shd w:val="clear" w:color="000000" w:fill="000000"/>
          </w:tcPr>
          <w:p w:rsidR="00336793" w:rsidRPr="00DB1F98" w:rsidRDefault="00336793" w:rsidP="00DF0B96">
            <w:pPr>
              <w:pStyle w:val="Tabletextheading"/>
              <w:rPr>
                <w:rFonts w:eastAsiaTheme="minorEastAsia"/>
                <w:color w:val="FFFFFF"/>
                <w:sz w:val="21"/>
                <w:lang w:eastAsia="en-AU"/>
              </w:rPr>
            </w:pPr>
            <w:r w:rsidRPr="00DB1F98">
              <w:rPr>
                <w:rFonts w:eastAsiaTheme="minorEastAsia"/>
                <w:color w:val="FFFFFF"/>
                <w:sz w:val="21"/>
                <w:lang w:eastAsia="en-AU"/>
              </w:rPr>
              <w:t xml:space="preserve"> </w:t>
            </w:r>
          </w:p>
        </w:tc>
        <w:tc>
          <w:tcPr>
            <w:tcW w:w="1125" w:type="dxa"/>
            <w:gridSpan w:val="2"/>
            <w:tcBorders>
              <w:top w:val="single" w:sz="6" w:space="0" w:color="auto"/>
              <w:left w:val="nil"/>
              <w:bottom w:val="single" w:sz="6" w:space="0" w:color="auto"/>
              <w:right w:val="nil"/>
            </w:tcBorders>
            <w:shd w:val="clear" w:color="000000" w:fill="000000"/>
          </w:tcPr>
          <w:p w:rsidR="00336793" w:rsidRPr="00DB1F98" w:rsidRDefault="00336793" w:rsidP="00DF0B96">
            <w:pPr>
              <w:pStyle w:val="Tabletextheading"/>
              <w:rPr>
                <w:rFonts w:eastAsiaTheme="minorEastAsia"/>
                <w:color w:val="FFFFFF"/>
                <w:sz w:val="21"/>
                <w:lang w:eastAsia="en-AU"/>
              </w:rPr>
            </w:pPr>
          </w:p>
        </w:tc>
        <w:tc>
          <w:tcPr>
            <w:tcW w:w="1125" w:type="dxa"/>
            <w:tcBorders>
              <w:top w:val="single" w:sz="6" w:space="0" w:color="auto"/>
              <w:left w:val="nil"/>
              <w:bottom w:val="single" w:sz="6" w:space="0" w:color="auto"/>
              <w:right w:val="nil"/>
            </w:tcBorders>
            <w:shd w:val="clear" w:color="000000" w:fill="000000"/>
          </w:tcPr>
          <w:p w:rsidR="00336793" w:rsidRPr="00DB1F98" w:rsidRDefault="00336793" w:rsidP="00DF0B96">
            <w:pPr>
              <w:pStyle w:val="Tabletextheading"/>
              <w:rPr>
                <w:rFonts w:eastAsiaTheme="minorEastAsia"/>
                <w:color w:val="FFFFFF"/>
                <w:sz w:val="21"/>
                <w:lang w:eastAsia="en-AU"/>
              </w:rPr>
            </w:pPr>
          </w:p>
        </w:tc>
        <w:tc>
          <w:tcPr>
            <w:tcW w:w="1125" w:type="dxa"/>
            <w:tcBorders>
              <w:top w:val="single" w:sz="6" w:space="0" w:color="auto"/>
              <w:left w:val="nil"/>
              <w:bottom w:val="single" w:sz="6" w:space="0" w:color="auto"/>
              <w:right w:val="single" w:sz="6" w:space="0" w:color="auto"/>
            </w:tcBorders>
            <w:shd w:val="clear" w:color="000000" w:fill="000000"/>
          </w:tcPr>
          <w:p w:rsidR="00336793" w:rsidRPr="00DB1F98" w:rsidRDefault="00336793" w:rsidP="00DF0B96">
            <w:pPr>
              <w:pStyle w:val="Tabletextheading"/>
              <w:rPr>
                <w:rFonts w:eastAsiaTheme="minorEastAsia"/>
                <w:color w:val="FFFFFF"/>
                <w:sz w:val="21"/>
                <w:lang w:eastAsia="en-AU"/>
              </w:rPr>
            </w:pPr>
          </w:p>
        </w:tc>
      </w:tr>
      <w:tr w:rsidR="00336793" w:rsidRPr="00DB1F98" w:rsidTr="00DB1F98">
        <w:tc>
          <w:tcPr>
            <w:tcW w:w="5343" w:type="dxa"/>
            <w:tcBorders>
              <w:top w:val="single" w:sz="6" w:space="0" w:color="auto"/>
              <w:left w:val="nil"/>
              <w:bottom w:val="nil"/>
              <w:right w:val="nil"/>
            </w:tcBorders>
          </w:tcPr>
          <w:p w:rsidR="00336793" w:rsidRPr="00DB1F98" w:rsidRDefault="00336793" w:rsidP="00DF0B96">
            <w:pPr>
              <w:autoSpaceDE w:val="0"/>
              <w:autoSpaceDN w:val="0"/>
              <w:adjustRightInd w:val="0"/>
              <w:spacing w:after="0"/>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Revenue from transactions</w:t>
            </w:r>
          </w:p>
        </w:tc>
        <w:tc>
          <w:tcPr>
            <w:tcW w:w="1395" w:type="dxa"/>
            <w:gridSpan w:val="2"/>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07" w:type="dxa"/>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25" w:type="dxa"/>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color w:val="000000"/>
                <w:sz w:val="21"/>
                <w:szCs w:val="22"/>
                <w:lang w:eastAsia="en-AU"/>
              </w:rPr>
              <w:t>1.2)</w:t>
            </w:r>
          </w:p>
        </w:tc>
        <w:tc>
          <w:tcPr>
            <w:tcW w:w="1125" w:type="dxa"/>
            <w:gridSpan w:val="2"/>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sidRPr="00DB1F98">
              <w:rPr>
                <w:rFonts w:ascii="Calibri" w:eastAsiaTheme="minorEastAsia" w:hAnsi="Calibri" w:cs="Calibri"/>
                <w:sz w:val="21"/>
                <w:szCs w:val="22"/>
                <w:lang w:eastAsia="en-AU"/>
              </w:rPr>
              <w:t>..</w:t>
            </w:r>
          </w:p>
        </w:tc>
        <w:tc>
          <w:tcPr>
            <w:tcW w:w="1107" w:type="dxa"/>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25" w:type="dxa"/>
            <w:gridSpan w:val="2"/>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25" w:type="dxa"/>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color w:val="000000"/>
                <w:sz w:val="21"/>
                <w:szCs w:val="22"/>
                <w:lang w:eastAsia="en-AU"/>
              </w:rPr>
              <w:t>1.2)</w:t>
            </w:r>
          </w:p>
        </w:tc>
        <w:tc>
          <w:tcPr>
            <w:tcW w:w="1125" w:type="dxa"/>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sidRPr="00DB1F98">
              <w:rPr>
                <w:rFonts w:ascii="Calibri" w:eastAsiaTheme="minorEastAsia" w:hAnsi="Calibri" w:cs="Calibri"/>
                <w:sz w:val="21"/>
                <w:szCs w:val="22"/>
                <w:lang w:eastAsia="en-AU"/>
              </w:rPr>
              <w:t>..</w:t>
            </w:r>
          </w:p>
        </w:tc>
      </w:tr>
      <w:tr w:rsidR="00336793" w:rsidRPr="00DB1F98" w:rsidTr="00DB1F98">
        <w:tc>
          <w:tcPr>
            <w:tcW w:w="5343" w:type="dxa"/>
            <w:tcBorders>
              <w:top w:val="single" w:sz="6" w:space="0" w:color="auto"/>
              <w:left w:val="nil"/>
              <w:bottom w:val="nil"/>
              <w:right w:val="nil"/>
            </w:tcBorders>
          </w:tcPr>
          <w:p w:rsidR="00336793" w:rsidRPr="00DB1F98" w:rsidRDefault="00336793" w:rsidP="00DF0B96">
            <w:pPr>
              <w:autoSpaceDE w:val="0"/>
              <w:autoSpaceDN w:val="0"/>
              <w:adjustRightInd w:val="0"/>
              <w:spacing w:after="0"/>
              <w:rPr>
                <w:rFonts w:ascii="Calibri" w:eastAsiaTheme="minorEastAsia" w:hAnsi="Calibri" w:cs="Calibri"/>
                <w:b/>
                <w:bCs/>
                <w:sz w:val="21"/>
                <w:szCs w:val="22"/>
                <w:lang w:eastAsia="en-AU"/>
              </w:rPr>
            </w:pPr>
            <w:r w:rsidRPr="00DB1F98">
              <w:rPr>
                <w:rFonts w:ascii="Calibri" w:eastAsiaTheme="minorEastAsia" w:hAnsi="Calibri" w:cs="Calibri"/>
                <w:b/>
                <w:bCs/>
                <w:sz w:val="21"/>
                <w:szCs w:val="22"/>
                <w:lang w:eastAsia="en-AU"/>
              </w:rPr>
              <w:t>Total income from transactions</w:t>
            </w:r>
          </w:p>
        </w:tc>
        <w:tc>
          <w:tcPr>
            <w:tcW w:w="1395" w:type="dxa"/>
            <w:gridSpan w:val="2"/>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07" w:type="dxa"/>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25" w:type="dxa"/>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sz w:val="21"/>
                <w:szCs w:val="22"/>
                <w:lang w:eastAsia="en-AU"/>
              </w:rPr>
              <w:t>5.1</w:t>
            </w:r>
            <w:r w:rsidRPr="00DB1F98">
              <w:rPr>
                <w:rFonts w:ascii="Calibri" w:eastAsiaTheme="minorEastAsia" w:hAnsi="Calibri" w:cs="Calibri"/>
                <w:color w:val="000000"/>
                <w:sz w:val="21"/>
                <w:szCs w:val="22"/>
                <w:lang w:eastAsia="en-AU"/>
              </w:rPr>
              <w:t>)</w:t>
            </w:r>
          </w:p>
        </w:tc>
        <w:tc>
          <w:tcPr>
            <w:tcW w:w="1125" w:type="dxa"/>
            <w:gridSpan w:val="2"/>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sz w:val="21"/>
                <w:szCs w:val="22"/>
                <w:lang w:eastAsia="en-AU"/>
              </w:rPr>
              <w:t>3.5</w:t>
            </w:r>
            <w:r w:rsidRPr="00DB1F98">
              <w:rPr>
                <w:rFonts w:ascii="Calibri" w:eastAsiaTheme="minorEastAsia" w:hAnsi="Calibri" w:cs="Calibri"/>
                <w:color w:val="000000"/>
                <w:sz w:val="21"/>
                <w:szCs w:val="22"/>
                <w:lang w:eastAsia="en-AU"/>
              </w:rPr>
              <w:t>)</w:t>
            </w:r>
          </w:p>
        </w:tc>
        <w:tc>
          <w:tcPr>
            <w:tcW w:w="1107" w:type="dxa"/>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sz w:val="21"/>
                <w:szCs w:val="22"/>
                <w:lang w:eastAsia="en-AU"/>
              </w:rPr>
              <w:t>29.6</w:t>
            </w:r>
            <w:r w:rsidRPr="00DB1F98">
              <w:rPr>
                <w:rFonts w:ascii="Calibri" w:eastAsiaTheme="minorEastAsia" w:hAnsi="Calibri" w:cs="Calibri"/>
                <w:color w:val="000000"/>
                <w:sz w:val="21"/>
                <w:szCs w:val="22"/>
                <w:lang w:eastAsia="en-AU"/>
              </w:rPr>
              <w:t>)</w:t>
            </w:r>
          </w:p>
        </w:tc>
        <w:tc>
          <w:tcPr>
            <w:tcW w:w="1125" w:type="dxa"/>
            <w:gridSpan w:val="2"/>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 xml:space="preserve"> 141.8</w:t>
            </w:r>
          </w:p>
        </w:tc>
        <w:tc>
          <w:tcPr>
            <w:tcW w:w="1125" w:type="dxa"/>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sz w:val="21"/>
                <w:szCs w:val="22"/>
                <w:lang w:eastAsia="en-AU"/>
              </w:rPr>
              <w:t>34.7</w:t>
            </w:r>
            <w:r w:rsidRPr="00DB1F98">
              <w:rPr>
                <w:rFonts w:ascii="Calibri" w:eastAsiaTheme="minorEastAsia" w:hAnsi="Calibri" w:cs="Calibri"/>
                <w:color w:val="000000"/>
                <w:sz w:val="21"/>
                <w:szCs w:val="22"/>
                <w:lang w:eastAsia="en-AU"/>
              </w:rPr>
              <w:t>)</w:t>
            </w:r>
          </w:p>
        </w:tc>
        <w:tc>
          <w:tcPr>
            <w:tcW w:w="1125" w:type="dxa"/>
            <w:tcBorders>
              <w:top w:val="single" w:sz="6"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 xml:space="preserve"> 138.4</w:t>
            </w:r>
          </w:p>
        </w:tc>
      </w:tr>
      <w:tr w:rsidR="00336793" w:rsidRPr="00DB1F98" w:rsidTr="00DB1F98">
        <w:tc>
          <w:tcPr>
            <w:tcW w:w="5343" w:type="dxa"/>
            <w:tcBorders>
              <w:top w:val="nil"/>
              <w:left w:val="nil"/>
              <w:bottom w:val="nil"/>
              <w:right w:val="nil"/>
            </w:tcBorders>
          </w:tcPr>
          <w:p w:rsidR="00336793" w:rsidRPr="00DB1F98" w:rsidRDefault="00336793" w:rsidP="00DF0B96">
            <w:pPr>
              <w:autoSpaceDE w:val="0"/>
              <w:autoSpaceDN w:val="0"/>
              <w:adjustRightInd w:val="0"/>
              <w:spacing w:after="0"/>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Net result from continuing operation</w:t>
            </w:r>
          </w:p>
        </w:tc>
        <w:tc>
          <w:tcPr>
            <w:tcW w:w="1395" w:type="dxa"/>
            <w:gridSpan w:val="2"/>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07" w:type="dxa"/>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25" w:type="dxa"/>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color w:val="000000"/>
                <w:sz w:val="21"/>
                <w:szCs w:val="22"/>
                <w:lang w:eastAsia="en-AU"/>
              </w:rPr>
              <w:t>5.1)</w:t>
            </w:r>
          </w:p>
        </w:tc>
        <w:tc>
          <w:tcPr>
            <w:tcW w:w="1125" w:type="dxa"/>
            <w:gridSpan w:val="2"/>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color w:val="000000"/>
                <w:sz w:val="21"/>
                <w:szCs w:val="22"/>
                <w:lang w:eastAsia="en-AU"/>
              </w:rPr>
              <w:t>3.5)</w:t>
            </w:r>
          </w:p>
        </w:tc>
        <w:tc>
          <w:tcPr>
            <w:tcW w:w="1107" w:type="dxa"/>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color w:val="000000"/>
                <w:sz w:val="21"/>
                <w:szCs w:val="22"/>
                <w:lang w:eastAsia="en-AU"/>
              </w:rPr>
              <w:t>29.6)</w:t>
            </w:r>
          </w:p>
        </w:tc>
        <w:tc>
          <w:tcPr>
            <w:tcW w:w="1125" w:type="dxa"/>
            <w:gridSpan w:val="2"/>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sidRPr="00DB1F98">
              <w:rPr>
                <w:rFonts w:ascii="Calibri" w:eastAsiaTheme="minorEastAsia" w:hAnsi="Calibri" w:cs="Calibri"/>
                <w:sz w:val="21"/>
                <w:szCs w:val="22"/>
                <w:lang w:eastAsia="en-AU"/>
              </w:rPr>
              <w:t xml:space="preserve"> 141.8</w:t>
            </w:r>
          </w:p>
        </w:tc>
        <w:tc>
          <w:tcPr>
            <w:tcW w:w="1125" w:type="dxa"/>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color w:val="000000"/>
                <w:sz w:val="21"/>
                <w:szCs w:val="22"/>
                <w:lang w:eastAsia="en-AU"/>
              </w:rPr>
              <w:t>34.7)</w:t>
            </w:r>
          </w:p>
        </w:tc>
        <w:tc>
          <w:tcPr>
            <w:tcW w:w="1125" w:type="dxa"/>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sidRPr="00DB1F98">
              <w:rPr>
                <w:rFonts w:ascii="Calibri" w:eastAsiaTheme="minorEastAsia" w:hAnsi="Calibri" w:cs="Calibri"/>
                <w:sz w:val="21"/>
                <w:szCs w:val="22"/>
                <w:lang w:eastAsia="en-AU"/>
              </w:rPr>
              <w:t xml:space="preserve"> 138.4</w:t>
            </w:r>
          </w:p>
        </w:tc>
      </w:tr>
      <w:tr w:rsidR="00336793" w:rsidRPr="00DB1F98" w:rsidTr="00DB1F98">
        <w:tc>
          <w:tcPr>
            <w:tcW w:w="5343" w:type="dxa"/>
            <w:tcBorders>
              <w:top w:val="nil"/>
              <w:left w:val="nil"/>
              <w:bottom w:val="nil"/>
              <w:right w:val="nil"/>
            </w:tcBorders>
          </w:tcPr>
          <w:p w:rsidR="00336793" w:rsidRPr="00DB1F98" w:rsidRDefault="00336793" w:rsidP="00DF0B96">
            <w:pPr>
              <w:autoSpaceDE w:val="0"/>
              <w:autoSpaceDN w:val="0"/>
              <w:adjustRightInd w:val="0"/>
              <w:spacing w:after="0"/>
              <w:rPr>
                <w:rFonts w:ascii="Calibri" w:eastAsiaTheme="minorEastAsia" w:hAnsi="Calibri" w:cs="Calibri"/>
                <w:color w:val="000000"/>
                <w:sz w:val="21"/>
                <w:szCs w:val="22"/>
                <w:lang w:eastAsia="en-AU"/>
              </w:rPr>
            </w:pPr>
            <w:r w:rsidRPr="00DB1F98">
              <w:rPr>
                <w:rFonts w:ascii="Calibri" w:eastAsiaTheme="minorEastAsia" w:hAnsi="Calibri" w:cs="Calibri"/>
                <w:sz w:val="21"/>
                <w:szCs w:val="22"/>
                <w:lang w:eastAsia="en-AU"/>
              </w:rPr>
              <w:t xml:space="preserve">Net result </w:t>
            </w:r>
            <w:r w:rsidRPr="00DB1F98">
              <w:rPr>
                <w:rFonts w:ascii="Calibri" w:eastAsiaTheme="minorEastAsia" w:hAnsi="Calibri" w:cs="Calibri"/>
                <w:color w:val="000000"/>
                <w:sz w:val="21"/>
                <w:szCs w:val="22"/>
                <w:lang w:eastAsia="en-AU"/>
              </w:rPr>
              <w:t>from discontinuing operation</w:t>
            </w:r>
          </w:p>
        </w:tc>
        <w:tc>
          <w:tcPr>
            <w:tcW w:w="1395" w:type="dxa"/>
            <w:gridSpan w:val="2"/>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07" w:type="dxa"/>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25" w:type="dxa"/>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25" w:type="dxa"/>
            <w:gridSpan w:val="2"/>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07" w:type="dxa"/>
            <w:tcBorders>
              <w:top w:val="nil"/>
              <w:left w:val="nil"/>
              <w:bottom w:val="nil"/>
              <w:right w:val="nil"/>
            </w:tcBorders>
          </w:tcPr>
          <w:p w:rsidR="00336793" w:rsidRPr="00DB1F98" w:rsidRDefault="00336793" w:rsidP="00DB1F98">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25" w:type="dxa"/>
            <w:gridSpan w:val="2"/>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25" w:type="dxa"/>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25" w:type="dxa"/>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r>
      <w:tr w:rsidR="00336793" w:rsidRPr="00DB1F98" w:rsidTr="00DB1F98">
        <w:tc>
          <w:tcPr>
            <w:tcW w:w="5343"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rPr>
                <w:rFonts w:ascii="Calibri" w:eastAsiaTheme="minorEastAsia" w:hAnsi="Calibri" w:cs="Calibri"/>
                <w:b/>
                <w:bCs/>
                <w:sz w:val="21"/>
                <w:szCs w:val="22"/>
                <w:lang w:eastAsia="en-AU"/>
              </w:rPr>
            </w:pPr>
            <w:r w:rsidRPr="00DB1F98">
              <w:rPr>
                <w:rFonts w:ascii="Calibri" w:eastAsiaTheme="minorEastAsia" w:hAnsi="Calibri" w:cs="Calibri"/>
                <w:b/>
                <w:bCs/>
                <w:sz w:val="21"/>
                <w:szCs w:val="22"/>
                <w:lang w:eastAsia="en-AU"/>
              </w:rPr>
              <w:t>Net result</w:t>
            </w:r>
          </w:p>
        </w:tc>
        <w:tc>
          <w:tcPr>
            <w:tcW w:w="1395" w:type="dxa"/>
            <w:gridSpan w:val="2"/>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DB1F98">
              <w:rPr>
                <w:rFonts w:ascii="Calibri" w:eastAsiaTheme="minorEastAsia" w:hAnsi="Calibri" w:cs="Calibri"/>
                <w:b/>
                <w:bCs/>
                <w:sz w:val="21"/>
                <w:szCs w:val="22"/>
                <w:lang w:eastAsia="en-AU"/>
              </w:rPr>
              <w:t>..</w:t>
            </w:r>
          </w:p>
        </w:tc>
        <w:tc>
          <w:tcPr>
            <w:tcW w:w="1107"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DB1F98">
              <w:rPr>
                <w:rFonts w:ascii="Calibri" w:eastAsiaTheme="minorEastAsia" w:hAnsi="Calibri" w:cs="Calibri"/>
                <w:b/>
                <w:bCs/>
                <w:sz w:val="21"/>
                <w:szCs w:val="22"/>
                <w:lang w:eastAsia="en-AU"/>
              </w:rPr>
              <w:t>..</w:t>
            </w:r>
          </w:p>
        </w:tc>
        <w:tc>
          <w:tcPr>
            <w:tcW w:w="1125"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Pr>
                <w:rFonts w:ascii="Calibri" w:eastAsiaTheme="minorEastAsia" w:hAnsi="Calibri" w:cs="Calibri"/>
                <w:b/>
                <w:bCs/>
                <w:sz w:val="21"/>
                <w:szCs w:val="22"/>
                <w:lang w:eastAsia="en-AU"/>
              </w:rPr>
              <w:t>(</w:t>
            </w:r>
            <w:r w:rsidRPr="00DB1F98">
              <w:rPr>
                <w:rFonts w:ascii="Calibri" w:eastAsiaTheme="minorEastAsia" w:hAnsi="Calibri" w:cs="Calibri"/>
                <w:b/>
                <w:bCs/>
                <w:color w:val="000000"/>
                <w:sz w:val="21"/>
                <w:szCs w:val="22"/>
                <w:lang w:eastAsia="en-AU"/>
              </w:rPr>
              <w:t>5.1)</w:t>
            </w:r>
          </w:p>
        </w:tc>
        <w:tc>
          <w:tcPr>
            <w:tcW w:w="1125" w:type="dxa"/>
            <w:gridSpan w:val="2"/>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b/>
                <w:bCs/>
                <w:sz w:val="21"/>
                <w:szCs w:val="22"/>
                <w:lang w:eastAsia="en-AU"/>
              </w:rPr>
              <w:t>(</w:t>
            </w:r>
            <w:r w:rsidRPr="00DB1F98">
              <w:rPr>
                <w:rFonts w:ascii="Calibri" w:eastAsiaTheme="minorEastAsia" w:hAnsi="Calibri" w:cs="Calibri"/>
                <w:b/>
                <w:bCs/>
                <w:sz w:val="21"/>
                <w:szCs w:val="22"/>
                <w:lang w:eastAsia="en-AU"/>
              </w:rPr>
              <w:t>3.5</w:t>
            </w:r>
            <w:r w:rsidRPr="00DB1F98">
              <w:rPr>
                <w:rFonts w:ascii="Calibri" w:eastAsiaTheme="minorEastAsia" w:hAnsi="Calibri" w:cs="Calibri"/>
                <w:b/>
                <w:bCs/>
                <w:color w:val="000000"/>
                <w:sz w:val="21"/>
                <w:szCs w:val="22"/>
                <w:lang w:eastAsia="en-AU"/>
              </w:rPr>
              <w:t>)</w:t>
            </w:r>
          </w:p>
        </w:tc>
        <w:tc>
          <w:tcPr>
            <w:tcW w:w="1107"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Pr>
                <w:rFonts w:ascii="Calibri" w:eastAsiaTheme="minorEastAsia" w:hAnsi="Calibri" w:cs="Calibri"/>
                <w:b/>
                <w:bCs/>
                <w:sz w:val="21"/>
                <w:szCs w:val="22"/>
                <w:lang w:eastAsia="en-AU"/>
              </w:rPr>
              <w:t>(</w:t>
            </w:r>
            <w:r w:rsidRPr="00DB1F98">
              <w:rPr>
                <w:rFonts w:ascii="Calibri" w:eastAsiaTheme="minorEastAsia" w:hAnsi="Calibri" w:cs="Calibri"/>
                <w:b/>
                <w:bCs/>
                <w:sz w:val="21"/>
                <w:szCs w:val="22"/>
                <w:lang w:eastAsia="en-AU"/>
              </w:rPr>
              <w:t>29.6</w:t>
            </w:r>
            <w:r w:rsidRPr="00DB1F98">
              <w:rPr>
                <w:rFonts w:ascii="Calibri" w:eastAsiaTheme="minorEastAsia" w:hAnsi="Calibri" w:cs="Calibri"/>
                <w:b/>
                <w:bCs/>
                <w:color w:val="000000"/>
                <w:sz w:val="21"/>
                <w:szCs w:val="22"/>
                <w:lang w:eastAsia="en-AU"/>
              </w:rPr>
              <w:t>)</w:t>
            </w:r>
          </w:p>
        </w:tc>
        <w:tc>
          <w:tcPr>
            <w:tcW w:w="1125" w:type="dxa"/>
            <w:gridSpan w:val="2"/>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DB1F98">
              <w:rPr>
                <w:rFonts w:ascii="Calibri" w:eastAsiaTheme="minorEastAsia" w:hAnsi="Calibri" w:cs="Calibri"/>
                <w:b/>
                <w:bCs/>
                <w:sz w:val="21"/>
                <w:szCs w:val="22"/>
                <w:lang w:eastAsia="en-AU"/>
              </w:rPr>
              <w:t xml:space="preserve"> 141.8</w:t>
            </w:r>
          </w:p>
        </w:tc>
        <w:tc>
          <w:tcPr>
            <w:tcW w:w="1125"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Pr>
                <w:rFonts w:ascii="Calibri" w:eastAsiaTheme="minorEastAsia" w:hAnsi="Calibri" w:cs="Calibri"/>
                <w:b/>
                <w:bCs/>
                <w:sz w:val="21"/>
                <w:szCs w:val="22"/>
                <w:lang w:eastAsia="en-AU"/>
              </w:rPr>
              <w:t>(</w:t>
            </w:r>
            <w:r w:rsidRPr="00DB1F98">
              <w:rPr>
                <w:rFonts w:ascii="Calibri" w:eastAsiaTheme="minorEastAsia" w:hAnsi="Calibri" w:cs="Calibri"/>
                <w:b/>
                <w:bCs/>
                <w:sz w:val="21"/>
                <w:szCs w:val="22"/>
                <w:lang w:eastAsia="en-AU"/>
              </w:rPr>
              <w:t>34.7</w:t>
            </w:r>
            <w:r w:rsidRPr="00DB1F98">
              <w:rPr>
                <w:rFonts w:ascii="Calibri" w:eastAsiaTheme="minorEastAsia" w:hAnsi="Calibri" w:cs="Calibri"/>
                <w:b/>
                <w:bCs/>
                <w:color w:val="000000"/>
                <w:sz w:val="21"/>
                <w:szCs w:val="22"/>
                <w:lang w:eastAsia="en-AU"/>
              </w:rPr>
              <w:t>)</w:t>
            </w:r>
          </w:p>
        </w:tc>
        <w:tc>
          <w:tcPr>
            <w:tcW w:w="1125"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DB1F98">
              <w:rPr>
                <w:rFonts w:ascii="Calibri" w:eastAsiaTheme="minorEastAsia" w:hAnsi="Calibri" w:cs="Calibri"/>
                <w:b/>
                <w:bCs/>
                <w:sz w:val="21"/>
                <w:szCs w:val="22"/>
                <w:lang w:eastAsia="en-AU"/>
              </w:rPr>
              <w:t xml:space="preserve"> 138.4</w:t>
            </w:r>
          </w:p>
        </w:tc>
      </w:tr>
      <w:tr w:rsidR="00336793" w:rsidRPr="00DB1F98" w:rsidTr="00DB1F98">
        <w:tc>
          <w:tcPr>
            <w:tcW w:w="5343" w:type="dxa"/>
            <w:tcBorders>
              <w:top w:val="nil"/>
              <w:left w:val="nil"/>
              <w:bottom w:val="nil"/>
              <w:right w:val="nil"/>
            </w:tcBorders>
          </w:tcPr>
          <w:p w:rsidR="00336793" w:rsidRPr="00DB1F98" w:rsidRDefault="00336793" w:rsidP="00DF0B96">
            <w:pPr>
              <w:autoSpaceDE w:val="0"/>
              <w:autoSpaceDN w:val="0"/>
              <w:adjustRightInd w:val="0"/>
              <w:spacing w:after="0"/>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Other economic flows</w:t>
            </w:r>
            <w:r>
              <w:rPr>
                <w:rFonts w:ascii="Calibri" w:eastAsiaTheme="minorEastAsia" w:hAnsi="Calibri" w:cs="Calibri"/>
                <w:sz w:val="21"/>
                <w:szCs w:val="22"/>
                <w:lang w:eastAsia="en-AU"/>
              </w:rPr>
              <w:t xml:space="preserve"> – </w:t>
            </w:r>
            <w:r w:rsidRPr="00DB1F98">
              <w:rPr>
                <w:rFonts w:ascii="Calibri" w:eastAsiaTheme="minorEastAsia" w:hAnsi="Calibri" w:cs="Calibri"/>
                <w:sz w:val="21"/>
                <w:szCs w:val="22"/>
                <w:lang w:eastAsia="en-AU"/>
              </w:rPr>
              <w:t>other comprehensive income</w:t>
            </w:r>
          </w:p>
        </w:tc>
        <w:tc>
          <w:tcPr>
            <w:tcW w:w="1395" w:type="dxa"/>
            <w:gridSpan w:val="2"/>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DB1F98">
              <w:rPr>
                <w:rFonts w:ascii="Calibri" w:eastAsiaTheme="minorEastAsia" w:hAnsi="Calibri" w:cs="Calibri"/>
                <w:b/>
                <w:bCs/>
                <w:sz w:val="21"/>
                <w:szCs w:val="22"/>
                <w:lang w:eastAsia="en-AU"/>
              </w:rPr>
              <w:t>..</w:t>
            </w:r>
          </w:p>
        </w:tc>
        <w:tc>
          <w:tcPr>
            <w:tcW w:w="1107" w:type="dxa"/>
            <w:tcBorders>
              <w:top w:val="nil"/>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DB1F98">
              <w:rPr>
                <w:rFonts w:ascii="Calibri" w:eastAsiaTheme="minorEastAsia" w:hAnsi="Calibri" w:cs="Calibri"/>
                <w:b/>
                <w:bCs/>
                <w:sz w:val="21"/>
                <w:szCs w:val="22"/>
                <w:lang w:eastAsia="en-AU"/>
              </w:rPr>
              <w:t>..</w:t>
            </w:r>
          </w:p>
        </w:tc>
        <w:tc>
          <w:tcPr>
            <w:tcW w:w="1125" w:type="dxa"/>
            <w:tcBorders>
              <w:top w:val="single" w:sz="12"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4.5</w:t>
            </w:r>
          </w:p>
        </w:tc>
        <w:tc>
          <w:tcPr>
            <w:tcW w:w="1125" w:type="dxa"/>
            <w:gridSpan w:val="2"/>
            <w:tcBorders>
              <w:top w:val="single" w:sz="12"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sz w:val="21"/>
                <w:szCs w:val="22"/>
                <w:lang w:eastAsia="en-AU"/>
              </w:rPr>
              <w:t>1.9</w:t>
            </w:r>
            <w:r w:rsidRPr="00DB1F98">
              <w:rPr>
                <w:rFonts w:ascii="Calibri" w:eastAsiaTheme="minorEastAsia" w:hAnsi="Calibri" w:cs="Calibri"/>
                <w:color w:val="000000"/>
                <w:sz w:val="21"/>
                <w:szCs w:val="22"/>
                <w:lang w:eastAsia="en-AU"/>
              </w:rPr>
              <w:t>)</w:t>
            </w:r>
          </w:p>
        </w:tc>
        <w:tc>
          <w:tcPr>
            <w:tcW w:w="1107" w:type="dxa"/>
            <w:tcBorders>
              <w:top w:val="single" w:sz="12"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 xml:space="preserve"> 539.7</w:t>
            </w:r>
          </w:p>
        </w:tc>
        <w:tc>
          <w:tcPr>
            <w:tcW w:w="1125" w:type="dxa"/>
            <w:gridSpan w:val="2"/>
            <w:tcBorders>
              <w:top w:val="single" w:sz="12"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sz w:val="21"/>
                <w:szCs w:val="22"/>
                <w:lang w:eastAsia="en-AU"/>
              </w:rPr>
              <w:t>175.0</w:t>
            </w:r>
            <w:r w:rsidRPr="00DB1F98">
              <w:rPr>
                <w:rFonts w:ascii="Calibri" w:eastAsiaTheme="minorEastAsia" w:hAnsi="Calibri" w:cs="Calibri"/>
                <w:color w:val="000000"/>
                <w:sz w:val="21"/>
                <w:szCs w:val="22"/>
                <w:lang w:eastAsia="en-AU"/>
              </w:rPr>
              <w:t>)</w:t>
            </w:r>
          </w:p>
        </w:tc>
        <w:tc>
          <w:tcPr>
            <w:tcW w:w="1125" w:type="dxa"/>
            <w:tcBorders>
              <w:top w:val="single" w:sz="12"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 xml:space="preserve"> 544.2</w:t>
            </w:r>
          </w:p>
        </w:tc>
        <w:tc>
          <w:tcPr>
            <w:tcW w:w="1125" w:type="dxa"/>
            <w:tcBorders>
              <w:top w:val="single" w:sz="12" w:space="0" w:color="auto"/>
              <w:left w:val="nil"/>
              <w:bottom w:val="nil"/>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sz w:val="21"/>
                <w:szCs w:val="22"/>
                <w:lang w:eastAsia="en-AU"/>
              </w:rPr>
              <w:t>176.9</w:t>
            </w:r>
            <w:r w:rsidRPr="00DB1F98">
              <w:rPr>
                <w:rFonts w:ascii="Calibri" w:eastAsiaTheme="minorEastAsia" w:hAnsi="Calibri" w:cs="Calibri"/>
                <w:color w:val="000000"/>
                <w:sz w:val="21"/>
                <w:szCs w:val="22"/>
                <w:lang w:eastAsia="en-AU"/>
              </w:rPr>
              <w:t>)</w:t>
            </w:r>
          </w:p>
        </w:tc>
      </w:tr>
      <w:tr w:rsidR="00336793" w:rsidRPr="00DB1F98" w:rsidTr="00DB1F98">
        <w:tc>
          <w:tcPr>
            <w:tcW w:w="5343" w:type="dxa"/>
            <w:tcBorders>
              <w:top w:val="nil"/>
              <w:left w:val="nil"/>
              <w:bottom w:val="single" w:sz="6" w:space="0" w:color="auto"/>
              <w:right w:val="nil"/>
            </w:tcBorders>
          </w:tcPr>
          <w:p w:rsidR="00336793" w:rsidRPr="00DB1F98" w:rsidRDefault="00336793" w:rsidP="00DF0B96">
            <w:pPr>
              <w:autoSpaceDE w:val="0"/>
              <w:autoSpaceDN w:val="0"/>
              <w:adjustRightInd w:val="0"/>
              <w:spacing w:after="0"/>
              <w:rPr>
                <w:rFonts w:ascii="Calibri" w:eastAsiaTheme="minorEastAsia" w:hAnsi="Calibri" w:cs="Calibri"/>
                <w:color w:val="000000"/>
                <w:sz w:val="21"/>
                <w:szCs w:val="22"/>
                <w:lang w:eastAsia="en-AU"/>
              </w:rPr>
            </w:pPr>
            <w:r w:rsidRPr="00DB1F98">
              <w:rPr>
                <w:rFonts w:ascii="Calibri" w:eastAsiaTheme="minorEastAsia" w:hAnsi="Calibri" w:cs="Calibri"/>
                <w:sz w:val="21"/>
                <w:szCs w:val="22"/>
                <w:lang w:eastAsia="en-AU"/>
              </w:rPr>
              <w:t xml:space="preserve">Dividends received from </w:t>
            </w:r>
            <w:r w:rsidRPr="00DB1F98">
              <w:rPr>
                <w:rFonts w:ascii="Calibri" w:eastAsiaTheme="minorEastAsia" w:hAnsi="Calibri" w:cs="Calibri"/>
                <w:color w:val="000000"/>
                <w:sz w:val="21"/>
                <w:szCs w:val="22"/>
                <w:lang w:eastAsia="en-AU"/>
              </w:rPr>
              <w:t>associate during the year</w:t>
            </w:r>
          </w:p>
        </w:tc>
        <w:tc>
          <w:tcPr>
            <w:tcW w:w="1395" w:type="dxa"/>
            <w:gridSpan w:val="2"/>
            <w:tcBorders>
              <w:top w:val="nil"/>
              <w:left w:val="nil"/>
              <w:bottom w:val="single" w:sz="6"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DB1F98">
              <w:rPr>
                <w:rFonts w:ascii="Calibri" w:eastAsiaTheme="minorEastAsia" w:hAnsi="Calibri" w:cs="Calibri"/>
                <w:b/>
                <w:bCs/>
                <w:sz w:val="21"/>
                <w:szCs w:val="22"/>
                <w:lang w:eastAsia="en-AU"/>
              </w:rPr>
              <w:t>..</w:t>
            </w:r>
          </w:p>
        </w:tc>
        <w:tc>
          <w:tcPr>
            <w:tcW w:w="1107" w:type="dxa"/>
            <w:tcBorders>
              <w:top w:val="nil"/>
              <w:left w:val="nil"/>
              <w:bottom w:val="single" w:sz="6"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DB1F98">
              <w:rPr>
                <w:rFonts w:ascii="Calibri" w:eastAsiaTheme="minorEastAsia" w:hAnsi="Calibri" w:cs="Calibri"/>
                <w:b/>
                <w:bCs/>
                <w:sz w:val="21"/>
                <w:szCs w:val="22"/>
                <w:lang w:eastAsia="en-AU"/>
              </w:rPr>
              <w:t>..</w:t>
            </w:r>
          </w:p>
        </w:tc>
        <w:tc>
          <w:tcPr>
            <w:tcW w:w="1125" w:type="dxa"/>
            <w:tcBorders>
              <w:top w:val="nil"/>
              <w:left w:val="nil"/>
              <w:bottom w:val="single" w:sz="6"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25" w:type="dxa"/>
            <w:gridSpan w:val="2"/>
            <w:tcBorders>
              <w:top w:val="nil"/>
              <w:left w:val="nil"/>
              <w:bottom w:val="single" w:sz="6"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DB1F98">
              <w:rPr>
                <w:rFonts w:ascii="Calibri" w:eastAsiaTheme="minorEastAsia" w:hAnsi="Calibri" w:cs="Calibri"/>
                <w:sz w:val="21"/>
                <w:szCs w:val="22"/>
                <w:lang w:eastAsia="en-AU"/>
              </w:rPr>
              <w:t>..</w:t>
            </w:r>
          </w:p>
        </w:tc>
        <w:tc>
          <w:tcPr>
            <w:tcW w:w="1107" w:type="dxa"/>
            <w:tcBorders>
              <w:top w:val="nil"/>
              <w:left w:val="nil"/>
              <w:bottom w:val="single" w:sz="6"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sz w:val="21"/>
                <w:szCs w:val="22"/>
                <w:lang w:eastAsia="en-AU"/>
              </w:rPr>
              <w:t>45.0</w:t>
            </w:r>
            <w:r w:rsidRPr="00DB1F98">
              <w:rPr>
                <w:rFonts w:ascii="Calibri" w:eastAsiaTheme="minorEastAsia" w:hAnsi="Calibri" w:cs="Calibri"/>
                <w:color w:val="000000"/>
                <w:sz w:val="21"/>
                <w:szCs w:val="22"/>
                <w:lang w:eastAsia="en-AU"/>
              </w:rPr>
              <w:t>)</w:t>
            </w:r>
          </w:p>
        </w:tc>
        <w:tc>
          <w:tcPr>
            <w:tcW w:w="1125" w:type="dxa"/>
            <w:gridSpan w:val="2"/>
            <w:tcBorders>
              <w:top w:val="nil"/>
              <w:left w:val="nil"/>
              <w:bottom w:val="single" w:sz="6"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sz w:val="21"/>
                <w:szCs w:val="22"/>
                <w:lang w:eastAsia="en-AU"/>
              </w:rPr>
              <w:t>72.5</w:t>
            </w:r>
            <w:r w:rsidRPr="00DB1F98">
              <w:rPr>
                <w:rFonts w:ascii="Calibri" w:eastAsiaTheme="minorEastAsia" w:hAnsi="Calibri" w:cs="Calibri"/>
                <w:color w:val="000000"/>
                <w:sz w:val="21"/>
                <w:szCs w:val="22"/>
                <w:lang w:eastAsia="en-AU"/>
              </w:rPr>
              <w:t>)</w:t>
            </w:r>
          </w:p>
        </w:tc>
        <w:tc>
          <w:tcPr>
            <w:tcW w:w="1125" w:type="dxa"/>
            <w:tcBorders>
              <w:top w:val="nil"/>
              <w:left w:val="nil"/>
              <w:bottom w:val="single" w:sz="6"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sz w:val="21"/>
                <w:szCs w:val="22"/>
                <w:lang w:eastAsia="en-AU"/>
              </w:rPr>
              <w:t>45.0</w:t>
            </w:r>
            <w:r w:rsidRPr="00DB1F98">
              <w:rPr>
                <w:rFonts w:ascii="Calibri" w:eastAsiaTheme="minorEastAsia" w:hAnsi="Calibri" w:cs="Calibri"/>
                <w:color w:val="000000"/>
                <w:sz w:val="21"/>
                <w:szCs w:val="22"/>
                <w:lang w:eastAsia="en-AU"/>
              </w:rPr>
              <w:t>)</w:t>
            </w:r>
          </w:p>
        </w:tc>
        <w:tc>
          <w:tcPr>
            <w:tcW w:w="1125" w:type="dxa"/>
            <w:tcBorders>
              <w:top w:val="nil"/>
              <w:left w:val="nil"/>
              <w:bottom w:val="single" w:sz="6"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Pr>
                <w:rFonts w:ascii="Calibri" w:eastAsiaTheme="minorEastAsia" w:hAnsi="Calibri" w:cs="Calibri"/>
                <w:sz w:val="21"/>
                <w:szCs w:val="22"/>
                <w:lang w:eastAsia="en-AU"/>
              </w:rPr>
              <w:t>(</w:t>
            </w:r>
            <w:r w:rsidRPr="00DB1F98">
              <w:rPr>
                <w:rFonts w:ascii="Calibri" w:eastAsiaTheme="minorEastAsia" w:hAnsi="Calibri" w:cs="Calibri"/>
                <w:sz w:val="21"/>
                <w:szCs w:val="22"/>
                <w:lang w:eastAsia="en-AU"/>
              </w:rPr>
              <w:t>72.5</w:t>
            </w:r>
            <w:r w:rsidRPr="00DB1F98">
              <w:rPr>
                <w:rFonts w:ascii="Calibri" w:eastAsiaTheme="minorEastAsia" w:hAnsi="Calibri" w:cs="Calibri"/>
                <w:color w:val="000000"/>
                <w:sz w:val="21"/>
                <w:szCs w:val="22"/>
                <w:lang w:eastAsia="en-AU"/>
              </w:rPr>
              <w:t>)</w:t>
            </w:r>
          </w:p>
        </w:tc>
      </w:tr>
      <w:tr w:rsidR="00336793" w:rsidRPr="00DB1F98" w:rsidTr="00DB1F98">
        <w:trPr>
          <w:trHeight w:val="322"/>
        </w:trPr>
        <w:tc>
          <w:tcPr>
            <w:tcW w:w="5343"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rPr>
                <w:rFonts w:ascii="Calibri" w:eastAsiaTheme="minorEastAsia" w:hAnsi="Calibri" w:cs="Calibri"/>
                <w:b/>
                <w:bCs/>
                <w:color w:val="000000"/>
                <w:sz w:val="21"/>
                <w:szCs w:val="22"/>
                <w:lang w:eastAsia="en-AU"/>
              </w:rPr>
            </w:pPr>
            <w:r w:rsidRPr="00DB1F98">
              <w:rPr>
                <w:rFonts w:ascii="Calibri" w:eastAsiaTheme="minorEastAsia" w:hAnsi="Calibri" w:cs="Calibri"/>
                <w:b/>
                <w:bCs/>
                <w:color w:val="000000"/>
                <w:sz w:val="21"/>
                <w:szCs w:val="22"/>
                <w:lang w:eastAsia="en-AU"/>
              </w:rPr>
              <w:t>Total comprehensive income</w:t>
            </w:r>
          </w:p>
        </w:tc>
        <w:tc>
          <w:tcPr>
            <w:tcW w:w="1395" w:type="dxa"/>
            <w:gridSpan w:val="2"/>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sidRPr="00DB1F98">
              <w:rPr>
                <w:rFonts w:ascii="Calibri" w:eastAsiaTheme="minorEastAsia" w:hAnsi="Calibri" w:cs="Calibri"/>
                <w:b/>
                <w:bCs/>
                <w:color w:val="000000"/>
                <w:sz w:val="21"/>
                <w:szCs w:val="22"/>
                <w:lang w:eastAsia="en-AU"/>
              </w:rPr>
              <w:t>..</w:t>
            </w:r>
          </w:p>
        </w:tc>
        <w:tc>
          <w:tcPr>
            <w:tcW w:w="1107"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sidRPr="00DB1F98">
              <w:rPr>
                <w:rFonts w:ascii="Calibri" w:eastAsiaTheme="minorEastAsia" w:hAnsi="Calibri" w:cs="Calibri"/>
                <w:b/>
                <w:bCs/>
                <w:color w:val="000000"/>
                <w:sz w:val="21"/>
                <w:szCs w:val="22"/>
                <w:lang w:eastAsia="en-AU"/>
              </w:rPr>
              <w:t>..</w:t>
            </w:r>
          </w:p>
        </w:tc>
        <w:tc>
          <w:tcPr>
            <w:tcW w:w="1143" w:type="dxa"/>
            <w:gridSpan w:val="2"/>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Pr>
                <w:rFonts w:ascii="Calibri" w:eastAsiaTheme="minorEastAsia" w:hAnsi="Calibri" w:cs="Calibri"/>
                <w:b/>
                <w:bCs/>
                <w:color w:val="000000"/>
                <w:sz w:val="21"/>
                <w:szCs w:val="22"/>
                <w:lang w:eastAsia="en-AU"/>
              </w:rPr>
              <w:t>(</w:t>
            </w:r>
            <w:r w:rsidRPr="00DB1F98">
              <w:rPr>
                <w:rFonts w:ascii="Calibri" w:eastAsiaTheme="minorEastAsia" w:hAnsi="Calibri" w:cs="Calibri"/>
                <w:b/>
                <w:bCs/>
                <w:color w:val="000000"/>
                <w:sz w:val="21"/>
                <w:szCs w:val="22"/>
                <w:lang w:eastAsia="en-AU"/>
              </w:rPr>
              <w:t>0.5)</w:t>
            </w:r>
          </w:p>
        </w:tc>
        <w:tc>
          <w:tcPr>
            <w:tcW w:w="1107"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Pr>
                <w:rFonts w:ascii="Calibri" w:eastAsiaTheme="minorEastAsia" w:hAnsi="Calibri" w:cs="Calibri"/>
                <w:b/>
                <w:bCs/>
                <w:color w:val="000000"/>
                <w:sz w:val="21"/>
                <w:szCs w:val="22"/>
                <w:lang w:eastAsia="en-AU"/>
              </w:rPr>
              <w:t>(</w:t>
            </w:r>
            <w:r w:rsidRPr="00DB1F98">
              <w:rPr>
                <w:rFonts w:ascii="Calibri" w:eastAsiaTheme="minorEastAsia" w:hAnsi="Calibri" w:cs="Calibri"/>
                <w:b/>
                <w:bCs/>
                <w:color w:val="000000"/>
                <w:sz w:val="21"/>
                <w:szCs w:val="22"/>
                <w:lang w:eastAsia="en-AU"/>
              </w:rPr>
              <w:t>5.4)</w:t>
            </w:r>
          </w:p>
        </w:tc>
        <w:tc>
          <w:tcPr>
            <w:tcW w:w="1125" w:type="dxa"/>
            <w:gridSpan w:val="2"/>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sidRPr="00DB1F98">
              <w:rPr>
                <w:rFonts w:ascii="Calibri" w:eastAsiaTheme="minorEastAsia" w:hAnsi="Calibri" w:cs="Calibri"/>
                <w:b/>
                <w:bCs/>
                <w:color w:val="000000"/>
                <w:sz w:val="21"/>
                <w:szCs w:val="22"/>
                <w:lang w:eastAsia="en-AU"/>
              </w:rPr>
              <w:t xml:space="preserve"> 465.2</w:t>
            </w:r>
          </w:p>
        </w:tc>
        <w:tc>
          <w:tcPr>
            <w:tcW w:w="1107"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Pr>
                <w:rFonts w:ascii="Calibri" w:eastAsiaTheme="minorEastAsia" w:hAnsi="Calibri" w:cs="Calibri"/>
                <w:b/>
                <w:bCs/>
                <w:color w:val="000000"/>
                <w:sz w:val="21"/>
                <w:szCs w:val="22"/>
                <w:lang w:eastAsia="en-AU"/>
              </w:rPr>
              <w:t>(</w:t>
            </w:r>
            <w:r w:rsidRPr="00DB1F98">
              <w:rPr>
                <w:rFonts w:ascii="Calibri" w:eastAsiaTheme="minorEastAsia" w:hAnsi="Calibri" w:cs="Calibri"/>
                <w:b/>
                <w:bCs/>
                <w:color w:val="000000"/>
                <w:sz w:val="21"/>
                <w:szCs w:val="22"/>
                <w:lang w:eastAsia="en-AU"/>
              </w:rPr>
              <w:t>105.7)</w:t>
            </w:r>
          </w:p>
        </w:tc>
        <w:tc>
          <w:tcPr>
            <w:tcW w:w="1125"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sidRPr="00DB1F98">
              <w:rPr>
                <w:rFonts w:ascii="Calibri" w:eastAsiaTheme="minorEastAsia" w:hAnsi="Calibri" w:cs="Calibri"/>
                <w:b/>
                <w:bCs/>
                <w:color w:val="000000"/>
                <w:sz w:val="21"/>
                <w:szCs w:val="22"/>
                <w:lang w:eastAsia="en-AU"/>
              </w:rPr>
              <w:t xml:space="preserve"> 464.7</w:t>
            </w:r>
          </w:p>
        </w:tc>
        <w:tc>
          <w:tcPr>
            <w:tcW w:w="1125" w:type="dxa"/>
            <w:tcBorders>
              <w:top w:val="single" w:sz="6" w:space="0" w:color="auto"/>
              <w:left w:val="nil"/>
              <w:bottom w:val="single" w:sz="12" w:space="0" w:color="auto"/>
              <w:right w:val="nil"/>
            </w:tcBorders>
          </w:tcPr>
          <w:p w:rsidR="00336793" w:rsidRPr="00DB1F98"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Pr>
                <w:rFonts w:ascii="Calibri" w:eastAsiaTheme="minorEastAsia" w:hAnsi="Calibri" w:cs="Calibri"/>
                <w:b/>
                <w:bCs/>
                <w:color w:val="000000"/>
                <w:sz w:val="21"/>
                <w:szCs w:val="22"/>
                <w:lang w:eastAsia="en-AU"/>
              </w:rPr>
              <w:t>(</w:t>
            </w:r>
            <w:r w:rsidRPr="00DB1F98">
              <w:rPr>
                <w:rFonts w:ascii="Calibri" w:eastAsiaTheme="minorEastAsia" w:hAnsi="Calibri" w:cs="Calibri"/>
                <w:b/>
                <w:bCs/>
                <w:color w:val="000000"/>
                <w:sz w:val="21"/>
                <w:szCs w:val="22"/>
                <w:lang w:eastAsia="en-AU"/>
              </w:rPr>
              <w:t>111.1)</w:t>
            </w:r>
          </w:p>
        </w:tc>
      </w:tr>
    </w:tbl>
    <w:p w:rsidR="00336793" w:rsidRPr="006A75A2" w:rsidRDefault="00336793" w:rsidP="00DF0B96">
      <w:pPr>
        <w:pStyle w:val="Notes"/>
      </w:pPr>
      <w:r w:rsidRPr="006A75A2">
        <w:t>Note:</w:t>
      </w:r>
    </w:p>
    <w:p w:rsidR="00336793" w:rsidRDefault="00336793" w:rsidP="00DF0B96">
      <w:pPr>
        <w:pStyle w:val="Notes"/>
        <w:rPr>
          <w:sz w:val="20"/>
          <w:szCs w:val="18"/>
        </w:rPr>
      </w:pPr>
      <w:r>
        <w:t>(a)</w:t>
      </w:r>
      <w:r>
        <w:tab/>
        <w:t>June 2014 comparatives have been restated to reflect more current information.</w:t>
      </w:r>
    </w:p>
    <w:p w:rsidR="00336793" w:rsidRDefault="00336793" w:rsidP="00DF0B96"/>
    <w:p w:rsidR="00336793" w:rsidRDefault="00336793" w:rsidP="00DF0B96">
      <w:pPr>
        <w:sectPr w:rsidR="00336793" w:rsidSect="00DF0B96">
          <w:headerReference w:type="even" r:id="rId64"/>
          <w:headerReference w:type="default" r:id="rId65"/>
          <w:footerReference w:type="even" r:id="rId66"/>
          <w:footerReference w:type="default" r:id="rId67"/>
          <w:pgSz w:w="16838" w:h="11906" w:orient="landscape" w:code="9"/>
          <w:pgMar w:top="1152" w:right="1152" w:bottom="1152" w:left="1152" w:header="720" w:footer="720" w:gutter="0"/>
          <w:cols w:space="708"/>
          <w:docGrid w:linePitch="360"/>
        </w:sectPr>
      </w:pPr>
    </w:p>
    <w:p w:rsidR="00336793" w:rsidRPr="006A75A2" w:rsidRDefault="00336793" w:rsidP="00DF0B96">
      <w:pPr>
        <w:pStyle w:val="Heading2NotesContd"/>
        <w:rPr>
          <w:i/>
          <w:kern w:val="0"/>
        </w:rPr>
      </w:pPr>
      <w:r w:rsidRPr="006A75A2">
        <w:rPr>
          <w:kern w:val="0"/>
        </w:rPr>
        <w:lastRenderedPageBreak/>
        <w:t>Note 18:</w:t>
      </w:r>
      <w:r w:rsidRPr="006A75A2">
        <w:rPr>
          <w:kern w:val="0"/>
        </w:rPr>
        <w:tab/>
        <w:t xml:space="preserve">Joint ventures </w:t>
      </w:r>
      <w:r w:rsidRPr="006A75A2">
        <w:rPr>
          <w:i/>
          <w:kern w:val="0"/>
        </w:rPr>
        <w:t>(continued)</w:t>
      </w:r>
    </w:p>
    <w:p w:rsidR="00336793" w:rsidRPr="009D593D" w:rsidRDefault="00336793" w:rsidP="00DF0B96">
      <w:pPr>
        <w:pStyle w:val="Heading5"/>
      </w:pPr>
      <w:r w:rsidRPr="006A75A2">
        <w:t>(b)</w:t>
      </w:r>
      <w:r w:rsidRPr="006A75A2">
        <w:tab/>
      </w:r>
      <w:r>
        <w:t>Joint operations</w:t>
      </w:r>
    </w:p>
    <w:p w:rsidR="00336793" w:rsidRPr="006A75A2" w:rsidRDefault="00336793" w:rsidP="00DF0B96">
      <w:pPr>
        <w:pStyle w:val="Heading5a"/>
      </w:pPr>
      <w:r w:rsidRPr="006A75A2">
        <w:t>Royal Melbourne Showgrounds</w:t>
      </w:r>
    </w:p>
    <w:p w:rsidR="00336793" w:rsidRPr="005811FE" w:rsidRDefault="00336793" w:rsidP="00DF0B96">
      <w:pPr>
        <w:spacing w:before="120"/>
      </w:pPr>
      <w:r w:rsidRPr="005811FE">
        <w:t xml:space="preserve">The State entered into a joint venture agreement with the Royal Agricultural Society of Victoria (RASV) in October 2003 to redevelop the Royal Melbourne Showgrounds. </w:t>
      </w:r>
    </w:p>
    <w:p w:rsidR="00336793" w:rsidRDefault="00336793" w:rsidP="00DF0B96">
      <w:pPr>
        <w:spacing w:before="120"/>
      </w:pPr>
      <w:r w:rsidRPr="006A75A2">
        <w:t>The State of Victoria</w:t>
      </w:r>
      <w:r>
        <w:t>’</w:t>
      </w:r>
      <w:r w:rsidRPr="006A75A2">
        <w:t>s interest in the unincorporated joint venture at 30 June 201</w:t>
      </w:r>
      <w:r>
        <w:t>5</w:t>
      </w:r>
      <w:r w:rsidRPr="006A75A2">
        <w:t xml:space="preserve"> </w:t>
      </w:r>
      <w:r w:rsidRPr="005811FE">
        <w:t>was 50.0</w:t>
      </w:r>
      <w:r>
        <w:t> per cent</w:t>
      </w:r>
      <w:r w:rsidRPr="006A75A2">
        <w:t xml:space="preserve"> (50.0</w:t>
      </w:r>
      <w:r>
        <w:t> per cent</w:t>
      </w:r>
      <w:r w:rsidRPr="006A75A2">
        <w:t xml:space="preserve"> in 201</w:t>
      </w:r>
      <w:r>
        <w:t>4</w:t>
      </w:r>
      <w:r w:rsidRPr="006A75A2">
        <w:t>).</w:t>
      </w:r>
      <w:r>
        <w:t xml:space="preserve"> </w:t>
      </w:r>
    </w:p>
    <w:p w:rsidR="00336793" w:rsidRPr="006A75A2" w:rsidRDefault="00336793" w:rsidP="00DF0B96">
      <w:pPr>
        <w:pStyle w:val="Heading5a"/>
      </w:pPr>
      <w:r w:rsidRPr="006A75A2">
        <w:t>AgriBio Project</w:t>
      </w:r>
    </w:p>
    <w:p w:rsidR="00336793" w:rsidRPr="005811FE" w:rsidRDefault="00336793" w:rsidP="00DF0B96">
      <w:pPr>
        <w:spacing w:before="120"/>
      </w:pPr>
      <w:r w:rsidRPr="005811FE">
        <w:t>In April 2008, the State entered into a joint venture agreement with La Trobe University to establish a world class research facility on the university</w:t>
      </w:r>
      <w:r>
        <w:t>’</w:t>
      </w:r>
      <w:r w:rsidRPr="005811FE">
        <w:t xml:space="preserve">s campus in Bundoora. </w:t>
      </w:r>
    </w:p>
    <w:p w:rsidR="00336793" w:rsidRDefault="00336793" w:rsidP="00DF0B96">
      <w:pPr>
        <w:spacing w:before="120"/>
      </w:pPr>
      <w:r w:rsidRPr="006A75A2">
        <w:t>The State of Victoria</w:t>
      </w:r>
      <w:r>
        <w:t>’</w:t>
      </w:r>
      <w:r w:rsidRPr="006A75A2">
        <w:t>s interest in the unincorporated joint venture at 30 June 201</w:t>
      </w:r>
      <w:r>
        <w:t>5</w:t>
      </w:r>
      <w:r w:rsidRPr="006A75A2">
        <w:t xml:space="preserve"> </w:t>
      </w:r>
      <w:r w:rsidRPr="005811FE">
        <w:t>was 75.0</w:t>
      </w:r>
      <w:r>
        <w:t> per cent</w:t>
      </w:r>
      <w:r w:rsidRPr="006A75A2">
        <w:t xml:space="preserve"> (75.0</w:t>
      </w:r>
      <w:r>
        <w:t> per cent</w:t>
      </w:r>
      <w:r w:rsidRPr="006A75A2">
        <w:t xml:space="preserve"> in 201</w:t>
      </w:r>
      <w:r>
        <w:t>4</w:t>
      </w:r>
      <w:r w:rsidRPr="006A75A2">
        <w:t>).</w:t>
      </w:r>
    </w:p>
    <w:p w:rsidR="00336793" w:rsidRPr="006A75A2" w:rsidRDefault="00336793" w:rsidP="00DF0B96">
      <w:pPr>
        <w:pStyle w:val="Heading5a"/>
      </w:pPr>
      <w:r w:rsidRPr="006A75A2">
        <w:t>Murray</w:t>
      </w:r>
      <w:r>
        <w:noBreakHyphen/>
      </w:r>
      <w:r w:rsidRPr="006A75A2">
        <w:t>Darling Basin Authority</w:t>
      </w:r>
    </w:p>
    <w:p w:rsidR="00336793" w:rsidRDefault="00336793" w:rsidP="00DF0B96">
      <w:pPr>
        <w:spacing w:before="120"/>
      </w:pPr>
      <w:r w:rsidRPr="005811FE">
        <w:t xml:space="preserve">The Commonwealth and the basin states – New South Wales, Victoria, Queensland, South Australia and the Australian Capital Territory – signed a Memorandum of Understanding for Murray Darling Basin Reform. The Murray Darling Basin Authority (MDBA) was created by the </w:t>
      </w:r>
      <w:r w:rsidRPr="003E4F9E">
        <w:rPr>
          <w:i/>
        </w:rPr>
        <w:t>Water Act 2007</w:t>
      </w:r>
      <w:r w:rsidRPr="005811FE">
        <w:t xml:space="preserve"> and was established on 3 March 2008, however agreement to the proportional share of assets between the states and Commonwealth did not occur until 2008</w:t>
      </w:r>
      <w:r>
        <w:noBreakHyphen/>
      </w:r>
      <w:r w:rsidRPr="005811FE">
        <w:t xml:space="preserve">09. </w:t>
      </w:r>
    </w:p>
    <w:p w:rsidR="00336793" w:rsidRPr="005811FE" w:rsidRDefault="00336793" w:rsidP="00DF0B96">
      <w:pPr>
        <w:spacing w:before="120"/>
      </w:pPr>
      <w:r w:rsidRPr="005811FE">
        <w:t xml:space="preserve">The joint operators have a joint interest in the infrastructure assets themselves and water rights. </w:t>
      </w:r>
    </w:p>
    <w:p w:rsidR="00336793" w:rsidRDefault="00336793" w:rsidP="00DF0B96">
      <w:r w:rsidRPr="006A75A2">
        <w:t>The share in the individually controlled assets was transferred at transition in the original proportions of the share of the entity held by the individual jurisdictions as follows: New South Wales 26.7</w:t>
      </w:r>
      <w:r>
        <w:t> per cent</w:t>
      </w:r>
      <w:r w:rsidRPr="006A75A2">
        <w:t>; South Australia 26.7</w:t>
      </w:r>
      <w:r>
        <w:t> per cent</w:t>
      </w:r>
      <w:r w:rsidRPr="006A75A2">
        <w:t>; Victoria 26.7</w:t>
      </w:r>
      <w:r>
        <w:t> per cent; the Commonwealth g</w:t>
      </w:r>
      <w:r w:rsidRPr="006A75A2">
        <w:t>overnment 20.0</w:t>
      </w:r>
      <w:r>
        <w:t> per cent</w:t>
      </w:r>
      <w:r w:rsidRPr="006A75A2">
        <w:t>.</w:t>
      </w:r>
      <w:bookmarkStart w:id="73" w:name="_Toc400040266"/>
    </w:p>
    <w:p w:rsidR="00336793" w:rsidRDefault="00336793" w:rsidP="00DF0B96">
      <w:pPr>
        <w:pStyle w:val="Notes"/>
      </w:pPr>
    </w:p>
    <w:p w:rsidR="00336793" w:rsidRPr="006A75A2" w:rsidRDefault="00336793" w:rsidP="00DF0B96">
      <w:pPr>
        <w:pStyle w:val="Notes"/>
      </w:pPr>
    </w:p>
    <w:p w:rsidR="00336793" w:rsidRDefault="00336793">
      <w:pPr>
        <w:spacing w:after="0"/>
        <w:rPr>
          <w:rFonts w:ascii="Calibri" w:hAnsi="Calibri"/>
          <w:b/>
          <w:sz w:val="28"/>
          <w:szCs w:val="22"/>
        </w:rPr>
      </w:pPr>
      <w:r>
        <w:br w:type="page"/>
      </w:r>
    </w:p>
    <w:p w:rsidR="00336793" w:rsidRPr="006A75A2" w:rsidRDefault="00336793" w:rsidP="00DF0B96">
      <w:pPr>
        <w:pStyle w:val="Heading2Notes"/>
        <w:rPr>
          <w:kern w:val="0"/>
        </w:rPr>
      </w:pPr>
      <w:bookmarkStart w:id="74" w:name="_Toc433984502"/>
      <w:bookmarkStart w:id="75" w:name="_Toc400040267"/>
      <w:bookmarkEnd w:id="73"/>
      <w:r w:rsidRPr="006A75A2">
        <w:rPr>
          <w:kern w:val="0"/>
        </w:rPr>
        <w:lastRenderedPageBreak/>
        <w:t>Note 19:</w:t>
      </w:r>
      <w:r w:rsidRPr="006A75A2">
        <w:rPr>
          <w:kern w:val="0"/>
        </w:rPr>
        <w:tab/>
        <w:t>Investments in other sector entities</w:t>
      </w:r>
      <w:bookmarkEnd w:id="74"/>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1120"/>
      </w:tblGrid>
      <w:tr w:rsidR="00336793" w:rsidRPr="00A10A3B" w:rsidTr="00DF0B96">
        <w:trPr>
          <w:tblHeader/>
        </w:trPr>
        <w:tc>
          <w:tcPr>
            <w:tcW w:w="7397"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sz w:val="20"/>
                <w:lang w:eastAsia="en-AU"/>
              </w:rPr>
            </w:pPr>
            <w:r w:rsidRPr="00A10A3B">
              <w:rPr>
                <w:rFonts w:eastAsiaTheme="minorEastAsia"/>
                <w:i/>
                <w:sz w:val="20"/>
                <w:lang w:eastAsia="en-AU"/>
              </w:rPr>
              <w:t xml:space="preserve"> </w:t>
            </w:r>
          </w:p>
        </w:tc>
        <w:tc>
          <w:tcPr>
            <w:tcW w:w="112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2015</w:t>
            </w:r>
          </w:p>
        </w:tc>
        <w:tc>
          <w:tcPr>
            <w:tcW w:w="1120"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2014</w:t>
            </w:r>
          </w:p>
        </w:tc>
      </w:tr>
      <w:tr w:rsidR="00336793" w:rsidRPr="00A10A3B" w:rsidTr="00DF0B96">
        <w:tc>
          <w:tcPr>
            <w:tcW w:w="739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sz w:val="20"/>
                <w:lang w:eastAsia="en-AU"/>
              </w:rPr>
            </w:pPr>
            <w:r w:rsidRPr="00A10A3B">
              <w:rPr>
                <w:rFonts w:eastAsiaTheme="minorEastAsia"/>
                <w:sz w:val="20"/>
                <w:lang w:eastAsia="en-AU"/>
              </w:rPr>
              <w:t>Balance of investment in PNFC and PFC sectors at beginning of period</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75 869.2</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69 714.8</w:t>
            </w:r>
          </w:p>
        </w:tc>
      </w:tr>
      <w:tr w:rsidR="00336793" w:rsidRPr="00A10A3B" w:rsidTr="00DF0B96">
        <w:tc>
          <w:tcPr>
            <w:tcW w:w="7397" w:type="dxa"/>
            <w:tcBorders>
              <w:top w:val="nil"/>
              <w:left w:val="nil"/>
              <w:bottom w:val="nil"/>
              <w:right w:val="nil"/>
            </w:tcBorders>
            <w:shd w:val="solid" w:color="FFFFFF" w:fill="auto"/>
          </w:tcPr>
          <w:p w:rsidR="00336793" w:rsidRPr="00A10A3B" w:rsidRDefault="00336793" w:rsidP="00DF0B96">
            <w:pPr>
              <w:pStyle w:val="Tabletext"/>
              <w:rPr>
                <w:rFonts w:eastAsiaTheme="minorEastAsia"/>
                <w:sz w:val="20"/>
                <w:lang w:eastAsia="en-AU"/>
              </w:rPr>
            </w:pPr>
            <w:r w:rsidRPr="00A10A3B">
              <w:rPr>
                <w:rFonts w:eastAsiaTheme="minorEastAsia"/>
                <w:sz w:val="20"/>
                <w:lang w:eastAsia="en-AU"/>
              </w:rPr>
              <w:t>Net contributions to other sectors by owner</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2 086.2</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2 340.6</w:t>
            </w:r>
          </w:p>
        </w:tc>
      </w:tr>
      <w:tr w:rsidR="00336793" w:rsidRPr="00A10A3B" w:rsidTr="00DF0B96">
        <w:tc>
          <w:tcPr>
            <w:tcW w:w="739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sz w:val="20"/>
                <w:lang w:eastAsia="en-AU"/>
              </w:rPr>
            </w:pPr>
            <w:r w:rsidRPr="00A10A3B">
              <w:rPr>
                <w:rFonts w:eastAsiaTheme="minorEastAsia"/>
                <w:sz w:val="20"/>
                <w:lang w:eastAsia="en-AU"/>
              </w:rPr>
              <w:t>Revaluation gain/(loss) for period</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4 225.6</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3 813.8</w:t>
            </w:r>
          </w:p>
        </w:tc>
      </w:tr>
      <w:tr w:rsidR="00336793" w:rsidRPr="00A10A3B" w:rsidTr="00DF0B96">
        <w:tc>
          <w:tcPr>
            <w:tcW w:w="739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sz w:val="20"/>
                <w:lang w:eastAsia="en-AU"/>
              </w:rPr>
            </w:pPr>
            <w:r w:rsidRPr="00A10A3B">
              <w:rPr>
                <w:rFonts w:eastAsiaTheme="minorEastAsia"/>
                <w:b/>
                <w:bCs/>
                <w:sz w:val="20"/>
                <w:lang w:eastAsia="en-AU"/>
              </w:rPr>
              <w:t>Total investments in other sector entities</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sz w:val="20"/>
                <w:lang w:eastAsia="en-AU"/>
              </w:rPr>
            </w:pPr>
            <w:r w:rsidRPr="00A10A3B">
              <w:rPr>
                <w:rFonts w:eastAsiaTheme="minorEastAsia"/>
                <w:b/>
                <w:bCs/>
                <w:sz w:val="20"/>
                <w:lang w:eastAsia="en-AU"/>
              </w:rPr>
              <w:t>82 181.0</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sz w:val="20"/>
                <w:lang w:eastAsia="en-AU"/>
              </w:rPr>
            </w:pPr>
            <w:r w:rsidRPr="00A10A3B">
              <w:rPr>
                <w:rFonts w:eastAsiaTheme="minorEastAsia"/>
                <w:b/>
                <w:bCs/>
                <w:sz w:val="20"/>
                <w:lang w:eastAsia="en-AU"/>
              </w:rPr>
              <w:t>75 869.2</w:t>
            </w:r>
          </w:p>
        </w:tc>
      </w:tr>
    </w:tbl>
    <w:p w:rsidR="00336793" w:rsidRDefault="00336793" w:rsidP="00DF0B96"/>
    <w:p w:rsidR="00336793" w:rsidRDefault="00336793" w:rsidP="00DF0B96"/>
    <w:p w:rsidR="00336793" w:rsidRPr="006A75A2" w:rsidRDefault="00336793" w:rsidP="00DF0B96">
      <w:pPr>
        <w:pStyle w:val="Heading2Notes"/>
        <w:rPr>
          <w:kern w:val="0"/>
        </w:rPr>
      </w:pPr>
      <w:bookmarkStart w:id="76" w:name="_Toc433984503"/>
      <w:r w:rsidRPr="006A75A2">
        <w:rPr>
          <w:kern w:val="0"/>
        </w:rPr>
        <w:t>Note 20:</w:t>
      </w:r>
      <w:r w:rsidRPr="006A75A2">
        <w:rPr>
          <w:kern w:val="0"/>
        </w:rPr>
        <w:tab/>
        <w:t>Inventories</w:t>
      </w:r>
      <w:bookmarkEnd w:id="75"/>
      <w:bookmarkEnd w:id="76"/>
    </w:p>
    <w:p w:rsidR="00336793" w:rsidRPr="00A10A3B"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417"/>
        <w:gridCol w:w="1055"/>
        <w:gridCol w:w="1055"/>
        <w:gridCol w:w="50"/>
        <w:gridCol w:w="117"/>
        <w:gridCol w:w="888"/>
        <w:gridCol w:w="867"/>
        <w:gridCol w:w="188"/>
      </w:tblGrid>
      <w:tr w:rsidR="00336793" w:rsidRPr="00B03906" w:rsidTr="00D96F49">
        <w:trPr>
          <w:tblHeader/>
        </w:trPr>
        <w:tc>
          <w:tcPr>
            <w:tcW w:w="5417" w:type="dxa"/>
            <w:tcBorders>
              <w:top w:val="single" w:sz="6" w:space="0" w:color="auto"/>
              <w:left w:val="single" w:sz="6" w:space="0" w:color="auto"/>
              <w:bottom w:val="nil"/>
              <w:right w:val="nil"/>
            </w:tcBorders>
            <w:shd w:val="clear" w:color="000000" w:fill="000000"/>
            <w:vAlign w:val="bottom"/>
          </w:tcPr>
          <w:p w:rsidR="00336793" w:rsidRPr="00B03906" w:rsidRDefault="00336793" w:rsidP="00DF0B96">
            <w:pPr>
              <w:pStyle w:val="Tabletext"/>
              <w:rPr>
                <w:rFonts w:eastAsiaTheme="minorEastAsia"/>
                <w:i/>
                <w:sz w:val="20"/>
                <w:lang w:eastAsia="en-AU"/>
              </w:rPr>
            </w:pPr>
            <w:r w:rsidRPr="00B03906">
              <w:rPr>
                <w:rFonts w:eastAsiaTheme="minorEastAsia"/>
                <w:i/>
                <w:sz w:val="20"/>
                <w:lang w:eastAsia="en-AU"/>
              </w:rPr>
              <w:t xml:space="preserve"> </w:t>
            </w:r>
          </w:p>
        </w:tc>
        <w:tc>
          <w:tcPr>
            <w:tcW w:w="2160" w:type="dxa"/>
            <w:gridSpan w:val="3"/>
            <w:tcBorders>
              <w:top w:val="single" w:sz="6" w:space="0" w:color="auto"/>
              <w:left w:val="nil"/>
              <w:bottom w:val="nil"/>
              <w:right w:val="nil"/>
            </w:tcBorders>
            <w:shd w:val="clear" w:color="000000" w:fill="000000"/>
            <w:vAlign w:val="bottom"/>
          </w:tcPr>
          <w:p w:rsidR="00336793" w:rsidRPr="00B03906" w:rsidRDefault="00336793" w:rsidP="00DF0B96">
            <w:pPr>
              <w:pStyle w:val="TabletextheadingCentred"/>
              <w:rPr>
                <w:rFonts w:eastAsiaTheme="minorEastAsia"/>
                <w:sz w:val="20"/>
                <w:lang w:eastAsia="en-AU"/>
              </w:rPr>
            </w:pPr>
            <w:r w:rsidRPr="00B03906">
              <w:rPr>
                <w:rFonts w:eastAsiaTheme="minorEastAsia"/>
                <w:sz w:val="20"/>
                <w:lang w:eastAsia="en-AU"/>
              </w:rPr>
              <w:t>State of Victoria</w:t>
            </w:r>
          </w:p>
        </w:tc>
        <w:tc>
          <w:tcPr>
            <w:tcW w:w="117" w:type="dxa"/>
            <w:tcBorders>
              <w:top w:val="single" w:sz="6" w:space="0" w:color="auto"/>
              <w:left w:val="nil"/>
              <w:bottom w:val="nil"/>
              <w:right w:val="nil"/>
            </w:tcBorders>
            <w:shd w:val="clear" w:color="000000" w:fill="000000"/>
            <w:vAlign w:val="bottom"/>
          </w:tcPr>
          <w:p w:rsidR="00336793" w:rsidRPr="00B03906" w:rsidRDefault="00336793" w:rsidP="00DF0B96">
            <w:pPr>
              <w:pStyle w:val="TabletextheadingCentred"/>
              <w:rPr>
                <w:rFonts w:eastAsiaTheme="minorEastAsia"/>
                <w:sz w:val="20"/>
                <w:lang w:eastAsia="en-AU"/>
              </w:rPr>
            </w:pPr>
            <w:r w:rsidRPr="00B03906">
              <w:rPr>
                <w:rFonts w:eastAsiaTheme="minorEastAsia"/>
                <w:sz w:val="20"/>
                <w:lang w:eastAsia="en-AU"/>
              </w:rPr>
              <w:t xml:space="preserve"> </w:t>
            </w:r>
          </w:p>
        </w:tc>
        <w:tc>
          <w:tcPr>
            <w:tcW w:w="1755" w:type="dxa"/>
            <w:gridSpan w:val="2"/>
            <w:tcBorders>
              <w:top w:val="single" w:sz="6" w:space="0" w:color="auto"/>
              <w:left w:val="nil"/>
              <w:bottom w:val="nil"/>
              <w:right w:val="nil"/>
            </w:tcBorders>
            <w:shd w:val="clear" w:color="000000" w:fill="000000"/>
            <w:vAlign w:val="bottom"/>
          </w:tcPr>
          <w:p w:rsidR="00336793" w:rsidRPr="00B03906" w:rsidRDefault="00336793" w:rsidP="00DF0B96">
            <w:pPr>
              <w:pStyle w:val="TabletextheadingCentred"/>
              <w:rPr>
                <w:rFonts w:eastAsiaTheme="minorEastAsia"/>
                <w:sz w:val="20"/>
                <w:lang w:eastAsia="en-AU"/>
              </w:rPr>
            </w:pPr>
            <w:r w:rsidRPr="00B03906">
              <w:rPr>
                <w:rFonts w:eastAsiaTheme="minorEastAsia"/>
                <w:sz w:val="20"/>
                <w:lang w:eastAsia="en-AU"/>
              </w:rPr>
              <w:t>General government sector</w:t>
            </w:r>
          </w:p>
        </w:tc>
        <w:tc>
          <w:tcPr>
            <w:tcW w:w="188" w:type="dxa"/>
            <w:tcBorders>
              <w:top w:val="single" w:sz="6" w:space="0" w:color="auto"/>
              <w:left w:val="nil"/>
              <w:bottom w:val="nil"/>
              <w:right w:val="single" w:sz="6" w:space="0" w:color="auto"/>
            </w:tcBorders>
            <w:shd w:val="clear" w:color="000000" w:fill="000000"/>
            <w:vAlign w:val="bottom"/>
          </w:tcPr>
          <w:p w:rsidR="00336793" w:rsidRPr="00B03906" w:rsidRDefault="00336793" w:rsidP="00DF0B96">
            <w:pPr>
              <w:pStyle w:val="TabletextheadingCentred"/>
              <w:rPr>
                <w:rFonts w:eastAsiaTheme="minorEastAsia"/>
                <w:sz w:val="20"/>
                <w:lang w:eastAsia="en-AU"/>
              </w:rPr>
            </w:pPr>
            <w:r w:rsidRPr="00B03906">
              <w:rPr>
                <w:rFonts w:eastAsiaTheme="minorEastAsia"/>
                <w:sz w:val="20"/>
                <w:lang w:eastAsia="en-AU"/>
              </w:rPr>
              <w:t xml:space="preserve"> </w:t>
            </w:r>
          </w:p>
        </w:tc>
      </w:tr>
      <w:tr w:rsidR="00336793" w:rsidRPr="00B03906" w:rsidTr="00DF0B96">
        <w:trPr>
          <w:tblHeader/>
        </w:trPr>
        <w:tc>
          <w:tcPr>
            <w:tcW w:w="5417" w:type="dxa"/>
            <w:tcBorders>
              <w:left w:val="single" w:sz="6" w:space="0" w:color="auto"/>
              <w:bottom w:val="single" w:sz="6" w:space="0" w:color="auto"/>
              <w:right w:val="nil"/>
            </w:tcBorders>
            <w:shd w:val="clear" w:color="000000" w:fill="000000"/>
            <w:vAlign w:val="bottom"/>
          </w:tcPr>
          <w:p w:rsidR="00336793" w:rsidRPr="00B03906" w:rsidRDefault="00336793" w:rsidP="00DF0B96">
            <w:pPr>
              <w:pStyle w:val="Tabletext"/>
              <w:rPr>
                <w:rFonts w:eastAsiaTheme="minorEastAsia"/>
                <w:i/>
                <w:sz w:val="20"/>
                <w:lang w:eastAsia="en-AU"/>
              </w:rPr>
            </w:pPr>
            <w:r w:rsidRPr="00B03906">
              <w:rPr>
                <w:rFonts w:eastAsiaTheme="minorEastAsia"/>
                <w:i/>
                <w:sz w:val="20"/>
                <w:lang w:eastAsia="en-AU"/>
              </w:rPr>
              <w:t xml:space="preserve"> </w:t>
            </w:r>
          </w:p>
        </w:tc>
        <w:tc>
          <w:tcPr>
            <w:tcW w:w="1055" w:type="dxa"/>
            <w:tcBorders>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color w:val="FFFFFF"/>
                <w:sz w:val="20"/>
                <w:lang w:eastAsia="en-AU"/>
              </w:rPr>
            </w:pPr>
            <w:r w:rsidRPr="00B03906">
              <w:rPr>
                <w:rFonts w:eastAsiaTheme="minorEastAsia"/>
                <w:color w:val="FFFFFF"/>
                <w:sz w:val="20"/>
                <w:lang w:eastAsia="en-AU"/>
              </w:rPr>
              <w:t>2015</w:t>
            </w:r>
          </w:p>
        </w:tc>
        <w:tc>
          <w:tcPr>
            <w:tcW w:w="1055" w:type="dxa"/>
            <w:tcBorders>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color w:val="FFFFFF"/>
                <w:sz w:val="20"/>
                <w:lang w:eastAsia="en-AU"/>
              </w:rPr>
            </w:pPr>
            <w:r w:rsidRPr="00B03906">
              <w:rPr>
                <w:rFonts w:eastAsiaTheme="minorEastAsia"/>
                <w:color w:val="FFFFFF"/>
                <w:sz w:val="20"/>
                <w:lang w:eastAsia="en-AU"/>
              </w:rPr>
              <w:t>2014</w:t>
            </w:r>
          </w:p>
        </w:tc>
        <w:tc>
          <w:tcPr>
            <w:tcW w:w="1055" w:type="dxa"/>
            <w:gridSpan w:val="3"/>
            <w:tcBorders>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color w:val="FFFFFF"/>
                <w:sz w:val="20"/>
                <w:lang w:eastAsia="en-AU"/>
              </w:rPr>
            </w:pPr>
            <w:r w:rsidRPr="00B03906">
              <w:rPr>
                <w:rFonts w:eastAsiaTheme="minorEastAsia"/>
                <w:color w:val="FFFFFF"/>
                <w:sz w:val="20"/>
                <w:lang w:eastAsia="en-AU"/>
              </w:rPr>
              <w:t>2015</w:t>
            </w:r>
          </w:p>
        </w:tc>
        <w:tc>
          <w:tcPr>
            <w:tcW w:w="1055" w:type="dxa"/>
            <w:gridSpan w:val="2"/>
            <w:tcBorders>
              <w:left w:val="nil"/>
              <w:bottom w:val="single" w:sz="6" w:space="0" w:color="auto"/>
              <w:right w:val="single" w:sz="6" w:space="0" w:color="auto"/>
            </w:tcBorders>
            <w:shd w:val="clear" w:color="000000" w:fill="000000"/>
            <w:vAlign w:val="bottom"/>
          </w:tcPr>
          <w:p w:rsidR="00336793" w:rsidRPr="00B03906" w:rsidRDefault="00336793" w:rsidP="00DF0B96">
            <w:pPr>
              <w:pStyle w:val="Tabletextheading"/>
              <w:rPr>
                <w:rFonts w:eastAsiaTheme="minorEastAsia"/>
                <w:color w:val="FFFFFF"/>
                <w:sz w:val="20"/>
                <w:lang w:eastAsia="en-AU"/>
              </w:rPr>
            </w:pPr>
            <w:r w:rsidRPr="00B03906">
              <w:rPr>
                <w:rFonts w:eastAsiaTheme="minorEastAsia"/>
                <w:color w:val="FFFFFF"/>
                <w:sz w:val="20"/>
                <w:lang w:eastAsia="en-AU"/>
              </w:rPr>
              <w:t>2014</w:t>
            </w:r>
          </w:p>
        </w:tc>
      </w:tr>
      <w:tr w:rsidR="00336793" w:rsidRPr="00B03906" w:rsidTr="00DF0B96">
        <w:tc>
          <w:tcPr>
            <w:tcW w:w="5417" w:type="dxa"/>
            <w:tcBorders>
              <w:top w:val="single" w:sz="6" w:space="0" w:color="auto"/>
              <w:left w:val="nil"/>
              <w:bottom w:val="nil"/>
              <w:right w:val="nil"/>
            </w:tcBorders>
            <w:shd w:val="solid" w:color="FFFFFF" w:fill="auto"/>
          </w:tcPr>
          <w:p w:rsidR="00336793" w:rsidRPr="00B03906" w:rsidRDefault="00336793" w:rsidP="00DF0B96">
            <w:pPr>
              <w:pStyle w:val="Tabletext"/>
              <w:rPr>
                <w:rFonts w:eastAsiaTheme="minorEastAsia"/>
                <w:b/>
                <w:bCs/>
                <w:sz w:val="20"/>
                <w:lang w:eastAsia="en-AU"/>
              </w:rPr>
            </w:pPr>
            <w:r w:rsidRPr="00B03906">
              <w:rPr>
                <w:rFonts w:eastAsiaTheme="minorEastAsia"/>
                <w:b/>
                <w:bCs/>
                <w:sz w:val="20"/>
                <w:lang w:eastAsia="en-AU"/>
              </w:rPr>
              <w:t>At cost</w:t>
            </w:r>
          </w:p>
        </w:tc>
        <w:tc>
          <w:tcPr>
            <w:tcW w:w="1055" w:type="dxa"/>
            <w:tcBorders>
              <w:top w:val="single" w:sz="6" w:space="0" w:color="auto"/>
              <w:left w:val="nil"/>
              <w:bottom w:val="nil"/>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w:t>
            </w:r>
          </w:p>
        </w:tc>
        <w:tc>
          <w:tcPr>
            <w:tcW w:w="1055" w:type="dxa"/>
            <w:tcBorders>
              <w:top w:val="single" w:sz="6" w:space="0" w:color="auto"/>
              <w:left w:val="nil"/>
              <w:bottom w:val="nil"/>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w:t>
            </w:r>
          </w:p>
        </w:tc>
        <w:tc>
          <w:tcPr>
            <w:tcW w:w="1055" w:type="dxa"/>
            <w:gridSpan w:val="3"/>
            <w:tcBorders>
              <w:top w:val="single" w:sz="6" w:space="0" w:color="auto"/>
              <w:left w:val="nil"/>
              <w:bottom w:val="nil"/>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w:t>
            </w:r>
          </w:p>
        </w:tc>
        <w:tc>
          <w:tcPr>
            <w:tcW w:w="1055" w:type="dxa"/>
            <w:gridSpan w:val="2"/>
            <w:tcBorders>
              <w:top w:val="single" w:sz="6" w:space="0" w:color="auto"/>
              <w:left w:val="nil"/>
              <w:bottom w:val="nil"/>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w:t>
            </w:r>
          </w:p>
        </w:tc>
      </w:tr>
      <w:tr w:rsidR="00336793" w:rsidRPr="00B03906" w:rsidTr="00DF0B96">
        <w:tc>
          <w:tcPr>
            <w:tcW w:w="5417" w:type="dxa"/>
            <w:tcBorders>
              <w:top w:val="nil"/>
              <w:left w:val="nil"/>
              <w:bottom w:val="nil"/>
              <w:right w:val="nil"/>
            </w:tcBorders>
            <w:shd w:val="solid" w:color="FFFFFF" w:fill="auto"/>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Raw materials</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5.4</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5.8</w:t>
            </w:r>
          </w:p>
        </w:tc>
        <w:tc>
          <w:tcPr>
            <w:tcW w:w="1055" w:type="dxa"/>
            <w:gridSpan w:val="3"/>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4.8</w:t>
            </w:r>
          </w:p>
        </w:tc>
        <w:tc>
          <w:tcPr>
            <w:tcW w:w="1055" w:type="dxa"/>
            <w:gridSpan w:val="2"/>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5.3</w:t>
            </w:r>
          </w:p>
        </w:tc>
      </w:tr>
      <w:tr w:rsidR="00336793" w:rsidRPr="00B03906" w:rsidTr="00DF0B96">
        <w:tc>
          <w:tcPr>
            <w:tcW w:w="5417" w:type="dxa"/>
            <w:tcBorders>
              <w:top w:val="nil"/>
              <w:left w:val="nil"/>
              <w:bottom w:val="nil"/>
              <w:right w:val="nil"/>
            </w:tcBorders>
            <w:shd w:val="solid" w:color="FFFFFF" w:fill="auto"/>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Work in progress</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29.1</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47.5</w:t>
            </w:r>
          </w:p>
        </w:tc>
        <w:tc>
          <w:tcPr>
            <w:tcW w:w="1055" w:type="dxa"/>
            <w:gridSpan w:val="3"/>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2.4</w:t>
            </w:r>
          </w:p>
        </w:tc>
        <w:tc>
          <w:tcPr>
            <w:tcW w:w="1055" w:type="dxa"/>
            <w:gridSpan w:val="2"/>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6.3</w:t>
            </w:r>
          </w:p>
        </w:tc>
      </w:tr>
      <w:tr w:rsidR="00336793" w:rsidRPr="00B03906" w:rsidTr="00DF0B96">
        <w:tc>
          <w:tcPr>
            <w:tcW w:w="5417" w:type="dxa"/>
            <w:tcBorders>
              <w:top w:val="nil"/>
              <w:left w:val="nil"/>
              <w:bottom w:val="nil"/>
              <w:right w:val="nil"/>
            </w:tcBorders>
            <w:shd w:val="solid" w:color="FFFFFF" w:fill="auto"/>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Finished goods</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46.6</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46.5</w:t>
            </w:r>
          </w:p>
        </w:tc>
        <w:tc>
          <w:tcPr>
            <w:tcW w:w="1055" w:type="dxa"/>
            <w:gridSpan w:val="3"/>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2.9</w:t>
            </w:r>
          </w:p>
        </w:tc>
        <w:tc>
          <w:tcPr>
            <w:tcW w:w="1055" w:type="dxa"/>
            <w:gridSpan w:val="2"/>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5.4</w:t>
            </w:r>
          </w:p>
        </w:tc>
      </w:tr>
      <w:tr w:rsidR="00336793" w:rsidRPr="00B03906" w:rsidTr="00DF0B96">
        <w:tc>
          <w:tcPr>
            <w:tcW w:w="5417" w:type="dxa"/>
            <w:tcBorders>
              <w:top w:val="nil"/>
              <w:left w:val="nil"/>
              <w:bottom w:val="nil"/>
              <w:right w:val="nil"/>
            </w:tcBorders>
            <w:shd w:val="solid" w:color="FFFFFF" w:fill="auto"/>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Consumable stores</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168.0</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160.2</w:t>
            </w:r>
          </w:p>
        </w:tc>
        <w:tc>
          <w:tcPr>
            <w:tcW w:w="1055" w:type="dxa"/>
            <w:gridSpan w:val="3"/>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131.0</w:t>
            </w:r>
          </w:p>
        </w:tc>
        <w:tc>
          <w:tcPr>
            <w:tcW w:w="1055" w:type="dxa"/>
            <w:gridSpan w:val="2"/>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121.6</w:t>
            </w:r>
          </w:p>
        </w:tc>
      </w:tr>
      <w:tr w:rsidR="00336793" w:rsidRPr="00B03906" w:rsidTr="00DF0B96">
        <w:tc>
          <w:tcPr>
            <w:tcW w:w="5417" w:type="dxa"/>
            <w:tcBorders>
              <w:top w:val="nil"/>
              <w:left w:val="nil"/>
              <w:bottom w:val="nil"/>
              <w:right w:val="nil"/>
            </w:tcBorders>
            <w:shd w:val="solid" w:color="FFFFFF" w:fill="auto"/>
          </w:tcPr>
          <w:p w:rsidR="00336793" w:rsidRPr="00B03906" w:rsidRDefault="00336793" w:rsidP="00DF0B96">
            <w:pPr>
              <w:pStyle w:val="Tabletext"/>
              <w:rPr>
                <w:rFonts w:eastAsiaTheme="minorEastAsia" w:cs="Calibri"/>
                <w:color w:val="000000"/>
                <w:sz w:val="20"/>
                <w:szCs w:val="22"/>
                <w:vertAlign w:val="superscript"/>
                <w:lang w:eastAsia="en-AU"/>
              </w:rPr>
            </w:pPr>
            <w:r w:rsidRPr="00B03906">
              <w:rPr>
                <w:rFonts w:eastAsiaTheme="minorEastAsia"/>
                <w:sz w:val="20"/>
                <w:lang w:eastAsia="en-AU"/>
              </w:rPr>
              <w:t>Land and other assets held as inventory</w:t>
            </w:r>
            <w:r w:rsidRPr="00E96950">
              <w:rPr>
                <w:rFonts w:eastAsiaTheme="minorEastAsia"/>
                <w:sz w:val="20"/>
                <w:vertAlign w:val="superscript"/>
                <w:lang w:eastAsia="en-AU"/>
              </w:rPr>
              <w:t xml:space="preserve"> (</w:t>
            </w:r>
            <w:r w:rsidRPr="00B03906">
              <w:rPr>
                <w:rFonts w:eastAsiaTheme="minorEastAsia"/>
                <w:sz w:val="20"/>
                <w:vertAlign w:val="superscript"/>
                <w:lang w:eastAsia="en-AU"/>
              </w:rPr>
              <w:t>a)(</w:t>
            </w:r>
            <w:r w:rsidRPr="00B03906">
              <w:rPr>
                <w:rFonts w:eastAsiaTheme="minorEastAsia" w:cs="Calibri"/>
                <w:color w:val="000000"/>
                <w:sz w:val="20"/>
                <w:szCs w:val="22"/>
                <w:vertAlign w:val="superscript"/>
                <w:lang w:eastAsia="en-AU"/>
              </w:rPr>
              <w:t>b)</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451.2</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516.1</w:t>
            </w:r>
          </w:p>
        </w:tc>
        <w:tc>
          <w:tcPr>
            <w:tcW w:w="1055" w:type="dxa"/>
            <w:gridSpan w:val="3"/>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3.4</w:t>
            </w:r>
          </w:p>
        </w:tc>
        <w:tc>
          <w:tcPr>
            <w:tcW w:w="1055" w:type="dxa"/>
            <w:gridSpan w:val="2"/>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21.1</w:t>
            </w:r>
          </w:p>
        </w:tc>
      </w:tr>
      <w:tr w:rsidR="00336793" w:rsidRPr="00B03906" w:rsidTr="00DF0B96">
        <w:tc>
          <w:tcPr>
            <w:tcW w:w="5417" w:type="dxa"/>
            <w:tcBorders>
              <w:top w:val="nil"/>
              <w:left w:val="nil"/>
              <w:bottom w:val="nil"/>
              <w:right w:val="nil"/>
            </w:tcBorders>
            <w:shd w:val="solid" w:color="FFFFFF" w:fill="auto"/>
          </w:tcPr>
          <w:p w:rsidR="00336793" w:rsidRPr="00B03906" w:rsidRDefault="00336793" w:rsidP="00DF0B96">
            <w:pPr>
              <w:pStyle w:val="Tabletext"/>
              <w:rPr>
                <w:rFonts w:eastAsiaTheme="minorEastAsia"/>
                <w:b/>
                <w:bCs/>
                <w:sz w:val="20"/>
                <w:lang w:eastAsia="en-AU"/>
              </w:rPr>
            </w:pPr>
            <w:r w:rsidRPr="00B03906">
              <w:rPr>
                <w:rFonts w:eastAsiaTheme="minorEastAsia"/>
                <w:b/>
                <w:bCs/>
                <w:sz w:val="20"/>
                <w:lang w:eastAsia="en-AU"/>
              </w:rPr>
              <w:t>At net realisable value</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w:t>
            </w:r>
          </w:p>
        </w:tc>
        <w:tc>
          <w:tcPr>
            <w:tcW w:w="1055" w:type="dxa"/>
            <w:gridSpan w:val="3"/>
            <w:tcBorders>
              <w:top w:val="nil"/>
              <w:left w:val="nil"/>
              <w:bottom w:val="nil"/>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w:t>
            </w:r>
          </w:p>
        </w:tc>
        <w:tc>
          <w:tcPr>
            <w:tcW w:w="1055" w:type="dxa"/>
            <w:gridSpan w:val="2"/>
            <w:tcBorders>
              <w:top w:val="nil"/>
              <w:left w:val="nil"/>
              <w:bottom w:val="nil"/>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w:t>
            </w:r>
          </w:p>
        </w:tc>
      </w:tr>
      <w:tr w:rsidR="00336793" w:rsidRPr="00B03906" w:rsidTr="00DF0B96">
        <w:tc>
          <w:tcPr>
            <w:tcW w:w="5417" w:type="dxa"/>
            <w:tcBorders>
              <w:top w:val="nil"/>
              <w:left w:val="nil"/>
              <w:bottom w:val="nil"/>
              <w:right w:val="nil"/>
            </w:tcBorders>
            <w:shd w:val="solid" w:color="FFFFFF" w:fill="auto"/>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Finished goods</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4.9</w:t>
            </w:r>
          </w:p>
        </w:tc>
        <w:tc>
          <w:tcPr>
            <w:tcW w:w="1055" w:type="dxa"/>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4.5</w:t>
            </w:r>
          </w:p>
        </w:tc>
        <w:tc>
          <w:tcPr>
            <w:tcW w:w="1055" w:type="dxa"/>
            <w:gridSpan w:val="3"/>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055" w:type="dxa"/>
            <w:gridSpan w:val="2"/>
            <w:tcBorders>
              <w:top w:val="nil"/>
              <w:left w:val="nil"/>
              <w:bottom w:val="nil"/>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0.1</w:t>
            </w:r>
          </w:p>
        </w:tc>
      </w:tr>
      <w:tr w:rsidR="00336793" w:rsidRPr="00B03906" w:rsidTr="00DF0B96">
        <w:tc>
          <w:tcPr>
            <w:tcW w:w="5417" w:type="dxa"/>
            <w:tcBorders>
              <w:top w:val="nil"/>
              <w:left w:val="nil"/>
              <w:bottom w:val="single" w:sz="6" w:space="0" w:color="000000"/>
              <w:right w:val="nil"/>
            </w:tcBorders>
            <w:shd w:val="solid" w:color="FFFFFF" w:fill="auto"/>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Consumable stores</w:t>
            </w:r>
          </w:p>
        </w:tc>
        <w:tc>
          <w:tcPr>
            <w:tcW w:w="1055" w:type="dxa"/>
            <w:tcBorders>
              <w:top w:val="nil"/>
              <w:left w:val="nil"/>
              <w:bottom w:val="single" w:sz="6" w:space="0" w:color="000000"/>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4.7</w:t>
            </w:r>
          </w:p>
        </w:tc>
        <w:tc>
          <w:tcPr>
            <w:tcW w:w="1055" w:type="dxa"/>
            <w:tcBorders>
              <w:top w:val="nil"/>
              <w:left w:val="nil"/>
              <w:bottom w:val="single" w:sz="6" w:space="0" w:color="000000"/>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4.9</w:t>
            </w:r>
          </w:p>
        </w:tc>
        <w:tc>
          <w:tcPr>
            <w:tcW w:w="1055" w:type="dxa"/>
            <w:gridSpan w:val="3"/>
            <w:tcBorders>
              <w:top w:val="nil"/>
              <w:left w:val="nil"/>
              <w:bottom w:val="single" w:sz="6" w:space="0" w:color="000000"/>
              <w:right w:val="nil"/>
            </w:tcBorders>
            <w:shd w:val="solid" w:color="FFFFFF" w:fill="auto"/>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055" w:type="dxa"/>
            <w:gridSpan w:val="2"/>
            <w:tcBorders>
              <w:top w:val="nil"/>
              <w:left w:val="nil"/>
              <w:bottom w:val="single" w:sz="6" w:space="0" w:color="000000"/>
              <w:right w:val="nil"/>
            </w:tcBorders>
            <w:shd w:val="solid" w:color="FFFFFF" w:fill="auto"/>
          </w:tcPr>
          <w:p w:rsidR="00336793" w:rsidRPr="00B03906" w:rsidRDefault="00336793" w:rsidP="00DF0B96">
            <w:pPr>
              <w:pStyle w:val="TableofFigures"/>
              <w:rPr>
                <w:rFonts w:eastAsiaTheme="minorEastAsia"/>
                <w:sz w:val="20"/>
                <w:lang w:eastAsia="en-AU"/>
              </w:rPr>
            </w:pPr>
            <w:r>
              <w:rPr>
                <w:rFonts w:eastAsiaTheme="minorEastAsia"/>
                <w:sz w:val="20"/>
                <w:lang w:eastAsia="en-AU"/>
              </w:rPr>
              <w:t>..</w:t>
            </w:r>
          </w:p>
        </w:tc>
      </w:tr>
      <w:tr w:rsidR="00336793" w:rsidRPr="00B03906" w:rsidTr="00DF0B96">
        <w:tc>
          <w:tcPr>
            <w:tcW w:w="5417" w:type="dxa"/>
            <w:tcBorders>
              <w:top w:val="single" w:sz="6" w:space="0" w:color="000000"/>
              <w:left w:val="nil"/>
              <w:bottom w:val="single" w:sz="12" w:space="0" w:color="000000"/>
              <w:right w:val="nil"/>
            </w:tcBorders>
            <w:shd w:val="solid" w:color="FFFFFF" w:fill="auto"/>
          </w:tcPr>
          <w:p w:rsidR="00336793" w:rsidRPr="00B03906" w:rsidRDefault="00336793" w:rsidP="00DF0B96">
            <w:pPr>
              <w:pStyle w:val="Tabletext"/>
              <w:rPr>
                <w:rFonts w:eastAsiaTheme="minorEastAsia"/>
                <w:b/>
                <w:bCs/>
                <w:sz w:val="20"/>
                <w:lang w:eastAsia="en-AU"/>
              </w:rPr>
            </w:pPr>
            <w:r w:rsidRPr="00B03906">
              <w:rPr>
                <w:rFonts w:eastAsiaTheme="minorEastAsia"/>
                <w:b/>
                <w:bCs/>
                <w:sz w:val="20"/>
                <w:lang w:eastAsia="en-AU"/>
              </w:rPr>
              <w:t>Total inventories</w:t>
            </w:r>
            <w:r w:rsidRPr="00E96950">
              <w:rPr>
                <w:rFonts w:eastAsiaTheme="minorEastAsia"/>
                <w:b/>
                <w:bCs/>
                <w:sz w:val="20"/>
                <w:vertAlign w:val="superscript"/>
                <w:lang w:eastAsia="en-AU"/>
              </w:rPr>
              <w:t xml:space="preserve"> </w:t>
            </w:r>
            <w:r w:rsidRPr="00E36EBC">
              <w:rPr>
                <w:rFonts w:eastAsiaTheme="minorEastAsia"/>
                <w:b/>
                <w:bCs/>
                <w:sz w:val="20"/>
                <w:vertAlign w:val="superscript"/>
                <w:lang w:eastAsia="en-AU"/>
              </w:rPr>
              <w:t>(b)</w:t>
            </w:r>
          </w:p>
        </w:tc>
        <w:tc>
          <w:tcPr>
            <w:tcW w:w="1055" w:type="dxa"/>
            <w:tcBorders>
              <w:top w:val="single" w:sz="6" w:space="0" w:color="000000"/>
              <w:left w:val="nil"/>
              <w:bottom w:val="single" w:sz="12" w:space="0" w:color="000000"/>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709.9</w:t>
            </w:r>
          </w:p>
        </w:tc>
        <w:tc>
          <w:tcPr>
            <w:tcW w:w="1055" w:type="dxa"/>
            <w:tcBorders>
              <w:top w:val="single" w:sz="6" w:space="0" w:color="000000"/>
              <w:left w:val="nil"/>
              <w:bottom w:val="single" w:sz="12" w:space="0" w:color="000000"/>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785.4</w:t>
            </w:r>
          </w:p>
        </w:tc>
        <w:tc>
          <w:tcPr>
            <w:tcW w:w="1055" w:type="dxa"/>
            <w:gridSpan w:val="3"/>
            <w:tcBorders>
              <w:top w:val="single" w:sz="6" w:space="0" w:color="000000"/>
              <w:left w:val="nil"/>
              <w:bottom w:val="single" w:sz="12" w:space="0" w:color="000000"/>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144.5</w:t>
            </w:r>
          </w:p>
        </w:tc>
        <w:tc>
          <w:tcPr>
            <w:tcW w:w="1055" w:type="dxa"/>
            <w:gridSpan w:val="2"/>
            <w:tcBorders>
              <w:top w:val="single" w:sz="6" w:space="0" w:color="000000"/>
              <w:left w:val="nil"/>
              <w:bottom w:val="single" w:sz="12" w:space="0" w:color="000000"/>
              <w:right w:val="nil"/>
            </w:tcBorders>
            <w:shd w:val="solid" w:color="FFFFFF"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 xml:space="preserve"> 159.8</w:t>
            </w:r>
          </w:p>
        </w:tc>
      </w:tr>
    </w:tbl>
    <w:p w:rsidR="00336793" w:rsidRPr="006A75A2" w:rsidRDefault="00336793" w:rsidP="00DF0B96">
      <w:pPr>
        <w:pStyle w:val="Notes"/>
      </w:pPr>
      <w:r w:rsidRPr="006A75A2">
        <w:t>Note</w:t>
      </w:r>
      <w:r>
        <w:t>s</w:t>
      </w:r>
      <w:r w:rsidRPr="006A75A2">
        <w:t>:</w:t>
      </w:r>
    </w:p>
    <w:p w:rsidR="00336793" w:rsidRPr="006A75A2" w:rsidRDefault="00336793" w:rsidP="00DF0B96">
      <w:pPr>
        <w:pStyle w:val="Notes"/>
      </w:pPr>
      <w:r w:rsidRPr="006A75A2">
        <w:t>(a)</w:t>
      </w:r>
      <w:r w:rsidRPr="006A75A2">
        <w:tab/>
        <w:t>Including inventory held for distribution.</w:t>
      </w:r>
    </w:p>
    <w:p w:rsidR="00336793" w:rsidRDefault="00336793" w:rsidP="00DF0B96">
      <w:pPr>
        <w:pStyle w:val="Notes"/>
      </w:pPr>
      <w:r>
        <w:t>(b)</w:t>
      </w:r>
      <w:r>
        <w:tab/>
        <w:t>June 2014 comparative figures have been restated. See Note 37.</w:t>
      </w:r>
    </w:p>
    <w:p w:rsidR="00DF0B96" w:rsidRDefault="00DF0B96" w:rsidP="00DF0B96">
      <w:pPr>
        <w:pStyle w:val="Notes"/>
      </w:pPr>
    </w:p>
    <w:p w:rsidR="00336793" w:rsidRPr="00457444" w:rsidRDefault="00336793" w:rsidP="00DF0B96"/>
    <w:p w:rsidR="00336793" w:rsidRPr="006A75A2" w:rsidRDefault="00336793" w:rsidP="00DF0B96">
      <w:pPr>
        <w:pStyle w:val="Heading5"/>
      </w:pPr>
      <w:r w:rsidRPr="006A75A2">
        <w:t>Reconciliation of movements in land and other assets held as inventory</w:t>
      </w:r>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153"/>
        <w:gridCol w:w="117"/>
        <w:gridCol w:w="850"/>
        <w:gridCol w:w="1120"/>
      </w:tblGrid>
      <w:tr w:rsidR="00336793" w:rsidRPr="00B03906" w:rsidTr="00D96F49">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B03906" w:rsidRDefault="00336793" w:rsidP="00DF0B96">
            <w:pPr>
              <w:pStyle w:val="Tabletext"/>
              <w:rPr>
                <w:rFonts w:eastAsiaTheme="minorEastAsia"/>
                <w:i/>
                <w:sz w:val="20"/>
                <w:lang w:eastAsia="en-AU"/>
              </w:rPr>
            </w:pPr>
            <w:r w:rsidRPr="00B03906">
              <w:rPr>
                <w:rFonts w:eastAsiaTheme="minorEastAsia"/>
                <w:i/>
                <w:sz w:val="20"/>
                <w:lang w:eastAsia="en-AU"/>
              </w:rPr>
              <w:t xml:space="preserve">  </w:t>
            </w:r>
          </w:p>
        </w:tc>
        <w:tc>
          <w:tcPr>
            <w:tcW w:w="260" w:type="dxa"/>
            <w:tcBorders>
              <w:top w:val="single" w:sz="6" w:space="0" w:color="auto"/>
              <w:left w:val="nil"/>
              <w:bottom w:val="nil"/>
              <w:right w:val="nil"/>
            </w:tcBorders>
            <w:shd w:val="clear" w:color="000000" w:fill="000000"/>
            <w:vAlign w:val="bottom"/>
          </w:tcPr>
          <w:p w:rsidR="00336793" w:rsidRPr="00B03906" w:rsidRDefault="00336793" w:rsidP="00DF0B96">
            <w:pPr>
              <w:pStyle w:val="Tabletextheading"/>
              <w:jc w:val="center"/>
              <w:rPr>
                <w:rFonts w:eastAsiaTheme="minorEastAsia" w:cs="Calibri"/>
                <w:iCs/>
                <w:color w:val="FFFFFF"/>
                <w:sz w:val="20"/>
                <w:szCs w:val="22"/>
                <w:lang w:eastAsia="en-AU"/>
              </w:rPr>
            </w:pPr>
            <w:r w:rsidRPr="00B03906">
              <w:rPr>
                <w:rFonts w:eastAsiaTheme="minorEastAsia"/>
                <w:color w:val="FFFFFF"/>
                <w:sz w:val="20"/>
                <w:lang w:eastAsia="en-AU"/>
              </w:rPr>
              <w:t xml:space="preserve">  </w:t>
            </w:r>
          </w:p>
        </w:tc>
        <w:tc>
          <w:tcPr>
            <w:tcW w:w="2133" w:type="dxa"/>
            <w:gridSpan w:val="3"/>
            <w:tcBorders>
              <w:top w:val="single" w:sz="6" w:space="0" w:color="auto"/>
              <w:left w:val="nil"/>
              <w:bottom w:val="nil"/>
              <w:right w:val="nil"/>
            </w:tcBorders>
            <w:shd w:val="clear" w:color="000000" w:fill="000000"/>
            <w:vAlign w:val="bottom"/>
          </w:tcPr>
          <w:p w:rsidR="00336793" w:rsidRPr="00B03906" w:rsidRDefault="00336793" w:rsidP="00DF0B96">
            <w:pPr>
              <w:pStyle w:val="Tabletextheading"/>
              <w:jc w:val="center"/>
              <w:rPr>
                <w:rFonts w:eastAsiaTheme="minorEastAsia"/>
                <w:color w:val="FFFFFF"/>
                <w:sz w:val="20"/>
                <w:lang w:eastAsia="en-AU"/>
              </w:rPr>
            </w:pPr>
          </w:p>
          <w:p w:rsidR="00336793" w:rsidRPr="00B03906" w:rsidRDefault="00336793" w:rsidP="00DF0B96">
            <w:pPr>
              <w:pStyle w:val="Tabletextheading"/>
              <w:jc w:val="center"/>
              <w:rPr>
                <w:rFonts w:eastAsiaTheme="minorEastAsia"/>
                <w:color w:val="FFFFFF"/>
                <w:sz w:val="20"/>
                <w:lang w:eastAsia="en-AU"/>
              </w:rPr>
            </w:pPr>
            <w:r w:rsidRPr="00B03906">
              <w:rPr>
                <w:rFonts w:eastAsiaTheme="minorEastAsia"/>
                <w:color w:val="FFFFFF"/>
                <w:sz w:val="20"/>
                <w:lang w:eastAsia="en-AU"/>
              </w:rPr>
              <w:t>State of Victoria</w:t>
            </w:r>
          </w:p>
        </w:tc>
        <w:tc>
          <w:tcPr>
            <w:tcW w:w="117" w:type="dxa"/>
            <w:tcBorders>
              <w:top w:val="single" w:sz="6" w:space="0" w:color="auto"/>
              <w:left w:val="nil"/>
              <w:bottom w:val="nil"/>
              <w:right w:val="nil"/>
            </w:tcBorders>
            <w:shd w:val="clear" w:color="000000" w:fill="000000"/>
            <w:vAlign w:val="bottom"/>
          </w:tcPr>
          <w:p w:rsidR="00336793" w:rsidRPr="00B03906" w:rsidRDefault="00336793" w:rsidP="00DF0B96">
            <w:pPr>
              <w:pStyle w:val="Tabletextheading"/>
              <w:jc w:val="center"/>
              <w:rPr>
                <w:rFonts w:eastAsiaTheme="minorEastAsia" w:cs="Calibri"/>
                <w:iCs/>
                <w:color w:val="FFFFFF"/>
                <w:sz w:val="20"/>
                <w:szCs w:val="22"/>
                <w:lang w:eastAsia="en-AU"/>
              </w:rPr>
            </w:pPr>
            <w:r w:rsidRPr="00B03906">
              <w:rPr>
                <w:rFonts w:eastAsiaTheme="minorEastAsia"/>
                <w:color w:val="FFFFFF"/>
                <w:sz w:val="20"/>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vAlign w:val="bottom"/>
          </w:tcPr>
          <w:p w:rsidR="00336793" w:rsidRPr="00B03906" w:rsidRDefault="00336793" w:rsidP="00DF0B96">
            <w:pPr>
              <w:pStyle w:val="Tabletextheading"/>
              <w:jc w:val="center"/>
              <w:rPr>
                <w:rFonts w:eastAsiaTheme="minorEastAsia" w:cs="Calibri"/>
                <w:iCs/>
                <w:color w:val="FFFFFF"/>
                <w:sz w:val="20"/>
                <w:szCs w:val="22"/>
                <w:lang w:eastAsia="en-AU"/>
              </w:rPr>
            </w:pPr>
            <w:r w:rsidRPr="00B03906">
              <w:rPr>
                <w:rFonts w:eastAsiaTheme="minorEastAsia"/>
                <w:color w:val="FFFFFF"/>
                <w:sz w:val="20"/>
                <w:lang w:eastAsia="en-AU"/>
              </w:rPr>
              <w:t xml:space="preserve">General </w:t>
            </w:r>
          </w:p>
          <w:p w:rsidR="00336793" w:rsidRPr="00B03906" w:rsidRDefault="00336793" w:rsidP="00DF0B96">
            <w:pPr>
              <w:pStyle w:val="Tabletextheading"/>
              <w:jc w:val="center"/>
              <w:rPr>
                <w:rFonts w:eastAsiaTheme="minorEastAsia"/>
                <w:color w:val="FFFFFF"/>
                <w:sz w:val="20"/>
                <w:lang w:eastAsia="en-AU"/>
              </w:rPr>
            </w:pPr>
            <w:r w:rsidRPr="00B03906">
              <w:rPr>
                <w:rFonts w:eastAsiaTheme="minorEastAsia"/>
                <w:color w:val="FFFFFF"/>
                <w:sz w:val="20"/>
                <w:lang w:eastAsia="en-AU"/>
              </w:rPr>
              <w:t>government sector</w:t>
            </w:r>
          </w:p>
        </w:tc>
      </w:tr>
      <w:tr w:rsidR="00336793" w:rsidRPr="00B03906"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B03906" w:rsidRDefault="00336793" w:rsidP="00DF0B96">
            <w:pPr>
              <w:pStyle w:val="Tabletext"/>
              <w:rPr>
                <w:rFonts w:eastAsiaTheme="minorEastAsia"/>
                <w:i/>
                <w:sz w:val="20"/>
                <w:lang w:eastAsia="en-AU"/>
              </w:rPr>
            </w:pPr>
            <w:r w:rsidRPr="00B03906">
              <w:rPr>
                <w:rFonts w:eastAsiaTheme="minorEastAsia"/>
                <w:i/>
                <w:sz w:val="20"/>
                <w:lang w:eastAsia="en-AU"/>
              </w:rPr>
              <w:t xml:space="preserve">  </w:t>
            </w:r>
          </w:p>
        </w:tc>
        <w:tc>
          <w:tcPr>
            <w:tcW w:w="1120" w:type="dxa"/>
            <w:gridSpan w:val="2"/>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color w:val="FFFFFF"/>
                <w:sz w:val="20"/>
                <w:lang w:eastAsia="en-AU"/>
              </w:rPr>
            </w:pPr>
            <w:r w:rsidRPr="00B03906">
              <w:rPr>
                <w:rFonts w:eastAsiaTheme="minorEastAsia"/>
                <w:color w:val="FFFFFF"/>
                <w:sz w:val="20"/>
                <w:lang w:eastAsia="en-AU"/>
              </w:rPr>
              <w:t>2015</w:t>
            </w:r>
          </w:p>
        </w:tc>
        <w:tc>
          <w:tcPr>
            <w:tcW w:w="1120" w:type="dxa"/>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color w:val="FFFFFF"/>
                <w:sz w:val="20"/>
                <w:lang w:eastAsia="en-AU"/>
              </w:rPr>
            </w:pPr>
            <w:r w:rsidRPr="00B03906">
              <w:rPr>
                <w:rFonts w:eastAsiaTheme="minorEastAsia"/>
                <w:color w:val="FFFFFF"/>
                <w:sz w:val="20"/>
                <w:lang w:eastAsia="en-AU"/>
              </w:rPr>
              <w:t>2014</w:t>
            </w:r>
          </w:p>
        </w:tc>
        <w:tc>
          <w:tcPr>
            <w:tcW w:w="1120" w:type="dxa"/>
            <w:gridSpan w:val="3"/>
            <w:tcBorders>
              <w:top w:val="nil"/>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color w:val="FFFFFF"/>
                <w:sz w:val="20"/>
                <w:lang w:eastAsia="en-AU"/>
              </w:rPr>
            </w:pPr>
            <w:r w:rsidRPr="00B03906">
              <w:rPr>
                <w:rFonts w:eastAsiaTheme="minorEastAsia"/>
                <w:color w:val="FFFFFF"/>
                <w:sz w:val="20"/>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B03906" w:rsidRDefault="00336793" w:rsidP="00DF0B96">
            <w:pPr>
              <w:pStyle w:val="Tabletextheading"/>
              <w:rPr>
                <w:rFonts w:eastAsiaTheme="minorEastAsia"/>
                <w:color w:val="FFFFFF"/>
                <w:sz w:val="20"/>
                <w:lang w:eastAsia="en-AU"/>
              </w:rPr>
            </w:pPr>
            <w:r w:rsidRPr="00B03906">
              <w:rPr>
                <w:rFonts w:eastAsiaTheme="minorEastAsia"/>
                <w:color w:val="FFFFFF"/>
                <w:sz w:val="20"/>
                <w:lang w:eastAsia="en-AU"/>
              </w:rPr>
              <w:t>2014</w:t>
            </w:r>
          </w:p>
        </w:tc>
      </w:tr>
      <w:tr w:rsidR="00336793" w:rsidRPr="00B03906" w:rsidTr="00DF0B96">
        <w:tc>
          <w:tcPr>
            <w:tcW w:w="5157" w:type="dxa"/>
            <w:tcBorders>
              <w:top w:val="single" w:sz="6" w:space="0" w:color="auto"/>
              <w:left w:val="nil"/>
              <w:bottom w:val="nil"/>
              <w:right w:val="nil"/>
            </w:tcBorders>
          </w:tcPr>
          <w:p w:rsidR="00336793" w:rsidRPr="00E36EBC" w:rsidRDefault="00336793" w:rsidP="00DF0B96">
            <w:pPr>
              <w:pStyle w:val="Tabletext"/>
              <w:rPr>
                <w:rFonts w:eastAsiaTheme="minorEastAsia"/>
                <w:sz w:val="20"/>
                <w:lang w:eastAsia="en-AU"/>
              </w:rPr>
            </w:pPr>
            <w:r w:rsidRPr="00E36EBC">
              <w:rPr>
                <w:rFonts w:eastAsiaTheme="minorEastAsia"/>
                <w:sz w:val="20"/>
                <w:lang w:eastAsia="en-AU"/>
              </w:rPr>
              <w:t>Opening balance</w:t>
            </w:r>
          </w:p>
        </w:tc>
        <w:tc>
          <w:tcPr>
            <w:tcW w:w="1120" w:type="dxa"/>
            <w:gridSpan w:val="2"/>
            <w:tcBorders>
              <w:top w:val="single" w:sz="6" w:space="0" w:color="auto"/>
              <w:left w:val="nil"/>
              <w:bottom w:val="nil"/>
              <w:right w:val="nil"/>
            </w:tcBorders>
          </w:tcPr>
          <w:p w:rsidR="00336793" w:rsidRPr="00E36EBC" w:rsidRDefault="00336793" w:rsidP="00DF0B96">
            <w:pPr>
              <w:pStyle w:val="TableofFigures"/>
              <w:rPr>
                <w:rFonts w:eastAsiaTheme="minorEastAsia"/>
                <w:sz w:val="20"/>
                <w:lang w:eastAsia="en-AU"/>
              </w:rPr>
            </w:pPr>
            <w:r w:rsidRPr="00E36EBC">
              <w:rPr>
                <w:rFonts w:eastAsiaTheme="minorEastAsia"/>
                <w:sz w:val="20"/>
                <w:lang w:eastAsia="en-AU"/>
              </w:rPr>
              <w:t>516.1</w:t>
            </w:r>
          </w:p>
        </w:tc>
        <w:tc>
          <w:tcPr>
            <w:tcW w:w="1120" w:type="dxa"/>
            <w:tcBorders>
              <w:top w:val="single" w:sz="6" w:space="0" w:color="auto"/>
              <w:left w:val="nil"/>
              <w:bottom w:val="nil"/>
              <w:right w:val="nil"/>
            </w:tcBorders>
          </w:tcPr>
          <w:p w:rsidR="00336793" w:rsidRPr="00E36EBC" w:rsidRDefault="00336793" w:rsidP="00DF0B96">
            <w:pPr>
              <w:pStyle w:val="TableofFigures"/>
              <w:rPr>
                <w:rFonts w:eastAsiaTheme="minorEastAsia"/>
                <w:sz w:val="20"/>
                <w:lang w:eastAsia="en-AU"/>
              </w:rPr>
            </w:pPr>
            <w:r w:rsidRPr="00E36EBC">
              <w:rPr>
                <w:rFonts w:eastAsiaTheme="minorEastAsia"/>
                <w:sz w:val="20"/>
                <w:lang w:eastAsia="en-AU"/>
              </w:rPr>
              <w:t>602.4</w:t>
            </w:r>
          </w:p>
        </w:tc>
        <w:tc>
          <w:tcPr>
            <w:tcW w:w="1120" w:type="dxa"/>
            <w:gridSpan w:val="3"/>
            <w:tcBorders>
              <w:top w:val="single" w:sz="6" w:space="0" w:color="auto"/>
              <w:left w:val="nil"/>
              <w:bottom w:val="nil"/>
              <w:right w:val="nil"/>
            </w:tcBorders>
          </w:tcPr>
          <w:p w:rsidR="00336793" w:rsidRPr="00E36EBC" w:rsidRDefault="00336793" w:rsidP="00DF0B96">
            <w:pPr>
              <w:pStyle w:val="TableofFigures"/>
              <w:rPr>
                <w:rFonts w:eastAsiaTheme="minorEastAsia"/>
                <w:sz w:val="20"/>
                <w:lang w:eastAsia="en-AU"/>
              </w:rPr>
            </w:pPr>
            <w:r w:rsidRPr="00E36EBC">
              <w:rPr>
                <w:rFonts w:eastAsiaTheme="minorEastAsia"/>
                <w:sz w:val="20"/>
                <w:lang w:eastAsia="en-AU"/>
              </w:rPr>
              <w:t>21.1</w:t>
            </w:r>
          </w:p>
        </w:tc>
        <w:tc>
          <w:tcPr>
            <w:tcW w:w="1120" w:type="dxa"/>
            <w:tcBorders>
              <w:top w:val="single" w:sz="6" w:space="0" w:color="auto"/>
              <w:left w:val="nil"/>
              <w:bottom w:val="nil"/>
              <w:right w:val="nil"/>
            </w:tcBorders>
          </w:tcPr>
          <w:p w:rsidR="00336793" w:rsidRPr="00E36EBC" w:rsidRDefault="00336793" w:rsidP="00DF0B96">
            <w:pPr>
              <w:pStyle w:val="TableofFigures"/>
              <w:rPr>
                <w:rFonts w:eastAsiaTheme="minorEastAsia"/>
                <w:sz w:val="20"/>
                <w:lang w:eastAsia="en-AU"/>
              </w:rPr>
            </w:pPr>
            <w:r w:rsidRPr="00E36EBC">
              <w:rPr>
                <w:rFonts w:eastAsiaTheme="minorEastAsia"/>
                <w:sz w:val="20"/>
                <w:lang w:eastAsia="en-AU"/>
              </w:rPr>
              <w:t>64.1</w:t>
            </w:r>
          </w:p>
        </w:tc>
      </w:tr>
      <w:tr w:rsidR="00336793" w:rsidRPr="00B03906" w:rsidTr="00DF0B96">
        <w:tc>
          <w:tcPr>
            <w:tcW w:w="515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Acquisitions</w:t>
            </w:r>
          </w:p>
        </w:tc>
        <w:tc>
          <w:tcPr>
            <w:tcW w:w="1120" w:type="dxa"/>
            <w:gridSpan w:val="2"/>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0.3</w:t>
            </w:r>
          </w:p>
        </w:tc>
        <w:tc>
          <w:tcPr>
            <w:tcW w:w="112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2.3</w:t>
            </w:r>
          </w:p>
        </w:tc>
        <w:tc>
          <w:tcPr>
            <w:tcW w:w="1120" w:type="dxa"/>
            <w:gridSpan w:val="3"/>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(0.3)</w:t>
            </w:r>
          </w:p>
        </w:tc>
        <w:tc>
          <w:tcPr>
            <w:tcW w:w="112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2.1</w:t>
            </w:r>
          </w:p>
        </w:tc>
      </w:tr>
      <w:tr w:rsidR="00336793" w:rsidRPr="00B03906" w:rsidTr="00DF0B96">
        <w:tc>
          <w:tcPr>
            <w:tcW w:w="5157" w:type="dxa"/>
            <w:tcBorders>
              <w:top w:val="nil"/>
              <w:left w:val="nil"/>
              <w:bottom w:val="nil"/>
              <w:right w:val="nil"/>
            </w:tcBorders>
          </w:tcPr>
          <w:p w:rsidR="00336793" w:rsidRPr="00B03906" w:rsidRDefault="00336793" w:rsidP="00DF0B96">
            <w:pPr>
              <w:pStyle w:val="Tabletext"/>
              <w:rPr>
                <w:rFonts w:eastAsiaTheme="minorEastAsia" w:cs="Calibri"/>
                <w:color w:val="000000"/>
                <w:sz w:val="20"/>
                <w:szCs w:val="22"/>
                <w:vertAlign w:val="superscript"/>
                <w:lang w:eastAsia="en-AU"/>
              </w:rPr>
            </w:pPr>
            <w:r w:rsidRPr="00B03906">
              <w:rPr>
                <w:rFonts w:eastAsiaTheme="minorEastAsia"/>
                <w:sz w:val="20"/>
                <w:lang w:eastAsia="en-AU"/>
              </w:rPr>
              <w:t>Assets transferred</w:t>
            </w:r>
            <w:r w:rsidRPr="00B03906">
              <w:rPr>
                <w:rFonts w:eastAsiaTheme="minorEastAsia"/>
                <w:sz w:val="20"/>
                <w:vertAlign w:val="superscript"/>
                <w:lang w:eastAsia="en-AU"/>
              </w:rPr>
              <w:t xml:space="preserve"> (a)</w:t>
            </w:r>
          </w:p>
        </w:tc>
        <w:tc>
          <w:tcPr>
            <w:tcW w:w="1120" w:type="dxa"/>
            <w:gridSpan w:val="2"/>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(75.1)</w:t>
            </w:r>
          </w:p>
        </w:tc>
        <w:tc>
          <w:tcPr>
            <w:tcW w:w="1120" w:type="dxa"/>
            <w:tcBorders>
              <w:top w:val="nil"/>
              <w:left w:val="nil"/>
              <w:bottom w:val="nil"/>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sz w:val="20"/>
                <w:lang w:eastAsia="en-AU"/>
              </w:rPr>
              <w:t>(13.9</w:t>
            </w:r>
            <w:r w:rsidRPr="00B03906">
              <w:rPr>
                <w:rFonts w:eastAsiaTheme="minorEastAsia" w:cs="Calibri"/>
                <w:color w:val="000000"/>
                <w:sz w:val="20"/>
                <w:szCs w:val="22"/>
                <w:lang w:eastAsia="en-AU"/>
              </w:rPr>
              <w:t>)</w:t>
            </w:r>
          </w:p>
        </w:tc>
        <w:tc>
          <w:tcPr>
            <w:tcW w:w="1120" w:type="dxa"/>
            <w:gridSpan w:val="3"/>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(17.3)</w:t>
            </w:r>
          </w:p>
        </w:tc>
        <w:tc>
          <w:tcPr>
            <w:tcW w:w="1120" w:type="dxa"/>
            <w:tcBorders>
              <w:top w:val="nil"/>
              <w:left w:val="nil"/>
              <w:bottom w:val="nil"/>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sz w:val="20"/>
                <w:lang w:eastAsia="en-AU"/>
              </w:rPr>
              <w:t>(13.7</w:t>
            </w:r>
            <w:r w:rsidRPr="00B03906">
              <w:rPr>
                <w:rFonts w:eastAsiaTheme="minorEastAsia" w:cs="Calibri"/>
                <w:color w:val="000000"/>
                <w:sz w:val="20"/>
                <w:szCs w:val="22"/>
                <w:lang w:eastAsia="en-AU"/>
              </w:rPr>
              <w:t>)</w:t>
            </w:r>
          </w:p>
        </w:tc>
      </w:tr>
      <w:tr w:rsidR="00336793" w:rsidRPr="00B03906" w:rsidTr="00DF0B96">
        <w:tc>
          <w:tcPr>
            <w:tcW w:w="515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Revaluations</w:t>
            </w:r>
          </w:p>
        </w:tc>
        <w:tc>
          <w:tcPr>
            <w:tcW w:w="1120" w:type="dxa"/>
            <w:gridSpan w:val="2"/>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9.9</w:t>
            </w:r>
          </w:p>
        </w:tc>
        <w:tc>
          <w:tcPr>
            <w:tcW w:w="112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(36.9)</w:t>
            </w:r>
          </w:p>
        </w:tc>
        <w:tc>
          <w:tcPr>
            <w:tcW w:w="1120" w:type="dxa"/>
            <w:gridSpan w:val="3"/>
            <w:tcBorders>
              <w:top w:val="nil"/>
              <w:left w:val="nil"/>
              <w:bottom w:val="nil"/>
              <w:right w:val="nil"/>
            </w:tcBorders>
          </w:tcPr>
          <w:p w:rsidR="00336793" w:rsidRPr="00B03906" w:rsidRDefault="00336793" w:rsidP="00DF0B96">
            <w:pPr>
              <w:pStyle w:val="TableofFigures"/>
              <w:rPr>
                <w:rFonts w:eastAsiaTheme="minorEastAsia"/>
                <w:sz w:val="20"/>
                <w:lang w:eastAsia="en-AU"/>
              </w:rPr>
            </w:pPr>
            <w:r>
              <w:rPr>
                <w:rFonts w:eastAsiaTheme="minorEastAsia"/>
                <w:sz w:val="20"/>
                <w:lang w:eastAsia="en-AU"/>
              </w:rPr>
              <w:t>..</w:t>
            </w:r>
          </w:p>
        </w:tc>
        <w:tc>
          <w:tcPr>
            <w:tcW w:w="112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(0.7)</w:t>
            </w:r>
          </w:p>
        </w:tc>
      </w:tr>
      <w:tr w:rsidR="00336793" w:rsidRPr="00B03906" w:rsidTr="00DF0B96">
        <w:tc>
          <w:tcPr>
            <w:tcW w:w="5157" w:type="dxa"/>
            <w:tcBorders>
              <w:top w:val="nil"/>
              <w:left w:val="nil"/>
              <w:bottom w:val="single" w:sz="6" w:space="0" w:color="auto"/>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Disposals</w:t>
            </w:r>
          </w:p>
        </w:tc>
        <w:tc>
          <w:tcPr>
            <w:tcW w:w="1120" w:type="dxa"/>
            <w:gridSpan w:val="2"/>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20"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(37.8)</w:t>
            </w:r>
          </w:p>
        </w:tc>
        <w:tc>
          <w:tcPr>
            <w:tcW w:w="1120" w:type="dxa"/>
            <w:gridSpan w:val="3"/>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20"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(30.6)</w:t>
            </w:r>
          </w:p>
        </w:tc>
      </w:tr>
      <w:tr w:rsidR="00336793" w:rsidRPr="00B03906" w:rsidTr="00DF0B96">
        <w:tc>
          <w:tcPr>
            <w:tcW w:w="5157" w:type="dxa"/>
            <w:tcBorders>
              <w:top w:val="single" w:sz="6" w:space="0" w:color="auto"/>
              <w:left w:val="nil"/>
              <w:bottom w:val="single" w:sz="12" w:space="0" w:color="000000"/>
              <w:right w:val="nil"/>
            </w:tcBorders>
            <w:shd w:val="clear" w:color="auto" w:fill="auto"/>
          </w:tcPr>
          <w:p w:rsidR="00336793" w:rsidRPr="00E36EBC" w:rsidRDefault="00336793" w:rsidP="00DF0B96">
            <w:pPr>
              <w:pStyle w:val="Tabletext"/>
              <w:rPr>
                <w:rFonts w:eastAsiaTheme="minorEastAsia"/>
                <w:b/>
                <w:bCs/>
                <w:sz w:val="20"/>
                <w:vertAlign w:val="superscript"/>
                <w:lang w:eastAsia="en-AU"/>
              </w:rPr>
            </w:pPr>
            <w:r w:rsidRPr="00B03906">
              <w:rPr>
                <w:rFonts w:eastAsiaTheme="minorEastAsia"/>
                <w:b/>
                <w:bCs/>
                <w:sz w:val="20"/>
                <w:lang w:eastAsia="en-AU"/>
              </w:rPr>
              <w:t>Closing balance</w:t>
            </w:r>
            <w:r>
              <w:rPr>
                <w:rFonts w:eastAsiaTheme="minorEastAsia"/>
                <w:b/>
                <w:bCs/>
                <w:sz w:val="20"/>
                <w:lang w:eastAsia="en-AU"/>
              </w:rPr>
              <w:t xml:space="preserve"> </w:t>
            </w:r>
            <w:r>
              <w:rPr>
                <w:rFonts w:eastAsiaTheme="minorEastAsia"/>
                <w:b/>
                <w:bCs/>
                <w:sz w:val="20"/>
                <w:vertAlign w:val="superscript"/>
                <w:lang w:eastAsia="en-AU"/>
              </w:rPr>
              <w:t>(a)</w:t>
            </w:r>
          </w:p>
        </w:tc>
        <w:tc>
          <w:tcPr>
            <w:tcW w:w="1120" w:type="dxa"/>
            <w:gridSpan w:val="2"/>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451.2</w:t>
            </w:r>
          </w:p>
        </w:tc>
        <w:tc>
          <w:tcPr>
            <w:tcW w:w="112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516.1</w:t>
            </w:r>
          </w:p>
        </w:tc>
        <w:tc>
          <w:tcPr>
            <w:tcW w:w="1120" w:type="dxa"/>
            <w:gridSpan w:val="3"/>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3.4</w:t>
            </w:r>
          </w:p>
        </w:tc>
        <w:tc>
          <w:tcPr>
            <w:tcW w:w="112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21.1</w:t>
            </w:r>
          </w:p>
        </w:tc>
      </w:tr>
    </w:tbl>
    <w:p w:rsidR="00336793" w:rsidRPr="006A75A2" w:rsidRDefault="00336793" w:rsidP="00DF0B96">
      <w:pPr>
        <w:pStyle w:val="Notes"/>
      </w:pPr>
      <w:bookmarkStart w:id="77" w:name="_Toc400040268"/>
      <w:r w:rsidRPr="006A75A2">
        <w:t>Note:</w:t>
      </w:r>
    </w:p>
    <w:p w:rsidR="00336793" w:rsidRDefault="00336793" w:rsidP="00DF0B96">
      <w:pPr>
        <w:pStyle w:val="Notes"/>
      </w:pPr>
      <w:r>
        <w:t>(a)</w:t>
      </w:r>
      <w:r>
        <w:tab/>
        <w:t>June 2014 comparative figures have been restated. See Note 37.</w:t>
      </w:r>
    </w:p>
    <w:p w:rsidR="00336793" w:rsidRDefault="00336793" w:rsidP="00DF0B96">
      <w:pPr>
        <w:pStyle w:val="Notes"/>
      </w:pPr>
    </w:p>
    <w:p w:rsidR="00336793" w:rsidRPr="00F72F77" w:rsidRDefault="00336793" w:rsidP="00DF0B96">
      <w:pPr>
        <w:pStyle w:val="Notes"/>
      </w:pPr>
    </w:p>
    <w:p w:rsidR="00336793" w:rsidRDefault="00336793">
      <w:pPr>
        <w:spacing w:after="0"/>
        <w:rPr>
          <w:rFonts w:ascii="Calibri" w:hAnsi="Calibri"/>
          <w:b/>
          <w:sz w:val="28"/>
          <w:szCs w:val="22"/>
        </w:rPr>
      </w:pPr>
      <w:r>
        <w:br w:type="page"/>
      </w:r>
    </w:p>
    <w:p w:rsidR="00336793" w:rsidRPr="006A75A2" w:rsidRDefault="00336793" w:rsidP="00DF0B96">
      <w:pPr>
        <w:pStyle w:val="Heading2Notes"/>
        <w:rPr>
          <w:kern w:val="0"/>
        </w:rPr>
      </w:pPr>
      <w:bookmarkStart w:id="78" w:name="_Toc433984504"/>
      <w:r w:rsidRPr="006A75A2">
        <w:rPr>
          <w:kern w:val="0"/>
        </w:rPr>
        <w:lastRenderedPageBreak/>
        <w:t>Note 21:</w:t>
      </w:r>
      <w:r w:rsidRPr="006A75A2">
        <w:rPr>
          <w:kern w:val="0"/>
        </w:rPr>
        <w:tab/>
        <w:t>Non</w:t>
      </w:r>
      <w:r>
        <w:rPr>
          <w:kern w:val="0"/>
        </w:rPr>
        <w:noBreakHyphen/>
      </w:r>
      <w:r w:rsidRPr="006A75A2">
        <w:rPr>
          <w:kern w:val="0"/>
        </w:rPr>
        <w:t>financial assets held for sale</w:t>
      </w:r>
      <w:bookmarkEnd w:id="77"/>
      <w:bookmarkEnd w:id="78"/>
    </w:p>
    <w:p w:rsidR="00336793" w:rsidRPr="006A75A2" w:rsidRDefault="00336793" w:rsidP="00DF0B96">
      <w:pPr>
        <w:pStyle w:val="Heading5"/>
      </w:pPr>
      <w:r w:rsidRPr="006A75A2">
        <w:t xml:space="preserve">(a) </w:t>
      </w:r>
      <w:r w:rsidRPr="006A75A2">
        <w:tab/>
        <w:t>Total non</w:t>
      </w:r>
      <w:r>
        <w:noBreakHyphen/>
      </w:r>
      <w:r w:rsidRPr="006A75A2">
        <w:t>financial assets held for sale</w:t>
      </w:r>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1120"/>
        <w:gridCol w:w="153"/>
        <w:gridCol w:w="135"/>
        <w:gridCol w:w="832"/>
        <w:gridCol w:w="905"/>
        <w:gridCol w:w="215"/>
      </w:tblGrid>
      <w:tr w:rsidR="00336793" w:rsidRPr="00A10A3B" w:rsidTr="00D96F49">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sz w:val="20"/>
                <w:lang w:eastAsia="en-AU"/>
              </w:rPr>
            </w:pPr>
            <w:r w:rsidRPr="00A10A3B">
              <w:rPr>
                <w:rFonts w:eastAsiaTheme="minorEastAsia"/>
                <w:i/>
                <w:sz w:val="20"/>
                <w:lang w:eastAsia="en-AU"/>
              </w:rPr>
              <w:t xml:space="preserve"> </w:t>
            </w:r>
          </w:p>
        </w:tc>
        <w:tc>
          <w:tcPr>
            <w:tcW w:w="2393" w:type="dxa"/>
            <w:gridSpan w:val="3"/>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sz w:val="20"/>
                <w:lang w:eastAsia="en-AU"/>
              </w:rPr>
            </w:pPr>
            <w:r w:rsidRPr="00A10A3B">
              <w:rPr>
                <w:rFonts w:eastAsiaTheme="minorEastAsia"/>
                <w:color w:val="FFFFFF"/>
                <w:sz w:val="20"/>
                <w:lang w:eastAsia="en-AU"/>
              </w:rPr>
              <w:t>State of Victoria</w:t>
            </w:r>
          </w:p>
        </w:tc>
        <w:tc>
          <w:tcPr>
            <w:tcW w:w="135"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sz w:val="20"/>
                <w:lang w:eastAsia="en-AU"/>
              </w:rPr>
              <w:t xml:space="preserve"> </w:t>
            </w:r>
          </w:p>
        </w:tc>
        <w:tc>
          <w:tcPr>
            <w:tcW w:w="1737"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sz w:val="20"/>
                <w:lang w:eastAsia="en-AU"/>
              </w:rPr>
            </w:pPr>
            <w:r w:rsidRPr="00A10A3B">
              <w:rPr>
                <w:rFonts w:eastAsiaTheme="minorEastAsia"/>
                <w:color w:val="FFFFFF"/>
                <w:sz w:val="20"/>
                <w:lang w:eastAsia="en-AU"/>
              </w:rPr>
              <w:t>General government sector</w:t>
            </w:r>
          </w:p>
        </w:tc>
        <w:tc>
          <w:tcPr>
            <w:tcW w:w="215"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sz w:val="20"/>
                <w:lang w:eastAsia="en-AU"/>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sz w:val="20"/>
                <w:lang w:eastAsia="en-AU"/>
              </w:rPr>
            </w:pPr>
            <w:r w:rsidRPr="00A10A3B">
              <w:rPr>
                <w:rFonts w:eastAsiaTheme="minorEastAsia"/>
                <w:i/>
                <w:sz w:val="20"/>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2015</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2014</w:t>
            </w:r>
          </w:p>
        </w:tc>
        <w:tc>
          <w:tcPr>
            <w:tcW w:w="1120" w:type="dxa"/>
            <w:gridSpan w:val="3"/>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r w:rsidRPr="00A10A3B">
              <w:rPr>
                <w:rFonts w:eastAsiaTheme="minorEastAsia"/>
                <w:color w:val="FFFFFF"/>
                <w:sz w:val="20"/>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sz w:val="20"/>
                <w:lang w:eastAsia="en-AU"/>
              </w:rPr>
            </w:pPr>
            <w:r w:rsidRPr="00A10A3B">
              <w:rPr>
                <w:rFonts w:eastAsiaTheme="minorEastAsia"/>
                <w:sz w:val="20"/>
                <w:lang w:eastAsia="en-AU"/>
              </w:rPr>
              <w:t>Land</w:t>
            </w:r>
            <w:r w:rsidRPr="00E96950">
              <w:rPr>
                <w:rFonts w:eastAsiaTheme="minorEastAsia"/>
                <w:sz w:val="20"/>
                <w:vertAlign w:val="superscript"/>
                <w:lang w:eastAsia="en-AU"/>
              </w:rPr>
              <w:t xml:space="preserve"> (</w:t>
            </w:r>
            <w:r w:rsidRPr="00A10A3B">
              <w:rPr>
                <w:rFonts w:eastAsiaTheme="minorEastAsia"/>
                <w:sz w:val="20"/>
                <w:vertAlign w:val="superscript"/>
                <w:lang w:eastAsia="en-AU"/>
              </w:rPr>
              <w:t>a)</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190.6</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149.5</w:t>
            </w:r>
          </w:p>
        </w:tc>
        <w:tc>
          <w:tcPr>
            <w:tcW w:w="1120" w:type="dxa"/>
            <w:gridSpan w:val="3"/>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165.2</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125.4</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sz w:val="20"/>
                <w:lang w:eastAsia="en-AU"/>
              </w:rPr>
            </w:pPr>
            <w:r w:rsidRPr="00A10A3B">
              <w:rPr>
                <w:rFonts w:eastAsiaTheme="minorEastAsia"/>
                <w:sz w:val="20"/>
                <w:lang w:eastAsia="en-AU"/>
              </w:rPr>
              <w:t>Buildings</w:t>
            </w:r>
            <w:r w:rsidRPr="00E96950">
              <w:rPr>
                <w:rFonts w:eastAsiaTheme="minorEastAsia"/>
                <w:sz w:val="20"/>
                <w:vertAlign w:val="superscript"/>
                <w:lang w:eastAsia="en-AU"/>
              </w:rPr>
              <w:t xml:space="preserve"> (</w:t>
            </w:r>
            <w:r w:rsidRPr="00A10A3B">
              <w:rPr>
                <w:rFonts w:eastAsiaTheme="minorEastAsia"/>
                <w:sz w:val="20"/>
                <w:vertAlign w:val="superscript"/>
                <w:lang w:eastAsia="en-AU"/>
              </w:rPr>
              <w:t>a)</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8.7</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7.7</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4.2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7.7</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sz w:val="20"/>
                <w:lang w:eastAsia="en-AU"/>
              </w:rPr>
            </w:pPr>
            <w:r w:rsidRPr="00A10A3B">
              <w:rPr>
                <w:rFonts w:eastAsiaTheme="minorEastAsia"/>
                <w:sz w:val="20"/>
                <w:lang w:eastAsia="en-AU"/>
              </w:rPr>
              <w:t>Infrastructure, plant, equipment and vehicles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5.8</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4.7</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5.8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4.7</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sz w:val="20"/>
                <w:lang w:eastAsia="en-AU"/>
              </w:rPr>
            </w:pPr>
            <w:r w:rsidRPr="00A10A3B">
              <w:rPr>
                <w:rFonts w:eastAsiaTheme="minorEastAsia"/>
                <w:sz w:val="20"/>
                <w:lang w:eastAsia="en-AU"/>
              </w:rPr>
              <w:t xml:space="preserve">Other </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0.1</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0.1</w:t>
            </w:r>
          </w:p>
        </w:tc>
        <w:tc>
          <w:tcPr>
            <w:tcW w:w="1120" w:type="dxa"/>
            <w:gridSpan w:val="3"/>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sz w:val="20"/>
                <w:lang w:eastAsia="en-AU"/>
              </w:rPr>
            </w:pPr>
            <w:r w:rsidRPr="00A10A3B">
              <w:rPr>
                <w:rFonts w:eastAsiaTheme="minorEastAsia"/>
                <w:sz w:val="20"/>
                <w:lang w:eastAsia="en-AU"/>
              </w:rPr>
              <w:t xml:space="preserve"> 0.1</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sz w:val="20"/>
                <w:lang w:eastAsia="en-AU"/>
              </w:rPr>
            </w:pPr>
            <w:r w:rsidRPr="00A10A3B">
              <w:rPr>
                <w:rFonts w:eastAsiaTheme="minorEastAsia"/>
                <w:b/>
                <w:bCs/>
                <w:sz w:val="20"/>
                <w:lang w:eastAsia="en-AU"/>
              </w:rPr>
              <w:t>Total non</w:t>
            </w:r>
            <w:r>
              <w:rPr>
                <w:rFonts w:eastAsiaTheme="minorEastAsia"/>
                <w:b/>
                <w:bCs/>
                <w:sz w:val="20"/>
                <w:lang w:eastAsia="en-AU"/>
              </w:rPr>
              <w:noBreakHyphen/>
            </w:r>
            <w:r w:rsidRPr="00A10A3B">
              <w:rPr>
                <w:rFonts w:eastAsiaTheme="minorEastAsia"/>
                <w:b/>
                <w:bCs/>
                <w:sz w:val="20"/>
                <w:lang w:eastAsia="en-AU"/>
              </w:rPr>
              <w:t>financial assets held for sale</w:t>
            </w:r>
            <w:r w:rsidRPr="00E96950">
              <w:rPr>
                <w:rFonts w:eastAsiaTheme="minorEastAsia"/>
                <w:b/>
                <w:bCs/>
                <w:sz w:val="20"/>
                <w:vertAlign w:val="superscript"/>
                <w:lang w:eastAsia="en-AU"/>
              </w:rPr>
              <w:t xml:space="preserve"> (</w:t>
            </w:r>
            <w:r w:rsidRPr="00A10A3B">
              <w:rPr>
                <w:rFonts w:eastAsiaTheme="minorEastAsia"/>
                <w:b/>
                <w:bCs/>
                <w:sz w:val="20"/>
                <w:vertAlign w:val="superscript"/>
                <w:lang w:eastAsia="en-AU"/>
              </w:rPr>
              <w:t>a)</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sz w:val="20"/>
                <w:lang w:eastAsia="en-AU"/>
              </w:rPr>
            </w:pPr>
            <w:r w:rsidRPr="00A10A3B">
              <w:rPr>
                <w:rFonts w:eastAsiaTheme="minorEastAsia"/>
                <w:b/>
                <w:bCs/>
                <w:sz w:val="20"/>
                <w:lang w:eastAsia="en-AU"/>
              </w:rPr>
              <w:t xml:space="preserve"> 205.2</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sz w:val="20"/>
                <w:lang w:eastAsia="en-AU"/>
              </w:rPr>
            </w:pPr>
            <w:r w:rsidRPr="00A10A3B">
              <w:rPr>
                <w:rFonts w:eastAsiaTheme="minorEastAsia"/>
                <w:b/>
                <w:bCs/>
                <w:sz w:val="20"/>
                <w:lang w:eastAsia="en-AU"/>
              </w:rPr>
              <w:t xml:space="preserve"> 161.9</w:t>
            </w:r>
          </w:p>
        </w:tc>
        <w:tc>
          <w:tcPr>
            <w:tcW w:w="1120" w:type="dxa"/>
            <w:gridSpan w:val="3"/>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sz w:val="20"/>
                <w:lang w:eastAsia="en-AU"/>
              </w:rPr>
            </w:pPr>
            <w:r w:rsidRPr="00A10A3B">
              <w:rPr>
                <w:rFonts w:eastAsiaTheme="minorEastAsia"/>
                <w:b/>
                <w:bCs/>
                <w:sz w:val="20"/>
                <w:lang w:eastAsia="en-AU"/>
              </w:rPr>
              <w:t xml:space="preserve"> 175.3</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sz w:val="20"/>
                <w:lang w:eastAsia="en-AU"/>
              </w:rPr>
            </w:pPr>
            <w:r w:rsidRPr="00A10A3B">
              <w:rPr>
                <w:rFonts w:eastAsiaTheme="minorEastAsia"/>
                <w:b/>
                <w:bCs/>
                <w:sz w:val="20"/>
                <w:lang w:eastAsia="en-AU"/>
              </w:rPr>
              <w:t xml:space="preserve"> 137.8</w:t>
            </w:r>
          </w:p>
        </w:tc>
      </w:tr>
    </w:tbl>
    <w:p w:rsidR="00336793" w:rsidRPr="006A75A2" w:rsidRDefault="00336793" w:rsidP="00DF0B96">
      <w:pPr>
        <w:pStyle w:val="Notes"/>
        <w:ind w:left="0" w:firstLine="0"/>
      </w:pPr>
      <w:r w:rsidRPr="006A75A2">
        <w:t>Note:</w:t>
      </w:r>
    </w:p>
    <w:p w:rsidR="00336793" w:rsidRPr="006A75A2" w:rsidRDefault="00336793" w:rsidP="00DF0B96">
      <w:pPr>
        <w:pStyle w:val="Notes"/>
      </w:pPr>
      <w:r w:rsidRPr="006A75A2">
        <w:t>(a)</w:t>
      </w:r>
      <w:r w:rsidRPr="006A75A2">
        <w:tab/>
      </w:r>
      <w:r w:rsidRPr="00D41A2A">
        <w:t>June 2014 comparative figures have been restated. See Note 37.</w:t>
      </w:r>
    </w:p>
    <w:p w:rsidR="00336793" w:rsidRDefault="00336793" w:rsidP="00DF0B96">
      <w:pPr>
        <w:pStyle w:val="Notes"/>
      </w:pPr>
    </w:p>
    <w:p w:rsidR="00336793" w:rsidRDefault="00336793" w:rsidP="00DF0B96"/>
    <w:p w:rsidR="00336793" w:rsidRDefault="00336793" w:rsidP="00DF0B96">
      <w:pPr>
        <w:pStyle w:val="Heading5"/>
      </w:pPr>
      <w:r>
        <w:t>(b)</w:t>
      </w:r>
      <w:r>
        <w:tab/>
      </w:r>
      <w:r w:rsidRPr="006A75A2">
        <w:t xml:space="preserve">Fair value </w:t>
      </w:r>
      <w:r w:rsidRPr="006D664F">
        <w:t>measurement</w:t>
      </w:r>
      <w:r w:rsidRPr="006A75A2">
        <w:t xml:space="preserve"> of non</w:t>
      </w:r>
      <w:r>
        <w:noBreakHyphen/>
      </w:r>
      <w:r w:rsidRPr="006A75A2">
        <w:t>financial assets held for sale</w:t>
      </w:r>
    </w:p>
    <w:p w:rsidR="00336793" w:rsidRPr="00A457C4" w:rsidRDefault="00336793" w:rsidP="00DF0B96">
      <w:pPr>
        <w:pStyle w:val="million"/>
      </w:pPr>
      <w:r w:rsidRPr="006A75A2">
        <w:t>($</w:t>
      </w:r>
      <w:r>
        <w:t> million)</w:t>
      </w:r>
    </w:p>
    <w:tbl>
      <w:tblPr>
        <w:tblW w:w="9647" w:type="dxa"/>
        <w:tblInd w:w="28" w:type="dxa"/>
        <w:tblLayout w:type="fixed"/>
        <w:tblCellMar>
          <w:left w:w="45" w:type="dxa"/>
          <w:right w:w="45" w:type="dxa"/>
        </w:tblCellMar>
        <w:tblLook w:val="0000" w:firstRow="0" w:lastRow="0" w:firstColumn="0" w:lastColumn="0" w:noHBand="0" w:noVBand="0"/>
      </w:tblPr>
      <w:tblGrid>
        <w:gridCol w:w="2087"/>
        <w:gridCol w:w="180"/>
        <w:gridCol w:w="990"/>
        <w:gridCol w:w="110"/>
        <w:gridCol w:w="790"/>
        <w:gridCol w:w="90"/>
        <w:gridCol w:w="810"/>
        <w:gridCol w:w="90"/>
        <w:gridCol w:w="700"/>
        <w:gridCol w:w="110"/>
        <w:gridCol w:w="1080"/>
        <w:gridCol w:w="74"/>
        <w:gridCol w:w="110"/>
        <w:gridCol w:w="686"/>
        <w:gridCol w:w="870"/>
        <w:gridCol w:w="760"/>
        <w:gridCol w:w="110"/>
      </w:tblGrid>
      <w:tr w:rsidR="00336793" w:rsidRPr="00A457C4" w:rsidTr="00DF0B96">
        <w:tc>
          <w:tcPr>
            <w:tcW w:w="2087" w:type="dxa"/>
            <w:tcBorders>
              <w:top w:val="single" w:sz="6" w:space="0" w:color="000000"/>
              <w:left w:val="single" w:sz="6" w:space="0" w:color="000000"/>
              <w:bottom w:val="nil"/>
              <w:right w:val="nil"/>
            </w:tcBorders>
            <w:shd w:val="clear" w:color="000000" w:fill="000000"/>
          </w:tcPr>
          <w:p w:rsidR="00336793" w:rsidRPr="00A457C4" w:rsidRDefault="00336793" w:rsidP="00DF0B96">
            <w:pPr>
              <w:pStyle w:val="Tabletext"/>
              <w:rPr>
                <w:rFonts w:eastAsiaTheme="minorEastAsia"/>
                <w:i/>
                <w:sz w:val="19"/>
                <w:lang w:eastAsia="en-AU"/>
              </w:rPr>
            </w:pPr>
            <w:r w:rsidRPr="00A457C4">
              <w:rPr>
                <w:rFonts w:eastAsiaTheme="minorEastAsia"/>
                <w:i/>
                <w:sz w:val="19"/>
                <w:lang w:eastAsia="en-AU"/>
              </w:rPr>
              <w:t xml:space="preserve"> </w:t>
            </w:r>
          </w:p>
        </w:tc>
        <w:tc>
          <w:tcPr>
            <w:tcW w:w="1170" w:type="dxa"/>
            <w:gridSpan w:val="2"/>
            <w:tcBorders>
              <w:top w:val="single" w:sz="6" w:space="0" w:color="000000"/>
              <w:left w:val="nil"/>
              <w:bottom w:val="nil"/>
              <w:right w:val="nil"/>
            </w:tcBorders>
            <w:shd w:val="clear" w:color="000000" w:fill="000000"/>
          </w:tcPr>
          <w:p w:rsidR="00336793" w:rsidRPr="00A457C4" w:rsidRDefault="00336793" w:rsidP="00DF0B96">
            <w:pPr>
              <w:pStyle w:val="Tabletextheading"/>
              <w:rPr>
                <w:rFonts w:eastAsiaTheme="minorEastAsia"/>
                <w:color w:val="FFFFFF"/>
                <w:sz w:val="19"/>
                <w:lang w:eastAsia="en-AU"/>
              </w:rPr>
            </w:pPr>
            <w:r w:rsidRPr="00A457C4">
              <w:rPr>
                <w:rFonts w:eastAsiaTheme="minorEastAsia"/>
                <w:color w:val="FFFFFF"/>
                <w:sz w:val="19"/>
                <w:lang w:eastAsia="en-AU"/>
              </w:rPr>
              <w:t>Carrying amount as at 30 June 2015</w:t>
            </w:r>
          </w:p>
        </w:tc>
        <w:tc>
          <w:tcPr>
            <w:tcW w:w="110" w:type="dxa"/>
            <w:tcBorders>
              <w:top w:val="single" w:sz="6" w:space="0" w:color="000000"/>
              <w:left w:val="nil"/>
              <w:bottom w:val="nil"/>
              <w:right w:val="nil"/>
            </w:tcBorders>
            <w:shd w:val="clear" w:color="000000" w:fill="000000"/>
          </w:tcPr>
          <w:p w:rsidR="00336793" w:rsidRPr="00A457C4" w:rsidRDefault="00336793" w:rsidP="00DF0B96">
            <w:pPr>
              <w:pStyle w:val="Tabletextheading"/>
              <w:rPr>
                <w:rFonts w:eastAsiaTheme="minorEastAsia"/>
                <w:color w:val="FFFFFF"/>
                <w:sz w:val="19"/>
                <w:lang w:eastAsia="en-AU"/>
              </w:rPr>
            </w:pPr>
            <w:r w:rsidRPr="00A457C4">
              <w:rPr>
                <w:rFonts w:eastAsiaTheme="minorEastAsia"/>
                <w:color w:val="FFFFFF"/>
                <w:sz w:val="19"/>
                <w:lang w:eastAsia="en-AU"/>
              </w:rPr>
              <w:t xml:space="preserve"> </w:t>
            </w:r>
          </w:p>
        </w:tc>
        <w:tc>
          <w:tcPr>
            <w:tcW w:w="2480" w:type="dxa"/>
            <w:gridSpan w:val="5"/>
            <w:tcBorders>
              <w:top w:val="single" w:sz="6" w:space="0" w:color="000000"/>
              <w:left w:val="nil"/>
              <w:bottom w:val="single" w:sz="6" w:space="0" w:color="FFFFFF" w:themeColor="background1"/>
              <w:right w:val="nil"/>
            </w:tcBorders>
            <w:shd w:val="clear" w:color="000000" w:fill="000000"/>
          </w:tcPr>
          <w:p w:rsidR="00336793" w:rsidRPr="00A457C4" w:rsidRDefault="00336793" w:rsidP="00DF0B96">
            <w:pPr>
              <w:pStyle w:val="TabletextheadingCentred"/>
              <w:rPr>
                <w:rFonts w:eastAsiaTheme="minorEastAsia"/>
                <w:sz w:val="19"/>
                <w:lang w:eastAsia="en-AU"/>
              </w:rPr>
            </w:pPr>
            <w:r w:rsidRPr="00A457C4">
              <w:rPr>
                <w:rFonts w:eastAsiaTheme="minorEastAsia"/>
                <w:sz w:val="19"/>
                <w:lang w:eastAsia="en-AU"/>
              </w:rPr>
              <w:t>Fair value measurement at the end of the 2015 reporting period using:</w:t>
            </w:r>
          </w:p>
        </w:tc>
        <w:tc>
          <w:tcPr>
            <w:tcW w:w="110" w:type="dxa"/>
            <w:tcBorders>
              <w:top w:val="single" w:sz="6" w:space="0" w:color="000000"/>
              <w:left w:val="nil"/>
              <w:bottom w:val="single" w:sz="6" w:space="0" w:color="FFFFFF" w:themeColor="background1"/>
              <w:right w:val="nil"/>
            </w:tcBorders>
            <w:shd w:val="clear" w:color="000000" w:fill="000000"/>
          </w:tcPr>
          <w:p w:rsidR="00336793" w:rsidRPr="00A457C4" w:rsidRDefault="00336793" w:rsidP="00DF0B96">
            <w:pPr>
              <w:pStyle w:val="Tabletextheading"/>
              <w:rPr>
                <w:rFonts w:eastAsiaTheme="minorEastAsia" w:cs="Calibri"/>
                <w:iCs/>
                <w:color w:val="FFFFFF"/>
                <w:szCs w:val="22"/>
                <w:lang w:eastAsia="en-AU"/>
              </w:rPr>
            </w:pPr>
            <w:r w:rsidRPr="00A457C4">
              <w:rPr>
                <w:rFonts w:eastAsiaTheme="minorEastAsia"/>
                <w:color w:val="FFFFFF"/>
                <w:sz w:val="19"/>
                <w:lang w:eastAsia="en-AU"/>
              </w:rPr>
              <w:t xml:space="preserve"> </w:t>
            </w:r>
          </w:p>
        </w:tc>
        <w:tc>
          <w:tcPr>
            <w:tcW w:w="1154" w:type="dxa"/>
            <w:gridSpan w:val="2"/>
            <w:tcBorders>
              <w:top w:val="single" w:sz="6" w:space="0" w:color="000000"/>
              <w:left w:val="nil"/>
              <w:bottom w:val="nil"/>
              <w:right w:val="nil"/>
            </w:tcBorders>
            <w:shd w:val="clear" w:color="000000" w:fill="000000"/>
          </w:tcPr>
          <w:p w:rsidR="00336793" w:rsidRPr="00A457C4" w:rsidRDefault="00336793" w:rsidP="00DF0B96">
            <w:pPr>
              <w:pStyle w:val="Tabletextheading"/>
              <w:rPr>
                <w:rFonts w:eastAsiaTheme="minorEastAsia"/>
                <w:color w:val="FFFFFF"/>
                <w:sz w:val="19"/>
                <w:lang w:eastAsia="en-AU"/>
              </w:rPr>
            </w:pPr>
            <w:r w:rsidRPr="00A457C4">
              <w:rPr>
                <w:rFonts w:eastAsiaTheme="minorEastAsia"/>
                <w:color w:val="FFFFFF"/>
                <w:sz w:val="19"/>
                <w:lang w:eastAsia="en-AU"/>
              </w:rPr>
              <w:t>Carrying amount as at 30 June 2014</w:t>
            </w:r>
          </w:p>
        </w:tc>
        <w:tc>
          <w:tcPr>
            <w:tcW w:w="110" w:type="dxa"/>
            <w:tcBorders>
              <w:top w:val="single" w:sz="6" w:space="0" w:color="000000"/>
              <w:left w:val="nil"/>
              <w:bottom w:val="nil"/>
              <w:right w:val="nil"/>
            </w:tcBorders>
            <w:shd w:val="clear" w:color="000000" w:fill="000000"/>
          </w:tcPr>
          <w:p w:rsidR="00336793" w:rsidRPr="00A457C4" w:rsidRDefault="00336793" w:rsidP="00DF0B96">
            <w:pPr>
              <w:pStyle w:val="Tabletextheading"/>
              <w:rPr>
                <w:rFonts w:eastAsiaTheme="minorEastAsia"/>
                <w:color w:val="FFFFFF"/>
                <w:sz w:val="19"/>
                <w:lang w:eastAsia="en-AU"/>
              </w:rPr>
            </w:pPr>
            <w:r w:rsidRPr="00A457C4">
              <w:rPr>
                <w:rFonts w:eastAsiaTheme="minorEastAsia"/>
                <w:color w:val="FFFFFF"/>
                <w:sz w:val="19"/>
                <w:lang w:eastAsia="en-AU"/>
              </w:rPr>
              <w:t xml:space="preserve"> </w:t>
            </w:r>
          </w:p>
        </w:tc>
        <w:tc>
          <w:tcPr>
            <w:tcW w:w="2316" w:type="dxa"/>
            <w:gridSpan w:val="3"/>
            <w:tcBorders>
              <w:top w:val="single" w:sz="6" w:space="0" w:color="000000"/>
              <w:left w:val="nil"/>
              <w:bottom w:val="single" w:sz="6" w:space="0" w:color="FFFFFF" w:themeColor="background1"/>
              <w:right w:val="nil"/>
            </w:tcBorders>
            <w:shd w:val="clear" w:color="000000" w:fill="000000"/>
          </w:tcPr>
          <w:p w:rsidR="00336793" w:rsidRPr="00A457C4" w:rsidRDefault="00336793" w:rsidP="00DF0B96">
            <w:pPr>
              <w:pStyle w:val="TabletextheadingCentred"/>
              <w:rPr>
                <w:rFonts w:eastAsiaTheme="minorEastAsia"/>
                <w:sz w:val="19"/>
                <w:lang w:eastAsia="en-AU"/>
              </w:rPr>
            </w:pPr>
            <w:r w:rsidRPr="00A457C4">
              <w:rPr>
                <w:rFonts w:eastAsiaTheme="minorEastAsia"/>
                <w:sz w:val="19"/>
                <w:lang w:eastAsia="en-AU"/>
              </w:rPr>
              <w:t>Fair value measurement at the end of the 2014 reporting period using:</w:t>
            </w:r>
          </w:p>
        </w:tc>
        <w:tc>
          <w:tcPr>
            <w:tcW w:w="110" w:type="dxa"/>
            <w:tcBorders>
              <w:top w:val="single" w:sz="6" w:space="0" w:color="000000"/>
              <w:left w:val="nil"/>
              <w:bottom w:val="single" w:sz="6" w:space="0" w:color="FFFFFF" w:themeColor="background1"/>
            </w:tcBorders>
            <w:shd w:val="clear" w:color="000000" w:fill="000000"/>
          </w:tcPr>
          <w:p w:rsidR="00336793" w:rsidRPr="00A457C4" w:rsidRDefault="00336793" w:rsidP="00DF0B96">
            <w:pPr>
              <w:pStyle w:val="Tabletext"/>
              <w:rPr>
                <w:rFonts w:eastAsiaTheme="minorEastAsia" w:cs="Calibri"/>
                <w:i/>
                <w:iCs/>
                <w:color w:val="FFFFFF"/>
                <w:sz w:val="19"/>
                <w:szCs w:val="22"/>
                <w:lang w:eastAsia="en-AU"/>
              </w:rPr>
            </w:pPr>
            <w:r w:rsidRPr="00A457C4">
              <w:rPr>
                <w:rFonts w:eastAsiaTheme="minorEastAsia"/>
                <w:sz w:val="19"/>
                <w:lang w:eastAsia="en-AU"/>
              </w:rPr>
              <w:t xml:space="preserve"> </w:t>
            </w:r>
          </w:p>
        </w:tc>
      </w:tr>
      <w:tr w:rsidR="00336793" w:rsidRPr="00A457C4" w:rsidTr="00DF0B96">
        <w:tc>
          <w:tcPr>
            <w:tcW w:w="2267" w:type="dxa"/>
            <w:gridSpan w:val="2"/>
            <w:tcBorders>
              <w:top w:val="nil"/>
              <w:left w:val="single" w:sz="6" w:space="0" w:color="000000"/>
              <w:bottom w:val="single" w:sz="6" w:space="0" w:color="000000"/>
              <w:right w:val="nil"/>
            </w:tcBorders>
            <w:shd w:val="clear" w:color="000000" w:fill="000000"/>
          </w:tcPr>
          <w:p w:rsidR="00336793" w:rsidRPr="00A457C4" w:rsidRDefault="00336793" w:rsidP="00DF0B96">
            <w:pPr>
              <w:pStyle w:val="Tabletext"/>
              <w:rPr>
                <w:rFonts w:eastAsiaTheme="minorEastAsia"/>
                <w:i/>
                <w:sz w:val="19"/>
                <w:lang w:eastAsia="en-AU"/>
              </w:rPr>
            </w:pPr>
            <w:r w:rsidRPr="00A457C4">
              <w:rPr>
                <w:rFonts w:eastAsiaTheme="minorEastAsia"/>
                <w:i/>
                <w:sz w:val="19"/>
                <w:lang w:eastAsia="en-AU"/>
              </w:rPr>
              <w:t>State of Victoria</w:t>
            </w:r>
          </w:p>
        </w:tc>
        <w:tc>
          <w:tcPr>
            <w:tcW w:w="990" w:type="dxa"/>
            <w:tcBorders>
              <w:top w:val="nil"/>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19"/>
                <w:lang w:eastAsia="en-AU"/>
              </w:rPr>
            </w:pPr>
            <w:r w:rsidRPr="00A457C4">
              <w:rPr>
                <w:rFonts w:eastAsiaTheme="minorEastAsia"/>
                <w:color w:val="FFFFFF"/>
                <w:sz w:val="19"/>
                <w:lang w:eastAsia="en-AU"/>
              </w:rPr>
              <w:t xml:space="preserve"> </w:t>
            </w:r>
          </w:p>
        </w:tc>
        <w:tc>
          <w:tcPr>
            <w:tcW w:w="990" w:type="dxa"/>
            <w:gridSpan w:val="3"/>
            <w:tcBorders>
              <w:top w:val="nil"/>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19"/>
                <w:vertAlign w:val="superscript"/>
                <w:lang w:eastAsia="en-AU"/>
              </w:rPr>
            </w:pPr>
            <w:r w:rsidRPr="00A457C4">
              <w:rPr>
                <w:rFonts w:eastAsiaTheme="minorEastAsia"/>
                <w:color w:val="FFFFFF"/>
                <w:sz w:val="19"/>
                <w:lang w:eastAsia="en-AU"/>
              </w:rPr>
              <w:t>Level 1</w:t>
            </w:r>
            <w:r w:rsidRPr="00A457C4">
              <w:rPr>
                <w:rFonts w:eastAsiaTheme="minorEastAsia"/>
                <w:color w:val="FFFFFF"/>
                <w:sz w:val="19"/>
                <w:vertAlign w:val="superscript"/>
                <w:lang w:eastAsia="en-AU"/>
              </w:rPr>
              <w:t>(a)</w:t>
            </w:r>
          </w:p>
        </w:tc>
        <w:tc>
          <w:tcPr>
            <w:tcW w:w="900" w:type="dxa"/>
            <w:gridSpan w:val="2"/>
            <w:tcBorders>
              <w:top w:val="nil"/>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19"/>
                <w:vertAlign w:val="superscript"/>
                <w:lang w:eastAsia="en-AU"/>
              </w:rPr>
            </w:pPr>
            <w:r w:rsidRPr="00A457C4">
              <w:rPr>
                <w:rFonts w:eastAsiaTheme="minorEastAsia"/>
                <w:color w:val="FFFFFF"/>
                <w:sz w:val="19"/>
                <w:lang w:eastAsia="en-AU"/>
              </w:rPr>
              <w:t xml:space="preserve">Level 2 </w:t>
            </w:r>
            <w:r w:rsidRPr="00A457C4">
              <w:rPr>
                <w:rFonts w:eastAsiaTheme="minorEastAsia"/>
                <w:color w:val="FFFFFF"/>
                <w:sz w:val="19"/>
                <w:vertAlign w:val="superscript"/>
                <w:lang w:eastAsia="en-AU"/>
              </w:rPr>
              <w:t>(b)</w:t>
            </w:r>
          </w:p>
        </w:tc>
        <w:tc>
          <w:tcPr>
            <w:tcW w:w="810" w:type="dxa"/>
            <w:gridSpan w:val="2"/>
            <w:tcBorders>
              <w:top w:val="nil"/>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19"/>
                <w:vertAlign w:val="superscript"/>
                <w:lang w:eastAsia="en-AU"/>
              </w:rPr>
            </w:pPr>
            <w:r w:rsidRPr="00A457C4">
              <w:rPr>
                <w:rFonts w:eastAsiaTheme="minorEastAsia"/>
                <w:color w:val="FFFFFF"/>
                <w:sz w:val="19"/>
                <w:lang w:eastAsia="en-AU"/>
              </w:rPr>
              <w:t xml:space="preserve">Level 3 </w:t>
            </w:r>
            <w:r w:rsidRPr="00A457C4">
              <w:rPr>
                <w:rFonts w:eastAsiaTheme="minorEastAsia"/>
                <w:color w:val="FFFFFF"/>
                <w:sz w:val="19"/>
                <w:vertAlign w:val="superscript"/>
                <w:lang w:eastAsia="en-AU"/>
              </w:rPr>
              <w:t>(c)</w:t>
            </w:r>
          </w:p>
        </w:tc>
        <w:tc>
          <w:tcPr>
            <w:tcW w:w="1080" w:type="dxa"/>
            <w:tcBorders>
              <w:top w:val="nil"/>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19"/>
                <w:lang w:eastAsia="en-AU"/>
              </w:rPr>
            </w:pPr>
            <w:r w:rsidRPr="00A457C4">
              <w:rPr>
                <w:rFonts w:eastAsiaTheme="minorEastAsia"/>
                <w:color w:val="FFFFFF"/>
                <w:sz w:val="19"/>
                <w:lang w:eastAsia="en-AU"/>
              </w:rPr>
              <w:t xml:space="preserve"> </w:t>
            </w:r>
          </w:p>
        </w:tc>
        <w:tc>
          <w:tcPr>
            <w:tcW w:w="870" w:type="dxa"/>
            <w:gridSpan w:val="3"/>
            <w:tcBorders>
              <w:top w:val="nil"/>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19"/>
                <w:vertAlign w:val="superscript"/>
                <w:lang w:eastAsia="en-AU"/>
              </w:rPr>
            </w:pPr>
            <w:r w:rsidRPr="00A457C4">
              <w:rPr>
                <w:rFonts w:eastAsiaTheme="minorEastAsia"/>
                <w:color w:val="FFFFFF"/>
                <w:sz w:val="19"/>
                <w:lang w:eastAsia="en-AU"/>
              </w:rPr>
              <w:t>Level 1</w:t>
            </w:r>
            <w:r w:rsidRPr="00A457C4">
              <w:rPr>
                <w:rFonts w:eastAsiaTheme="minorEastAsia"/>
                <w:color w:val="FFFFFF"/>
                <w:sz w:val="19"/>
                <w:vertAlign w:val="superscript"/>
                <w:lang w:eastAsia="en-AU"/>
              </w:rPr>
              <w:t>(a)</w:t>
            </w:r>
          </w:p>
        </w:tc>
        <w:tc>
          <w:tcPr>
            <w:tcW w:w="870" w:type="dxa"/>
            <w:tcBorders>
              <w:top w:val="nil"/>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19"/>
                <w:vertAlign w:val="superscript"/>
                <w:lang w:eastAsia="en-AU"/>
              </w:rPr>
            </w:pPr>
            <w:r w:rsidRPr="00A457C4">
              <w:rPr>
                <w:rFonts w:eastAsiaTheme="minorEastAsia"/>
                <w:color w:val="FFFFFF"/>
                <w:sz w:val="19"/>
                <w:lang w:eastAsia="en-AU"/>
              </w:rPr>
              <w:t xml:space="preserve">Level 2 </w:t>
            </w:r>
            <w:r w:rsidRPr="00A457C4">
              <w:rPr>
                <w:rFonts w:eastAsiaTheme="minorEastAsia"/>
                <w:color w:val="FFFFFF"/>
                <w:sz w:val="19"/>
                <w:vertAlign w:val="superscript"/>
                <w:lang w:eastAsia="en-AU"/>
              </w:rPr>
              <w:t>(b)</w:t>
            </w:r>
          </w:p>
        </w:tc>
        <w:tc>
          <w:tcPr>
            <w:tcW w:w="870" w:type="dxa"/>
            <w:gridSpan w:val="2"/>
            <w:tcBorders>
              <w:top w:val="nil"/>
              <w:left w:val="nil"/>
              <w:bottom w:val="single" w:sz="6" w:space="0" w:color="000000"/>
              <w:right w:val="single" w:sz="6" w:space="0" w:color="000000"/>
            </w:tcBorders>
            <w:shd w:val="clear" w:color="000000" w:fill="000000"/>
          </w:tcPr>
          <w:p w:rsidR="00336793" w:rsidRPr="00A457C4" w:rsidRDefault="00336793" w:rsidP="00DF0B96">
            <w:pPr>
              <w:pStyle w:val="Tabletextheading"/>
              <w:rPr>
                <w:rFonts w:eastAsiaTheme="minorEastAsia"/>
                <w:color w:val="FFFFFF"/>
                <w:sz w:val="19"/>
                <w:vertAlign w:val="superscript"/>
                <w:lang w:eastAsia="en-AU"/>
              </w:rPr>
            </w:pPr>
            <w:r w:rsidRPr="00A457C4">
              <w:rPr>
                <w:rFonts w:eastAsiaTheme="minorEastAsia"/>
                <w:color w:val="FFFFFF"/>
                <w:sz w:val="19"/>
                <w:lang w:eastAsia="en-AU"/>
              </w:rPr>
              <w:t xml:space="preserve">Level 3 </w:t>
            </w:r>
            <w:r w:rsidRPr="00A457C4">
              <w:rPr>
                <w:rFonts w:eastAsiaTheme="minorEastAsia"/>
                <w:color w:val="FFFFFF"/>
                <w:sz w:val="19"/>
                <w:vertAlign w:val="superscript"/>
                <w:lang w:eastAsia="en-AU"/>
              </w:rPr>
              <w:t>(c)</w:t>
            </w:r>
          </w:p>
        </w:tc>
      </w:tr>
      <w:tr w:rsidR="00336793" w:rsidRPr="00A457C4" w:rsidTr="00DF0B96">
        <w:tc>
          <w:tcPr>
            <w:tcW w:w="2267" w:type="dxa"/>
            <w:gridSpan w:val="2"/>
            <w:tcBorders>
              <w:top w:val="single" w:sz="6" w:space="0" w:color="000000"/>
              <w:left w:val="nil"/>
              <w:bottom w:val="nil"/>
              <w:right w:val="nil"/>
            </w:tcBorders>
            <w:shd w:val="solid" w:color="FFFFFF" w:fill="auto"/>
          </w:tcPr>
          <w:p w:rsidR="00336793" w:rsidRPr="00A457C4" w:rsidRDefault="00336793" w:rsidP="00DF0B96">
            <w:pPr>
              <w:pStyle w:val="Tabletext"/>
              <w:rPr>
                <w:rFonts w:eastAsiaTheme="minorEastAsia"/>
                <w:sz w:val="19"/>
                <w:vertAlign w:val="superscript"/>
                <w:lang w:eastAsia="en-AU"/>
              </w:rPr>
            </w:pPr>
            <w:r w:rsidRPr="00A457C4">
              <w:rPr>
                <w:rFonts w:eastAsiaTheme="minorEastAsia"/>
                <w:sz w:val="19"/>
                <w:lang w:eastAsia="en-AU"/>
              </w:rPr>
              <w:t>Land</w:t>
            </w:r>
            <w:r w:rsidRPr="00E96950">
              <w:rPr>
                <w:rFonts w:eastAsiaTheme="minorEastAsia"/>
                <w:sz w:val="19"/>
                <w:vertAlign w:val="superscript"/>
                <w:lang w:eastAsia="en-AU"/>
              </w:rPr>
              <w:t xml:space="preserve"> (</w:t>
            </w:r>
            <w:r w:rsidRPr="00A457C4">
              <w:rPr>
                <w:rFonts w:eastAsiaTheme="minorEastAsia"/>
                <w:sz w:val="19"/>
                <w:vertAlign w:val="superscript"/>
                <w:lang w:eastAsia="en-AU"/>
              </w:rPr>
              <w:t xml:space="preserve">d) </w:t>
            </w:r>
          </w:p>
        </w:tc>
        <w:tc>
          <w:tcPr>
            <w:tcW w:w="990" w:type="dxa"/>
            <w:tcBorders>
              <w:top w:val="single" w:sz="6" w:space="0" w:color="000000"/>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190.6</w:t>
            </w:r>
          </w:p>
        </w:tc>
        <w:tc>
          <w:tcPr>
            <w:tcW w:w="900" w:type="dxa"/>
            <w:gridSpan w:val="2"/>
            <w:tcBorders>
              <w:top w:val="single" w:sz="6" w:space="0" w:color="000000"/>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900" w:type="dxa"/>
            <w:gridSpan w:val="2"/>
            <w:tcBorders>
              <w:top w:val="single" w:sz="6" w:space="0" w:color="000000"/>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57.0</w:t>
            </w:r>
          </w:p>
        </w:tc>
        <w:tc>
          <w:tcPr>
            <w:tcW w:w="900" w:type="dxa"/>
            <w:gridSpan w:val="3"/>
            <w:tcBorders>
              <w:top w:val="single" w:sz="6" w:space="0" w:color="000000"/>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133.6</w:t>
            </w:r>
          </w:p>
        </w:tc>
        <w:tc>
          <w:tcPr>
            <w:tcW w:w="1080" w:type="dxa"/>
            <w:tcBorders>
              <w:top w:val="single" w:sz="6" w:space="0" w:color="000000"/>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149.5</w:t>
            </w:r>
          </w:p>
        </w:tc>
        <w:tc>
          <w:tcPr>
            <w:tcW w:w="870" w:type="dxa"/>
            <w:gridSpan w:val="3"/>
            <w:tcBorders>
              <w:top w:val="single" w:sz="6" w:space="0" w:color="000000"/>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870" w:type="dxa"/>
            <w:tcBorders>
              <w:top w:val="single" w:sz="6" w:space="0" w:color="000000"/>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34.7</w:t>
            </w:r>
          </w:p>
        </w:tc>
        <w:tc>
          <w:tcPr>
            <w:tcW w:w="870" w:type="dxa"/>
            <w:gridSpan w:val="2"/>
            <w:tcBorders>
              <w:top w:val="single" w:sz="6" w:space="0" w:color="000000"/>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114.8</w:t>
            </w:r>
          </w:p>
        </w:tc>
      </w:tr>
      <w:tr w:rsidR="00336793" w:rsidRPr="00A457C4" w:rsidTr="00DF0B96">
        <w:tc>
          <w:tcPr>
            <w:tcW w:w="2267" w:type="dxa"/>
            <w:gridSpan w:val="2"/>
            <w:tcBorders>
              <w:top w:val="nil"/>
              <w:left w:val="nil"/>
              <w:bottom w:val="nil"/>
              <w:right w:val="nil"/>
            </w:tcBorders>
            <w:shd w:val="solid" w:color="FFFFFF" w:fill="auto"/>
          </w:tcPr>
          <w:p w:rsidR="00336793" w:rsidRPr="00A457C4" w:rsidRDefault="00336793" w:rsidP="00DF0B96">
            <w:pPr>
              <w:pStyle w:val="Tabletext"/>
              <w:rPr>
                <w:rFonts w:eastAsiaTheme="minorEastAsia"/>
                <w:sz w:val="19"/>
                <w:vertAlign w:val="superscript"/>
                <w:lang w:eastAsia="en-AU"/>
              </w:rPr>
            </w:pPr>
            <w:r w:rsidRPr="00A457C4">
              <w:rPr>
                <w:rFonts w:eastAsiaTheme="minorEastAsia"/>
                <w:sz w:val="19"/>
                <w:lang w:eastAsia="en-AU"/>
              </w:rPr>
              <w:t>Buildings</w:t>
            </w:r>
            <w:r w:rsidRPr="00E96950">
              <w:rPr>
                <w:rFonts w:eastAsiaTheme="minorEastAsia"/>
                <w:sz w:val="19"/>
                <w:vertAlign w:val="superscript"/>
                <w:lang w:eastAsia="en-AU"/>
              </w:rPr>
              <w:t xml:space="preserve"> (</w:t>
            </w:r>
            <w:r w:rsidRPr="00A457C4">
              <w:rPr>
                <w:rFonts w:eastAsiaTheme="minorEastAsia"/>
                <w:sz w:val="19"/>
                <w:vertAlign w:val="superscript"/>
                <w:lang w:eastAsia="en-AU"/>
              </w:rPr>
              <w:t>d)</w:t>
            </w:r>
          </w:p>
        </w:tc>
        <w:tc>
          <w:tcPr>
            <w:tcW w:w="99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8.7</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8.6</w:t>
            </w:r>
          </w:p>
        </w:tc>
        <w:tc>
          <w:tcPr>
            <w:tcW w:w="90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0.1</w:t>
            </w:r>
          </w:p>
        </w:tc>
        <w:tc>
          <w:tcPr>
            <w:tcW w:w="108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7.7</w:t>
            </w:r>
          </w:p>
        </w:tc>
        <w:tc>
          <w:tcPr>
            <w:tcW w:w="87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87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6.1</w:t>
            </w:r>
          </w:p>
        </w:tc>
        <w:tc>
          <w:tcPr>
            <w:tcW w:w="87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1.6</w:t>
            </w:r>
          </w:p>
        </w:tc>
      </w:tr>
      <w:tr w:rsidR="00336793" w:rsidRPr="00A457C4" w:rsidTr="00DF0B96">
        <w:tc>
          <w:tcPr>
            <w:tcW w:w="2267" w:type="dxa"/>
            <w:gridSpan w:val="2"/>
            <w:tcBorders>
              <w:top w:val="nil"/>
              <w:left w:val="nil"/>
              <w:bottom w:val="nil"/>
              <w:right w:val="nil"/>
            </w:tcBorders>
            <w:shd w:val="solid" w:color="FFFFFF" w:fill="auto"/>
          </w:tcPr>
          <w:p w:rsidR="00336793" w:rsidRPr="00A457C4" w:rsidRDefault="00336793" w:rsidP="00DF0B96">
            <w:pPr>
              <w:pStyle w:val="Tabletext"/>
              <w:ind w:right="-45"/>
              <w:rPr>
                <w:rFonts w:eastAsiaTheme="minorEastAsia"/>
                <w:sz w:val="19"/>
                <w:lang w:eastAsia="en-AU"/>
              </w:rPr>
            </w:pPr>
            <w:r w:rsidRPr="00A457C4">
              <w:rPr>
                <w:rFonts w:eastAsiaTheme="minorEastAsia"/>
                <w:sz w:val="19"/>
                <w:lang w:eastAsia="en-AU"/>
              </w:rPr>
              <w:t>Infrastructure, plant, equipment and vehicles</w:t>
            </w:r>
          </w:p>
        </w:tc>
        <w:tc>
          <w:tcPr>
            <w:tcW w:w="99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5.8</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3.4</w:t>
            </w:r>
          </w:p>
        </w:tc>
        <w:tc>
          <w:tcPr>
            <w:tcW w:w="90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2.4</w:t>
            </w:r>
          </w:p>
        </w:tc>
        <w:tc>
          <w:tcPr>
            <w:tcW w:w="108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Pr>
                <w:rFonts w:eastAsiaTheme="minorEastAsia"/>
                <w:sz w:val="19"/>
                <w:lang w:eastAsia="en-AU"/>
              </w:rPr>
              <w:t xml:space="preserve"> 4.7</w:t>
            </w:r>
          </w:p>
        </w:tc>
        <w:tc>
          <w:tcPr>
            <w:tcW w:w="87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87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Pr>
                <w:rFonts w:eastAsiaTheme="minorEastAsia"/>
                <w:sz w:val="19"/>
                <w:lang w:eastAsia="en-AU"/>
              </w:rPr>
              <w:t xml:space="preserve"> 3.0</w:t>
            </w:r>
          </w:p>
        </w:tc>
        <w:tc>
          <w:tcPr>
            <w:tcW w:w="87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1.7</w:t>
            </w:r>
          </w:p>
        </w:tc>
      </w:tr>
      <w:tr w:rsidR="00336793" w:rsidRPr="00A457C4" w:rsidTr="00DF0B96">
        <w:tc>
          <w:tcPr>
            <w:tcW w:w="2267" w:type="dxa"/>
            <w:gridSpan w:val="2"/>
            <w:tcBorders>
              <w:top w:val="nil"/>
              <w:left w:val="nil"/>
              <w:bottom w:val="nil"/>
              <w:right w:val="nil"/>
            </w:tcBorders>
            <w:shd w:val="solid" w:color="FFFFFF" w:fill="auto"/>
          </w:tcPr>
          <w:p w:rsidR="00336793" w:rsidRPr="00A457C4" w:rsidRDefault="00336793" w:rsidP="00DF0B96">
            <w:pPr>
              <w:pStyle w:val="Tabletext"/>
              <w:rPr>
                <w:rFonts w:eastAsiaTheme="minorEastAsia"/>
                <w:sz w:val="19"/>
                <w:lang w:eastAsia="en-AU"/>
              </w:rPr>
            </w:pPr>
            <w:r w:rsidRPr="00A457C4">
              <w:rPr>
                <w:rFonts w:eastAsiaTheme="minorEastAsia"/>
                <w:sz w:val="19"/>
                <w:lang w:eastAsia="en-AU"/>
              </w:rPr>
              <w:t xml:space="preserve">Other </w:t>
            </w:r>
          </w:p>
        </w:tc>
        <w:tc>
          <w:tcPr>
            <w:tcW w:w="99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0.1</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90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0.1</w:t>
            </w:r>
          </w:p>
        </w:tc>
        <w:tc>
          <w:tcPr>
            <w:tcW w:w="108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0.1</w:t>
            </w:r>
          </w:p>
        </w:tc>
        <w:tc>
          <w:tcPr>
            <w:tcW w:w="87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87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0.1</w:t>
            </w:r>
          </w:p>
        </w:tc>
        <w:tc>
          <w:tcPr>
            <w:tcW w:w="87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r>
      <w:tr w:rsidR="00336793" w:rsidRPr="00A457C4" w:rsidTr="00DF0B96">
        <w:tc>
          <w:tcPr>
            <w:tcW w:w="2267" w:type="dxa"/>
            <w:gridSpan w:val="2"/>
            <w:tcBorders>
              <w:top w:val="single" w:sz="6" w:space="0" w:color="auto"/>
              <w:left w:val="nil"/>
              <w:bottom w:val="single" w:sz="12" w:space="0" w:color="auto"/>
              <w:right w:val="nil"/>
            </w:tcBorders>
          </w:tcPr>
          <w:p w:rsidR="00336793" w:rsidRPr="00A457C4" w:rsidRDefault="00336793" w:rsidP="00DF0B96">
            <w:pPr>
              <w:pStyle w:val="Tabletext"/>
              <w:rPr>
                <w:rFonts w:eastAsiaTheme="minorEastAsia"/>
                <w:b/>
                <w:bCs/>
                <w:sz w:val="19"/>
                <w:vertAlign w:val="superscript"/>
                <w:lang w:eastAsia="en-AU"/>
              </w:rPr>
            </w:pPr>
            <w:r w:rsidRPr="00A457C4">
              <w:rPr>
                <w:rFonts w:eastAsiaTheme="minorEastAsia"/>
                <w:b/>
                <w:bCs/>
                <w:sz w:val="19"/>
                <w:lang w:eastAsia="en-AU"/>
              </w:rPr>
              <w:t>Closing balance</w:t>
            </w:r>
            <w:r w:rsidRPr="00E96950">
              <w:rPr>
                <w:rFonts w:eastAsiaTheme="minorEastAsia"/>
                <w:b/>
                <w:bCs/>
                <w:sz w:val="19"/>
                <w:vertAlign w:val="superscript"/>
                <w:lang w:eastAsia="en-AU"/>
              </w:rPr>
              <w:t xml:space="preserve"> (</w:t>
            </w:r>
            <w:r w:rsidRPr="00A457C4">
              <w:rPr>
                <w:rFonts w:eastAsiaTheme="minorEastAsia"/>
                <w:b/>
                <w:bCs/>
                <w:sz w:val="19"/>
                <w:vertAlign w:val="superscript"/>
                <w:lang w:eastAsia="en-AU"/>
              </w:rPr>
              <w:t>d)</w:t>
            </w:r>
          </w:p>
        </w:tc>
        <w:tc>
          <w:tcPr>
            <w:tcW w:w="990" w:type="dxa"/>
            <w:tcBorders>
              <w:top w:val="single" w:sz="6" w:space="0" w:color="auto"/>
              <w:left w:val="nil"/>
              <w:bottom w:val="single" w:sz="12" w:space="0" w:color="auto"/>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205.2</w:t>
            </w:r>
          </w:p>
        </w:tc>
        <w:tc>
          <w:tcPr>
            <w:tcW w:w="900" w:type="dxa"/>
            <w:gridSpan w:val="2"/>
            <w:tcBorders>
              <w:top w:val="single" w:sz="6" w:space="0" w:color="auto"/>
              <w:left w:val="nil"/>
              <w:bottom w:val="single" w:sz="12" w:space="0" w:color="auto"/>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w:t>
            </w:r>
          </w:p>
        </w:tc>
        <w:tc>
          <w:tcPr>
            <w:tcW w:w="900" w:type="dxa"/>
            <w:gridSpan w:val="2"/>
            <w:tcBorders>
              <w:top w:val="single" w:sz="6" w:space="0" w:color="auto"/>
              <w:left w:val="nil"/>
              <w:bottom w:val="single" w:sz="12" w:space="0" w:color="auto"/>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69.0</w:t>
            </w:r>
          </w:p>
        </w:tc>
        <w:tc>
          <w:tcPr>
            <w:tcW w:w="900" w:type="dxa"/>
            <w:gridSpan w:val="3"/>
            <w:tcBorders>
              <w:top w:val="single" w:sz="6" w:space="0" w:color="auto"/>
              <w:left w:val="nil"/>
              <w:bottom w:val="single" w:sz="12" w:space="0" w:color="auto"/>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136.2</w:t>
            </w:r>
          </w:p>
        </w:tc>
        <w:tc>
          <w:tcPr>
            <w:tcW w:w="1080" w:type="dxa"/>
            <w:tcBorders>
              <w:top w:val="single" w:sz="6" w:space="0" w:color="auto"/>
              <w:left w:val="nil"/>
              <w:bottom w:val="single" w:sz="12" w:space="0" w:color="auto"/>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161.9</w:t>
            </w:r>
          </w:p>
        </w:tc>
        <w:tc>
          <w:tcPr>
            <w:tcW w:w="870" w:type="dxa"/>
            <w:gridSpan w:val="3"/>
            <w:tcBorders>
              <w:top w:val="single" w:sz="6" w:space="0" w:color="auto"/>
              <w:left w:val="nil"/>
              <w:bottom w:val="single" w:sz="12" w:space="0" w:color="auto"/>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w:t>
            </w:r>
          </w:p>
        </w:tc>
        <w:tc>
          <w:tcPr>
            <w:tcW w:w="870" w:type="dxa"/>
            <w:tcBorders>
              <w:top w:val="single" w:sz="6" w:space="0" w:color="auto"/>
              <w:left w:val="nil"/>
              <w:bottom w:val="single" w:sz="12" w:space="0" w:color="auto"/>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43.8</w:t>
            </w:r>
          </w:p>
        </w:tc>
        <w:tc>
          <w:tcPr>
            <w:tcW w:w="870" w:type="dxa"/>
            <w:gridSpan w:val="2"/>
            <w:tcBorders>
              <w:top w:val="single" w:sz="6" w:space="0" w:color="auto"/>
              <w:left w:val="nil"/>
              <w:bottom w:val="single" w:sz="12" w:space="0" w:color="auto"/>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118.1</w:t>
            </w:r>
          </w:p>
        </w:tc>
      </w:tr>
      <w:tr w:rsidR="00336793" w:rsidRPr="00A457C4" w:rsidTr="00DF0B96">
        <w:trPr>
          <w:trHeight w:hRule="exact" w:val="120"/>
        </w:trPr>
        <w:tc>
          <w:tcPr>
            <w:tcW w:w="2267" w:type="dxa"/>
            <w:gridSpan w:val="2"/>
            <w:tcBorders>
              <w:top w:val="nil"/>
              <w:left w:val="nil"/>
              <w:bottom w:val="nil"/>
              <w:right w:val="nil"/>
            </w:tcBorders>
            <w:shd w:val="solid" w:color="FFFFFF" w:fill="auto"/>
          </w:tcPr>
          <w:p w:rsidR="00336793" w:rsidRPr="00A457C4" w:rsidRDefault="00336793" w:rsidP="00DF0B96">
            <w:pPr>
              <w:pStyle w:val="Tabletext"/>
              <w:rPr>
                <w:rFonts w:eastAsiaTheme="minorEastAsia"/>
                <w:sz w:val="19"/>
                <w:lang w:eastAsia="en-AU"/>
              </w:rPr>
            </w:pPr>
            <w:r w:rsidRPr="00A457C4">
              <w:rPr>
                <w:rFonts w:eastAsiaTheme="minorEastAsia"/>
                <w:sz w:val="19"/>
                <w:lang w:eastAsia="en-AU"/>
              </w:rPr>
              <w:t xml:space="preserve"> </w:t>
            </w:r>
          </w:p>
        </w:tc>
        <w:tc>
          <w:tcPr>
            <w:tcW w:w="990" w:type="dxa"/>
            <w:tcBorders>
              <w:top w:val="nil"/>
              <w:left w:val="nil"/>
              <w:bottom w:val="nil"/>
              <w:right w:val="nil"/>
            </w:tcBorders>
            <w:shd w:val="solid" w:color="FFFFFF" w:fill="auto"/>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w:t>
            </w:r>
          </w:p>
        </w:tc>
        <w:tc>
          <w:tcPr>
            <w:tcW w:w="900" w:type="dxa"/>
            <w:gridSpan w:val="2"/>
            <w:tcBorders>
              <w:top w:val="nil"/>
              <w:left w:val="nil"/>
              <w:bottom w:val="nil"/>
              <w:right w:val="nil"/>
            </w:tcBorders>
            <w:shd w:val="solid" w:color="FFFFFF" w:fill="auto"/>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w:t>
            </w:r>
          </w:p>
        </w:tc>
        <w:tc>
          <w:tcPr>
            <w:tcW w:w="900" w:type="dxa"/>
            <w:gridSpan w:val="2"/>
            <w:tcBorders>
              <w:top w:val="nil"/>
              <w:left w:val="nil"/>
              <w:bottom w:val="nil"/>
              <w:right w:val="nil"/>
            </w:tcBorders>
            <w:shd w:val="solid" w:color="FFFFFF" w:fill="auto"/>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w:t>
            </w:r>
          </w:p>
        </w:tc>
        <w:tc>
          <w:tcPr>
            <w:tcW w:w="900" w:type="dxa"/>
            <w:gridSpan w:val="3"/>
            <w:tcBorders>
              <w:top w:val="nil"/>
              <w:left w:val="nil"/>
              <w:bottom w:val="nil"/>
              <w:right w:val="nil"/>
            </w:tcBorders>
            <w:shd w:val="solid" w:color="FFFFFF" w:fill="auto"/>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w:t>
            </w:r>
          </w:p>
        </w:tc>
        <w:tc>
          <w:tcPr>
            <w:tcW w:w="108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w:t>
            </w:r>
          </w:p>
        </w:tc>
        <w:tc>
          <w:tcPr>
            <w:tcW w:w="87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w:t>
            </w:r>
          </w:p>
        </w:tc>
        <w:tc>
          <w:tcPr>
            <w:tcW w:w="87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w:t>
            </w:r>
          </w:p>
        </w:tc>
        <w:tc>
          <w:tcPr>
            <w:tcW w:w="87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w:t>
            </w:r>
          </w:p>
        </w:tc>
      </w:tr>
      <w:tr w:rsidR="00336793" w:rsidRPr="00A457C4" w:rsidTr="00DF0B96">
        <w:tc>
          <w:tcPr>
            <w:tcW w:w="2267" w:type="dxa"/>
            <w:gridSpan w:val="2"/>
            <w:tcBorders>
              <w:top w:val="nil"/>
              <w:left w:val="single" w:sz="6" w:space="0" w:color="auto"/>
              <w:bottom w:val="single" w:sz="6" w:space="0" w:color="auto"/>
              <w:right w:val="nil"/>
            </w:tcBorders>
            <w:shd w:val="solid" w:color="000000" w:fill="auto"/>
          </w:tcPr>
          <w:p w:rsidR="00336793" w:rsidRPr="00A457C4" w:rsidRDefault="00336793" w:rsidP="00DF0B96">
            <w:pPr>
              <w:pStyle w:val="Tabletext"/>
              <w:rPr>
                <w:rFonts w:eastAsiaTheme="minorEastAsia"/>
                <w:i/>
                <w:sz w:val="19"/>
                <w:lang w:eastAsia="en-AU"/>
              </w:rPr>
            </w:pPr>
            <w:r w:rsidRPr="00A457C4">
              <w:rPr>
                <w:rFonts w:eastAsiaTheme="minorEastAsia"/>
                <w:i/>
                <w:sz w:val="19"/>
                <w:lang w:eastAsia="en-AU"/>
              </w:rPr>
              <w:t>General government sector</w:t>
            </w:r>
          </w:p>
        </w:tc>
        <w:tc>
          <w:tcPr>
            <w:tcW w:w="990" w:type="dxa"/>
            <w:tcBorders>
              <w:top w:val="nil"/>
              <w:left w:val="nil"/>
              <w:bottom w:val="single" w:sz="6" w:space="0" w:color="auto"/>
              <w:right w:val="nil"/>
            </w:tcBorders>
            <w:shd w:val="solid" w:color="000000" w:fill="auto"/>
          </w:tcPr>
          <w:p w:rsidR="00336793" w:rsidRPr="00A457C4" w:rsidRDefault="00336793" w:rsidP="00DF0B96">
            <w:pPr>
              <w:pStyle w:val="TableofFigures"/>
              <w:rPr>
                <w:rFonts w:eastAsiaTheme="minorEastAsia"/>
                <w:i/>
                <w:sz w:val="19"/>
                <w:lang w:eastAsia="en-AU"/>
              </w:rPr>
            </w:pPr>
            <w:r w:rsidRPr="00A457C4">
              <w:rPr>
                <w:rFonts w:eastAsiaTheme="minorEastAsia"/>
                <w:i/>
                <w:sz w:val="19"/>
                <w:lang w:eastAsia="en-AU"/>
              </w:rPr>
              <w:t xml:space="preserve"> </w:t>
            </w:r>
          </w:p>
        </w:tc>
        <w:tc>
          <w:tcPr>
            <w:tcW w:w="900" w:type="dxa"/>
            <w:gridSpan w:val="2"/>
            <w:tcBorders>
              <w:top w:val="nil"/>
              <w:left w:val="nil"/>
              <w:bottom w:val="single" w:sz="6" w:space="0" w:color="auto"/>
              <w:right w:val="nil"/>
            </w:tcBorders>
            <w:shd w:val="solid" w:color="000000" w:fill="auto"/>
          </w:tcPr>
          <w:p w:rsidR="00336793" w:rsidRPr="00A457C4" w:rsidRDefault="00336793" w:rsidP="00DF0B96">
            <w:pPr>
              <w:pStyle w:val="TableofFigures"/>
              <w:rPr>
                <w:rFonts w:eastAsiaTheme="minorEastAsia"/>
                <w:i/>
                <w:sz w:val="19"/>
                <w:lang w:eastAsia="en-AU"/>
              </w:rPr>
            </w:pPr>
            <w:r w:rsidRPr="00A457C4">
              <w:rPr>
                <w:rFonts w:eastAsiaTheme="minorEastAsia"/>
                <w:i/>
                <w:sz w:val="19"/>
                <w:lang w:eastAsia="en-AU"/>
              </w:rPr>
              <w:t xml:space="preserve"> </w:t>
            </w:r>
          </w:p>
        </w:tc>
        <w:tc>
          <w:tcPr>
            <w:tcW w:w="900" w:type="dxa"/>
            <w:gridSpan w:val="2"/>
            <w:tcBorders>
              <w:top w:val="nil"/>
              <w:left w:val="nil"/>
              <w:bottom w:val="single" w:sz="6" w:space="0" w:color="auto"/>
              <w:right w:val="nil"/>
            </w:tcBorders>
            <w:shd w:val="solid" w:color="000000" w:fill="auto"/>
          </w:tcPr>
          <w:p w:rsidR="00336793" w:rsidRPr="00A457C4" w:rsidRDefault="00336793" w:rsidP="00DF0B96">
            <w:pPr>
              <w:pStyle w:val="TableofFigures"/>
              <w:rPr>
                <w:rFonts w:eastAsiaTheme="minorEastAsia"/>
                <w:i/>
                <w:sz w:val="19"/>
                <w:lang w:eastAsia="en-AU"/>
              </w:rPr>
            </w:pPr>
            <w:r w:rsidRPr="00A457C4">
              <w:rPr>
                <w:rFonts w:eastAsiaTheme="minorEastAsia"/>
                <w:i/>
                <w:sz w:val="19"/>
                <w:lang w:eastAsia="en-AU"/>
              </w:rPr>
              <w:t xml:space="preserve"> </w:t>
            </w:r>
          </w:p>
        </w:tc>
        <w:tc>
          <w:tcPr>
            <w:tcW w:w="900" w:type="dxa"/>
            <w:gridSpan w:val="3"/>
            <w:tcBorders>
              <w:top w:val="nil"/>
              <w:left w:val="nil"/>
              <w:bottom w:val="single" w:sz="6" w:space="0" w:color="auto"/>
              <w:right w:val="nil"/>
            </w:tcBorders>
            <w:shd w:val="solid" w:color="000000" w:fill="auto"/>
          </w:tcPr>
          <w:p w:rsidR="00336793" w:rsidRPr="00A457C4" w:rsidRDefault="00336793" w:rsidP="00DF0B96">
            <w:pPr>
              <w:pStyle w:val="TableofFigures"/>
              <w:rPr>
                <w:rFonts w:eastAsiaTheme="minorEastAsia"/>
                <w:i/>
                <w:sz w:val="19"/>
                <w:lang w:eastAsia="en-AU"/>
              </w:rPr>
            </w:pPr>
            <w:r w:rsidRPr="00A457C4">
              <w:rPr>
                <w:rFonts w:eastAsiaTheme="minorEastAsia"/>
                <w:i/>
                <w:sz w:val="19"/>
                <w:lang w:eastAsia="en-AU"/>
              </w:rPr>
              <w:t xml:space="preserve"> </w:t>
            </w:r>
          </w:p>
        </w:tc>
        <w:tc>
          <w:tcPr>
            <w:tcW w:w="1080" w:type="dxa"/>
            <w:tcBorders>
              <w:top w:val="nil"/>
              <w:left w:val="nil"/>
              <w:bottom w:val="single" w:sz="6" w:space="0" w:color="auto"/>
              <w:right w:val="nil"/>
            </w:tcBorders>
            <w:shd w:val="solid" w:color="000000" w:fill="auto"/>
          </w:tcPr>
          <w:p w:rsidR="00336793" w:rsidRPr="00A457C4" w:rsidRDefault="00336793" w:rsidP="00DF0B96">
            <w:pPr>
              <w:pStyle w:val="TableofFigures"/>
              <w:rPr>
                <w:rFonts w:eastAsiaTheme="minorEastAsia"/>
                <w:i/>
                <w:sz w:val="19"/>
                <w:lang w:eastAsia="en-AU"/>
              </w:rPr>
            </w:pPr>
            <w:r w:rsidRPr="00A457C4">
              <w:rPr>
                <w:rFonts w:eastAsiaTheme="minorEastAsia"/>
                <w:i/>
                <w:sz w:val="19"/>
                <w:lang w:eastAsia="en-AU"/>
              </w:rPr>
              <w:t xml:space="preserve"> </w:t>
            </w:r>
          </w:p>
        </w:tc>
        <w:tc>
          <w:tcPr>
            <w:tcW w:w="870" w:type="dxa"/>
            <w:gridSpan w:val="3"/>
            <w:tcBorders>
              <w:top w:val="nil"/>
              <w:left w:val="nil"/>
              <w:bottom w:val="single" w:sz="6" w:space="0" w:color="auto"/>
              <w:right w:val="nil"/>
            </w:tcBorders>
            <w:shd w:val="solid" w:color="000000" w:fill="auto"/>
          </w:tcPr>
          <w:p w:rsidR="00336793" w:rsidRPr="00A457C4" w:rsidRDefault="00336793" w:rsidP="00DF0B96">
            <w:pPr>
              <w:pStyle w:val="TableofFigures"/>
              <w:rPr>
                <w:rFonts w:eastAsiaTheme="minorEastAsia"/>
                <w:i/>
                <w:sz w:val="19"/>
                <w:lang w:eastAsia="en-AU"/>
              </w:rPr>
            </w:pPr>
            <w:r w:rsidRPr="00A457C4">
              <w:rPr>
                <w:rFonts w:eastAsiaTheme="minorEastAsia"/>
                <w:i/>
                <w:sz w:val="19"/>
                <w:lang w:eastAsia="en-AU"/>
              </w:rPr>
              <w:t xml:space="preserve"> </w:t>
            </w:r>
          </w:p>
        </w:tc>
        <w:tc>
          <w:tcPr>
            <w:tcW w:w="870" w:type="dxa"/>
            <w:tcBorders>
              <w:top w:val="nil"/>
              <w:left w:val="nil"/>
              <w:bottom w:val="single" w:sz="6" w:space="0" w:color="auto"/>
              <w:right w:val="nil"/>
            </w:tcBorders>
            <w:shd w:val="solid" w:color="000000" w:fill="auto"/>
          </w:tcPr>
          <w:p w:rsidR="00336793" w:rsidRPr="00A457C4" w:rsidRDefault="00336793" w:rsidP="00DF0B96">
            <w:pPr>
              <w:pStyle w:val="TableofFigures"/>
              <w:rPr>
                <w:rFonts w:eastAsiaTheme="minorEastAsia"/>
                <w:i/>
                <w:sz w:val="19"/>
                <w:lang w:eastAsia="en-AU"/>
              </w:rPr>
            </w:pPr>
            <w:r w:rsidRPr="00A457C4">
              <w:rPr>
                <w:rFonts w:eastAsiaTheme="minorEastAsia"/>
                <w:i/>
                <w:sz w:val="19"/>
                <w:lang w:eastAsia="en-AU"/>
              </w:rPr>
              <w:t xml:space="preserve"> </w:t>
            </w:r>
          </w:p>
        </w:tc>
        <w:tc>
          <w:tcPr>
            <w:tcW w:w="870" w:type="dxa"/>
            <w:gridSpan w:val="2"/>
            <w:tcBorders>
              <w:top w:val="nil"/>
              <w:left w:val="nil"/>
              <w:bottom w:val="single" w:sz="6" w:space="0" w:color="auto"/>
              <w:right w:val="single" w:sz="6" w:space="0" w:color="auto"/>
            </w:tcBorders>
            <w:shd w:val="solid" w:color="000000" w:fill="auto"/>
          </w:tcPr>
          <w:p w:rsidR="00336793" w:rsidRPr="00A457C4" w:rsidRDefault="00336793" w:rsidP="00DF0B96">
            <w:pPr>
              <w:pStyle w:val="TableofFigures"/>
              <w:rPr>
                <w:rFonts w:eastAsiaTheme="minorEastAsia"/>
                <w:i/>
                <w:sz w:val="19"/>
                <w:lang w:eastAsia="en-AU"/>
              </w:rPr>
            </w:pPr>
            <w:r w:rsidRPr="00A457C4">
              <w:rPr>
                <w:rFonts w:eastAsiaTheme="minorEastAsia"/>
                <w:i/>
                <w:sz w:val="19"/>
                <w:lang w:eastAsia="en-AU"/>
              </w:rPr>
              <w:t xml:space="preserve"> </w:t>
            </w:r>
          </w:p>
        </w:tc>
      </w:tr>
      <w:tr w:rsidR="00336793" w:rsidRPr="00A457C4" w:rsidTr="00DF0B96">
        <w:tc>
          <w:tcPr>
            <w:tcW w:w="2267" w:type="dxa"/>
            <w:gridSpan w:val="2"/>
            <w:tcBorders>
              <w:top w:val="nil"/>
              <w:left w:val="nil"/>
              <w:bottom w:val="nil"/>
              <w:right w:val="nil"/>
            </w:tcBorders>
            <w:shd w:val="solid" w:color="FFFFFF" w:fill="auto"/>
          </w:tcPr>
          <w:p w:rsidR="00336793" w:rsidRPr="00A457C4" w:rsidRDefault="00336793" w:rsidP="00DF0B96">
            <w:pPr>
              <w:pStyle w:val="Tabletext"/>
              <w:rPr>
                <w:rFonts w:eastAsiaTheme="minorEastAsia"/>
                <w:sz w:val="19"/>
                <w:vertAlign w:val="superscript"/>
                <w:lang w:eastAsia="en-AU"/>
              </w:rPr>
            </w:pPr>
            <w:r w:rsidRPr="00A457C4">
              <w:rPr>
                <w:rFonts w:eastAsiaTheme="minorEastAsia"/>
                <w:sz w:val="19"/>
                <w:lang w:eastAsia="en-AU"/>
              </w:rPr>
              <w:t>Land</w:t>
            </w:r>
            <w:r w:rsidRPr="00E96950">
              <w:rPr>
                <w:rFonts w:eastAsiaTheme="minorEastAsia"/>
                <w:sz w:val="19"/>
                <w:vertAlign w:val="superscript"/>
                <w:lang w:eastAsia="en-AU"/>
              </w:rPr>
              <w:t xml:space="preserve"> (</w:t>
            </w:r>
            <w:r w:rsidRPr="00A457C4">
              <w:rPr>
                <w:rFonts w:eastAsiaTheme="minorEastAsia"/>
                <w:sz w:val="19"/>
                <w:vertAlign w:val="superscript"/>
                <w:lang w:eastAsia="en-AU"/>
              </w:rPr>
              <w:t xml:space="preserve">d) </w:t>
            </w:r>
          </w:p>
        </w:tc>
        <w:tc>
          <w:tcPr>
            <w:tcW w:w="99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165.2</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31.7</w:t>
            </w:r>
          </w:p>
        </w:tc>
        <w:tc>
          <w:tcPr>
            <w:tcW w:w="90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133.6</w:t>
            </w:r>
          </w:p>
        </w:tc>
        <w:tc>
          <w:tcPr>
            <w:tcW w:w="108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125.4</w:t>
            </w:r>
          </w:p>
        </w:tc>
        <w:tc>
          <w:tcPr>
            <w:tcW w:w="87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87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10.6</w:t>
            </w:r>
          </w:p>
        </w:tc>
        <w:tc>
          <w:tcPr>
            <w:tcW w:w="87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114.7</w:t>
            </w:r>
          </w:p>
        </w:tc>
      </w:tr>
      <w:tr w:rsidR="00336793" w:rsidRPr="00A457C4" w:rsidTr="00DF0B96">
        <w:tc>
          <w:tcPr>
            <w:tcW w:w="2267" w:type="dxa"/>
            <w:gridSpan w:val="2"/>
            <w:tcBorders>
              <w:top w:val="nil"/>
              <w:left w:val="nil"/>
              <w:bottom w:val="nil"/>
              <w:right w:val="nil"/>
            </w:tcBorders>
            <w:shd w:val="solid" w:color="FFFFFF" w:fill="auto"/>
          </w:tcPr>
          <w:p w:rsidR="00336793" w:rsidRPr="00A457C4" w:rsidRDefault="00336793" w:rsidP="00DF0B96">
            <w:pPr>
              <w:pStyle w:val="Tabletext"/>
              <w:rPr>
                <w:rFonts w:eastAsiaTheme="minorEastAsia"/>
                <w:sz w:val="19"/>
                <w:vertAlign w:val="superscript"/>
                <w:lang w:eastAsia="en-AU"/>
              </w:rPr>
            </w:pPr>
            <w:r w:rsidRPr="00A457C4">
              <w:rPr>
                <w:rFonts w:eastAsiaTheme="minorEastAsia"/>
                <w:sz w:val="19"/>
                <w:lang w:eastAsia="en-AU"/>
              </w:rPr>
              <w:t>Buildings</w:t>
            </w:r>
            <w:r w:rsidRPr="00E96950">
              <w:rPr>
                <w:rFonts w:eastAsiaTheme="minorEastAsia"/>
                <w:sz w:val="19"/>
                <w:vertAlign w:val="superscript"/>
                <w:lang w:eastAsia="en-AU"/>
              </w:rPr>
              <w:t xml:space="preserve"> (</w:t>
            </w:r>
            <w:r w:rsidRPr="00A457C4">
              <w:rPr>
                <w:rFonts w:eastAsiaTheme="minorEastAsia"/>
                <w:sz w:val="19"/>
                <w:vertAlign w:val="superscript"/>
                <w:lang w:eastAsia="en-AU"/>
              </w:rPr>
              <w:t>d)</w:t>
            </w:r>
          </w:p>
        </w:tc>
        <w:tc>
          <w:tcPr>
            <w:tcW w:w="99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4.2</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4.1</w:t>
            </w:r>
          </w:p>
        </w:tc>
        <w:tc>
          <w:tcPr>
            <w:tcW w:w="90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0.1</w:t>
            </w:r>
          </w:p>
        </w:tc>
        <w:tc>
          <w:tcPr>
            <w:tcW w:w="108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7.7</w:t>
            </w:r>
          </w:p>
        </w:tc>
        <w:tc>
          <w:tcPr>
            <w:tcW w:w="87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87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6.1</w:t>
            </w:r>
          </w:p>
        </w:tc>
        <w:tc>
          <w:tcPr>
            <w:tcW w:w="87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1.6</w:t>
            </w:r>
          </w:p>
        </w:tc>
      </w:tr>
      <w:tr w:rsidR="00336793" w:rsidRPr="00A457C4" w:rsidTr="00DF0B96">
        <w:tc>
          <w:tcPr>
            <w:tcW w:w="2267" w:type="dxa"/>
            <w:gridSpan w:val="2"/>
            <w:tcBorders>
              <w:top w:val="nil"/>
              <w:left w:val="nil"/>
              <w:bottom w:val="nil"/>
              <w:right w:val="nil"/>
            </w:tcBorders>
            <w:shd w:val="solid" w:color="FFFFFF" w:fill="auto"/>
          </w:tcPr>
          <w:p w:rsidR="00336793" w:rsidRPr="00A457C4" w:rsidRDefault="00336793" w:rsidP="00DF0B96">
            <w:pPr>
              <w:pStyle w:val="Tabletext"/>
              <w:rPr>
                <w:rFonts w:eastAsiaTheme="minorEastAsia"/>
                <w:sz w:val="19"/>
                <w:lang w:eastAsia="en-AU"/>
              </w:rPr>
            </w:pPr>
            <w:r w:rsidRPr="00A457C4">
              <w:rPr>
                <w:rFonts w:eastAsiaTheme="minorEastAsia"/>
                <w:sz w:val="19"/>
                <w:lang w:eastAsia="en-AU"/>
              </w:rPr>
              <w:t>Infrastructure, plant, equipment and vehicles</w:t>
            </w:r>
          </w:p>
        </w:tc>
        <w:tc>
          <w:tcPr>
            <w:tcW w:w="99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5.8</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90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3.4</w:t>
            </w:r>
          </w:p>
        </w:tc>
        <w:tc>
          <w:tcPr>
            <w:tcW w:w="90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2.4</w:t>
            </w:r>
          </w:p>
        </w:tc>
        <w:tc>
          <w:tcPr>
            <w:tcW w:w="108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4.7</w:t>
            </w:r>
          </w:p>
        </w:tc>
        <w:tc>
          <w:tcPr>
            <w:tcW w:w="870" w:type="dxa"/>
            <w:gridSpan w:val="3"/>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870" w:type="dxa"/>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3.0</w:t>
            </w:r>
          </w:p>
        </w:tc>
        <w:tc>
          <w:tcPr>
            <w:tcW w:w="870" w:type="dxa"/>
            <w:gridSpan w:val="2"/>
            <w:tcBorders>
              <w:top w:val="nil"/>
              <w:left w:val="nil"/>
              <w:bottom w:val="nil"/>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1.7</w:t>
            </w:r>
          </w:p>
        </w:tc>
      </w:tr>
      <w:tr w:rsidR="00336793" w:rsidRPr="00A457C4" w:rsidTr="00DF0B96">
        <w:tc>
          <w:tcPr>
            <w:tcW w:w="2267" w:type="dxa"/>
            <w:gridSpan w:val="2"/>
            <w:tcBorders>
              <w:top w:val="nil"/>
              <w:left w:val="nil"/>
              <w:bottom w:val="single" w:sz="6" w:space="0" w:color="auto"/>
              <w:right w:val="nil"/>
            </w:tcBorders>
            <w:shd w:val="solid" w:color="FFFFFF" w:fill="auto"/>
          </w:tcPr>
          <w:p w:rsidR="00336793" w:rsidRPr="00A457C4" w:rsidRDefault="00336793" w:rsidP="00DF0B96">
            <w:pPr>
              <w:pStyle w:val="Tabletext"/>
              <w:rPr>
                <w:rFonts w:eastAsiaTheme="minorEastAsia"/>
                <w:sz w:val="19"/>
                <w:lang w:eastAsia="en-AU"/>
              </w:rPr>
            </w:pPr>
            <w:r w:rsidRPr="00A457C4">
              <w:rPr>
                <w:rFonts w:eastAsiaTheme="minorEastAsia"/>
                <w:sz w:val="19"/>
                <w:lang w:eastAsia="en-AU"/>
              </w:rPr>
              <w:t xml:space="preserve">Other </w:t>
            </w:r>
          </w:p>
        </w:tc>
        <w:tc>
          <w:tcPr>
            <w:tcW w:w="990" w:type="dxa"/>
            <w:tcBorders>
              <w:top w:val="nil"/>
              <w:left w:val="nil"/>
              <w:bottom w:val="single" w:sz="6" w:space="0" w:color="auto"/>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900" w:type="dxa"/>
            <w:gridSpan w:val="2"/>
            <w:tcBorders>
              <w:top w:val="nil"/>
              <w:left w:val="nil"/>
              <w:bottom w:val="single" w:sz="6" w:space="0" w:color="auto"/>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900" w:type="dxa"/>
            <w:gridSpan w:val="2"/>
            <w:tcBorders>
              <w:top w:val="nil"/>
              <w:left w:val="nil"/>
              <w:bottom w:val="single" w:sz="6" w:space="0" w:color="auto"/>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900" w:type="dxa"/>
            <w:gridSpan w:val="3"/>
            <w:tcBorders>
              <w:top w:val="nil"/>
              <w:left w:val="nil"/>
              <w:bottom w:val="single" w:sz="6" w:space="0" w:color="auto"/>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1080" w:type="dxa"/>
            <w:tcBorders>
              <w:top w:val="nil"/>
              <w:left w:val="nil"/>
              <w:bottom w:val="single" w:sz="6" w:space="0" w:color="auto"/>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0.1</w:t>
            </w:r>
          </w:p>
        </w:tc>
        <w:tc>
          <w:tcPr>
            <w:tcW w:w="870" w:type="dxa"/>
            <w:gridSpan w:val="3"/>
            <w:tcBorders>
              <w:top w:val="nil"/>
              <w:left w:val="nil"/>
              <w:bottom w:val="single" w:sz="6" w:space="0" w:color="auto"/>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c>
          <w:tcPr>
            <w:tcW w:w="870" w:type="dxa"/>
            <w:tcBorders>
              <w:top w:val="nil"/>
              <w:left w:val="nil"/>
              <w:bottom w:val="single" w:sz="6" w:space="0" w:color="auto"/>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 xml:space="preserve"> 0.1</w:t>
            </w:r>
          </w:p>
        </w:tc>
        <w:tc>
          <w:tcPr>
            <w:tcW w:w="870" w:type="dxa"/>
            <w:gridSpan w:val="2"/>
            <w:tcBorders>
              <w:top w:val="nil"/>
              <w:left w:val="nil"/>
              <w:bottom w:val="single" w:sz="6" w:space="0" w:color="auto"/>
              <w:right w:val="nil"/>
            </w:tcBorders>
          </w:tcPr>
          <w:p w:rsidR="00336793" w:rsidRPr="00A457C4" w:rsidRDefault="00336793" w:rsidP="00DF0B96">
            <w:pPr>
              <w:pStyle w:val="TableofFigures"/>
              <w:rPr>
                <w:rFonts w:eastAsiaTheme="minorEastAsia"/>
                <w:sz w:val="19"/>
                <w:lang w:eastAsia="en-AU"/>
              </w:rPr>
            </w:pPr>
            <w:r w:rsidRPr="00A457C4">
              <w:rPr>
                <w:rFonts w:eastAsiaTheme="minorEastAsia"/>
                <w:sz w:val="19"/>
                <w:lang w:eastAsia="en-AU"/>
              </w:rPr>
              <w:t>..</w:t>
            </w:r>
          </w:p>
        </w:tc>
      </w:tr>
      <w:tr w:rsidR="00336793" w:rsidRPr="00A457C4" w:rsidTr="00DF0B96">
        <w:tc>
          <w:tcPr>
            <w:tcW w:w="2267" w:type="dxa"/>
            <w:gridSpan w:val="2"/>
            <w:tcBorders>
              <w:top w:val="single" w:sz="6" w:space="0" w:color="auto"/>
              <w:left w:val="nil"/>
              <w:bottom w:val="single" w:sz="12" w:space="0" w:color="000000"/>
              <w:right w:val="nil"/>
            </w:tcBorders>
          </w:tcPr>
          <w:p w:rsidR="00336793" w:rsidRPr="00A457C4" w:rsidRDefault="00336793" w:rsidP="00DF0B96">
            <w:pPr>
              <w:pStyle w:val="Tabletext"/>
              <w:rPr>
                <w:rFonts w:eastAsiaTheme="minorEastAsia"/>
                <w:b/>
                <w:bCs/>
                <w:sz w:val="19"/>
                <w:vertAlign w:val="superscript"/>
                <w:lang w:eastAsia="en-AU"/>
              </w:rPr>
            </w:pPr>
            <w:r w:rsidRPr="00A457C4">
              <w:rPr>
                <w:rFonts w:eastAsiaTheme="minorEastAsia"/>
                <w:b/>
                <w:bCs/>
                <w:sz w:val="19"/>
                <w:lang w:eastAsia="en-AU"/>
              </w:rPr>
              <w:t>Closing balance</w:t>
            </w:r>
            <w:r w:rsidRPr="00E96950">
              <w:rPr>
                <w:rFonts w:eastAsiaTheme="minorEastAsia"/>
                <w:b/>
                <w:bCs/>
                <w:sz w:val="19"/>
                <w:vertAlign w:val="superscript"/>
                <w:lang w:eastAsia="en-AU"/>
              </w:rPr>
              <w:t xml:space="preserve"> (</w:t>
            </w:r>
            <w:r w:rsidRPr="00A457C4">
              <w:rPr>
                <w:rFonts w:eastAsiaTheme="minorEastAsia"/>
                <w:b/>
                <w:bCs/>
                <w:sz w:val="19"/>
                <w:vertAlign w:val="superscript"/>
                <w:lang w:eastAsia="en-AU"/>
              </w:rPr>
              <w:t>d)</w:t>
            </w:r>
          </w:p>
        </w:tc>
        <w:tc>
          <w:tcPr>
            <w:tcW w:w="990"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175.3</w:t>
            </w:r>
          </w:p>
        </w:tc>
        <w:tc>
          <w:tcPr>
            <w:tcW w:w="900" w:type="dxa"/>
            <w:gridSpan w:val="2"/>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w:t>
            </w:r>
          </w:p>
        </w:tc>
        <w:tc>
          <w:tcPr>
            <w:tcW w:w="900" w:type="dxa"/>
            <w:gridSpan w:val="2"/>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39.2</w:t>
            </w:r>
          </w:p>
        </w:tc>
        <w:tc>
          <w:tcPr>
            <w:tcW w:w="900" w:type="dxa"/>
            <w:gridSpan w:val="3"/>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136.1</w:t>
            </w:r>
          </w:p>
        </w:tc>
        <w:tc>
          <w:tcPr>
            <w:tcW w:w="1080"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137.8</w:t>
            </w:r>
          </w:p>
        </w:tc>
        <w:tc>
          <w:tcPr>
            <w:tcW w:w="870" w:type="dxa"/>
            <w:gridSpan w:val="3"/>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w:t>
            </w:r>
          </w:p>
        </w:tc>
        <w:tc>
          <w:tcPr>
            <w:tcW w:w="870"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19.8</w:t>
            </w:r>
          </w:p>
        </w:tc>
        <w:tc>
          <w:tcPr>
            <w:tcW w:w="870" w:type="dxa"/>
            <w:gridSpan w:val="2"/>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19"/>
                <w:lang w:eastAsia="en-AU"/>
              </w:rPr>
            </w:pPr>
            <w:r w:rsidRPr="00A457C4">
              <w:rPr>
                <w:rFonts w:eastAsiaTheme="minorEastAsia"/>
                <w:b/>
                <w:bCs/>
                <w:sz w:val="19"/>
                <w:lang w:eastAsia="en-AU"/>
              </w:rPr>
              <w:t xml:space="preserve"> 118.0</w:t>
            </w:r>
          </w:p>
        </w:tc>
      </w:tr>
    </w:tbl>
    <w:p w:rsidR="00336793" w:rsidRPr="006A75A2" w:rsidRDefault="00336793" w:rsidP="00DF0B96">
      <w:pPr>
        <w:pStyle w:val="Notes"/>
      </w:pPr>
      <w:r w:rsidRPr="006A75A2">
        <w:t>Notes:</w:t>
      </w:r>
    </w:p>
    <w:p w:rsidR="00336793" w:rsidRPr="006A75A2" w:rsidRDefault="00336793" w:rsidP="00DF0B96">
      <w:pPr>
        <w:pStyle w:val="Notes"/>
      </w:pPr>
      <w:r w:rsidRPr="006A75A2">
        <w:t>(a)</w:t>
      </w:r>
      <w:r w:rsidRPr="006A75A2">
        <w:tab/>
        <w:t>Quoted prices (unadjusted) in active markets for identical assets or liabilities.</w:t>
      </w:r>
    </w:p>
    <w:p w:rsidR="00336793" w:rsidRPr="006A75A2" w:rsidRDefault="00336793" w:rsidP="00DF0B96">
      <w:pPr>
        <w:pStyle w:val="Notes"/>
      </w:pPr>
      <w:r w:rsidRPr="006A75A2">
        <w:t>(b)</w:t>
      </w:r>
      <w:r w:rsidRPr="006A75A2">
        <w:tab/>
        <w:t xml:space="preserve">Inputs based on observable market data (either directly using prices or indirectly derived from prices). </w:t>
      </w:r>
    </w:p>
    <w:p w:rsidR="00336793" w:rsidRDefault="00336793" w:rsidP="00DF0B96">
      <w:pPr>
        <w:pStyle w:val="Notes"/>
      </w:pPr>
      <w:r w:rsidRPr="006A75A2">
        <w:t>(c)</w:t>
      </w:r>
      <w:r w:rsidRPr="006A75A2">
        <w:tab/>
        <w:t>Inputs not based on observable market data.</w:t>
      </w:r>
    </w:p>
    <w:p w:rsidR="00336793" w:rsidRPr="006A75A2" w:rsidRDefault="00336793" w:rsidP="00DF0B96">
      <w:pPr>
        <w:pStyle w:val="Notes"/>
      </w:pPr>
      <w:r>
        <w:t>(d</w:t>
      </w:r>
      <w:r w:rsidRPr="006A75A2">
        <w:t>)</w:t>
      </w:r>
      <w:r w:rsidRPr="006A75A2">
        <w:tab/>
      </w:r>
      <w:r>
        <w:t xml:space="preserve">June 2014 comparative </w:t>
      </w:r>
      <w:r w:rsidRPr="00D41A2A">
        <w:t>figures have been restated. See Note 37.</w:t>
      </w:r>
    </w:p>
    <w:p w:rsidR="00336793" w:rsidRDefault="00336793" w:rsidP="00DF0B96">
      <w:pPr>
        <w:pStyle w:val="Notes"/>
      </w:pPr>
    </w:p>
    <w:p w:rsidR="00336793" w:rsidRDefault="00336793" w:rsidP="00DF0B96"/>
    <w:p w:rsidR="00336793" w:rsidRDefault="00336793">
      <w:pPr>
        <w:spacing w:after="0"/>
        <w:rPr>
          <w:rFonts w:ascii="Calibri" w:hAnsi="Calibri"/>
          <w:i/>
          <w:sz w:val="16"/>
          <w:lang w:eastAsia="en-AU"/>
        </w:rPr>
      </w:pPr>
      <w:r>
        <w:br w:type="page"/>
      </w:r>
    </w:p>
    <w:p w:rsidR="00336793" w:rsidRDefault="00336793" w:rsidP="00DF0B96">
      <w:pPr>
        <w:pStyle w:val="Heading2NotesContd"/>
      </w:pPr>
      <w:r w:rsidRPr="006A75A2">
        <w:lastRenderedPageBreak/>
        <w:t>Note 21:</w:t>
      </w:r>
      <w:r w:rsidRPr="006A75A2">
        <w:tab/>
        <w:t>Non</w:t>
      </w:r>
      <w:r>
        <w:noBreakHyphen/>
      </w:r>
      <w:r w:rsidRPr="006A75A2">
        <w:t>financial assets held for sale</w:t>
      </w:r>
      <w:r>
        <w:t xml:space="preserve"> </w:t>
      </w:r>
      <w:r w:rsidRPr="00E8554C">
        <w:rPr>
          <w:i/>
        </w:rPr>
        <w:t>(continued)</w:t>
      </w:r>
    </w:p>
    <w:p w:rsidR="00336793" w:rsidRDefault="00336793" w:rsidP="00DF0B96">
      <w:pPr>
        <w:pStyle w:val="Heading5"/>
      </w:pPr>
      <w:r>
        <w:t>(c)</w:t>
      </w:r>
      <w:r>
        <w:tab/>
        <w:t>Reconciliation of Level 3 fair value movements</w:t>
      </w:r>
    </w:p>
    <w:p w:rsidR="00336793" w:rsidRDefault="00336793" w:rsidP="00DF0B96">
      <w:pPr>
        <w:pStyle w:val="million"/>
        <w:rPr>
          <w:rFonts w:ascii="Times New Roman" w:hAnsi="Times New Roman"/>
          <w:b/>
          <w:bCs/>
          <w:szCs w:val="20"/>
        </w:rPr>
      </w:pPr>
      <w:r>
        <w:t xml:space="preserve">($ million) </w:t>
      </w:r>
    </w:p>
    <w:tbl>
      <w:tblPr>
        <w:tblW w:w="9637" w:type="dxa"/>
        <w:tblInd w:w="28" w:type="dxa"/>
        <w:tblLayout w:type="fixed"/>
        <w:tblCellMar>
          <w:left w:w="45" w:type="dxa"/>
          <w:right w:w="45" w:type="dxa"/>
        </w:tblCellMar>
        <w:tblLook w:val="0000" w:firstRow="0" w:lastRow="0" w:firstColumn="0" w:lastColumn="0" w:noHBand="0" w:noVBand="0"/>
      </w:tblPr>
      <w:tblGrid>
        <w:gridCol w:w="2917"/>
        <w:gridCol w:w="950"/>
        <w:gridCol w:w="1106"/>
        <w:gridCol w:w="1959"/>
        <w:gridCol w:w="980"/>
        <w:gridCol w:w="854"/>
        <w:gridCol w:w="871"/>
      </w:tblGrid>
      <w:tr w:rsidR="00336793" w:rsidRPr="00A457C4" w:rsidTr="00D96F49">
        <w:tc>
          <w:tcPr>
            <w:tcW w:w="2917" w:type="dxa"/>
            <w:tcBorders>
              <w:top w:val="single" w:sz="6" w:space="0" w:color="000000"/>
              <w:left w:val="single" w:sz="6" w:space="0" w:color="000000"/>
              <w:bottom w:val="single" w:sz="6" w:space="0" w:color="000000"/>
              <w:right w:val="nil"/>
            </w:tcBorders>
            <w:shd w:val="clear" w:color="000000" w:fill="000000"/>
          </w:tcPr>
          <w:p w:rsidR="00336793" w:rsidRPr="00A457C4" w:rsidRDefault="00336793" w:rsidP="00DF0B96">
            <w:pPr>
              <w:pStyle w:val="Tabletextheading"/>
              <w:jc w:val="left"/>
              <w:rPr>
                <w:rFonts w:eastAsiaTheme="minorEastAsia"/>
                <w:color w:val="FFFFFF"/>
                <w:sz w:val="21"/>
                <w:lang w:eastAsia="en-AU"/>
              </w:rPr>
            </w:pPr>
            <w:r w:rsidRPr="00A457C4">
              <w:rPr>
                <w:rFonts w:eastAsiaTheme="minorEastAsia"/>
                <w:color w:val="FFFFFF"/>
                <w:sz w:val="21"/>
                <w:lang w:eastAsia="en-AU"/>
              </w:rPr>
              <w:t>State of Victoria</w:t>
            </w:r>
          </w:p>
          <w:p w:rsidR="00336793" w:rsidRPr="00A457C4" w:rsidRDefault="00336793" w:rsidP="00DF0B96">
            <w:pPr>
              <w:pStyle w:val="Tabletextheading"/>
              <w:jc w:val="left"/>
              <w:rPr>
                <w:rFonts w:eastAsiaTheme="minorEastAsia"/>
                <w:color w:val="FFFFFF"/>
                <w:sz w:val="21"/>
                <w:lang w:eastAsia="en-AU"/>
              </w:rPr>
            </w:pPr>
            <w:r w:rsidRPr="00A457C4">
              <w:rPr>
                <w:rFonts w:eastAsiaTheme="minorEastAsia"/>
                <w:color w:val="FFFFFF"/>
                <w:sz w:val="21"/>
                <w:lang w:eastAsia="en-AU"/>
              </w:rPr>
              <w:t>2015</w:t>
            </w:r>
          </w:p>
        </w:tc>
        <w:tc>
          <w:tcPr>
            <w:tcW w:w="950" w:type="dxa"/>
            <w:tcBorders>
              <w:top w:val="single" w:sz="6" w:space="0" w:color="000000"/>
              <w:left w:val="nil"/>
              <w:bottom w:val="single" w:sz="6" w:space="0" w:color="000000"/>
              <w:right w:val="nil"/>
            </w:tcBorders>
            <w:shd w:val="clear" w:color="000000" w:fill="000000"/>
            <w:vAlign w:val="bottom"/>
          </w:tcPr>
          <w:p w:rsidR="00336793" w:rsidRPr="00A457C4" w:rsidRDefault="00336793" w:rsidP="00D96F49">
            <w:pPr>
              <w:pStyle w:val="Tabletextheading"/>
              <w:rPr>
                <w:rFonts w:eastAsiaTheme="minorEastAsia"/>
                <w:color w:val="FFFFFF"/>
                <w:sz w:val="21"/>
                <w:lang w:eastAsia="en-AU"/>
              </w:rPr>
            </w:pPr>
            <w:r w:rsidRPr="00A457C4">
              <w:rPr>
                <w:rFonts w:eastAsiaTheme="minorEastAsia"/>
                <w:color w:val="FFFFFF"/>
                <w:sz w:val="21"/>
                <w:lang w:eastAsia="en-AU"/>
              </w:rPr>
              <w:t>Land</w:t>
            </w:r>
          </w:p>
        </w:tc>
        <w:tc>
          <w:tcPr>
            <w:tcW w:w="1106" w:type="dxa"/>
            <w:tcBorders>
              <w:top w:val="single" w:sz="6" w:space="0" w:color="000000"/>
              <w:left w:val="nil"/>
              <w:bottom w:val="single" w:sz="6" w:space="0" w:color="000000"/>
              <w:right w:val="nil"/>
            </w:tcBorders>
            <w:shd w:val="clear" w:color="000000" w:fill="000000"/>
            <w:vAlign w:val="bottom"/>
          </w:tcPr>
          <w:p w:rsidR="00336793" w:rsidRPr="00A457C4" w:rsidRDefault="00336793" w:rsidP="00D96F49">
            <w:pPr>
              <w:pStyle w:val="Tabletextheading"/>
              <w:rPr>
                <w:rFonts w:eastAsiaTheme="minorEastAsia"/>
                <w:color w:val="FFFFFF"/>
                <w:sz w:val="21"/>
                <w:lang w:eastAsia="en-AU"/>
              </w:rPr>
            </w:pPr>
            <w:r w:rsidRPr="00A457C4">
              <w:rPr>
                <w:rFonts w:eastAsiaTheme="minorEastAsia"/>
                <w:color w:val="FFFFFF"/>
                <w:sz w:val="21"/>
                <w:lang w:eastAsia="en-AU"/>
              </w:rPr>
              <w:t>Buildings</w:t>
            </w:r>
          </w:p>
        </w:tc>
        <w:tc>
          <w:tcPr>
            <w:tcW w:w="1959" w:type="dxa"/>
            <w:tcBorders>
              <w:top w:val="single" w:sz="6" w:space="0" w:color="000000"/>
              <w:left w:val="nil"/>
              <w:bottom w:val="single" w:sz="6" w:space="0" w:color="000000"/>
              <w:right w:val="nil"/>
            </w:tcBorders>
            <w:shd w:val="clear" w:color="000000" w:fill="000000"/>
            <w:vAlign w:val="bottom"/>
          </w:tcPr>
          <w:p w:rsidR="00336793" w:rsidRPr="00A457C4" w:rsidRDefault="00336793" w:rsidP="00D96F49">
            <w:pPr>
              <w:pStyle w:val="Tabletextheading"/>
              <w:rPr>
                <w:rFonts w:eastAsiaTheme="minorEastAsia"/>
                <w:color w:val="FFFFFF"/>
                <w:sz w:val="21"/>
                <w:lang w:eastAsia="en-AU"/>
              </w:rPr>
            </w:pPr>
            <w:r w:rsidRPr="00A457C4">
              <w:rPr>
                <w:rFonts w:eastAsiaTheme="minorEastAsia"/>
                <w:color w:val="FFFFFF"/>
                <w:sz w:val="21"/>
                <w:lang w:eastAsia="en-AU"/>
              </w:rPr>
              <w:t>Infrastructure, plant and equipment</w:t>
            </w:r>
          </w:p>
        </w:tc>
        <w:tc>
          <w:tcPr>
            <w:tcW w:w="980" w:type="dxa"/>
            <w:tcBorders>
              <w:top w:val="single" w:sz="6" w:space="0" w:color="000000"/>
              <w:left w:val="nil"/>
              <w:bottom w:val="single" w:sz="6" w:space="0" w:color="000000"/>
              <w:right w:val="nil"/>
            </w:tcBorders>
            <w:shd w:val="clear" w:color="000000" w:fill="000000"/>
            <w:vAlign w:val="bottom"/>
          </w:tcPr>
          <w:p w:rsidR="00336793" w:rsidRPr="00A457C4" w:rsidRDefault="00336793" w:rsidP="00D96F49">
            <w:pPr>
              <w:pStyle w:val="Tabletextheading"/>
              <w:rPr>
                <w:rFonts w:eastAsiaTheme="minorEastAsia"/>
                <w:color w:val="FFFFFF"/>
                <w:sz w:val="21"/>
                <w:lang w:eastAsia="en-AU"/>
              </w:rPr>
            </w:pPr>
            <w:r w:rsidRPr="00A457C4">
              <w:rPr>
                <w:rFonts w:eastAsiaTheme="minorEastAsia"/>
                <w:color w:val="FFFFFF"/>
                <w:sz w:val="21"/>
                <w:lang w:eastAsia="en-AU"/>
              </w:rPr>
              <w:t>Vehicles</w:t>
            </w:r>
          </w:p>
        </w:tc>
        <w:tc>
          <w:tcPr>
            <w:tcW w:w="854" w:type="dxa"/>
            <w:tcBorders>
              <w:top w:val="single" w:sz="6" w:space="0" w:color="000000"/>
              <w:left w:val="nil"/>
              <w:bottom w:val="single" w:sz="6" w:space="0" w:color="000000"/>
              <w:right w:val="nil"/>
            </w:tcBorders>
            <w:shd w:val="clear" w:color="000000" w:fill="000000"/>
            <w:vAlign w:val="bottom"/>
          </w:tcPr>
          <w:p w:rsidR="00336793" w:rsidRPr="00A457C4" w:rsidRDefault="00336793" w:rsidP="00D96F49">
            <w:pPr>
              <w:pStyle w:val="Tabletextheading"/>
              <w:rPr>
                <w:rFonts w:eastAsiaTheme="minorEastAsia"/>
                <w:color w:val="FFFFFF"/>
                <w:sz w:val="21"/>
                <w:lang w:eastAsia="en-AU"/>
              </w:rPr>
            </w:pPr>
            <w:r w:rsidRPr="00A457C4">
              <w:rPr>
                <w:rFonts w:eastAsiaTheme="minorEastAsia"/>
                <w:color w:val="FFFFFF"/>
                <w:sz w:val="21"/>
                <w:lang w:eastAsia="en-AU"/>
              </w:rPr>
              <w:t>Other</w:t>
            </w:r>
          </w:p>
        </w:tc>
        <w:tc>
          <w:tcPr>
            <w:tcW w:w="871" w:type="dxa"/>
            <w:tcBorders>
              <w:top w:val="single" w:sz="6" w:space="0" w:color="000000"/>
              <w:left w:val="nil"/>
              <w:bottom w:val="single" w:sz="6" w:space="0" w:color="000000"/>
              <w:right w:val="single" w:sz="6" w:space="0" w:color="000000"/>
            </w:tcBorders>
            <w:shd w:val="clear" w:color="000000" w:fill="000000"/>
            <w:vAlign w:val="bottom"/>
          </w:tcPr>
          <w:p w:rsidR="00336793" w:rsidRPr="00A457C4" w:rsidRDefault="00336793" w:rsidP="00D96F49">
            <w:pPr>
              <w:pStyle w:val="Tabletextheading"/>
              <w:rPr>
                <w:rFonts w:eastAsiaTheme="minorEastAsia"/>
                <w:color w:val="FFFFFF"/>
                <w:sz w:val="21"/>
                <w:lang w:eastAsia="en-AU"/>
              </w:rPr>
            </w:pPr>
            <w:r w:rsidRPr="00A457C4">
              <w:rPr>
                <w:rFonts w:eastAsiaTheme="minorEastAsia"/>
                <w:color w:val="FFFFFF"/>
                <w:sz w:val="21"/>
                <w:lang w:eastAsia="en-AU"/>
              </w:rPr>
              <w:t>Total</w:t>
            </w:r>
          </w:p>
        </w:tc>
      </w:tr>
      <w:tr w:rsidR="00336793" w:rsidRPr="00A457C4" w:rsidTr="00DF0B96">
        <w:tc>
          <w:tcPr>
            <w:tcW w:w="2917" w:type="dxa"/>
            <w:tcBorders>
              <w:top w:val="single" w:sz="6" w:space="0" w:color="000000"/>
              <w:left w:val="nil"/>
              <w:bottom w:val="nil"/>
              <w:right w:val="nil"/>
            </w:tcBorders>
          </w:tcPr>
          <w:p w:rsidR="00336793" w:rsidRPr="00A457C4" w:rsidRDefault="00336793" w:rsidP="00DF0B96">
            <w:pPr>
              <w:autoSpaceDE w:val="0"/>
              <w:autoSpaceDN w:val="0"/>
              <w:adjustRightInd w:val="0"/>
              <w:spacing w:after="0"/>
              <w:rPr>
                <w:rFonts w:ascii="Calibri" w:eastAsiaTheme="minorEastAsia" w:hAnsi="Calibri" w:cs="Calibri"/>
                <w:bCs/>
                <w:sz w:val="21"/>
                <w:szCs w:val="22"/>
                <w:lang w:eastAsia="en-AU"/>
              </w:rPr>
            </w:pPr>
            <w:r w:rsidRPr="00A457C4">
              <w:rPr>
                <w:rFonts w:ascii="Calibri" w:eastAsiaTheme="minorEastAsia" w:hAnsi="Calibri" w:cs="Calibri"/>
                <w:bCs/>
                <w:sz w:val="21"/>
                <w:szCs w:val="22"/>
                <w:lang w:eastAsia="en-AU"/>
              </w:rPr>
              <w:t>Opening balance</w:t>
            </w:r>
          </w:p>
        </w:tc>
        <w:tc>
          <w:tcPr>
            <w:tcW w:w="950" w:type="dxa"/>
            <w:tcBorders>
              <w:top w:val="single" w:sz="6" w:space="0" w:color="000000"/>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bCs/>
                <w:sz w:val="21"/>
                <w:szCs w:val="22"/>
                <w:lang w:eastAsia="en-AU"/>
              </w:rPr>
            </w:pPr>
            <w:r w:rsidRPr="00A457C4">
              <w:rPr>
                <w:rFonts w:ascii="Calibri" w:eastAsiaTheme="minorEastAsia" w:hAnsi="Calibri" w:cs="Calibri"/>
                <w:bCs/>
                <w:sz w:val="21"/>
                <w:szCs w:val="22"/>
                <w:lang w:eastAsia="en-AU"/>
              </w:rPr>
              <w:t xml:space="preserve"> 114.8</w:t>
            </w:r>
          </w:p>
        </w:tc>
        <w:tc>
          <w:tcPr>
            <w:tcW w:w="1106" w:type="dxa"/>
            <w:tcBorders>
              <w:top w:val="single" w:sz="6" w:space="0" w:color="000000"/>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bCs/>
                <w:sz w:val="21"/>
                <w:szCs w:val="22"/>
                <w:lang w:eastAsia="en-AU"/>
              </w:rPr>
            </w:pPr>
            <w:r w:rsidRPr="00A457C4">
              <w:rPr>
                <w:rFonts w:ascii="Calibri" w:eastAsiaTheme="minorEastAsia" w:hAnsi="Calibri" w:cs="Calibri"/>
                <w:bCs/>
                <w:sz w:val="21"/>
                <w:szCs w:val="22"/>
                <w:lang w:eastAsia="en-AU"/>
              </w:rPr>
              <w:t xml:space="preserve"> 1.6</w:t>
            </w:r>
          </w:p>
        </w:tc>
        <w:tc>
          <w:tcPr>
            <w:tcW w:w="1959" w:type="dxa"/>
            <w:tcBorders>
              <w:top w:val="single" w:sz="6" w:space="0" w:color="000000"/>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bCs/>
                <w:sz w:val="21"/>
                <w:szCs w:val="22"/>
                <w:lang w:eastAsia="en-AU"/>
              </w:rPr>
            </w:pPr>
            <w:r w:rsidRPr="00A457C4">
              <w:rPr>
                <w:rFonts w:ascii="Calibri" w:eastAsiaTheme="minorEastAsia" w:hAnsi="Calibri" w:cs="Calibri"/>
                <w:bCs/>
                <w:sz w:val="21"/>
                <w:szCs w:val="22"/>
                <w:lang w:eastAsia="en-AU"/>
              </w:rPr>
              <w:t xml:space="preserve"> 0.1</w:t>
            </w:r>
          </w:p>
        </w:tc>
        <w:tc>
          <w:tcPr>
            <w:tcW w:w="980" w:type="dxa"/>
            <w:tcBorders>
              <w:top w:val="single" w:sz="6" w:space="0" w:color="000000"/>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1.6</w:t>
            </w:r>
          </w:p>
        </w:tc>
        <w:tc>
          <w:tcPr>
            <w:tcW w:w="854" w:type="dxa"/>
            <w:tcBorders>
              <w:top w:val="single" w:sz="6" w:space="0" w:color="000000"/>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w:t>
            </w:r>
          </w:p>
        </w:tc>
        <w:tc>
          <w:tcPr>
            <w:tcW w:w="871" w:type="dxa"/>
            <w:tcBorders>
              <w:top w:val="single" w:sz="6" w:space="0" w:color="000000"/>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118.1</w:t>
            </w:r>
          </w:p>
        </w:tc>
      </w:tr>
      <w:tr w:rsidR="00336793" w:rsidRPr="00A457C4" w:rsidTr="00DF0B96">
        <w:tc>
          <w:tcPr>
            <w:tcW w:w="2917" w:type="dxa"/>
            <w:tcBorders>
              <w:top w:val="nil"/>
              <w:left w:val="nil"/>
              <w:bottom w:val="nil"/>
              <w:right w:val="nil"/>
            </w:tcBorders>
          </w:tcPr>
          <w:p w:rsidR="00336793" w:rsidRPr="00A457C4" w:rsidRDefault="00336793" w:rsidP="00DF0B96">
            <w:pPr>
              <w:autoSpaceDE w:val="0"/>
              <w:autoSpaceDN w:val="0"/>
              <w:adjustRightInd w:val="0"/>
              <w:spacing w:after="0"/>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Assets reclassified/(sales)</w:t>
            </w:r>
          </w:p>
        </w:tc>
        <w:tc>
          <w:tcPr>
            <w:tcW w:w="950"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1.1</w:t>
            </w:r>
          </w:p>
        </w:tc>
        <w:tc>
          <w:tcPr>
            <w:tcW w:w="1106"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w:t>
            </w:r>
          </w:p>
        </w:tc>
        <w:tc>
          <w:tcPr>
            <w:tcW w:w="1959"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0.4</w:t>
            </w:r>
          </w:p>
        </w:tc>
        <w:tc>
          <w:tcPr>
            <w:tcW w:w="980"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0.2</w:t>
            </w:r>
          </w:p>
        </w:tc>
        <w:tc>
          <w:tcPr>
            <w:tcW w:w="854"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0.1</w:t>
            </w:r>
          </w:p>
        </w:tc>
        <w:tc>
          <w:tcPr>
            <w:tcW w:w="871"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1.8</w:t>
            </w:r>
          </w:p>
        </w:tc>
      </w:tr>
      <w:tr w:rsidR="00336793" w:rsidRPr="00A457C4" w:rsidTr="00DF0B96">
        <w:tc>
          <w:tcPr>
            <w:tcW w:w="2917" w:type="dxa"/>
            <w:tcBorders>
              <w:top w:val="nil"/>
              <w:left w:val="nil"/>
              <w:bottom w:val="nil"/>
              <w:right w:val="nil"/>
            </w:tcBorders>
          </w:tcPr>
          <w:p w:rsidR="00336793" w:rsidRPr="00A457C4" w:rsidRDefault="00336793" w:rsidP="00DF0B96">
            <w:pPr>
              <w:autoSpaceDE w:val="0"/>
              <w:autoSpaceDN w:val="0"/>
              <w:adjustRightInd w:val="0"/>
              <w:spacing w:after="0"/>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Transfers in/out of Level 3</w:t>
            </w:r>
          </w:p>
        </w:tc>
        <w:tc>
          <w:tcPr>
            <w:tcW w:w="950"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0.9</w:t>
            </w:r>
          </w:p>
        </w:tc>
        <w:tc>
          <w:tcPr>
            <w:tcW w:w="1106"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A457C4">
              <w:rPr>
                <w:rFonts w:ascii="Calibri" w:eastAsiaTheme="minorEastAsia" w:hAnsi="Calibri" w:cs="Calibri"/>
                <w:sz w:val="21"/>
                <w:szCs w:val="22"/>
                <w:lang w:eastAsia="en-AU"/>
              </w:rPr>
              <w:t>1.5)</w:t>
            </w:r>
          </w:p>
        </w:tc>
        <w:tc>
          <w:tcPr>
            <w:tcW w:w="1959"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w:t>
            </w:r>
          </w:p>
        </w:tc>
        <w:tc>
          <w:tcPr>
            <w:tcW w:w="980"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w:t>
            </w:r>
          </w:p>
        </w:tc>
        <w:tc>
          <w:tcPr>
            <w:tcW w:w="854"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w:t>
            </w:r>
          </w:p>
        </w:tc>
        <w:tc>
          <w:tcPr>
            <w:tcW w:w="871"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r w:rsidRPr="00A457C4">
              <w:rPr>
                <w:rFonts w:ascii="Calibri" w:eastAsiaTheme="minorEastAsia" w:hAnsi="Calibri" w:cs="Calibri"/>
                <w:sz w:val="21"/>
                <w:szCs w:val="22"/>
                <w:lang w:eastAsia="en-AU"/>
              </w:rPr>
              <w:t>0.5)</w:t>
            </w:r>
          </w:p>
        </w:tc>
      </w:tr>
      <w:tr w:rsidR="00336793" w:rsidRPr="00A457C4" w:rsidTr="00DF0B96">
        <w:tc>
          <w:tcPr>
            <w:tcW w:w="2917" w:type="dxa"/>
            <w:tcBorders>
              <w:top w:val="nil"/>
              <w:left w:val="nil"/>
              <w:bottom w:val="single" w:sz="6" w:space="0" w:color="auto"/>
              <w:right w:val="nil"/>
            </w:tcBorders>
          </w:tcPr>
          <w:p w:rsidR="00336793" w:rsidRPr="00A457C4" w:rsidRDefault="00336793" w:rsidP="00DF0B96">
            <w:pPr>
              <w:autoSpaceDE w:val="0"/>
              <w:autoSpaceDN w:val="0"/>
              <w:adjustRightInd w:val="0"/>
              <w:spacing w:after="0"/>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Revaluation</w:t>
            </w:r>
          </w:p>
        </w:tc>
        <w:tc>
          <w:tcPr>
            <w:tcW w:w="950"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16.8</w:t>
            </w:r>
          </w:p>
        </w:tc>
        <w:tc>
          <w:tcPr>
            <w:tcW w:w="1106"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w:t>
            </w:r>
          </w:p>
        </w:tc>
        <w:tc>
          <w:tcPr>
            <w:tcW w:w="1959"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0.2</w:t>
            </w:r>
          </w:p>
        </w:tc>
        <w:tc>
          <w:tcPr>
            <w:tcW w:w="980"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r w:rsidRPr="00A457C4">
              <w:rPr>
                <w:rFonts w:ascii="Calibri" w:eastAsiaTheme="minorEastAsia" w:hAnsi="Calibri" w:cs="Calibri"/>
                <w:sz w:val="21"/>
                <w:szCs w:val="22"/>
                <w:lang w:eastAsia="en-AU"/>
              </w:rPr>
              <w:t>0.1)</w:t>
            </w:r>
          </w:p>
        </w:tc>
        <w:tc>
          <w:tcPr>
            <w:tcW w:w="854"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w:t>
            </w:r>
          </w:p>
        </w:tc>
        <w:tc>
          <w:tcPr>
            <w:tcW w:w="871"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16.9</w:t>
            </w:r>
          </w:p>
        </w:tc>
      </w:tr>
      <w:tr w:rsidR="00336793" w:rsidRPr="00A457C4" w:rsidTr="00DF0B96">
        <w:tc>
          <w:tcPr>
            <w:tcW w:w="2917" w:type="dxa"/>
            <w:tcBorders>
              <w:top w:val="single" w:sz="6" w:space="0" w:color="auto"/>
              <w:left w:val="nil"/>
              <w:bottom w:val="single" w:sz="12" w:space="0" w:color="000000"/>
              <w:right w:val="nil"/>
            </w:tcBorders>
          </w:tcPr>
          <w:p w:rsidR="00336793" w:rsidRPr="00A457C4" w:rsidRDefault="00336793" w:rsidP="00DF0B96">
            <w:pPr>
              <w:autoSpaceDE w:val="0"/>
              <w:autoSpaceDN w:val="0"/>
              <w:adjustRightInd w:val="0"/>
              <w:spacing w:after="0"/>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Closing balance at 30 June 2015</w:t>
            </w:r>
          </w:p>
        </w:tc>
        <w:tc>
          <w:tcPr>
            <w:tcW w:w="950"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 xml:space="preserve"> 133.6</w:t>
            </w:r>
          </w:p>
        </w:tc>
        <w:tc>
          <w:tcPr>
            <w:tcW w:w="1106"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 xml:space="preserve"> 0.1</w:t>
            </w:r>
          </w:p>
        </w:tc>
        <w:tc>
          <w:tcPr>
            <w:tcW w:w="1959"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 xml:space="preserve"> 0.7</w:t>
            </w:r>
          </w:p>
        </w:tc>
        <w:tc>
          <w:tcPr>
            <w:tcW w:w="980"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 xml:space="preserve"> 1.6</w:t>
            </w:r>
          </w:p>
        </w:tc>
        <w:tc>
          <w:tcPr>
            <w:tcW w:w="854"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 xml:space="preserve"> 0.1</w:t>
            </w:r>
          </w:p>
        </w:tc>
        <w:tc>
          <w:tcPr>
            <w:tcW w:w="871"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 xml:space="preserve"> 136.2</w:t>
            </w:r>
          </w:p>
        </w:tc>
      </w:tr>
    </w:tbl>
    <w:p w:rsidR="00336793" w:rsidRPr="00A457C4"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3136"/>
        <w:gridCol w:w="731"/>
        <w:gridCol w:w="1106"/>
        <w:gridCol w:w="1959"/>
        <w:gridCol w:w="980"/>
        <w:gridCol w:w="854"/>
        <w:gridCol w:w="871"/>
      </w:tblGrid>
      <w:tr w:rsidR="00336793" w:rsidRPr="00A457C4" w:rsidTr="00DF0B96">
        <w:tc>
          <w:tcPr>
            <w:tcW w:w="3136" w:type="dxa"/>
            <w:tcBorders>
              <w:top w:val="single" w:sz="6" w:space="0" w:color="000000"/>
              <w:left w:val="single" w:sz="6" w:space="0" w:color="000000"/>
              <w:bottom w:val="single" w:sz="6" w:space="0" w:color="000000"/>
              <w:right w:val="nil"/>
            </w:tcBorders>
            <w:shd w:val="clear" w:color="000000" w:fill="000000"/>
          </w:tcPr>
          <w:p w:rsidR="00336793" w:rsidRPr="00A457C4" w:rsidRDefault="00336793" w:rsidP="00DF0B96">
            <w:pPr>
              <w:pStyle w:val="Tabletextheading"/>
              <w:jc w:val="left"/>
              <w:rPr>
                <w:rFonts w:eastAsiaTheme="minorEastAsia"/>
                <w:color w:val="FFFFFF"/>
                <w:sz w:val="21"/>
                <w:lang w:eastAsia="en-AU"/>
              </w:rPr>
            </w:pPr>
            <w:r w:rsidRPr="00A457C4">
              <w:rPr>
                <w:rFonts w:eastAsiaTheme="minorEastAsia"/>
                <w:color w:val="FFFFFF"/>
                <w:sz w:val="21"/>
                <w:lang w:eastAsia="en-AU"/>
              </w:rPr>
              <w:t>2014</w:t>
            </w:r>
          </w:p>
        </w:tc>
        <w:tc>
          <w:tcPr>
            <w:tcW w:w="731" w:type="dxa"/>
            <w:tcBorders>
              <w:top w:val="single" w:sz="6" w:space="0" w:color="000000"/>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21"/>
                <w:lang w:eastAsia="en-AU"/>
              </w:rPr>
            </w:pPr>
            <w:r w:rsidRPr="00A457C4">
              <w:rPr>
                <w:rFonts w:eastAsiaTheme="minorEastAsia"/>
                <w:color w:val="FFFFFF"/>
                <w:sz w:val="21"/>
                <w:lang w:eastAsia="en-AU"/>
              </w:rPr>
              <w:t xml:space="preserve"> </w:t>
            </w:r>
          </w:p>
        </w:tc>
        <w:tc>
          <w:tcPr>
            <w:tcW w:w="1106" w:type="dxa"/>
            <w:tcBorders>
              <w:top w:val="single" w:sz="6" w:space="0" w:color="000000"/>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21"/>
                <w:lang w:eastAsia="en-AU"/>
              </w:rPr>
            </w:pPr>
            <w:r w:rsidRPr="00A457C4">
              <w:rPr>
                <w:rFonts w:eastAsiaTheme="minorEastAsia"/>
                <w:color w:val="FFFFFF"/>
                <w:sz w:val="21"/>
                <w:lang w:eastAsia="en-AU"/>
              </w:rPr>
              <w:t xml:space="preserve"> </w:t>
            </w:r>
          </w:p>
        </w:tc>
        <w:tc>
          <w:tcPr>
            <w:tcW w:w="1959" w:type="dxa"/>
            <w:tcBorders>
              <w:top w:val="single" w:sz="6" w:space="0" w:color="000000"/>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21"/>
                <w:lang w:eastAsia="en-AU"/>
              </w:rPr>
            </w:pPr>
            <w:r w:rsidRPr="00A457C4">
              <w:rPr>
                <w:rFonts w:eastAsiaTheme="minorEastAsia"/>
                <w:color w:val="FFFFFF"/>
                <w:sz w:val="21"/>
                <w:lang w:eastAsia="en-AU"/>
              </w:rPr>
              <w:t xml:space="preserve"> </w:t>
            </w:r>
          </w:p>
        </w:tc>
        <w:tc>
          <w:tcPr>
            <w:tcW w:w="980" w:type="dxa"/>
            <w:tcBorders>
              <w:top w:val="single" w:sz="6" w:space="0" w:color="000000"/>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21"/>
                <w:lang w:eastAsia="en-AU"/>
              </w:rPr>
            </w:pPr>
            <w:r w:rsidRPr="00A457C4">
              <w:rPr>
                <w:rFonts w:eastAsiaTheme="minorEastAsia"/>
                <w:color w:val="FFFFFF"/>
                <w:sz w:val="21"/>
                <w:lang w:eastAsia="en-AU"/>
              </w:rPr>
              <w:t xml:space="preserve"> </w:t>
            </w:r>
          </w:p>
        </w:tc>
        <w:tc>
          <w:tcPr>
            <w:tcW w:w="854" w:type="dxa"/>
            <w:tcBorders>
              <w:top w:val="single" w:sz="6" w:space="0" w:color="000000"/>
              <w:left w:val="nil"/>
              <w:bottom w:val="single" w:sz="6" w:space="0" w:color="000000"/>
              <w:right w:val="nil"/>
            </w:tcBorders>
            <w:shd w:val="clear" w:color="000000" w:fill="000000"/>
          </w:tcPr>
          <w:p w:rsidR="00336793" w:rsidRPr="00A457C4" w:rsidRDefault="00336793" w:rsidP="00DF0B96">
            <w:pPr>
              <w:pStyle w:val="Tabletextheading"/>
              <w:rPr>
                <w:rFonts w:eastAsiaTheme="minorEastAsia"/>
                <w:color w:val="FFFFFF"/>
                <w:sz w:val="21"/>
                <w:lang w:eastAsia="en-AU"/>
              </w:rPr>
            </w:pPr>
            <w:r w:rsidRPr="00A457C4">
              <w:rPr>
                <w:rFonts w:eastAsiaTheme="minorEastAsia"/>
                <w:color w:val="FFFFFF"/>
                <w:sz w:val="21"/>
                <w:lang w:eastAsia="en-AU"/>
              </w:rPr>
              <w:t xml:space="preserve"> </w:t>
            </w:r>
          </w:p>
        </w:tc>
        <w:tc>
          <w:tcPr>
            <w:tcW w:w="871" w:type="dxa"/>
            <w:tcBorders>
              <w:top w:val="single" w:sz="6" w:space="0" w:color="000000"/>
              <w:left w:val="nil"/>
              <w:bottom w:val="single" w:sz="6" w:space="0" w:color="000000"/>
              <w:right w:val="single" w:sz="6" w:space="0" w:color="000000"/>
            </w:tcBorders>
            <w:shd w:val="clear" w:color="000000" w:fill="000000"/>
          </w:tcPr>
          <w:p w:rsidR="00336793" w:rsidRPr="00A457C4" w:rsidRDefault="00336793" w:rsidP="00DF0B96">
            <w:pPr>
              <w:pStyle w:val="Tabletextheading"/>
              <w:rPr>
                <w:rFonts w:eastAsiaTheme="minorEastAsia"/>
                <w:color w:val="FFFFFF"/>
                <w:sz w:val="21"/>
                <w:lang w:eastAsia="en-AU"/>
              </w:rPr>
            </w:pPr>
            <w:r w:rsidRPr="00A457C4">
              <w:rPr>
                <w:rFonts w:eastAsiaTheme="minorEastAsia"/>
                <w:color w:val="FFFFFF"/>
                <w:sz w:val="21"/>
                <w:lang w:eastAsia="en-AU"/>
              </w:rPr>
              <w:t xml:space="preserve"> </w:t>
            </w:r>
          </w:p>
        </w:tc>
      </w:tr>
      <w:tr w:rsidR="00336793" w:rsidRPr="00A457C4" w:rsidTr="00DF0B96">
        <w:tc>
          <w:tcPr>
            <w:tcW w:w="3136" w:type="dxa"/>
            <w:tcBorders>
              <w:top w:val="single" w:sz="6" w:space="0" w:color="000000"/>
              <w:left w:val="nil"/>
              <w:bottom w:val="nil"/>
              <w:right w:val="nil"/>
            </w:tcBorders>
          </w:tcPr>
          <w:p w:rsidR="00336793" w:rsidRPr="00A457C4" w:rsidRDefault="00336793" w:rsidP="00DF0B96">
            <w:pPr>
              <w:pStyle w:val="Tabletext"/>
              <w:rPr>
                <w:rFonts w:eastAsiaTheme="minorEastAsia"/>
                <w:bCs/>
                <w:sz w:val="21"/>
                <w:lang w:eastAsia="en-AU"/>
              </w:rPr>
            </w:pPr>
            <w:r w:rsidRPr="00A457C4">
              <w:rPr>
                <w:rFonts w:eastAsiaTheme="minorEastAsia"/>
                <w:bCs/>
                <w:sz w:val="21"/>
                <w:lang w:eastAsia="en-AU"/>
              </w:rPr>
              <w:t>Opening balance</w:t>
            </w:r>
            <w:r w:rsidRPr="00E96950">
              <w:rPr>
                <w:rFonts w:eastAsiaTheme="minorEastAsia"/>
                <w:bCs/>
                <w:sz w:val="21"/>
                <w:vertAlign w:val="superscript"/>
                <w:lang w:eastAsia="en-AU"/>
              </w:rPr>
              <w:t xml:space="preserve"> (</w:t>
            </w:r>
            <w:r w:rsidRPr="00A457C4">
              <w:rPr>
                <w:rFonts w:eastAsiaTheme="minorEastAsia"/>
                <w:bCs/>
                <w:sz w:val="21"/>
                <w:vertAlign w:val="superscript"/>
                <w:lang w:eastAsia="en-AU"/>
              </w:rPr>
              <w:t>a)</w:t>
            </w:r>
          </w:p>
        </w:tc>
        <w:tc>
          <w:tcPr>
            <w:tcW w:w="731" w:type="dxa"/>
            <w:tcBorders>
              <w:top w:val="single" w:sz="6" w:space="0" w:color="000000"/>
              <w:left w:val="nil"/>
              <w:bottom w:val="nil"/>
              <w:right w:val="nil"/>
            </w:tcBorders>
          </w:tcPr>
          <w:p w:rsidR="00336793" w:rsidRPr="00A457C4" w:rsidRDefault="00336793" w:rsidP="00DF0B96">
            <w:pPr>
              <w:pStyle w:val="TableofFigures"/>
              <w:rPr>
                <w:rFonts w:eastAsiaTheme="minorEastAsia"/>
                <w:bCs/>
                <w:sz w:val="21"/>
                <w:lang w:eastAsia="en-AU"/>
              </w:rPr>
            </w:pPr>
            <w:r w:rsidRPr="00A457C4">
              <w:rPr>
                <w:rFonts w:eastAsiaTheme="minorEastAsia"/>
                <w:bCs/>
                <w:sz w:val="21"/>
                <w:lang w:eastAsia="en-AU"/>
              </w:rPr>
              <w:t xml:space="preserve"> 53.4</w:t>
            </w:r>
          </w:p>
        </w:tc>
        <w:tc>
          <w:tcPr>
            <w:tcW w:w="1106" w:type="dxa"/>
            <w:tcBorders>
              <w:top w:val="single" w:sz="6" w:space="0" w:color="000000"/>
              <w:left w:val="nil"/>
              <w:bottom w:val="nil"/>
              <w:right w:val="nil"/>
            </w:tcBorders>
          </w:tcPr>
          <w:p w:rsidR="00336793" w:rsidRPr="00A457C4" w:rsidRDefault="00336793" w:rsidP="00DF0B96">
            <w:pPr>
              <w:pStyle w:val="TableofFigures"/>
              <w:rPr>
                <w:rFonts w:eastAsiaTheme="minorEastAsia"/>
                <w:bCs/>
                <w:sz w:val="21"/>
                <w:lang w:eastAsia="en-AU"/>
              </w:rPr>
            </w:pPr>
            <w:r w:rsidRPr="00A457C4">
              <w:rPr>
                <w:rFonts w:eastAsiaTheme="minorEastAsia"/>
                <w:bCs/>
                <w:sz w:val="21"/>
                <w:lang w:eastAsia="en-AU"/>
              </w:rPr>
              <w:t xml:space="preserve"> 2.7</w:t>
            </w:r>
          </w:p>
        </w:tc>
        <w:tc>
          <w:tcPr>
            <w:tcW w:w="1959" w:type="dxa"/>
            <w:tcBorders>
              <w:top w:val="single" w:sz="6" w:space="0" w:color="000000"/>
              <w:left w:val="nil"/>
              <w:bottom w:val="nil"/>
              <w:right w:val="nil"/>
            </w:tcBorders>
          </w:tcPr>
          <w:p w:rsidR="00336793" w:rsidRPr="00A457C4" w:rsidRDefault="00336793" w:rsidP="00DF0B96">
            <w:pPr>
              <w:pStyle w:val="TableofFigures"/>
              <w:rPr>
                <w:rFonts w:eastAsiaTheme="minorEastAsia"/>
                <w:bCs/>
                <w:sz w:val="21"/>
                <w:lang w:eastAsia="en-AU"/>
              </w:rPr>
            </w:pPr>
            <w:r w:rsidRPr="00A457C4">
              <w:rPr>
                <w:rFonts w:eastAsiaTheme="minorEastAsia"/>
                <w:bCs/>
                <w:sz w:val="21"/>
                <w:lang w:eastAsia="en-AU"/>
              </w:rPr>
              <w:t xml:space="preserve"> 0.2</w:t>
            </w:r>
          </w:p>
        </w:tc>
        <w:tc>
          <w:tcPr>
            <w:tcW w:w="980" w:type="dxa"/>
            <w:tcBorders>
              <w:top w:val="single" w:sz="6" w:space="0" w:color="000000"/>
              <w:left w:val="nil"/>
              <w:bottom w:val="nil"/>
              <w:right w:val="nil"/>
            </w:tcBorders>
          </w:tcPr>
          <w:p w:rsidR="00336793" w:rsidRPr="00A457C4" w:rsidRDefault="00336793" w:rsidP="00DF0B96">
            <w:pPr>
              <w:pStyle w:val="TableofFigures"/>
              <w:rPr>
                <w:rFonts w:eastAsiaTheme="minorEastAsia"/>
                <w:bCs/>
                <w:sz w:val="21"/>
                <w:lang w:eastAsia="en-AU"/>
              </w:rPr>
            </w:pPr>
            <w:r w:rsidRPr="00A457C4">
              <w:rPr>
                <w:rFonts w:eastAsiaTheme="minorEastAsia"/>
                <w:bCs/>
                <w:sz w:val="21"/>
                <w:lang w:eastAsia="en-AU"/>
              </w:rPr>
              <w:t xml:space="preserve"> 1.1</w:t>
            </w:r>
          </w:p>
        </w:tc>
        <w:tc>
          <w:tcPr>
            <w:tcW w:w="854" w:type="dxa"/>
            <w:tcBorders>
              <w:top w:val="single" w:sz="6" w:space="0" w:color="000000"/>
              <w:left w:val="nil"/>
              <w:bottom w:val="nil"/>
              <w:right w:val="nil"/>
            </w:tcBorders>
          </w:tcPr>
          <w:p w:rsidR="00336793" w:rsidRPr="00A457C4" w:rsidRDefault="00336793" w:rsidP="00DF0B96">
            <w:pPr>
              <w:pStyle w:val="TableofFigures"/>
              <w:rPr>
                <w:rFonts w:eastAsiaTheme="minorEastAsia"/>
                <w:bCs/>
                <w:sz w:val="21"/>
                <w:lang w:eastAsia="en-AU"/>
              </w:rPr>
            </w:pPr>
            <w:r w:rsidRPr="00A457C4">
              <w:rPr>
                <w:rFonts w:eastAsiaTheme="minorEastAsia"/>
                <w:bCs/>
                <w:sz w:val="21"/>
                <w:lang w:eastAsia="en-AU"/>
              </w:rPr>
              <w:t xml:space="preserve"> 69.2</w:t>
            </w:r>
          </w:p>
        </w:tc>
        <w:tc>
          <w:tcPr>
            <w:tcW w:w="871" w:type="dxa"/>
            <w:tcBorders>
              <w:top w:val="single" w:sz="6" w:space="0" w:color="000000"/>
              <w:left w:val="nil"/>
              <w:bottom w:val="nil"/>
              <w:right w:val="nil"/>
            </w:tcBorders>
          </w:tcPr>
          <w:p w:rsidR="00336793" w:rsidRPr="00A457C4" w:rsidRDefault="00336793" w:rsidP="00DF0B96">
            <w:pPr>
              <w:pStyle w:val="TableofFigures"/>
              <w:rPr>
                <w:rFonts w:eastAsiaTheme="minorEastAsia"/>
                <w:bCs/>
                <w:sz w:val="21"/>
                <w:lang w:eastAsia="en-AU"/>
              </w:rPr>
            </w:pPr>
            <w:r w:rsidRPr="00A457C4">
              <w:rPr>
                <w:rFonts w:eastAsiaTheme="minorEastAsia"/>
                <w:bCs/>
                <w:sz w:val="21"/>
                <w:lang w:eastAsia="en-AU"/>
              </w:rPr>
              <w:t xml:space="preserve"> 126.6</w:t>
            </w:r>
          </w:p>
        </w:tc>
      </w:tr>
      <w:tr w:rsidR="00336793" w:rsidRPr="00A457C4" w:rsidTr="00DF0B96">
        <w:tc>
          <w:tcPr>
            <w:tcW w:w="3136" w:type="dxa"/>
            <w:tcBorders>
              <w:top w:val="nil"/>
              <w:left w:val="nil"/>
              <w:bottom w:val="nil"/>
              <w:right w:val="nil"/>
            </w:tcBorders>
          </w:tcPr>
          <w:p w:rsidR="00336793" w:rsidRPr="00A457C4" w:rsidRDefault="00336793" w:rsidP="00DF0B96">
            <w:pPr>
              <w:pStyle w:val="Tabletext"/>
              <w:rPr>
                <w:rFonts w:eastAsiaTheme="minorEastAsia"/>
                <w:sz w:val="21"/>
                <w:lang w:eastAsia="en-AU"/>
              </w:rPr>
            </w:pPr>
            <w:r w:rsidRPr="00A457C4">
              <w:rPr>
                <w:rFonts w:eastAsiaTheme="minorEastAsia"/>
                <w:sz w:val="21"/>
                <w:lang w:eastAsia="en-AU"/>
              </w:rPr>
              <w:t>Assets reclassified/(sales)</w:t>
            </w:r>
            <w:r w:rsidRPr="00E96950">
              <w:rPr>
                <w:rFonts w:eastAsiaTheme="minorEastAsia"/>
                <w:sz w:val="21"/>
                <w:vertAlign w:val="superscript"/>
                <w:lang w:eastAsia="en-AU"/>
              </w:rPr>
              <w:t xml:space="preserve"> (</w:t>
            </w:r>
            <w:r w:rsidRPr="00A457C4">
              <w:rPr>
                <w:rFonts w:eastAsiaTheme="minorEastAsia"/>
                <w:sz w:val="21"/>
                <w:vertAlign w:val="superscript"/>
                <w:lang w:eastAsia="en-AU"/>
              </w:rPr>
              <w:t>a)</w:t>
            </w:r>
          </w:p>
        </w:tc>
        <w:tc>
          <w:tcPr>
            <w:tcW w:w="731" w:type="dxa"/>
            <w:tcBorders>
              <w:top w:val="nil"/>
              <w:left w:val="nil"/>
              <w:bottom w:val="nil"/>
              <w:right w:val="nil"/>
            </w:tcBorders>
          </w:tcPr>
          <w:p w:rsidR="00336793" w:rsidRPr="00A457C4" w:rsidRDefault="00336793" w:rsidP="00DF0B96">
            <w:pPr>
              <w:pStyle w:val="TableofFigures"/>
              <w:rPr>
                <w:rFonts w:eastAsiaTheme="minorEastAsia"/>
                <w:sz w:val="21"/>
                <w:lang w:eastAsia="en-AU"/>
              </w:rPr>
            </w:pPr>
            <w:r w:rsidRPr="00A457C4">
              <w:rPr>
                <w:rFonts w:eastAsiaTheme="minorEastAsia"/>
                <w:sz w:val="21"/>
                <w:lang w:eastAsia="en-AU"/>
              </w:rPr>
              <w:t xml:space="preserve"> 61.4</w:t>
            </w:r>
          </w:p>
        </w:tc>
        <w:tc>
          <w:tcPr>
            <w:tcW w:w="1106" w:type="dxa"/>
            <w:tcBorders>
              <w:top w:val="nil"/>
              <w:left w:val="nil"/>
              <w:bottom w:val="nil"/>
              <w:right w:val="nil"/>
            </w:tcBorders>
          </w:tcPr>
          <w:p w:rsidR="00336793" w:rsidRPr="00A457C4" w:rsidRDefault="00336793" w:rsidP="00DF0B96">
            <w:pPr>
              <w:pStyle w:val="TableofFigures"/>
              <w:rPr>
                <w:rFonts w:eastAsiaTheme="minorEastAsia"/>
                <w:bCs/>
                <w:sz w:val="21"/>
                <w:lang w:eastAsia="en-AU"/>
              </w:rPr>
            </w:pPr>
            <w:r>
              <w:rPr>
                <w:rFonts w:eastAsiaTheme="minorEastAsia"/>
                <w:bCs/>
                <w:sz w:val="21"/>
                <w:lang w:eastAsia="en-AU"/>
              </w:rPr>
              <w:t>(</w:t>
            </w:r>
            <w:r w:rsidRPr="00A457C4">
              <w:rPr>
                <w:rFonts w:eastAsiaTheme="minorEastAsia"/>
                <w:bCs/>
                <w:sz w:val="21"/>
                <w:lang w:eastAsia="en-AU"/>
              </w:rPr>
              <w:t>1.1)</w:t>
            </w:r>
          </w:p>
        </w:tc>
        <w:tc>
          <w:tcPr>
            <w:tcW w:w="1959" w:type="dxa"/>
            <w:tcBorders>
              <w:top w:val="nil"/>
              <w:left w:val="nil"/>
              <w:bottom w:val="nil"/>
              <w:right w:val="nil"/>
            </w:tcBorders>
          </w:tcPr>
          <w:p w:rsidR="00336793" w:rsidRPr="00A457C4" w:rsidRDefault="00336793" w:rsidP="00DF0B96">
            <w:pPr>
              <w:pStyle w:val="TableofFigures"/>
              <w:rPr>
                <w:rFonts w:eastAsiaTheme="minorEastAsia"/>
                <w:bCs/>
                <w:sz w:val="21"/>
                <w:lang w:eastAsia="en-AU"/>
              </w:rPr>
            </w:pPr>
            <w:r>
              <w:rPr>
                <w:rFonts w:eastAsiaTheme="minorEastAsia"/>
                <w:bCs/>
                <w:sz w:val="21"/>
                <w:lang w:eastAsia="en-AU"/>
              </w:rPr>
              <w:t>(</w:t>
            </w:r>
            <w:r w:rsidRPr="00A457C4">
              <w:rPr>
                <w:rFonts w:eastAsiaTheme="minorEastAsia"/>
                <w:bCs/>
                <w:sz w:val="21"/>
                <w:lang w:eastAsia="en-AU"/>
              </w:rPr>
              <w:t>0.1)</w:t>
            </w:r>
          </w:p>
        </w:tc>
        <w:tc>
          <w:tcPr>
            <w:tcW w:w="980" w:type="dxa"/>
            <w:tcBorders>
              <w:top w:val="nil"/>
              <w:left w:val="nil"/>
              <w:bottom w:val="nil"/>
              <w:right w:val="nil"/>
            </w:tcBorders>
          </w:tcPr>
          <w:p w:rsidR="00336793" w:rsidRPr="00A457C4" w:rsidRDefault="00336793" w:rsidP="00DF0B96">
            <w:pPr>
              <w:pStyle w:val="TableofFigures"/>
              <w:rPr>
                <w:rFonts w:eastAsiaTheme="minorEastAsia"/>
                <w:bCs/>
                <w:sz w:val="21"/>
                <w:lang w:eastAsia="en-AU"/>
              </w:rPr>
            </w:pPr>
            <w:r w:rsidRPr="00A457C4">
              <w:rPr>
                <w:rFonts w:eastAsiaTheme="minorEastAsia"/>
                <w:bCs/>
                <w:sz w:val="21"/>
                <w:lang w:eastAsia="en-AU"/>
              </w:rPr>
              <w:t xml:space="preserve"> 0.5</w:t>
            </w:r>
          </w:p>
        </w:tc>
        <w:tc>
          <w:tcPr>
            <w:tcW w:w="854" w:type="dxa"/>
            <w:tcBorders>
              <w:top w:val="nil"/>
              <w:left w:val="nil"/>
              <w:bottom w:val="nil"/>
              <w:right w:val="nil"/>
            </w:tcBorders>
          </w:tcPr>
          <w:p w:rsidR="00336793" w:rsidRPr="00A457C4" w:rsidRDefault="00336793" w:rsidP="00DF0B96">
            <w:pPr>
              <w:pStyle w:val="TableofFigures"/>
              <w:rPr>
                <w:rFonts w:eastAsiaTheme="minorEastAsia"/>
                <w:bCs/>
                <w:sz w:val="21"/>
                <w:lang w:eastAsia="en-AU"/>
              </w:rPr>
            </w:pPr>
            <w:r>
              <w:rPr>
                <w:rFonts w:eastAsiaTheme="minorEastAsia"/>
                <w:bCs/>
                <w:sz w:val="21"/>
                <w:lang w:eastAsia="en-AU"/>
              </w:rPr>
              <w:t>(</w:t>
            </w:r>
            <w:r w:rsidRPr="00A457C4">
              <w:rPr>
                <w:rFonts w:eastAsiaTheme="minorEastAsia"/>
                <w:bCs/>
                <w:sz w:val="21"/>
                <w:lang w:eastAsia="en-AU"/>
              </w:rPr>
              <w:t>69.2)</w:t>
            </w:r>
          </w:p>
        </w:tc>
        <w:tc>
          <w:tcPr>
            <w:tcW w:w="871" w:type="dxa"/>
            <w:tcBorders>
              <w:top w:val="nil"/>
              <w:left w:val="nil"/>
              <w:bottom w:val="nil"/>
              <w:right w:val="nil"/>
            </w:tcBorders>
          </w:tcPr>
          <w:p w:rsidR="00336793" w:rsidRPr="00A457C4" w:rsidRDefault="00336793" w:rsidP="00DF0B96">
            <w:pPr>
              <w:pStyle w:val="TableofFigures"/>
              <w:rPr>
                <w:rFonts w:eastAsiaTheme="minorEastAsia"/>
                <w:bCs/>
                <w:sz w:val="21"/>
                <w:lang w:eastAsia="en-AU"/>
              </w:rPr>
            </w:pPr>
            <w:r>
              <w:rPr>
                <w:rFonts w:eastAsiaTheme="minorEastAsia"/>
                <w:bCs/>
                <w:sz w:val="21"/>
                <w:lang w:eastAsia="en-AU"/>
              </w:rPr>
              <w:t>(</w:t>
            </w:r>
            <w:r w:rsidRPr="00A457C4">
              <w:rPr>
                <w:rFonts w:eastAsiaTheme="minorEastAsia"/>
                <w:bCs/>
                <w:sz w:val="21"/>
                <w:lang w:eastAsia="en-AU"/>
              </w:rPr>
              <w:t>8.5)</w:t>
            </w:r>
          </w:p>
        </w:tc>
      </w:tr>
      <w:tr w:rsidR="00336793" w:rsidRPr="00A457C4" w:rsidTr="00DF0B96">
        <w:tc>
          <w:tcPr>
            <w:tcW w:w="3136" w:type="dxa"/>
            <w:tcBorders>
              <w:top w:val="nil"/>
              <w:left w:val="nil"/>
              <w:bottom w:val="single" w:sz="6" w:space="0" w:color="auto"/>
              <w:right w:val="nil"/>
            </w:tcBorders>
          </w:tcPr>
          <w:p w:rsidR="00336793" w:rsidRPr="00A457C4" w:rsidRDefault="00336793" w:rsidP="00DF0B96">
            <w:pPr>
              <w:pStyle w:val="Tabletext"/>
              <w:rPr>
                <w:rFonts w:eastAsiaTheme="minorEastAsia"/>
                <w:sz w:val="21"/>
                <w:lang w:eastAsia="en-AU"/>
              </w:rPr>
            </w:pPr>
            <w:r w:rsidRPr="00A457C4">
              <w:rPr>
                <w:rFonts w:eastAsiaTheme="minorEastAsia"/>
                <w:sz w:val="21"/>
                <w:lang w:eastAsia="en-AU"/>
              </w:rPr>
              <w:t>Transfers in/out of Level 3</w:t>
            </w:r>
          </w:p>
        </w:tc>
        <w:tc>
          <w:tcPr>
            <w:tcW w:w="731"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lang w:eastAsia="en-AU"/>
              </w:rPr>
            </w:pPr>
            <w:r w:rsidRPr="00A457C4">
              <w:rPr>
                <w:rFonts w:eastAsiaTheme="minorEastAsia"/>
                <w:sz w:val="21"/>
                <w:lang w:eastAsia="en-AU"/>
              </w:rPr>
              <w:t>..</w:t>
            </w:r>
          </w:p>
        </w:tc>
        <w:tc>
          <w:tcPr>
            <w:tcW w:w="1106"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lang w:eastAsia="en-AU"/>
              </w:rPr>
            </w:pPr>
            <w:r w:rsidRPr="00A457C4">
              <w:rPr>
                <w:rFonts w:eastAsiaTheme="minorEastAsia"/>
                <w:sz w:val="21"/>
                <w:lang w:eastAsia="en-AU"/>
              </w:rPr>
              <w:t>..</w:t>
            </w:r>
          </w:p>
        </w:tc>
        <w:tc>
          <w:tcPr>
            <w:tcW w:w="1959"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lang w:eastAsia="en-AU"/>
              </w:rPr>
            </w:pPr>
            <w:r w:rsidRPr="00A457C4">
              <w:rPr>
                <w:rFonts w:eastAsiaTheme="minorEastAsia"/>
                <w:sz w:val="21"/>
                <w:lang w:eastAsia="en-AU"/>
              </w:rPr>
              <w:t>..</w:t>
            </w:r>
          </w:p>
        </w:tc>
        <w:tc>
          <w:tcPr>
            <w:tcW w:w="980"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lang w:eastAsia="en-AU"/>
              </w:rPr>
            </w:pPr>
            <w:r w:rsidRPr="00A457C4">
              <w:rPr>
                <w:rFonts w:eastAsiaTheme="minorEastAsia"/>
                <w:sz w:val="21"/>
                <w:lang w:eastAsia="en-AU"/>
              </w:rPr>
              <w:t>..</w:t>
            </w:r>
          </w:p>
        </w:tc>
        <w:tc>
          <w:tcPr>
            <w:tcW w:w="854"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lang w:eastAsia="en-AU"/>
              </w:rPr>
            </w:pPr>
            <w:r w:rsidRPr="00A457C4">
              <w:rPr>
                <w:rFonts w:eastAsiaTheme="minorEastAsia"/>
                <w:sz w:val="21"/>
                <w:lang w:eastAsia="en-AU"/>
              </w:rPr>
              <w:t>..</w:t>
            </w:r>
          </w:p>
        </w:tc>
        <w:tc>
          <w:tcPr>
            <w:tcW w:w="871"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lang w:eastAsia="en-AU"/>
              </w:rPr>
            </w:pPr>
            <w:r w:rsidRPr="00A457C4">
              <w:rPr>
                <w:rFonts w:eastAsiaTheme="minorEastAsia"/>
                <w:sz w:val="21"/>
                <w:lang w:eastAsia="en-AU"/>
              </w:rPr>
              <w:t>..</w:t>
            </w:r>
          </w:p>
        </w:tc>
      </w:tr>
      <w:tr w:rsidR="00336793" w:rsidRPr="00A457C4" w:rsidTr="00DF0B96">
        <w:tc>
          <w:tcPr>
            <w:tcW w:w="3136" w:type="dxa"/>
            <w:tcBorders>
              <w:top w:val="single" w:sz="6" w:space="0" w:color="auto"/>
              <w:left w:val="nil"/>
              <w:bottom w:val="single" w:sz="12" w:space="0" w:color="000000"/>
              <w:right w:val="nil"/>
            </w:tcBorders>
          </w:tcPr>
          <w:p w:rsidR="00336793" w:rsidRPr="00A457C4" w:rsidRDefault="00336793" w:rsidP="00DF0B96">
            <w:pPr>
              <w:pStyle w:val="Tabletext"/>
              <w:rPr>
                <w:rFonts w:eastAsiaTheme="minorEastAsia"/>
                <w:b/>
                <w:bCs/>
                <w:sz w:val="21"/>
                <w:lang w:eastAsia="en-AU"/>
              </w:rPr>
            </w:pPr>
            <w:r w:rsidRPr="00A457C4">
              <w:rPr>
                <w:rFonts w:eastAsiaTheme="minorEastAsia"/>
                <w:b/>
                <w:bCs/>
                <w:sz w:val="21"/>
                <w:lang w:eastAsia="en-AU"/>
              </w:rPr>
              <w:t>Closing balance at 30 June 2014</w:t>
            </w:r>
            <w:r w:rsidRPr="00E96950">
              <w:rPr>
                <w:rFonts w:eastAsiaTheme="minorEastAsia"/>
                <w:b/>
                <w:bCs/>
                <w:sz w:val="21"/>
                <w:vertAlign w:val="superscript"/>
                <w:lang w:eastAsia="en-AU"/>
              </w:rPr>
              <w:t xml:space="preserve"> (</w:t>
            </w:r>
            <w:r w:rsidRPr="00A457C4">
              <w:rPr>
                <w:rFonts w:eastAsiaTheme="minorEastAsia"/>
                <w:b/>
                <w:bCs/>
                <w:sz w:val="21"/>
                <w:vertAlign w:val="superscript"/>
                <w:lang w:eastAsia="en-AU"/>
              </w:rPr>
              <w:t>a)</w:t>
            </w:r>
          </w:p>
        </w:tc>
        <w:tc>
          <w:tcPr>
            <w:tcW w:w="731"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lang w:eastAsia="en-AU"/>
              </w:rPr>
            </w:pPr>
            <w:r w:rsidRPr="00A457C4">
              <w:rPr>
                <w:rFonts w:eastAsiaTheme="minorEastAsia"/>
                <w:b/>
                <w:bCs/>
                <w:sz w:val="21"/>
                <w:lang w:eastAsia="en-AU"/>
              </w:rPr>
              <w:t xml:space="preserve"> 114.8</w:t>
            </w:r>
          </w:p>
        </w:tc>
        <w:tc>
          <w:tcPr>
            <w:tcW w:w="1106"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lang w:eastAsia="en-AU"/>
              </w:rPr>
            </w:pPr>
            <w:r w:rsidRPr="00A457C4">
              <w:rPr>
                <w:rFonts w:eastAsiaTheme="minorEastAsia"/>
                <w:b/>
                <w:bCs/>
                <w:sz w:val="21"/>
                <w:lang w:eastAsia="en-AU"/>
              </w:rPr>
              <w:t xml:space="preserve"> 1.6</w:t>
            </w:r>
          </w:p>
        </w:tc>
        <w:tc>
          <w:tcPr>
            <w:tcW w:w="1959"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lang w:eastAsia="en-AU"/>
              </w:rPr>
            </w:pPr>
            <w:r w:rsidRPr="00A457C4">
              <w:rPr>
                <w:rFonts w:eastAsiaTheme="minorEastAsia"/>
                <w:b/>
                <w:bCs/>
                <w:sz w:val="21"/>
                <w:lang w:eastAsia="en-AU"/>
              </w:rPr>
              <w:t xml:space="preserve"> 0.1</w:t>
            </w:r>
          </w:p>
        </w:tc>
        <w:tc>
          <w:tcPr>
            <w:tcW w:w="980"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lang w:eastAsia="en-AU"/>
              </w:rPr>
            </w:pPr>
            <w:r w:rsidRPr="00A457C4">
              <w:rPr>
                <w:rFonts w:eastAsiaTheme="minorEastAsia"/>
                <w:b/>
                <w:bCs/>
                <w:sz w:val="21"/>
                <w:lang w:eastAsia="en-AU"/>
              </w:rPr>
              <w:t xml:space="preserve"> 1.6</w:t>
            </w:r>
          </w:p>
        </w:tc>
        <w:tc>
          <w:tcPr>
            <w:tcW w:w="854"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lang w:eastAsia="en-AU"/>
              </w:rPr>
            </w:pPr>
            <w:r w:rsidRPr="00A457C4">
              <w:rPr>
                <w:rFonts w:eastAsiaTheme="minorEastAsia"/>
                <w:b/>
                <w:bCs/>
                <w:sz w:val="21"/>
                <w:lang w:eastAsia="en-AU"/>
              </w:rPr>
              <w:t>..</w:t>
            </w:r>
          </w:p>
        </w:tc>
        <w:tc>
          <w:tcPr>
            <w:tcW w:w="871"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lang w:eastAsia="en-AU"/>
              </w:rPr>
            </w:pPr>
            <w:r w:rsidRPr="00A457C4">
              <w:rPr>
                <w:rFonts w:eastAsiaTheme="minorEastAsia"/>
                <w:b/>
                <w:bCs/>
                <w:sz w:val="21"/>
                <w:lang w:eastAsia="en-AU"/>
              </w:rPr>
              <w:t xml:space="preserve"> 118.1</w:t>
            </w:r>
          </w:p>
        </w:tc>
      </w:tr>
    </w:tbl>
    <w:p w:rsidR="00336793" w:rsidRPr="00A457C4"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2917"/>
        <w:gridCol w:w="950"/>
        <w:gridCol w:w="1106"/>
        <w:gridCol w:w="1959"/>
        <w:gridCol w:w="980"/>
        <w:gridCol w:w="854"/>
        <w:gridCol w:w="871"/>
      </w:tblGrid>
      <w:tr w:rsidR="00336793" w:rsidRPr="00A457C4" w:rsidTr="00DF0B96">
        <w:tc>
          <w:tcPr>
            <w:tcW w:w="2917" w:type="dxa"/>
            <w:gridSpan w:val="6"/>
            <w:tcBorders>
              <w:top w:val="single" w:sz="6" w:space="0" w:color="auto"/>
              <w:left w:val="single" w:sz="6" w:space="0" w:color="auto"/>
              <w:bottom w:val="single" w:sz="6" w:space="0" w:color="auto"/>
              <w:right w:val="nil"/>
            </w:tcBorders>
            <w:shd w:val="clear" w:color="000000" w:fill="000000"/>
          </w:tcPr>
          <w:p w:rsidR="00336793" w:rsidRPr="00A457C4" w:rsidRDefault="00336793" w:rsidP="00DF0B96">
            <w:pPr>
              <w:pStyle w:val="Tabletextheading"/>
              <w:jc w:val="left"/>
              <w:rPr>
                <w:rFonts w:eastAsiaTheme="minorEastAsia"/>
                <w:color w:val="FFFFFF"/>
                <w:sz w:val="21"/>
                <w:lang w:eastAsia="en-AU"/>
              </w:rPr>
            </w:pPr>
            <w:r w:rsidRPr="00A457C4">
              <w:rPr>
                <w:rFonts w:eastAsiaTheme="minorEastAsia"/>
                <w:color w:val="FFFFFF"/>
                <w:sz w:val="21"/>
                <w:lang w:eastAsia="en-AU"/>
              </w:rPr>
              <w:t>General government sector</w:t>
            </w:r>
          </w:p>
          <w:p w:rsidR="00336793" w:rsidRPr="00A457C4" w:rsidRDefault="00336793" w:rsidP="00DF0B96">
            <w:pPr>
              <w:pStyle w:val="Tabletextheading"/>
              <w:jc w:val="left"/>
              <w:rPr>
                <w:rFonts w:eastAsiaTheme="minorEastAsia"/>
                <w:color w:val="FFFFFF"/>
                <w:sz w:val="21"/>
                <w:lang w:eastAsia="en-AU"/>
              </w:rPr>
            </w:pPr>
            <w:r w:rsidRPr="00A457C4">
              <w:rPr>
                <w:rFonts w:eastAsiaTheme="minorEastAsia"/>
                <w:color w:val="FFFFFF"/>
                <w:sz w:val="21"/>
                <w:lang w:eastAsia="en-AU"/>
              </w:rPr>
              <w:t>2015</w:t>
            </w:r>
          </w:p>
        </w:tc>
        <w:tc>
          <w:tcPr>
            <w:tcW w:w="871" w:type="dxa"/>
            <w:tcBorders>
              <w:top w:val="single" w:sz="6" w:space="0" w:color="auto"/>
              <w:left w:val="nil"/>
              <w:bottom w:val="single" w:sz="6" w:space="0" w:color="auto"/>
              <w:right w:val="single" w:sz="6" w:space="0" w:color="auto"/>
            </w:tcBorders>
            <w:shd w:val="clear" w:color="000000" w:fill="000000"/>
          </w:tcPr>
          <w:p w:rsidR="00336793" w:rsidRPr="00A457C4" w:rsidRDefault="00336793" w:rsidP="00DF0B96">
            <w:pPr>
              <w:pStyle w:val="Tabletextheading"/>
              <w:rPr>
                <w:rFonts w:eastAsiaTheme="minorEastAsia"/>
                <w:color w:val="FFFFFF"/>
                <w:sz w:val="21"/>
                <w:lang w:eastAsia="en-AU"/>
              </w:rPr>
            </w:pPr>
          </w:p>
        </w:tc>
      </w:tr>
      <w:tr w:rsidR="00336793" w:rsidRPr="00A457C4" w:rsidTr="00DF0B96">
        <w:tc>
          <w:tcPr>
            <w:tcW w:w="2917" w:type="dxa"/>
            <w:tcBorders>
              <w:top w:val="single" w:sz="6" w:space="0" w:color="auto"/>
              <w:left w:val="nil"/>
              <w:bottom w:val="nil"/>
              <w:right w:val="nil"/>
            </w:tcBorders>
          </w:tcPr>
          <w:p w:rsidR="00336793" w:rsidRPr="00A457C4" w:rsidRDefault="00336793" w:rsidP="00DF0B96">
            <w:pPr>
              <w:autoSpaceDE w:val="0"/>
              <w:autoSpaceDN w:val="0"/>
              <w:adjustRightInd w:val="0"/>
              <w:spacing w:after="0"/>
              <w:rPr>
                <w:rFonts w:ascii="Calibri" w:eastAsiaTheme="minorEastAsia" w:hAnsi="Calibri" w:cs="Calibri"/>
                <w:bCs/>
                <w:sz w:val="21"/>
                <w:szCs w:val="22"/>
                <w:lang w:eastAsia="en-AU"/>
              </w:rPr>
            </w:pPr>
            <w:r w:rsidRPr="00A457C4">
              <w:rPr>
                <w:rFonts w:ascii="Calibri" w:eastAsiaTheme="minorEastAsia" w:hAnsi="Calibri" w:cs="Calibri"/>
                <w:bCs/>
                <w:sz w:val="21"/>
                <w:szCs w:val="22"/>
                <w:lang w:eastAsia="en-AU"/>
              </w:rPr>
              <w:t>Opening balance</w:t>
            </w:r>
          </w:p>
        </w:tc>
        <w:tc>
          <w:tcPr>
            <w:tcW w:w="950" w:type="dxa"/>
            <w:tcBorders>
              <w:top w:val="single" w:sz="6" w:space="0" w:color="auto"/>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bCs/>
                <w:sz w:val="21"/>
                <w:szCs w:val="22"/>
                <w:lang w:eastAsia="en-AU"/>
              </w:rPr>
            </w:pPr>
            <w:r w:rsidRPr="00A457C4">
              <w:rPr>
                <w:rFonts w:ascii="Calibri" w:eastAsiaTheme="minorEastAsia" w:hAnsi="Calibri" w:cs="Calibri"/>
                <w:bCs/>
                <w:sz w:val="21"/>
                <w:szCs w:val="22"/>
                <w:lang w:eastAsia="en-AU"/>
              </w:rPr>
              <w:t xml:space="preserve"> 114.7</w:t>
            </w:r>
          </w:p>
        </w:tc>
        <w:tc>
          <w:tcPr>
            <w:tcW w:w="1106" w:type="dxa"/>
            <w:tcBorders>
              <w:top w:val="single" w:sz="6" w:space="0" w:color="auto"/>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bCs/>
                <w:sz w:val="21"/>
                <w:szCs w:val="22"/>
                <w:lang w:eastAsia="en-AU"/>
              </w:rPr>
            </w:pPr>
            <w:r w:rsidRPr="00A457C4">
              <w:rPr>
                <w:rFonts w:ascii="Calibri" w:eastAsiaTheme="minorEastAsia" w:hAnsi="Calibri" w:cs="Calibri"/>
                <w:bCs/>
                <w:sz w:val="21"/>
                <w:szCs w:val="22"/>
                <w:lang w:eastAsia="en-AU"/>
              </w:rPr>
              <w:t xml:space="preserve"> 1.6</w:t>
            </w:r>
          </w:p>
        </w:tc>
        <w:tc>
          <w:tcPr>
            <w:tcW w:w="1959" w:type="dxa"/>
            <w:tcBorders>
              <w:top w:val="single" w:sz="6" w:space="0" w:color="auto"/>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bCs/>
                <w:sz w:val="21"/>
                <w:szCs w:val="22"/>
                <w:lang w:eastAsia="en-AU"/>
              </w:rPr>
            </w:pPr>
            <w:r w:rsidRPr="00A457C4">
              <w:rPr>
                <w:rFonts w:ascii="Calibri" w:eastAsiaTheme="minorEastAsia" w:hAnsi="Calibri" w:cs="Calibri"/>
                <w:bCs/>
                <w:sz w:val="21"/>
                <w:szCs w:val="22"/>
                <w:lang w:eastAsia="en-AU"/>
              </w:rPr>
              <w:t xml:space="preserve"> 0.1</w:t>
            </w:r>
          </w:p>
        </w:tc>
        <w:tc>
          <w:tcPr>
            <w:tcW w:w="980" w:type="dxa"/>
            <w:tcBorders>
              <w:top w:val="single" w:sz="6" w:space="0" w:color="auto"/>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bCs/>
                <w:sz w:val="21"/>
                <w:szCs w:val="22"/>
                <w:lang w:eastAsia="en-AU"/>
              </w:rPr>
            </w:pPr>
            <w:r w:rsidRPr="00A457C4">
              <w:rPr>
                <w:rFonts w:ascii="Calibri" w:eastAsiaTheme="minorEastAsia" w:hAnsi="Calibri" w:cs="Calibri"/>
                <w:bCs/>
                <w:sz w:val="21"/>
                <w:szCs w:val="22"/>
                <w:lang w:eastAsia="en-AU"/>
              </w:rPr>
              <w:t xml:space="preserve"> 1.6</w:t>
            </w:r>
          </w:p>
        </w:tc>
        <w:tc>
          <w:tcPr>
            <w:tcW w:w="854" w:type="dxa"/>
            <w:tcBorders>
              <w:top w:val="single" w:sz="6" w:space="0" w:color="auto"/>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bCs/>
                <w:sz w:val="21"/>
                <w:szCs w:val="22"/>
                <w:lang w:eastAsia="en-AU"/>
              </w:rPr>
            </w:pPr>
            <w:r w:rsidRPr="00A457C4">
              <w:rPr>
                <w:rFonts w:ascii="Calibri" w:eastAsiaTheme="minorEastAsia" w:hAnsi="Calibri" w:cs="Calibri"/>
                <w:bCs/>
                <w:sz w:val="21"/>
                <w:szCs w:val="22"/>
                <w:lang w:eastAsia="en-AU"/>
              </w:rPr>
              <w:t>..</w:t>
            </w:r>
          </w:p>
        </w:tc>
        <w:tc>
          <w:tcPr>
            <w:tcW w:w="871" w:type="dxa"/>
            <w:tcBorders>
              <w:top w:val="single" w:sz="6" w:space="0" w:color="auto"/>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bCs/>
                <w:sz w:val="21"/>
                <w:szCs w:val="22"/>
                <w:lang w:eastAsia="en-AU"/>
              </w:rPr>
            </w:pPr>
            <w:r w:rsidRPr="00A457C4">
              <w:rPr>
                <w:rFonts w:ascii="Calibri" w:eastAsiaTheme="minorEastAsia" w:hAnsi="Calibri" w:cs="Calibri"/>
                <w:bCs/>
                <w:sz w:val="21"/>
                <w:szCs w:val="22"/>
                <w:lang w:eastAsia="en-AU"/>
              </w:rPr>
              <w:t xml:space="preserve"> 118.0</w:t>
            </w:r>
          </w:p>
        </w:tc>
      </w:tr>
      <w:tr w:rsidR="00336793" w:rsidRPr="00A457C4" w:rsidTr="00DF0B96">
        <w:tc>
          <w:tcPr>
            <w:tcW w:w="2917" w:type="dxa"/>
            <w:tcBorders>
              <w:top w:val="nil"/>
              <w:left w:val="nil"/>
              <w:bottom w:val="nil"/>
              <w:right w:val="nil"/>
            </w:tcBorders>
          </w:tcPr>
          <w:p w:rsidR="00336793" w:rsidRPr="00A457C4" w:rsidRDefault="00336793" w:rsidP="00DF0B96">
            <w:pPr>
              <w:autoSpaceDE w:val="0"/>
              <w:autoSpaceDN w:val="0"/>
              <w:adjustRightInd w:val="0"/>
              <w:spacing w:after="0"/>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Assets reclassified/(sales)</w:t>
            </w:r>
          </w:p>
        </w:tc>
        <w:tc>
          <w:tcPr>
            <w:tcW w:w="950"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A457C4">
              <w:rPr>
                <w:rFonts w:ascii="Calibri" w:eastAsiaTheme="minorEastAsia" w:hAnsi="Calibri" w:cs="Calibri"/>
                <w:sz w:val="21"/>
                <w:szCs w:val="22"/>
                <w:lang w:eastAsia="en-AU"/>
              </w:rPr>
              <w:t xml:space="preserve"> 1.1</w:t>
            </w:r>
          </w:p>
        </w:tc>
        <w:tc>
          <w:tcPr>
            <w:tcW w:w="1106"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w:t>
            </w:r>
          </w:p>
        </w:tc>
        <w:tc>
          <w:tcPr>
            <w:tcW w:w="1959"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0.4</w:t>
            </w:r>
          </w:p>
        </w:tc>
        <w:tc>
          <w:tcPr>
            <w:tcW w:w="980"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0.2</w:t>
            </w:r>
          </w:p>
        </w:tc>
        <w:tc>
          <w:tcPr>
            <w:tcW w:w="854"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w:t>
            </w:r>
          </w:p>
        </w:tc>
        <w:tc>
          <w:tcPr>
            <w:tcW w:w="871"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A457C4">
              <w:rPr>
                <w:rFonts w:ascii="Calibri" w:eastAsiaTheme="minorEastAsia" w:hAnsi="Calibri" w:cs="Calibri"/>
                <w:sz w:val="21"/>
                <w:szCs w:val="22"/>
                <w:lang w:eastAsia="en-AU"/>
              </w:rPr>
              <w:t xml:space="preserve"> 1.7</w:t>
            </w:r>
          </w:p>
        </w:tc>
      </w:tr>
      <w:tr w:rsidR="00336793" w:rsidRPr="00A457C4" w:rsidTr="00DF0B96">
        <w:tc>
          <w:tcPr>
            <w:tcW w:w="2917" w:type="dxa"/>
            <w:tcBorders>
              <w:top w:val="nil"/>
              <w:left w:val="nil"/>
              <w:bottom w:val="nil"/>
              <w:right w:val="nil"/>
            </w:tcBorders>
          </w:tcPr>
          <w:p w:rsidR="00336793" w:rsidRPr="00A457C4" w:rsidRDefault="00336793" w:rsidP="00DF0B96">
            <w:pPr>
              <w:autoSpaceDE w:val="0"/>
              <w:autoSpaceDN w:val="0"/>
              <w:adjustRightInd w:val="0"/>
              <w:spacing w:after="0"/>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Transfers in/out of Level 3</w:t>
            </w:r>
          </w:p>
        </w:tc>
        <w:tc>
          <w:tcPr>
            <w:tcW w:w="950"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0.9</w:t>
            </w:r>
          </w:p>
        </w:tc>
        <w:tc>
          <w:tcPr>
            <w:tcW w:w="1106"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Pr>
                <w:rFonts w:ascii="Calibri" w:eastAsiaTheme="minorEastAsia" w:hAnsi="Calibri" w:cs="Calibri"/>
                <w:sz w:val="21"/>
                <w:szCs w:val="21"/>
                <w:lang w:eastAsia="en-AU"/>
              </w:rPr>
              <w:t>(</w:t>
            </w:r>
            <w:r w:rsidRPr="00A457C4">
              <w:rPr>
                <w:rFonts w:ascii="Calibri" w:eastAsiaTheme="minorEastAsia" w:hAnsi="Calibri" w:cs="Calibri"/>
                <w:color w:val="000000"/>
                <w:sz w:val="21"/>
                <w:szCs w:val="21"/>
                <w:lang w:eastAsia="en-AU"/>
              </w:rPr>
              <w:t>1.5)</w:t>
            </w:r>
          </w:p>
        </w:tc>
        <w:tc>
          <w:tcPr>
            <w:tcW w:w="1959"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A457C4">
              <w:rPr>
                <w:rFonts w:ascii="Calibri" w:eastAsiaTheme="minorEastAsia" w:hAnsi="Calibri" w:cs="Calibri"/>
                <w:sz w:val="21"/>
                <w:szCs w:val="21"/>
                <w:lang w:eastAsia="en-AU"/>
              </w:rPr>
              <w:t>..</w:t>
            </w:r>
          </w:p>
        </w:tc>
        <w:tc>
          <w:tcPr>
            <w:tcW w:w="980"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A457C4">
              <w:rPr>
                <w:rFonts w:ascii="Calibri" w:eastAsiaTheme="minorEastAsia" w:hAnsi="Calibri" w:cs="Calibri"/>
                <w:sz w:val="21"/>
                <w:szCs w:val="21"/>
                <w:lang w:eastAsia="en-AU"/>
              </w:rPr>
              <w:t>..</w:t>
            </w:r>
          </w:p>
        </w:tc>
        <w:tc>
          <w:tcPr>
            <w:tcW w:w="854"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A457C4">
              <w:rPr>
                <w:rFonts w:ascii="Calibri" w:eastAsiaTheme="minorEastAsia" w:hAnsi="Calibri" w:cs="Calibri"/>
                <w:sz w:val="21"/>
                <w:szCs w:val="21"/>
                <w:lang w:eastAsia="en-AU"/>
              </w:rPr>
              <w:t>..</w:t>
            </w:r>
          </w:p>
        </w:tc>
        <w:tc>
          <w:tcPr>
            <w:tcW w:w="871" w:type="dxa"/>
            <w:tcBorders>
              <w:top w:val="nil"/>
              <w:left w:val="nil"/>
              <w:bottom w:val="nil"/>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Pr>
                <w:rFonts w:ascii="Calibri" w:eastAsiaTheme="minorEastAsia" w:hAnsi="Calibri" w:cs="Calibri"/>
                <w:sz w:val="21"/>
                <w:szCs w:val="21"/>
                <w:lang w:eastAsia="en-AU"/>
              </w:rPr>
              <w:t>(</w:t>
            </w:r>
            <w:r w:rsidRPr="00A457C4">
              <w:rPr>
                <w:rFonts w:ascii="Calibri" w:eastAsiaTheme="minorEastAsia" w:hAnsi="Calibri" w:cs="Calibri"/>
                <w:color w:val="000000"/>
                <w:sz w:val="21"/>
                <w:szCs w:val="21"/>
                <w:lang w:eastAsia="en-AU"/>
              </w:rPr>
              <w:t>0.5)</w:t>
            </w:r>
          </w:p>
        </w:tc>
      </w:tr>
      <w:tr w:rsidR="00336793" w:rsidRPr="00A457C4" w:rsidTr="00DF0B96">
        <w:tc>
          <w:tcPr>
            <w:tcW w:w="2917" w:type="dxa"/>
            <w:tcBorders>
              <w:top w:val="nil"/>
              <w:left w:val="nil"/>
              <w:bottom w:val="single" w:sz="6" w:space="0" w:color="auto"/>
              <w:right w:val="nil"/>
            </w:tcBorders>
          </w:tcPr>
          <w:p w:rsidR="00336793" w:rsidRPr="00A457C4" w:rsidRDefault="00336793" w:rsidP="00DF0B96">
            <w:pPr>
              <w:autoSpaceDE w:val="0"/>
              <w:autoSpaceDN w:val="0"/>
              <w:adjustRightInd w:val="0"/>
              <w:spacing w:after="0"/>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Revaluation</w:t>
            </w:r>
          </w:p>
        </w:tc>
        <w:tc>
          <w:tcPr>
            <w:tcW w:w="950"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457C4">
              <w:rPr>
                <w:rFonts w:ascii="Calibri" w:eastAsiaTheme="minorEastAsia" w:hAnsi="Calibri" w:cs="Calibri"/>
                <w:sz w:val="21"/>
                <w:szCs w:val="22"/>
                <w:lang w:eastAsia="en-AU"/>
              </w:rPr>
              <w:t xml:space="preserve"> 16.8</w:t>
            </w:r>
          </w:p>
        </w:tc>
        <w:tc>
          <w:tcPr>
            <w:tcW w:w="1106"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A457C4">
              <w:rPr>
                <w:rFonts w:ascii="Calibri" w:eastAsiaTheme="minorEastAsia" w:hAnsi="Calibri" w:cs="Calibri"/>
                <w:sz w:val="21"/>
                <w:szCs w:val="21"/>
                <w:lang w:eastAsia="en-AU"/>
              </w:rPr>
              <w:t>..</w:t>
            </w:r>
          </w:p>
        </w:tc>
        <w:tc>
          <w:tcPr>
            <w:tcW w:w="1959"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A457C4">
              <w:rPr>
                <w:rFonts w:ascii="Calibri" w:eastAsiaTheme="minorEastAsia" w:hAnsi="Calibri" w:cs="Calibri"/>
                <w:sz w:val="21"/>
                <w:szCs w:val="21"/>
                <w:lang w:eastAsia="en-AU"/>
              </w:rPr>
              <w:t xml:space="preserve"> 0.2</w:t>
            </w:r>
          </w:p>
        </w:tc>
        <w:tc>
          <w:tcPr>
            <w:tcW w:w="980"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Pr>
                <w:rFonts w:ascii="Calibri" w:eastAsiaTheme="minorEastAsia" w:hAnsi="Calibri" w:cs="Calibri"/>
                <w:sz w:val="21"/>
                <w:szCs w:val="21"/>
                <w:lang w:eastAsia="en-AU"/>
              </w:rPr>
              <w:t>(</w:t>
            </w:r>
            <w:r w:rsidRPr="00A457C4">
              <w:rPr>
                <w:rFonts w:ascii="Calibri" w:eastAsiaTheme="minorEastAsia" w:hAnsi="Calibri" w:cs="Calibri"/>
                <w:color w:val="000000"/>
                <w:sz w:val="21"/>
                <w:szCs w:val="21"/>
                <w:lang w:eastAsia="en-AU"/>
              </w:rPr>
              <w:t>0.1)</w:t>
            </w:r>
          </w:p>
        </w:tc>
        <w:tc>
          <w:tcPr>
            <w:tcW w:w="854"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A457C4">
              <w:rPr>
                <w:rFonts w:ascii="Calibri" w:eastAsiaTheme="minorEastAsia" w:hAnsi="Calibri" w:cs="Calibri"/>
                <w:sz w:val="21"/>
                <w:szCs w:val="21"/>
                <w:lang w:eastAsia="en-AU"/>
              </w:rPr>
              <w:t>..</w:t>
            </w:r>
          </w:p>
        </w:tc>
        <w:tc>
          <w:tcPr>
            <w:tcW w:w="871" w:type="dxa"/>
            <w:tcBorders>
              <w:top w:val="nil"/>
              <w:left w:val="nil"/>
              <w:bottom w:val="single" w:sz="6" w:space="0" w:color="auto"/>
              <w:right w:val="nil"/>
            </w:tcBorders>
          </w:tcPr>
          <w:p w:rsidR="00336793" w:rsidRPr="00A457C4"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A457C4">
              <w:rPr>
                <w:rFonts w:ascii="Calibri" w:eastAsiaTheme="minorEastAsia" w:hAnsi="Calibri" w:cs="Calibri"/>
                <w:sz w:val="21"/>
                <w:szCs w:val="21"/>
                <w:lang w:eastAsia="en-AU"/>
              </w:rPr>
              <w:t xml:space="preserve"> 16.9</w:t>
            </w:r>
          </w:p>
        </w:tc>
      </w:tr>
      <w:tr w:rsidR="00336793" w:rsidRPr="00A457C4" w:rsidTr="00DF0B96">
        <w:tc>
          <w:tcPr>
            <w:tcW w:w="2917" w:type="dxa"/>
            <w:tcBorders>
              <w:top w:val="single" w:sz="6" w:space="0" w:color="auto"/>
              <w:left w:val="nil"/>
              <w:bottom w:val="single" w:sz="12" w:space="0" w:color="000000"/>
              <w:right w:val="nil"/>
            </w:tcBorders>
          </w:tcPr>
          <w:p w:rsidR="00336793" w:rsidRPr="00A457C4" w:rsidRDefault="00336793" w:rsidP="00DF0B96">
            <w:pPr>
              <w:autoSpaceDE w:val="0"/>
              <w:autoSpaceDN w:val="0"/>
              <w:adjustRightInd w:val="0"/>
              <w:spacing w:after="0"/>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Closing balance at 30 June 2015</w:t>
            </w:r>
          </w:p>
        </w:tc>
        <w:tc>
          <w:tcPr>
            <w:tcW w:w="950"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 xml:space="preserve"> 133.6</w:t>
            </w:r>
          </w:p>
        </w:tc>
        <w:tc>
          <w:tcPr>
            <w:tcW w:w="1106"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 xml:space="preserve"> 0.1</w:t>
            </w:r>
          </w:p>
        </w:tc>
        <w:tc>
          <w:tcPr>
            <w:tcW w:w="1959"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 xml:space="preserve"> 0.7</w:t>
            </w:r>
          </w:p>
        </w:tc>
        <w:tc>
          <w:tcPr>
            <w:tcW w:w="980"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 xml:space="preserve"> 1.6</w:t>
            </w:r>
          </w:p>
        </w:tc>
        <w:tc>
          <w:tcPr>
            <w:tcW w:w="854"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w:t>
            </w:r>
          </w:p>
        </w:tc>
        <w:tc>
          <w:tcPr>
            <w:tcW w:w="871" w:type="dxa"/>
            <w:tcBorders>
              <w:top w:val="single" w:sz="6" w:space="0" w:color="auto"/>
              <w:left w:val="nil"/>
              <w:bottom w:val="single" w:sz="12" w:space="0" w:color="000000"/>
              <w:right w:val="nil"/>
            </w:tcBorders>
            <w:shd w:val="solid" w:color="FFFFFF" w:fill="auto"/>
          </w:tcPr>
          <w:p w:rsidR="00336793" w:rsidRPr="00A457C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457C4">
              <w:rPr>
                <w:rFonts w:ascii="Calibri" w:eastAsiaTheme="minorEastAsia" w:hAnsi="Calibri" w:cs="Calibri"/>
                <w:b/>
                <w:bCs/>
                <w:sz w:val="21"/>
                <w:szCs w:val="22"/>
                <w:lang w:eastAsia="en-AU"/>
              </w:rPr>
              <w:t xml:space="preserve"> 136.1</w:t>
            </w:r>
          </w:p>
        </w:tc>
      </w:tr>
    </w:tbl>
    <w:p w:rsidR="00336793" w:rsidRPr="00A457C4"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3136"/>
        <w:gridCol w:w="731"/>
        <w:gridCol w:w="1106"/>
        <w:gridCol w:w="1959"/>
        <w:gridCol w:w="980"/>
        <w:gridCol w:w="854"/>
        <w:gridCol w:w="871"/>
      </w:tblGrid>
      <w:tr w:rsidR="00336793" w:rsidRPr="00A457C4" w:rsidTr="00DF0B96">
        <w:tc>
          <w:tcPr>
            <w:tcW w:w="3136" w:type="dxa"/>
            <w:tcBorders>
              <w:top w:val="single" w:sz="6" w:space="0" w:color="auto"/>
              <w:left w:val="single" w:sz="6" w:space="0" w:color="auto"/>
              <w:bottom w:val="single" w:sz="6" w:space="0" w:color="auto"/>
              <w:right w:val="nil"/>
            </w:tcBorders>
            <w:shd w:val="clear" w:color="000000" w:fill="000000"/>
          </w:tcPr>
          <w:p w:rsidR="00336793" w:rsidRPr="00A457C4" w:rsidRDefault="00336793" w:rsidP="00DF0B96">
            <w:pPr>
              <w:pStyle w:val="Tabletext"/>
              <w:rPr>
                <w:rFonts w:eastAsiaTheme="minorEastAsia" w:cs="Calibri"/>
                <w:i/>
                <w:iCs/>
                <w:color w:val="FFFFFF"/>
                <w:szCs w:val="22"/>
                <w:lang w:eastAsia="en-AU"/>
              </w:rPr>
            </w:pPr>
            <w:r w:rsidRPr="00A457C4">
              <w:rPr>
                <w:rFonts w:eastAsiaTheme="minorEastAsia" w:cs="Calibri"/>
                <w:i/>
                <w:iCs/>
                <w:color w:val="FFFFFF"/>
                <w:szCs w:val="22"/>
                <w:lang w:eastAsia="en-AU"/>
              </w:rPr>
              <w:t>2014</w:t>
            </w:r>
          </w:p>
        </w:tc>
        <w:tc>
          <w:tcPr>
            <w:tcW w:w="731" w:type="dxa"/>
            <w:tcBorders>
              <w:top w:val="single" w:sz="6" w:space="0" w:color="auto"/>
              <w:left w:val="nil"/>
              <w:bottom w:val="single" w:sz="6" w:space="0" w:color="auto"/>
              <w:right w:val="nil"/>
            </w:tcBorders>
            <w:shd w:val="clear" w:color="000000" w:fill="000000"/>
          </w:tcPr>
          <w:p w:rsidR="00336793" w:rsidRPr="00A457C4" w:rsidRDefault="00336793" w:rsidP="00DF0B96">
            <w:pPr>
              <w:pStyle w:val="Tabletextheading"/>
              <w:rPr>
                <w:rFonts w:eastAsiaTheme="minorEastAsia"/>
                <w:color w:val="FFFFFF"/>
                <w:sz w:val="21"/>
                <w:lang w:eastAsia="en-AU"/>
              </w:rPr>
            </w:pPr>
          </w:p>
        </w:tc>
        <w:tc>
          <w:tcPr>
            <w:tcW w:w="1106" w:type="dxa"/>
            <w:tcBorders>
              <w:top w:val="single" w:sz="6" w:space="0" w:color="auto"/>
              <w:left w:val="nil"/>
              <w:bottom w:val="single" w:sz="6" w:space="0" w:color="auto"/>
              <w:right w:val="nil"/>
            </w:tcBorders>
            <w:shd w:val="clear" w:color="000000" w:fill="000000"/>
          </w:tcPr>
          <w:p w:rsidR="00336793" w:rsidRPr="00A457C4" w:rsidRDefault="00336793" w:rsidP="00DF0B96">
            <w:pPr>
              <w:pStyle w:val="Tabletextheading"/>
              <w:rPr>
                <w:rFonts w:eastAsiaTheme="minorEastAsia"/>
                <w:color w:val="FFFFFF"/>
                <w:sz w:val="21"/>
                <w:lang w:eastAsia="en-AU"/>
              </w:rPr>
            </w:pPr>
          </w:p>
        </w:tc>
        <w:tc>
          <w:tcPr>
            <w:tcW w:w="1959" w:type="dxa"/>
            <w:tcBorders>
              <w:top w:val="single" w:sz="6" w:space="0" w:color="auto"/>
              <w:left w:val="nil"/>
              <w:bottom w:val="single" w:sz="6" w:space="0" w:color="auto"/>
              <w:right w:val="nil"/>
            </w:tcBorders>
            <w:shd w:val="clear" w:color="000000" w:fill="000000"/>
          </w:tcPr>
          <w:p w:rsidR="00336793" w:rsidRPr="00A457C4" w:rsidRDefault="00336793" w:rsidP="00DF0B96">
            <w:pPr>
              <w:pStyle w:val="Tabletextheading"/>
              <w:rPr>
                <w:rFonts w:eastAsiaTheme="minorEastAsia"/>
                <w:color w:val="FFFFFF"/>
                <w:sz w:val="21"/>
                <w:lang w:eastAsia="en-AU"/>
              </w:rPr>
            </w:pPr>
          </w:p>
        </w:tc>
        <w:tc>
          <w:tcPr>
            <w:tcW w:w="980" w:type="dxa"/>
            <w:tcBorders>
              <w:top w:val="single" w:sz="6" w:space="0" w:color="auto"/>
              <w:left w:val="nil"/>
              <w:bottom w:val="single" w:sz="6" w:space="0" w:color="auto"/>
              <w:right w:val="nil"/>
            </w:tcBorders>
            <w:shd w:val="clear" w:color="000000" w:fill="000000"/>
          </w:tcPr>
          <w:p w:rsidR="00336793" w:rsidRPr="00A457C4" w:rsidRDefault="00336793" w:rsidP="00DF0B96">
            <w:pPr>
              <w:pStyle w:val="Tabletextheading"/>
              <w:rPr>
                <w:rFonts w:eastAsiaTheme="minorEastAsia"/>
                <w:color w:val="FFFFFF"/>
                <w:sz w:val="21"/>
                <w:lang w:eastAsia="en-AU"/>
              </w:rPr>
            </w:pPr>
          </w:p>
        </w:tc>
        <w:tc>
          <w:tcPr>
            <w:tcW w:w="854" w:type="dxa"/>
            <w:tcBorders>
              <w:top w:val="single" w:sz="6" w:space="0" w:color="auto"/>
              <w:left w:val="nil"/>
              <w:bottom w:val="single" w:sz="6" w:space="0" w:color="auto"/>
              <w:right w:val="nil"/>
            </w:tcBorders>
            <w:shd w:val="clear" w:color="000000" w:fill="000000"/>
          </w:tcPr>
          <w:p w:rsidR="00336793" w:rsidRPr="00A457C4" w:rsidRDefault="00336793" w:rsidP="00DF0B96">
            <w:pPr>
              <w:pStyle w:val="Tabletextheading"/>
              <w:rPr>
                <w:rFonts w:eastAsiaTheme="minorEastAsia"/>
                <w:color w:val="FFFFFF"/>
                <w:sz w:val="21"/>
                <w:lang w:eastAsia="en-AU"/>
              </w:rPr>
            </w:pPr>
          </w:p>
        </w:tc>
        <w:tc>
          <w:tcPr>
            <w:tcW w:w="871" w:type="dxa"/>
            <w:tcBorders>
              <w:top w:val="single" w:sz="6" w:space="0" w:color="auto"/>
              <w:left w:val="nil"/>
              <w:bottom w:val="single" w:sz="6" w:space="0" w:color="auto"/>
              <w:right w:val="single" w:sz="6" w:space="0" w:color="auto"/>
            </w:tcBorders>
            <w:shd w:val="clear" w:color="000000" w:fill="000000"/>
          </w:tcPr>
          <w:p w:rsidR="00336793" w:rsidRPr="00A457C4" w:rsidRDefault="00336793" w:rsidP="00DF0B96">
            <w:pPr>
              <w:pStyle w:val="Tabletextheading"/>
              <w:rPr>
                <w:rFonts w:eastAsiaTheme="minorEastAsia"/>
                <w:color w:val="FFFFFF"/>
                <w:sz w:val="21"/>
                <w:lang w:eastAsia="en-AU"/>
              </w:rPr>
            </w:pPr>
          </w:p>
        </w:tc>
      </w:tr>
      <w:tr w:rsidR="00336793" w:rsidRPr="00A457C4" w:rsidTr="00DF0B96">
        <w:tc>
          <w:tcPr>
            <w:tcW w:w="3136" w:type="dxa"/>
            <w:tcBorders>
              <w:top w:val="single" w:sz="6" w:space="0" w:color="auto"/>
              <w:left w:val="nil"/>
              <w:bottom w:val="nil"/>
              <w:right w:val="nil"/>
            </w:tcBorders>
          </w:tcPr>
          <w:p w:rsidR="00336793" w:rsidRPr="00A457C4" w:rsidRDefault="00336793" w:rsidP="00DF0B96">
            <w:pPr>
              <w:pStyle w:val="Tabletext"/>
              <w:rPr>
                <w:rFonts w:eastAsiaTheme="minorEastAsia"/>
                <w:bCs/>
                <w:sz w:val="21"/>
                <w:szCs w:val="21"/>
                <w:lang w:eastAsia="en-AU"/>
              </w:rPr>
            </w:pPr>
            <w:r w:rsidRPr="00A457C4">
              <w:rPr>
                <w:rFonts w:eastAsiaTheme="minorEastAsia"/>
                <w:bCs/>
                <w:sz w:val="21"/>
                <w:szCs w:val="21"/>
                <w:lang w:eastAsia="en-AU"/>
              </w:rPr>
              <w:t>Opening balance</w:t>
            </w:r>
            <w:r w:rsidRPr="00E96950">
              <w:rPr>
                <w:rFonts w:eastAsiaTheme="minorEastAsia"/>
                <w:bCs/>
                <w:sz w:val="21"/>
                <w:szCs w:val="21"/>
                <w:vertAlign w:val="superscript"/>
                <w:lang w:eastAsia="en-AU"/>
              </w:rPr>
              <w:t xml:space="preserve"> (</w:t>
            </w:r>
            <w:r w:rsidRPr="00A457C4">
              <w:rPr>
                <w:rFonts w:eastAsiaTheme="minorEastAsia"/>
                <w:bCs/>
                <w:sz w:val="21"/>
                <w:szCs w:val="21"/>
                <w:vertAlign w:val="superscript"/>
                <w:lang w:eastAsia="en-AU"/>
              </w:rPr>
              <w:t>a)</w:t>
            </w:r>
          </w:p>
        </w:tc>
        <w:tc>
          <w:tcPr>
            <w:tcW w:w="731" w:type="dxa"/>
            <w:tcBorders>
              <w:top w:val="single" w:sz="6" w:space="0" w:color="auto"/>
              <w:left w:val="nil"/>
              <w:bottom w:val="nil"/>
              <w:right w:val="nil"/>
            </w:tcBorders>
          </w:tcPr>
          <w:p w:rsidR="00336793" w:rsidRPr="00A457C4" w:rsidRDefault="00336793" w:rsidP="00DF0B96">
            <w:pPr>
              <w:pStyle w:val="TableofFigures"/>
              <w:rPr>
                <w:rFonts w:eastAsiaTheme="minorEastAsia"/>
                <w:bCs/>
                <w:sz w:val="21"/>
                <w:szCs w:val="21"/>
                <w:lang w:eastAsia="en-AU"/>
              </w:rPr>
            </w:pPr>
            <w:r w:rsidRPr="00A457C4">
              <w:rPr>
                <w:rFonts w:eastAsiaTheme="minorEastAsia"/>
                <w:bCs/>
                <w:sz w:val="21"/>
                <w:szCs w:val="21"/>
                <w:lang w:eastAsia="en-AU"/>
              </w:rPr>
              <w:t xml:space="preserve"> 70.2</w:t>
            </w:r>
          </w:p>
        </w:tc>
        <w:tc>
          <w:tcPr>
            <w:tcW w:w="1106" w:type="dxa"/>
            <w:tcBorders>
              <w:top w:val="single" w:sz="6" w:space="0" w:color="auto"/>
              <w:left w:val="nil"/>
              <w:bottom w:val="nil"/>
              <w:right w:val="nil"/>
            </w:tcBorders>
          </w:tcPr>
          <w:p w:rsidR="00336793" w:rsidRPr="00A457C4" w:rsidRDefault="00336793" w:rsidP="00DF0B96">
            <w:pPr>
              <w:pStyle w:val="TableofFigures"/>
              <w:rPr>
                <w:rFonts w:eastAsiaTheme="minorEastAsia"/>
                <w:bCs/>
                <w:sz w:val="21"/>
                <w:szCs w:val="21"/>
                <w:lang w:eastAsia="en-AU"/>
              </w:rPr>
            </w:pPr>
            <w:r w:rsidRPr="00A457C4">
              <w:rPr>
                <w:rFonts w:eastAsiaTheme="minorEastAsia"/>
                <w:bCs/>
                <w:sz w:val="21"/>
                <w:szCs w:val="21"/>
                <w:lang w:eastAsia="en-AU"/>
              </w:rPr>
              <w:t xml:space="preserve"> 2.7</w:t>
            </w:r>
          </w:p>
        </w:tc>
        <w:tc>
          <w:tcPr>
            <w:tcW w:w="1959" w:type="dxa"/>
            <w:tcBorders>
              <w:top w:val="single" w:sz="6" w:space="0" w:color="auto"/>
              <w:left w:val="nil"/>
              <w:bottom w:val="nil"/>
              <w:right w:val="nil"/>
            </w:tcBorders>
          </w:tcPr>
          <w:p w:rsidR="00336793" w:rsidRPr="00A457C4" w:rsidRDefault="00336793" w:rsidP="00DF0B96">
            <w:pPr>
              <w:pStyle w:val="TableofFigures"/>
              <w:rPr>
                <w:rFonts w:eastAsiaTheme="minorEastAsia"/>
                <w:bCs/>
                <w:sz w:val="21"/>
                <w:szCs w:val="21"/>
                <w:lang w:eastAsia="en-AU"/>
              </w:rPr>
            </w:pPr>
            <w:r w:rsidRPr="00A457C4">
              <w:rPr>
                <w:rFonts w:eastAsiaTheme="minorEastAsia"/>
                <w:bCs/>
                <w:sz w:val="21"/>
                <w:szCs w:val="21"/>
                <w:lang w:eastAsia="en-AU"/>
              </w:rPr>
              <w:t xml:space="preserve"> 0.2</w:t>
            </w:r>
          </w:p>
        </w:tc>
        <w:tc>
          <w:tcPr>
            <w:tcW w:w="980" w:type="dxa"/>
            <w:tcBorders>
              <w:top w:val="single" w:sz="6" w:space="0" w:color="auto"/>
              <w:left w:val="nil"/>
              <w:bottom w:val="nil"/>
              <w:right w:val="nil"/>
            </w:tcBorders>
          </w:tcPr>
          <w:p w:rsidR="00336793" w:rsidRPr="00A457C4" w:rsidRDefault="00336793" w:rsidP="00DF0B96">
            <w:pPr>
              <w:pStyle w:val="TableofFigures"/>
              <w:rPr>
                <w:rFonts w:eastAsiaTheme="minorEastAsia"/>
                <w:bCs/>
                <w:sz w:val="21"/>
                <w:szCs w:val="21"/>
                <w:lang w:eastAsia="en-AU"/>
              </w:rPr>
            </w:pPr>
            <w:r w:rsidRPr="00A457C4">
              <w:rPr>
                <w:rFonts w:eastAsiaTheme="minorEastAsia"/>
                <w:bCs/>
                <w:sz w:val="21"/>
                <w:szCs w:val="21"/>
                <w:lang w:eastAsia="en-AU"/>
              </w:rPr>
              <w:t xml:space="preserve"> 1.1</w:t>
            </w:r>
          </w:p>
        </w:tc>
        <w:tc>
          <w:tcPr>
            <w:tcW w:w="854" w:type="dxa"/>
            <w:tcBorders>
              <w:top w:val="single" w:sz="6" w:space="0" w:color="auto"/>
              <w:left w:val="nil"/>
              <w:bottom w:val="nil"/>
              <w:right w:val="nil"/>
            </w:tcBorders>
          </w:tcPr>
          <w:p w:rsidR="00336793" w:rsidRPr="00A457C4" w:rsidRDefault="00336793" w:rsidP="00DF0B96">
            <w:pPr>
              <w:pStyle w:val="TableofFigures"/>
              <w:rPr>
                <w:rFonts w:eastAsiaTheme="minorEastAsia"/>
                <w:bCs/>
                <w:sz w:val="21"/>
                <w:szCs w:val="21"/>
                <w:lang w:eastAsia="en-AU"/>
              </w:rPr>
            </w:pPr>
            <w:r w:rsidRPr="00A457C4">
              <w:rPr>
                <w:rFonts w:eastAsiaTheme="minorEastAsia"/>
                <w:bCs/>
                <w:sz w:val="21"/>
                <w:szCs w:val="21"/>
                <w:lang w:eastAsia="en-AU"/>
              </w:rPr>
              <w:t xml:space="preserve"> 69.2</w:t>
            </w:r>
          </w:p>
        </w:tc>
        <w:tc>
          <w:tcPr>
            <w:tcW w:w="871" w:type="dxa"/>
            <w:tcBorders>
              <w:top w:val="single" w:sz="6" w:space="0" w:color="auto"/>
              <w:left w:val="nil"/>
              <w:bottom w:val="nil"/>
              <w:right w:val="nil"/>
            </w:tcBorders>
          </w:tcPr>
          <w:p w:rsidR="00336793" w:rsidRPr="00A457C4" w:rsidRDefault="00336793" w:rsidP="00DF0B96">
            <w:pPr>
              <w:pStyle w:val="TableofFigures"/>
              <w:rPr>
                <w:rFonts w:eastAsiaTheme="minorEastAsia"/>
                <w:bCs/>
                <w:sz w:val="21"/>
                <w:szCs w:val="21"/>
                <w:lang w:eastAsia="en-AU"/>
              </w:rPr>
            </w:pPr>
            <w:r w:rsidRPr="00A457C4">
              <w:rPr>
                <w:rFonts w:eastAsiaTheme="minorEastAsia"/>
                <w:bCs/>
                <w:sz w:val="21"/>
                <w:szCs w:val="21"/>
                <w:lang w:eastAsia="en-AU"/>
              </w:rPr>
              <w:t xml:space="preserve"> 143.4</w:t>
            </w:r>
          </w:p>
        </w:tc>
      </w:tr>
      <w:tr w:rsidR="00336793" w:rsidRPr="00A457C4" w:rsidTr="00DF0B96">
        <w:tc>
          <w:tcPr>
            <w:tcW w:w="3136" w:type="dxa"/>
            <w:tcBorders>
              <w:top w:val="nil"/>
              <w:left w:val="nil"/>
              <w:bottom w:val="nil"/>
              <w:right w:val="nil"/>
            </w:tcBorders>
          </w:tcPr>
          <w:p w:rsidR="00336793" w:rsidRPr="00A457C4" w:rsidRDefault="00336793" w:rsidP="00DF0B96">
            <w:pPr>
              <w:pStyle w:val="Tabletext"/>
              <w:rPr>
                <w:rFonts w:eastAsiaTheme="minorEastAsia"/>
                <w:sz w:val="21"/>
                <w:szCs w:val="21"/>
                <w:lang w:eastAsia="en-AU"/>
              </w:rPr>
            </w:pPr>
            <w:r w:rsidRPr="00A457C4">
              <w:rPr>
                <w:rFonts w:eastAsiaTheme="minorEastAsia"/>
                <w:sz w:val="21"/>
                <w:szCs w:val="21"/>
                <w:lang w:eastAsia="en-AU"/>
              </w:rPr>
              <w:t>Assets reclassified/(sales)</w:t>
            </w:r>
            <w:r w:rsidRPr="00E96950">
              <w:rPr>
                <w:rFonts w:eastAsiaTheme="minorEastAsia"/>
                <w:sz w:val="21"/>
                <w:szCs w:val="21"/>
                <w:vertAlign w:val="superscript"/>
                <w:lang w:eastAsia="en-AU"/>
              </w:rPr>
              <w:t xml:space="preserve"> (</w:t>
            </w:r>
            <w:r w:rsidRPr="00A457C4">
              <w:rPr>
                <w:rFonts w:eastAsiaTheme="minorEastAsia"/>
                <w:sz w:val="21"/>
                <w:szCs w:val="21"/>
                <w:vertAlign w:val="superscript"/>
                <w:lang w:eastAsia="en-AU"/>
              </w:rPr>
              <w:t>a)</w:t>
            </w:r>
          </w:p>
        </w:tc>
        <w:tc>
          <w:tcPr>
            <w:tcW w:w="731" w:type="dxa"/>
            <w:tcBorders>
              <w:top w:val="nil"/>
              <w:left w:val="nil"/>
              <w:bottom w:val="nil"/>
              <w:right w:val="nil"/>
            </w:tcBorders>
          </w:tcPr>
          <w:p w:rsidR="00336793" w:rsidRPr="00A457C4" w:rsidRDefault="00336793" w:rsidP="00DF0B96">
            <w:pPr>
              <w:pStyle w:val="TableofFigures"/>
              <w:rPr>
                <w:rFonts w:eastAsiaTheme="minorEastAsia"/>
                <w:sz w:val="21"/>
                <w:szCs w:val="21"/>
                <w:lang w:eastAsia="en-AU"/>
              </w:rPr>
            </w:pPr>
            <w:r w:rsidRPr="00A457C4">
              <w:rPr>
                <w:rFonts w:eastAsiaTheme="minorEastAsia"/>
                <w:sz w:val="21"/>
                <w:szCs w:val="21"/>
                <w:lang w:eastAsia="en-AU"/>
              </w:rPr>
              <w:t xml:space="preserve"> 44.5</w:t>
            </w:r>
          </w:p>
        </w:tc>
        <w:tc>
          <w:tcPr>
            <w:tcW w:w="1106" w:type="dxa"/>
            <w:tcBorders>
              <w:top w:val="nil"/>
              <w:left w:val="nil"/>
              <w:bottom w:val="nil"/>
              <w:right w:val="nil"/>
            </w:tcBorders>
          </w:tcPr>
          <w:p w:rsidR="00336793" w:rsidRPr="00A457C4" w:rsidRDefault="00336793" w:rsidP="00DF0B96">
            <w:pPr>
              <w:pStyle w:val="TableofFigures"/>
              <w:rPr>
                <w:rFonts w:eastAsiaTheme="minorEastAsia" w:cs="Calibri"/>
                <w:color w:val="000000"/>
                <w:sz w:val="21"/>
                <w:szCs w:val="21"/>
                <w:lang w:eastAsia="en-AU"/>
              </w:rPr>
            </w:pPr>
            <w:r>
              <w:rPr>
                <w:rFonts w:eastAsiaTheme="minorEastAsia"/>
                <w:sz w:val="21"/>
                <w:szCs w:val="21"/>
                <w:lang w:eastAsia="en-AU"/>
              </w:rPr>
              <w:t>(</w:t>
            </w:r>
            <w:r w:rsidRPr="00A457C4">
              <w:rPr>
                <w:rFonts w:eastAsiaTheme="minorEastAsia" w:cs="Calibri"/>
                <w:color w:val="000000"/>
                <w:sz w:val="21"/>
                <w:szCs w:val="21"/>
                <w:lang w:eastAsia="en-AU"/>
              </w:rPr>
              <w:t>1.1)</w:t>
            </w:r>
          </w:p>
        </w:tc>
        <w:tc>
          <w:tcPr>
            <w:tcW w:w="1959" w:type="dxa"/>
            <w:tcBorders>
              <w:top w:val="nil"/>
              <w:left w:val="nil"/>
              <w:bottom w:val="nil"/>
              <w:right w:val="nil"/>
            </w:tcBorders>
          </w:tcPr>
          <w:p w:rsidR="00336793" w:rsidRPr="00A457C4" w:rsidRDefault="00336793" w:rsidP="00DF0B96">
            <w:pPr>
              <w:pStyle w:val="TableofFigures"/>
              <w:rPr>
                <w:rFonts w:eastAsiaTheme="minorEastAsia" w:cs="Calibri"/>
                <w:color w:val="000000"/>
                <w:sz w:val="21"/>
                <w:szCs w:val="21"/>
                <w:lang w:eastAsia="en-AU"/>
              </w:rPr>
            </w:pPr>
            <w:r>
              <w:rPr>
                <w:rFonts w:eastAsiaTheme="minorEastAsia"/>
                <w:sz w:val="21"/>
                <w:szCs w:val="21"/>
                <w:lang w:eastAsia="en-AU"/>
              </w:rPr>
              <w:t>(</w:t>
            </w:r>
            <w:r w:rsidRPr="00A457C4">
              <w:rPr>
                <w:rFonts w:eastAsiaTheme="minorEastAsia" w:cs="Calibri"/>
                <w:color w:val="000000"/>
                <w:sz w:val="21"/>
                <w:szCs w:val="21"/>
                <w:lang w:eastAsia="en-AU"/>
              </w:rPr>
              <w:t>0.1)</w:t>
            </w:r>
          </w:p>
        </w:tc>
        <w:tc>
          <w:tcPr>
            <w:tcW w:w="980" w:type="dxa"/>
            <w:tcBorders>
              <w:top w:val="nil"/>
              <w:left w:val="nil"/>
              <w:bottom w:val="nil"/>
              <w:right w:val="nil"/>
            </w:tcBorders>
          </w:tcPr>
          <w:p w:rsidR="00336793" w:rsidRPr="00A457C4" w:rsidRDefault="00336793" w:rsidP="00DF0B96">
            <w:pPr>
              <w:pStyle w:val="TableofFigures"/>
              <w:rPr>
                <w:rFonts w:eastAsiaTheme="minorEastAsia"/>
                <w:sz w:val="21"/>
                <w:szCs w:val="21"/>
                <w:lang w:eastAsia="en-AU"/>
              </w:rPr>
            </w:pPr>
            <w:r w:rsidRPr="00A457C4">
              <w:rPr>
                <w:rFonts w:eastAsiaTheme="minorEastAsia"/>
                <w:sz w:val="21"/>
                <w:szCs w:val="21"/>
                <w:lang w:eastAsia="en-AU"/>
              </w:rPr>
              <w:t xml:space="preserve"> 0.5</w:t>
            </w:r>
          </w:p>
        </w:tc>
        <w:tc>
          <w:tcPr>
            <w:tcW w:w="854" w:type="dxa"/>
            <w:tcBorders>
              <w:top w:val="nil"/>
              <w:left w:val="nil"/>
              <w:bottom w:val="nil"/>
              <w:right w:val="nil"/>
            </w:tcBorders>
          </w:tcPr>
          <w:p w:rsidR="00336793" w:rsidRPr="00A457C4" w:rsidRDefault="00336793" w:rsidP="00DF0B96">
            <w:pPr>
              <w:pStyle w:val="TableofFigures"/>
              <w:rPr>
                <w:rFonts w:eastAsiaTheme="minorEastAsia" w:cs="Calibri"/>
                <w:color w:val="000000"/>
                <w:sz w:val="21"/>
                <w:szCs w:val="21"/>
                <w:lang w:eastAsia="en-AU"/>
              </w:rPr>
            </w:pPr>
            <w:r>
              <w:rPr>
                <w:rFonts w:eastAsiaTheme="minorEastAsia"/>
                <w:sz w:val="21"/>
                <w:szCs w:val="21"/>
                <w:lang w:eastAsia="en-AU"/>
              </w:rPr>
              <w:t>(</w:t>
            </w:r>
            <w:r w:rsidRPr="00A457C4">
              <w:rPr>
                <w:rFonts w:eastAsiaTheme="minorEastAsia" w:cs="Calibri"/>
                <w:color w:val="000000"/>
                <w:sz w:val="21"/>
                <w:szCs w:val="21"/>
                <w:lang w:eastAsia="en-AU"/>
              </w:rPr>
              <w:t>69.2)</w:t>
            </w:r>
          </w:p>
        </w:tc>
        <w:tc>
          <w:tcPr>
            <w:tcW w:w="871" w:type="dxa"/>
            <w:tcBorders>
              <w:top w:val="nil"/>
              <w:left w:val="nil"/>
              <w:bottom w:val="nil"/>
              <w:right w:val="nil"/>
            </w:tcBorders>
          </w:tcPr>
          <w:p w:rsidR="00336793" w:rsidRPr="00A457C4" w:rsidRDefault="00336793" w:rsidP="00DF0B96">
            <w:pPr>
              <w:pStyle w:val="TableofFigures"/>
              <w:rPr>
                <w:rFonts w:eastAsiaTheme="minorEastAsia" w:cs="Calibri"/>
                <w:color w:val="000000"/>
                <w:sz w:val="21"/>
                <w:szCs w:val="21"/>
                <w:lang w:eastAsia="en-AU"/>
              </w:rPr>
            </w:pPr>
            <w:r>
              <w:rPr>
                <w:rFonts w:eastAsiaTheme="minorEastAsia"/>
                <w:sz w:val="21"/>
                <w:szCs w:val="21"/>
                <w:lang w:eastAsia="en-AU"/>
              </w:rPr>
              <w:t>(</w:t>
            </w:r>
            <w:r w:rsidRPr="00A457C4">
              <w:rPr>
                <w:rFonts w:eastAsiaTheme="minorEastAsia" w:cs="Calibri"/>
                <w:color w:val="000000"/>
                <w:sz w:val="21"/>
                <w:szCs w:val="21"/>
                <w:lang w:eastAsia="en-AU"/>
              </w:rPr>
              <w:t>25.4)</w:t>
            </w:r>
          </w:p>
        </w:tc>
      </w:tr>
      <w:tr w:rsidR="00336793" w:rsidRPr="00A457C4" w:rsidTr="00DF0B96">
        <w:tc>
          <w:tcPr>
            <w:tcW w:w="3136" w:type="dxa"/>
            <w:tcBorders>
              <w:top w:val="nil"/>
              <w:left w:val="nil"/>
              <w:bottom w:val="single" w:sz="6" w:space="0" w:color="auto"/>
              <w:right w:val="nil"/>
            </w:tcBorders>
          </w:tcPr>
          <w:p w:rsidR="00336793" w:rsidRPr="00A457C4" w:rsidRDefault="00336793" w:rsidP="00DF0B96">
            <w:pPr>
              <w:pStyle w:val="Tabletext"/>
              <w:rPr>
                <w:rFonts w:eastAsiaTheme="minorEastAsia"/>
                <w:sz w:val="21"/>
                <w:szCs w:val="21"/>
                <w:lang w:eastAsia="en-AU"/>
              </w:rPr>
            </w:pPr>
            <w:r w:rsidRPr="00A457C4">
              <w:rPr>
                <w:rFonts w:eastAsiaTheme="minorEastAsia"/>
                <w:sz w:val="21"/>
                <w:szCs w:val="21"/>
                <w:lang w:eastAsia="en-AU"/>
              </w:rPr>
              <w:t>Transfers in/out of Level 3</w:t>
            </w:r>
          </w:p>
        </w:tc>
        <w:tc>
          <w:tcPr>
            <w:tcW w:w="731"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szCs w:val="21"/>
                <w:lang w:eastAsia="en-AU"/>
              </w:rPr>
            </w:pPr>
            <w:r w:rsidRPr="00A457C4">
              <w:rPr>
                <w:rFonts w:eastAsiaTheme="minorEastAsia"/>
                <w:sz w:val="21"/>
                <w:szCs w:val="21"/>
                <w:lang w:eastAsia="en-AU"/>
              </w:rPr>
              <w:t>..</w:t>
            </w:r>
          </w:p>
        </w:tc>
        <w:tc>
          <w:tcPr>
            <w:tcW w:w="1106"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szCs w:val="21"/>
                <w:lang w:eastAsia="en-AU"/>
              </w:rPr>
            </w:pPr>
            <w:r w:rsidRPr="00A457C4">
              <w:rPr>
                <w:rFonts w:eastAsiaTheme="minorEastAsia"/>
                <w:sz w:val="21"/>
                <w:szCs w:val="21"/>
                <w:lang w:eastAsia="en-AU"/>
              </w:rPr>
              <w:t>..</w:t>
            </w:r>
          </w:p>
        </w:tc>
        <w:tc>
          <w:tcPr>
            <w:tcW w:w="1959"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szCs w:val="21"/>
                <w:lang w:eastAsia="en-AU"/>
              </w:rPr>
            </w:pPr>
            <w:r w:rsidRPr="00A457C4">
              <w:rPr>
                <w:rFonts w:eastAsiaTheme="minorEastAsia"/>
                <w:sz w:val="21"/>
                <w:szCs w:val="21"/>
                <w:lang w:eastAsia="en-AU"/>
              </w:rPr>
              <w:t>..</w:t>
            </w:r>
          </w:p>
        </w:tc>
        <w:tc>
          <w:tcPr>
            <w:tcW w:w="980"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szCs w:val="21"/>
                <w:lang w:eastAsia="en-AU"/>
              </w:rPr>
            </w:pPr>
            <w:r w:rsidRPr="00A457C4">
              <w:rPr>
                <w:rFonts w:eastAsiaTheme="minorEastAsia"/>
                <w:sz w:val="21"/>
                <w:szCs w:val="21"/>
                <w:lang w:eastAsia="en-AU"/>
              </w:rPr>
              <w:t>..</w:t>
            </w:r>
          </w:p>
        </w:tc>
        <w:tc>
          <w:tcPr>
            <w:tcW w:w="854"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szCs w:val="21"/>
                <w:lang w:eastAsia="en-AU"/>
              </w:rPr>
            </w:pPr>
            <w:r w:rsidRPr="00A457C4">
              <w:rPr>
                <w:rFonts w:eastAsiaTheme="minorEastAsia"/>
                <w:sz w:val="21"/>
                <w:szCs w:val="21"/>
                <w:lang w:eastAsia="en-AU"/>
              </w:rPr>
              <w:t>..</w:t>
            </w:r>
          </w:p>
        </w:tc>
        <w:tc>
          <w:tcPr>
            <w:tcW w:w="871" w:type="dxa"/>
            <w:tcBorders>
              <w:top w:val="nil"/>
              <w:left w:val="nil"/>
              <w:bottom w:val="single" w:sz="6" w:space="0" w:color="auto"/>
              <w:right w:val="nil"/>
            </w:tcBorders>
          </w:tcPr>
          <w:p w:rsidR="00336793" w:rsidRPr="00A457C4" w:rsidRDefault="00336793" w:rsidP="00DF0B96">
            <w:pPr>
              <w:pStyle w:val="TableofFigures"/>
              <w:rPr>
                <w:rFonts w:eastAsiaTheme="minorEastAsia"/>
                <w:sz w:val="21"/>
                <w:szCs w:val="21"/>
                <w:lang w:eastAsia="en-AU"/>
              </w:rPr>
            </w:pPr>
            <w:r w:rsidRPr="00A457C4">
              <w:rPr>
                <w:rFonts w:eastAsiaTheme="minorEastAsia"/>
                <w:sz w:val="21"/>
                <w:szCs w:val="21"/>
                <w:lang w:eastAsia="en-AU"/>
              </w:rPr>
              <w:t>..</w:t>
            </w:r>
          </w:p>
        </w:tc>
      </w:tr>
      <w:tr w:rsidR="00336793" w:rsidRPr="00A457C4" w:rsidTr="00DF0B96">
        <w:tc>
          <w:tcPr>
            <w:tcW w:w="3136" w:type="dxa"/>
            <w:tcBorders>
              <w:top w:val="single" w:sz="6" w:space="0" w:color="auto"/>
              <w:left w:val="nil"/>
              <w:bottom w:val="single" w:sz="12" w:space="0" w:color="000000"/>
              <w:right w:val="nil"/>
            </w:tcBorders>
          </w:tcPr>
          <w:p w:rsidR="00336793" w:rsidRPr="00A457C4" w:rsidRDefault="00336793" w:rsidP="00DF0B96">
            <w:pPr>
              <w:pStyle w:val="Tabletext"/>
              <w:rPr>
                <w:rFonts w:eastAsiaTheme="minorEastAsia"/>
                <w:b/>
                <w:bCs/>
                <w:sz w:val="21"/>
                <w:szCs w:val="21"/>
                <w:lang w:eastAsia="en-AU"/>
              </w:rPr>
            </w:pPr>
            <w:r w:rsidRPr="00A457C4">
              <w:rPr>
                <w:rFonts w:eastAsiaTheme="minorEastAsia"/>
                <w:b/>
                <w:bCs/>
                <w:sz w:val="21"/>
                <w:szCs w:val="21"/>
                <w:lang w:eastAsia="en-AU"/>
              </w:rPr>
              <w:t>Closing balance at 30 June 2014</w:t>
            </w:r>
            <w:r w:rsidRPr="00E96950">
              <w:rPr>
                <w:rFonts w:eastAsiaTheme="minorEastAsia"/>
                <w:b/>
                <w:bCs/>
                <w:sz w:val="21"/>
                <w:szCs w:val="21"/>
                <w:vertAlign w:val="superscript"/>
                <w:lang w:eastAsia="en-AU"/>
              </w:rPr>
              <w:t xml:space="preserve"> (</w:t>
            </w:r>
            <w:r w:rsidRPr="00A457C4">
              <w:rPr>
                <w:rFonts w:eastAsiaTheme="minorEastAsia"/>
                <w:b/>
                <w:bCs/>
                <w:sz w:val="21"/>
                <w:szCs w:val="21"/>
                <w:vertAlign w:val="superscript"/>
                <w:lang w:eastAsia="en-AU"/>
              </w:rPr>
              <w:t>a)</w:t>
            </w:r>
          </w:p>
        </w:tc>
        <w:tc>
          <w:tcPr>
            <w:tcW w:w="731"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szCs w:val="21"/>
                <w:lang w:eastAsia="en-AU"/>
              </w:rPr>
            </w:pPr>
            <w:r w:rsidRPr="00A457C4">
              <w:rPr>
                <w:rFonts w:eastAsiaTheme="minorEastAsia"/>
                <w:b/>
                <w:bCs/>
                <w:sz w:val="21"/>
                <w:szCs w:val="21"/>
                <w:lang w:eastAsia="en-AU"/>
              </w:rPr>
              <w:t xml:space="preserve"> 114.7</w:t>
            </w:r>
          </w:p>
        </w:tc>
        <w:tc>
          <w:tcPr>
            <w:tcW w:w="1106"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szCs w:val="21"/>
                <w:lang w:eastAsia="en-AU"/>
              </w:rPr>
            </w:pPr>
            <w:r w:rsidRPr="00A457C4">
              <w:rPr>
                <w:rFonts w:eastAsiaTheme="minorEastAsia"/>
                <w:b/>
                <w:bCs/>
                <w:sz w:val="21"/>
                <w:szCs w:val="21"/>
                <w:lang w:eastAsia="en-AU"/>
              </w:rPr>
              <w:t xml:space="preserve"> 1.6</w:t>
            </w:r>
          </w:p>
        </w:tc>
        <w:tc>
          <w:tcPr>
            <w:tcW w:w="1959"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szCs w:val="21"/>
                <w:lang w:eastAsia="en-AU"/>
              </w:rPr>
            </w:pPr>
            <w:r w:rsidRPr="00A457C4">
              <w:rPr>
                <w:rFonts w:eastAsiaTheme="minorEastAsia"/>
                <w:b/>
                <w:bCs/>
                <w:sz w:val="21"/>
                <w:szCs w:val="21"/>
                <w:lang w:eastAsia="en-AU"/>
              </w:rPr>
              <w:t xml:space="preserve"> 0.1</w:t>
            </w:r>
          </w:p>
        </w:tc>
        <w:tc>
          <w:tcPr>
            <w:tcW w:w="980"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szCs w:val="21"/>
                <w:lang w:eastAsia="en-AU"/>
              </w:rPr>
            </w:pPr>
            <w:r w:rsidRPr="00A457C4">
              <w:rPr>
                <w:rFonts w:eastAsiaTheme="minorEastAsia"/>
                <w:b/>
                <w:bCs/>
                <w:sz w:val="21"/>
                <w:szCs w:val="21"/>
                <w:lang w:eastAsia="en-AU"/>
              </w:rPr>
              <w:t xml:space="preserve"> 1.6</w:t>
            </w:r>
          </w:p>
        </w:tc>
        <w:tc>
          <w:tcPr>
            <w:tcW w:w="854"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szCs w:val="21"/>
                <w:lang w:eastAsia="en-AU"/>
              </w:rPr>
            </w:pPr>
            <w:r w:rsidRPr="00A457C4">
              <w:rPr>
                <w:rFonts w:eastAsiaTheme="minorEastAsia"/>
                <w:b/>
                <w:bCs/>
                <w:sz w:val="21"/>
                <w:szCs w:val="21"/>
                <w:lang w:eastAsia="en-AU"/>
              </w:rPr>
              <w:t>..</w:t>
            </w:r>
          </w:p>
        </w:tc>
        <w:tc>
          <w:tcPr>
            <w:tcW w:w="871" w:type="dxa"/>
            <w:tcBorders>
              <w:top w:val="single" w:sz="6" w:space="0" w:color="auto"/>
              <w:left w:val="nil"/>
              <w:bottom w:val="single" w:sz="12" w:space="0" w:color="000000"/>
              <w:right w:val="nil"/>
            </w:tcBorders>
            <w:shd w:val="solid" w:color="FFFFFF" w:fill="auto"/>
          </w:tcPr>
          <w:p w:rsidR="00336793" w:rsidRPr="00A457C4" w:rsidRDefault="00336793" w:rsidP="00DF0B96">
            <w:pPr>
              <w:pStyle w:val="TableofFigures"/>
              <w:rPr>
                <w:rFonts w:eastAsiaTheme="minorEastAsia"/>
                <w:b/>
                <w:bCs/>
                <w:sz w:val="21"/>
                <w:szCs w:val="21"/>
                <w:lang w:eastAsia="en-AU"/>
              </w:rPr>
            </w:pPr>
            <w:r w:rsidRPr="00A457C4">
              <w:rPr>
                <w:rFonts w:eastAsiaTheme="minorEastAsia"/>
                <w:b/>
                <w:bCs/>
                <w:sz w:val="21"/>
                <w:szCs w:val="21"/>
                <w:lang w:eastAsia="en-AU"/>
              </w:rPr>
              <w:t xml:space="preserve"> 118.0</w:t>
            </w:r>
          </w:p>
        </w:tc>
      </w:tr>
    </w:tbl>
    <w:p w:rsidR="00336793" w:rsidRPr="006A75A2" w:rsidRDefault="00336793" w:rsidP="00DF0B96">
      <w:pPr>
        <w:pStyle w:val="Notes"/>
      </w:pPr>
      <w:r w:rsidRPr="006A75A2">
        <w:t>Note:</w:t>
      </w:r>
    </w:p>
    <w:p w:rsidR="00336793" w:rsidRDefault="00336793" w:rsidP="00DF0B96">
      <w:pPr>
        <w:pStyle w:val="Notes"/>
      </w:pPr>
      <w:r w:rsidRPr="006A75A2">
        <w:t>(a)</w:t>
      </w:r>
      <w:r w:rsidRPr="006A75A2">
        <w:tab/>
      </w:r>
      <w:r w:rsidRPr="00D41A2A">
        <w:t>June 2014 comparative figures have been restated. See Note 37.</w:t>
      </w:r>
    </w:p>
    <w:p w:rsidR="00336793" w:rsidRPr="006A75A2" w:rsidRDefault="00336793" w:rsidP="00DF0B96">
      <w:pPr>
        <w:pStyle w:val="Notes"/>
      </w:pPr>
    </w:p>
    <w:p w:rsidR="00336793" w:rsidRDefault="00336793" w:rsidP="00DF0B96">
      <w:pPr>
        <w:pStyle w:val="Heading5a"/>
      </w:pPr>
      <w:r>
        <w:t>Transfers between Level 1 and Level 2</w:t>
      </w:r>
    </w:p>
    <w:p w:rsidR="00336793" w:rsidRPr="00E36EBC" w:rsidRDefault="00336793" w:rsidP="00DF0B96">
      <w:pPr>
        <w:pStyle w:val="Heading5a"/>
        <w:rPr>
          <w:rFonts w:ascii="Garamond" w:hAnsi="Garamond" w:cs="Garamond"/>
          <w:i w:val="0"/>
          <w:sz w:val="24"/>
          <w:szCs w:val="24"/>
          <w:lang w:eastAsia="en-AU"/>
        </w:rPr>
      </w:pPr>
      <w:r>
        <w:rPr>
          <w:rFonts w:ascii="Garamond" w:hAnsi="Garamond" w:cs="Garamond"/>
          <w:i w:val="0"/>
          <w:sz w:val="24"/>
          <w:szCs w:val="24"/>
          <w:lang w:eastAsia="en-AU"/>
        </w:rPr>
        <w:t>There were no transfers identified between Levels 1 and 2.</w:t>
      </w:r>
    </w:p>
    <w:p w:rsidR="00336793" w:rsidRPr="002A2767" w:rsidRDefault="00336793" w:rsidP="00DF0B96">
      <w:pPr>
        <w:pStyle w:val="Notes"/>
      </w:pPr>
    </w:p>
    <w:p w:rsidR="00336793" w:rsidRDefault="00336793" w:rsidP="00DF0B96">
      <w:pPr>
        <w:pStyle w:val="Notes"/>
        <w:rPr>
          <w:b/>
        </w:rPr>
      </w:pPr>
    </w:p>
    <w:p w:rsidR="00336793" w:rsidRPr="006A75A2" w:rsidRDefault="00336793" w:rsidP="00DF0B96">
      <w:pPr>
        <w:pStyle w:val="Heading5"/>
        <w:ind w:left="504" w:hanging="504"/>
      </w:pPr>
      <w:r>
        <w:t>(d</w:t>
      </w:r>
      <w:r w:rsidRPr="006A75A2">
        <w:t>)</w:t>
      </w:r>
      <w:r w:rsidRPr="006A75A2">
        <w:tab/>
      </w:r>
      <w:r w:rsidRPr="0038406E">
        <w:t xml:space="preserve">Description of the valuation techniques and </w:t>
      </w:r>
      <w:r>
        <w:t>unobservable inputs to Level 3</w:t>
      </w:r>
      <w:r w:rsidRPr="0038406E">
        <w:t xml:space="preserve"> in the fair value measurement</w:t>
      </w:r>
    </w:p>
    <w:p w:rsidR="00336793" w:rsidRPr="00A10A3B" w:rsidRDefault="00336793" w:rsidP="00DF0B96">
      <w:r w:rsidRPr="006A75A2">
        <w:rPr>
          <w:rFonts w:cs="Garamond"/>
          <w:szCs w:val="24"/>
          <w:lang w:eastAsia="en-AU"/>
        </w:rPr>
        <w:t>The description of the significant unobservable inputs to Level 3 assets measured at fair value can be seen below. The disclosure is based on the description associated with the significant asset balances within each of the different Level 3 asset classes as per Note 21(b).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r w:rsidRPr="006A75A2">
        <w:t xml:space="preserve"> </w:t>
      </w:r>
    </w:p>
    <w:tbl>
      <w:tblPr>
        <w:tblW w:w="9637" w:type="dxa"/>
        <w:tblInd w:w="28" w:type="dxa"/>
        <w:tblLayout w:type="fixed"/>
        <w:tblCellMar>
          <w:left w:w="45" w:type="dxa"/>
          <w:right w:w="45" w:type="dxa"/>
        </w:tblCellMar>
        <w:tblLook w:val="0000" w:firstRow="0" w:lastRow="0" w:firstColumn="0" w:lastColumn="0" w:noHBand="0" w:noVBand="0"/>
      </w:tblPr>
      <w:tblGrid>
        <w:gridCol w:w="3212"/>
        <w:gridCol w:w="3212"/>
        <w:gridCol w:w="3213"/>
      </w:tblGrid>
      <w:tr w:rsidR="00336793" w:rsidRPr="00A10A3B" w:rsidTr="00DF0B96">
        <w:trPr>
          <w:tblHeader/>
        </w:trPr>
        <w:tc>
          <w:tcPr>
            <w:tcW w:w="3212"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Left"/>
            </w:pPr>
            <w:r w:rsidRPr="00A10A3B">
              <w:t>Asset class</w:t>
            </w:r>
          </w:p>
        </w:tc>
        <w:tc>
          <w:tcPr>
            <w:tcW w:w="3212"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Left"/>
            </w:pPr>
            <w:r w:rsidRPr="00A10A3B">
              <w:t>Valuation technique</w:t>
            </w:r>
          </w:p>
        </w:tc>
        <w:tc>
          <w:tcPr>
            <w:tcW w:w="3213"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Left"/>
            </w:pPr>
            <w:r w:rsidRPr="00A10A3B">
              <w:t>Significant unobservable input</w:t>
            </w:r>
          </w:p>
        </w:tc>
      </w:tr>
      <w:tr w:rsidR="00336793" w:rsidRPr="00A10A3B" w:rsidTr="00DF0B96">
        <w:tc>
          <w:tcPr>
            <w:tcW w:w="3212"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text"/>
            </w:pPr>
            <w:r w:rsidRPr="00A10A3B">
              <w:t>Land</w:t>
            </w:r>
          </w:p>
        </w:tc>
        <w:tc>
          <w:tcPr>
            <w:tcW w:w="3212"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text"/>
            </w:pPr>
            <w:r w:rsidRPr="00A10A3B">
              <w:t>Market approach</w:t>
            </w:r>
          </w:p>
        </w:tc>
        <w:tc>
          <w:tcPr>
            <w:tcW w:w="3213"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text"/>
            </w:pPr>
            <w:r w:rsidRPr="00A10A3B">
              <w:t>CSO adjustment </w:t>
            </w:r>
            <w:r w:rsidRPr="00A10A3B">
              <w:rPr>
                <w:vertAlign w:val="superscript"/>
              </w:rPr>
              <w:t>(a)</w:t>
            </w:r>
          </w:p>
        </w:tc>
      </w:tr>
    </w:tbl>
    <w:p w:rsidR="00336793" w:rsidRPr="006A75A2" w:rsidRDefault="00336793" w:rsidP="00DF0B96">
      <w:pPr>
        <w:pStyle w:val="Notes"/>
      </w:pPr>
      <w:r w:rsidRPr="006A75A2">
        <w:t>Note:</w:t>
      </w:r>
    </w:p>
    <w:p w:rsidR="00336793" w:rsidRPr="006A75A2" w:rsidRDefault="00336793" w:rsidP="00DF0B96">
      <w:pPr>
        <w:pStyle w:val="Notes"/>
      </w:pPr>
      <w:r w:rsidRPr="006A75A2">
        <w:t>(a)</w:t>
      </w:r>
      <w:r w:rsidRPr="006A75A2">
        <w:tab/>
        <w:t>The community service obligation (CSO) adjustment reflects the specialised nature of the asset being valued through the market approach. The CSO adjustment is a reflection of the valuer</w:t>
      </w:r>
      <w:r>
        <w:t>’</w:t>
      </w:r>
      <w:r w:rsidRPr="006A75A2">
        <w:t>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336793" w:rsidRPr="006A75A2" w:rsidRDefault="00336793" w:rsidP="00DF0B96">
      <w:pPr>
        <w:pStyle w:val="Notes"/>
      </w:pPr>
    </w:p>
    <w:p w:rsidR="00336793" w:rsidRDefault="00336793" w:rsidP="00DF0B96">
      <w:pPr>
        <w:sectPr w:rsidR="00336793" w:rsidSect="00DF0B96">
          <w:headerReference w:type="even" r:id="rId68"/>
          <w:headerReference w:type="default" r:id="rId69"/>
          <w:footerReference w:type="even" r:id="rId70"/>
          <w:footerReference w:type="default" r:id="rId71"/>
          <w:pgSz w:w="11906" w:h="16838" w:code="9"/>
          <w:pgMar w:top="1152" w:right="1152" w:bottom="1152" w:left="1152" w:header="720" w:footer="720" w:gutter="0"/>
          <w:cols w:space="708"/>
          <w:docGrid w:linePitch="360"/>
        </w:sectPr>
      </w:pPr>
    </w:p>
    <w:p w:rsidR="00336793" w:rsidRPr="006A75A2" w:rsidRDefault="00336793" w:rsidP="00DF0B96">
      <w:pPr>
        <w:pStyle w:val="Heading2Notes"/>
      </w:pPr>
      <w:bookmarkStart w:id="79" w:name="_Toc433984505"/>
      <w:r w:rsidRPr="006A75A2">
        <w:lastRenderedPageBreak/>
        <w:t>Note 22:</w:t>
      </w:r>
      <w:r w:rsidRPr="006A75A2">
        <w:tab/>
        <w:t>Land, buildings, infrastructure, plant and equipment</w:t>
      </w:r>
      <w:bookmarkEnd w:id="79"/>
    </w:p>
    <w:p w:rsidR="00336793" w:rsidRPr="006A75A2" w:rsidRDefault="00336793" w:rsidP="00DF0B96">
      <w:pPr>
        <w:pStyle w:val="Heading5"/>
      </w:pPr>
      <w:r w:rsidRPr="006A75A2">
        <w:t>(a)</w:t>
      </w:r>
      <w:r w:rsidRPr="006A75A2">
        <w:tab/>
        <w:t xml:space="preserve">Total land, buildings, </w:t>
      </w:r>
      <w:r w:rsidRPr="00831C38">
        <w:t>infrastructure</w:t>
      </w:r>
      <w:r w:rsidRPr="006A75A2">
        <w:t>, plant and equipment</w:t>
      </w:r>
    </w:p>
    <w:p w:rsidR="00336793" w:rsidRDefault="00336793" w:rsidP="00DF0B96">
      <w:pPr>
        <w:pStyle w:val="million"/>
        <w:rPr>
          <w:rFonts w:ascii="Times New Roman" w:hAnsi="Times New Roman"/>
          <w:b/>
          <w:bCs/>
          <w:szCs w:val="20"/>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6170"/>
        <w:gridCol w:w="236"/>
        <w:gridCol w:w="1164"/>
        <w:gridCol w:w="1400"/>
        <w:gridCol w:w="1112"/>
        <w:gridCol w:w="288"/>
        <w:gridCol w:w="279"/>
        <w:gridCol w:w="1121"/>
        <w:gridCol w:w="1400"/>
        <w:gridCol w:w="1164"/>
        <w:gridCol w:w="236"/>
      </w:tblGrid>
      <w:tr w:rsidR="00336793" w:rsidRPr="00D96F49" w:rsidTr="00DF0B96">
        <w:trPr>
          <w:tblHeader/>
        </w:trPr>
        <w:tc>
          <w:tcPr>
            <w:tcW w:w="6170" w:type="dxa"/>
            <w:tcBorders>
              <w:top w:val="single" w:sz="6" w:space="0" w:color="auto"/>
              <w:left w:val="single" w:sz="6" w:space="0" w:color="auto"/>
              <w:bottom w:val="nil"/>
              <w:right w:val="nil"/>
            </w:tcBorders>
            <w:shd w:val="clear" w:color="000000" w:fill="000000"/>
            <w:vAlign w:val="bottom"/>
          </w:tcPr>
          <w:p w:rsidR="00336793" w:rsidRPr="00D96F49" w:rsidRDefault="00336793" w:rsidP="00DF0B96">
            <w:pPr>
              <w:pStyle w:val="Tabletextheading"/>
              <w:jc w:val="left"/>
              <w:rPr>
                <w:rFonts w:eastAsiaTheme="minorEastAsia"/>
                <w:color w:val="FFFFFF"/>
                <w:sz w:val="20"/>
                <w:lang w:eastAsia="en-AU"/>
              </w:rPr>
            </w:pPr>
            <w:r w:rsidRPr="00D96F49">
              <w:rPr>
                <w:rFonts w:eastAsiaTheme="minorEastAsia"/>
                <w:color w:val="FFFFFF"/>
                <w:sz w:val="20"/>
                <w:lang w:eastAsia="en-AU"/>
              </w:rPr>
              <w:t xml:space="preserve"> </w:t>
            </w:r>
          </w:p>
        </w:tc>
        <w:tc>
          <w:tcPr>
            <w:tcW w:w="236" w:type="dxa"/>
            <w:tcBorders>
              <w:top w:val="single" w:sz="6" w:space="0" w:color="auto"/>
              <w:left w:val="nil"/>
              <w:bottom w:val="nil"/>
              <w:right w:val="nil"/>
            </w:tcBorders>
            <w:shd w:val="clear" w:color="000000" w:fill="000000"/>
            <w:vAlign w:val="bottom"/>
          </w:tcPr>
          <w:p w:rsidR="00336793" w:rsidRPr="00D96F49" w:rsidRDefault="00336793" w:rsidP="00DF0B96">
            <w:pPr>
              <w:pStyle w:val="Tabletextheading"/>
              <w:jc w:val="center"/>
              <w:rPr>
                <w:rFonts w:eastAsiaTheme="minorEastAsia" w:cs="Calibri"/>
                <w:iCs/>
                <w:color w:val="FFFFFF"/>
                <w:sz w:val="20"/>
                <w:szCs w:val="22"/>
                <w:lang w:eastAsia="en-AU"/>
              </w:rPr>
            </w:pPr>
            <w:r w:rsidRPr="00D96F49">
              <w:rPr>
                <w:rFonts w:eastAsiaTheme="minorEastAsia"/>
                <w:iCs/>
                <w:color w:val="FFFFFF"/>
                <w:sz w:val="20"/>
                <w:lang w:eastAsia="en-AU"/>
              </w:rPr>
              <w:t xml:space="preserve"> </w:t>
            </w:r>
          </w:p>
        </w:tc>
        <w:tc>
          <w:tcPr>
            <w:tcW w:w="3676" w:type="dxa"/>
            <w:gridSpan w:val="3"/>
            <w:tcBorders>
              <w:top w:val="single" w:sz="6" w:space="0" w:color="auto"/>
              <w:left w:val="nil"/>
              <w:bottom w:val="nil"/>
              <w:right w:val="nil"/>
            </w:tcBorders>
            <w:shd w:val="clear" w:color="000000" w:fill="000000"/>
            <w:vAlign w:val="bottom"/>
          </w:tcPr>
          <w:p w:rsidR="00336793" w:rsidRPr="00D96F49" w:rsidRDefault="00336793" w:rsidP="00DF0B96">
            <w:pPr>
              <w:pStyle w:val="Tabletextheading"/>
              <w:jc w:val="center"/>
              <w:rPr>
                <w:rFonts w:eastAsiaTheme="minorEastAsia"/>
                <w:iCs/>
                <w:color w:val="FFFFFF"/>
                <w:sz w:val="20"/>
                <w:lang w:eastAsia="en-AU"/>
              </w:rPr>
            </w:pPr>
            <w:r w:rsidRPr="00D96F49">
              <w:rPr>
                <w:rFonts w:eastAsiaTheme="minorEastAsia"/>
                <w:iCs/>
                <w:color w:val="FFFFFF"/>
                <w:sz w:val="20"/>
                <w:lang w:eastAsia="en-AU"/>
              </w:rPr>
              <w:t>State of Victoria</w:t>
            </w:r>
          </w:p>
        </w:tc>
        <w:tc>
          <w:tcPr>
            <w:tcW w:w="288" w:type="dxa"/>
            <w:tcBorders>
              <w:top w:val="single" w:sz="6" w:space="0" w:color="auto"/>
              <w:left w:val="nil"/>
              <w:bottom w:val="nil"/>
              <w:right w:val="nil"/>
            </w:tcBorders>
            <w:shd w:val="clear" w:color="000000" w:fill="000000"/>
            <w:vAlign w:val="bottom"/>
          </w:tcPr>
          <w:p w:rsidR="00336793" w:rsidRPr="00D96F49" w:rsidRDefault="00336793" w:rsidP="00DF0B96">
            <w:pPr>
              <w:pStyle w:val="Tabletextheading"/>
              <w:jc w:val="center"/>
              <w:rPr>
                <w:rFonts w:eastAsiaTheme="minorEastAsia" w:cs="Calibri"/>
                <w:iCs/>
                <w:color w:val="FFFFFF"/>
                <w:sz w:val="20"/>
                <w:szCs w:val="22"/>
                <w:lang w:eastAsia="en-AU"/>
              </w:rPr>
            </w:pPr>
            <w:r w:rsidRPr="00D96F49">
              <w:rPr>
                <w:rFonts w:eastAsiaTheme="minorEastAsia"/>
                <w:iCs/>
                <w:color w:val="FFFFFF"/>
                <w:sz w:val="20"/>
                <w:lang w:eastAsia="en-AU"/>
              </w:rPr>
              <w:t xml:space="preserve"> </w:t>
            </w:r>
          </w:p>
        </w:tc>
        <w:tc>
          <w:tcPr>
            <w:tcW w:w="279" w:type="dxa"/>
            <w:tcBorders>
              <w:top w:val="single" w:sz="6" w:space="0" w:color="auto"/>
              <w:left w:val="nil"/>
              <w:bottom w:val="nil"/>
              <w:right w:val="nil"/>
            </w:tcBorders>
            <w:shd w:val="clear" w:color="000000" w:fill="000000"/>
            <w:vAlign w:val="bottom"/>
          </w:tcPr>
          <w:p w:rsidR="00336793" w:rsidRPr="00D96F49" w:rsidRDefault="00336793" w:rsidP="00DF0B96">
            <w:pPr>
              <w:pStyle w:val="Tabletextheading"/>
              <w:jc w:val="center"/>
              <w:rPr>
                <w:rFonts w:eastAsiaTheme="minorEastAsia" w:cs="Calibri"/>
                <w:iCs/>
                <w:color w:val="FFFFFF"/>
                <w:sz w:val="20"/>
                <w:szCs w:val="22"/>
                <w:lang w:eastAsia="en-AU"/>
              </w:rPr>
            </w:pPr>
            <w:r w:rsidRPr="00D96F49">
              <w:rPr>
                <w:rFonts w:eastAsiaTheme="minorEastAsia"/>
                <w:iCs/>
                <w:color w:val="FFFFFF"/>
                <w:sz w:val="20"/>
                <w:lang w:eastAsia="en-AU"/>
              </w:rPr>
              <w:t xml:space="preserve"> </w:t>
            </w:r>
          </w:p>
        </w:tc>
        <w:tc>
          <w:tcPr>
            <w:tcW w:w="3685" w:type="dxa"/>
            <w:gridSpan w:val="3"/>
            <w:tcBorders>
              <w:top w:val="single" w:sz="6" w:space="0" w:color="auto"/>
              <w:left w:val="nil"/>
              <w:bottom w:val="nil"/>
              <w:right w:val="nil"/>
            </w:tcBorders>
            <w:shd w:val="clear" w:color="000000" w:fill="000000"/>
            <w:vAlign w:val="bottom"/>
          </w:tcPr>
          <w:p w:rsidR="00336793" w:rsidRPr="00D96F49" w:rsidRDefault="00336793" w:rsidP="00DF0B96">
            <w:pPr>
              <w:pStyle w:val="Tabletextheading"/>
              <w:jc w:val="center"/>
              <w:rPr>
                <w:rFonts w:eastAsiaTheme="minorEastAsia"/>
                <w:iCs/>
                <w:color w:val="FFFFFF"/>
                <w:sz w:val="20"/>
                <w:lang w:eastAsia="en-AU"/>
              </w:rPr>
            </w:pPr>
            <w:r w:rsidRPr="00D96F49">
              <w:rPr>
                <w:rFonts w:eastAsiaTheme="minorEastAsia"/>
                <w:iCs/>
                <w:color w:val="FFFFFF"/>
                <w:sz w:val="20"/>
                <w:lang w:eastAsia="en-AU"/>
              </w:rPr>
              <w:t>General government sector</w:t>
            </w:r>
          </w:p>
        </w:tc>
        <w:tc>
          <w:tcPr>
            <w:tcW w:w="236" w:type="dxa"/>
            <w:tcBorders>
              <w:top w:val="single" w:sz="6" w:space="0" w:color="auto"/>
              <w:left w:val="nil"/>
              <w:bottom w:val="nil"/>
              <w:right w:val="single" w:sz="6" w:space="0" w:color="auto"/>
            </w:tcBorders>
            <w:shd w:val="clear" w:color="000000" w:fill="000000"/>
            <w:vAlign w:val="bottom"/>
          </w:tcPr>
          <w:p w:rsidR="00336793" w:rsidRPr="00D96F49" w:rsidRDefault="00336793" w:rsidP="00DF0B96">
            <w:pPr>
              <w:pStyle w:val="Tabletextheading"/>
              <w:jc w:val="center"/>
              <w:rPr>
                <w:rFonts w:eastAsiaTheme="minorEastAsia" w:cs="Calibri"/>
                <w:iCs/>
                <w:color w:val="FFFFFF"/>
                <w:sz w:val="20"/>
                <w:szCs w:val="22"/>
                <w:lang w:eastAsia="en-AU"/>
              </w:rPr>
            </w:pPr>
            <w:r w:rsidRPr="00D96F49">
              <w:rPr>
                <w:rFonts w:eastAsiaTheme="minorEastAsia"/>
                <w:iCs/>
                <w:color w:val="FFFFFF"/>
                <w:sz w:val="20"/>
                <w:lang w:eastAsia="en-AU"/>
              </w:rPr>
              <w:t xml:space="preserve"> </w:t>
            </w:r>
          </w:p>
        </w:tc>
      </w:tr>
      <w:tr w:rsidR="00336793" w:rsidRPr="00D96F49" w:rsidTr="00DF0B96">
        <w:trPr>
          <w:tblHeader/>
        </w:trPr>
        <w:tc>
          <w:tcPr>
            <w:tcW w:w="6170" w:type="dxa"/>
            <w:tcBorders>
              <w:top w:val="nil"/>
              <w:left w:val="single" w:sz="6" w:space="0" w:color="auto"/>
              <w:bottom w:val="single" w:sz="6" w:space="0" w:color="auto"/>
              <w:right w:val="nil"/>
            </w:tcBorders>
            <w:shd w:val="clear" w:color="000000" w:fill="000000"/>
            <w:vAlign w:val="bottom"/>
          </w:tcPr>
          <w:p w:rsidR="00336793" w:rsidRPr="00D96F49" w:rsidRDefault="00336793" w:rsidP="00DF0B96">
            <w:pPr>
              <w:pStyle w:val="Tabletextheading"/>
              <w:jc w:val="left"/>
              <w:rPr>
                <w:rFonts w:eastAsiaTheme="minorEastAsia"/>
                <w:iCs/>
                <w:color w:val="FFFFFF"/>
                <w:sz w:val="20"/>
                <w:lang w:eastAsia="en-AU"/>
              </w:rPr>
            </w:pPr>
            <w:r w:rsidRPr="00D96F49">
              <w:rPr>
                <w:rFonts w:eastAsiaTheme="minorEastAsia"/>
                <w:iCs/>
                <w:color w:val="FFFFFF"/>
                <w:sz w:val="20"/>
                <w:lang w:eastAsia="en-AU"/>
              </w:rPr>
              <w:t>2015</w:t>
            </w:r>
          </w:p>
        </w:tc>
        <w:tc>
          <w:tcPr>
            <w:tcW w:w="1400" w:type="dxa"/>
            <w:gridSpan w:val="2"/>
            <w:tcBorders>
              <w:top w:val="nil"/>
              <w:left w:val="nil"/>
              <w:bottom w:val="single" w:sz="6" w:space="0" w:color="auto"/>
              <w:right w:val="nil"/>
            </w:tcBorders>
            <w:shd w:val="clear" w:color="000000" w:fill="000000"/>
            <w:vAlign w:val="bottom"/>
          </w:tcPr>
          <w:p w:rsidR="00336793" w:rsidRPr="00D96F49" w:rsidRDefault="00336793" w:rsidP="00DF0B96">
            <w:pPr>
              <w:pStyle w:val="Tabletextheading"/>
              <w:rPr>
                <w:rFonts w:eastAsiaTheme="minorEastAsia"/>
                <w:iCs/>
                <w:color w:val="FFFFFF"/>
                <w:sz w:val="20"/>
                <w:lang w:eastAsia="en-AU"/>
              </w:rPr>
            </w:pPr>
            <w:r w:rsidRPr="00D96F49">
              <w:rPr>
                <w:rFonts w:eastAsiaTheme="minorEastAsia"/>
                <w:iCs/>
                <w:color w:val="FFFFFF"/>
                <w:sz w:val="20"/>
                <w:lang w:eastAsia="en-AU"/>
              </w:rPr>
              <w:t>Gross carrying amount</w:t>
            </w:r>
          </w:p>
        </w:tc>
        <w:tc>
          <w:tcPr>
            <w:tcW w:w="1400" w:type="dxa"/>
            <w:tcBorders>
              <w:top w:val="nil"/>
              <w:left w:val="nil"/>
              <w:bottom w:val="single" w:sz="6" w:space="0" w:color="auto"/>
              <w:right w:val="nil"/>
            </w:tcBorders>
            <w:shd w:val="clear" w:color="000000" w:fill="000000"/>
            <w:vAlign w:val="bottom"/>
          </w:tcPr>
          <w:p w:rsidR="00336793" w:rsidRPr="00D96F49" w:rsidRDefault="00336793" w:rsidP="00DF0B96">
            <w:pPr>
              <w:pStyle w:val="Tabletextheading"/>
              <w:rPr>
                <w:rFonts w:eastAsiaTheme="minorEastAsia"/>
                <w:iCs/>
                <w:color w:val="FFFFFF"/>
                <w:sz w:val="20"/>
                <w:lang w:eastAsia="en-AU"/>
              </w:rPr>
            </w:pPr>
            <w:r w:rsidRPr="00D96F49">
              <w:rPr>
                <w:rFonts w:eastAsiaTheme="minorEastAsia"/>
                <w:iCs/>
                <w:color w:val="FFFFFF"/>
                <w:sz w:val="20"/>
                <w:lang w:eastAsia="en-AU"/>
              </w:rPr>
              <w:t>Accumulated depreciation</w:t>
            </w:r>
          </w:p>
        </w:tc>
        <w:tc>
          <w:tcPr>
            <w:tcW w:w="1400" w:type="dxa"/>
            <w:gridSpan w:val="2"/>
            <w:tcBorders>
              <w:top w:val="nil"/>
              <w:left w:val="nil"/>
              <w:bottom w:val="single" w:sz="6" w:space="0" w:color="auto"/>
              <w:right w:val="nil"/>
            </w:tcBorders>
            <w:shd w:val="clear" w:color="000000" w:fill="000000"/>
            <w:vAlign w:val="bottom"/>
          </w:tcPr>
          <w:p w:rsidR="00336793" w:rsidRPr="00D96F49" w:rsidRDefault="00336793" w:rsidP="00DF0B96">
            <w:pPr>
              <w:pStyle w:val="Tabletextheading"/>
              <w:rPr>
                <w:rFonts w:eastAsiaTheme="minorEastAsia"/>
                <w:iCs/>
                <w:color w:val="FFFFFF"/>
                <w:sz w:val="20"/>
                <w:lang w:eastAsia="en-AU"/>
              </w:rPr>
            </w:pPr>
            <w:r w:rsidRPr="00D96F49">
              <w:rPr>
                <w:rFonts w:eastAsiaTheme="minorEastAsia"/>
                <w:iCs/>
                <w:color w:val="FFFFFF"/>
                <w:sz w:val="20"/>
                <w:lang w:eastAsia="en-AU"/>
              </w:rPr>
              <w:t>Carrying amount</w:t>
            </w:r>
          </w:p>
        </w:tc>
        <w:tc>
          <w:tcPr>
            <w:tcW w:w="1400" w:type="dxa"/>
            <w:gridSpan w:val="2"/>
            <w:tcBorders>
              <w:top w:val="nil"/>
              <w:left w:val="nil"/>
              <w:bottom w:val="single" w:sz="6" w:space="0" w:color="auto"/>
              <w:right w:val="nil"/>
            </w:tcBorders>
            <w:shd w:val="clear" w:color="000000" w:fill="000000"/>
            <w:vAlign w:val="bottom"/>
          </w:tcPr>
          <w:p w:rsidR="00336793" w:rsidRPr="00D96F49" w:rsidRDefault="00336793" w:rsidP="00DF0B96">
            <w:pPr>
              <w:pStyle w:val="Tabletextheading"/>
              <w:rPr>
                <w:rFonts w:eastAsiaTheme="minorEastAsia"/>
                <w:iCs/>
                <w:color w:val="FFFFFF"/>
                <w:sz w:val="20"/>
                <w:lang w:eastAsia="en-AU"/>
              </w:rPr>
            </w:pPr>
            <w:r w:rsidRPr="00D96F49">
              <w:rPr>
                <w:rFonts w:eastAsiaTheme="minorEastAsia"/>
                <w:iCs/>
                <w:color w:val="FFFFFF"/>
                <w:sz w:val="20"/>
                <w:lang w:eastAsia="en-AU"/>
              </w:rPr>
              <w:t>Gross carrying amount</w:t>
            </w:r>
          </w:p>
        </w:tc>
        <w:tc>
          <w:tcPr>
            <w:tcW w:w="1400" w:type="dxa"/>
            <w:tcBorders>
              <w:top w:val="nil"/>
              <w:left w:val="nil"/>
              <w:bottom w:val="single" w:sz="6" w:space="0" w:color="auto"/>
              <w:right w:val="nil"/>
            </w:tcBorders>
            <w:shd w:val="clear" w:color="000000" w:fill="000000"/>
            <w:vAlign w:val="bottom"/>
          </w:tcPr>
          <w:p w:rsidR="00336793" w:rsidRPr="00D96F49" w:rsidRDefault="00336793" w:rsidP="00DF0B96">
            <w:pPr>
              <w:pStyle w:val="Tabletextheading"/>
              <w:rPr>
                <w:rFonts w:eastAsiaTheme="minorEastAsia"/>
                <w:iCs/>
                <w:color w:val="FFFFFF"/>
                <w:sz w:val="20"/>
                <w:lang w:eastAsia="en-AU"/>
              </w:rPr>
            </w:pPr>
            <w:r w:rsidRPr="00D96F49">
              <w:rPr>
                <w:rFonts w:eastAsiaTheme="minorEastAsia"/>
                <w:iCs/>
                <w:color w:val="FFFFFF"/>
                <w:sz w:val="20"/>
                <w:lang w:eastAsia="en-AU"/>
              </w:rPr>
              <w:t>Accumulated depreciation</w:t>
            </w:r>
          </w:p>
        </w:tc>
        <w:tc>
          <w:tcPr>
            <w:tcW w:w="1400" w:type="dxa"/>
            <w:gridSpan w:val="2"/>
            <w:tcBorders>
              <w:top w:val="nil"/>
              <w:left w:val="nil"/>
              <w:bottom w:val="single" w:sz="6" w:space="0" w:color="auto"/>
              <w:right w:val="single" w:sz="6" w:space="0" w:color="auto"/>
            </w:tcBorders>
            <w:shd w:val="clear" w:color="000000" w:fill="000000"/>
            <w:vAlign w:val="bottom"/>
          </w:tcPr>
          <w:p w:rsidR="00336793" w:rsidRPr="00D96F49" w:rsidRDefault="00336793" w:rsidP="00DF0B96">
            <w:pPr>
              <w:pStyle w:val="Tabletextheading"/>
              <w:rPr>
                <w:rFonts w:eastAsiaTheme="minorEastAsia"/>
                <w:iCs/>
                <w:color w:val="FFFFFF"/>
                <w:sz w:val="20"/>
                <w:lang w:eastAsia="en-AU"/>
              </w:rPr>
            </w:pPr>
            <w:r w:rsidRPr="00D96F49">
              <w:rPr>
                <w:rFonts w:eastAsiaTheme="minorEastAsia"/>
                <w:iCs/>
                <w:color w:val="FFFFFF"/>
                <w:sz w:val="20"/>
                <w:lang w:eastAsia="en-AU"/>
              </w:rPr>
              <w:t>Carrying amount</w:t>
            </w:r>
          </w:p>
        </w:tc>
      </w:tr>
      <w:tr w:rsidR="00336793" w:rsidRPr="00D96F49" w:rsidTr="00DF0B96">
        <w:tc>
          <w:tcPr>
            <w:tcW w:w="6170" w:type="dxa"/>
            <w:tcBorders>
              <w:top w:val="single" w:sz="6" w:space="0" w:color="auto"/>
              <w:left w:val="nil"/>
              <w:bottom w:val="nil"/>
              <w:right w:val="nil"/>
            </w:tcBorders>
          </w:tcPr>
          <w:p w:rsidR="00336793" w:rsidRPr="00D96F49" w:rsidRDefault="00336793" w:rsidP="00DF0B96">
            <w:pPr>
              <w:autoSpaceDE w:val="0"/>
              <w:autoSpaceDN w:val="0"/>
              <w:adjustRightInd w:val="0"/>
              <w:spacing w:after="0"/>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 xml:space="preserve">Buildings </w:t>
            </w:r>
          </w:p>
        </w:tc>
        <w:tc>
          <w:tcPr>
            <w:tcW w:w="1400" w:type="dxa"/>
            <w:gridSpan w:val="2"/>
            <w:tcBorders>
              <w:top w:val="single" w:sz="6" w:space="0" w:color="auto"/>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45 799.8</w:t>
            </w:r>
          </w:p>
        </w:tc>
        <w:tc>
          <w:tcPr>
            <w:tcW w:w="1400" w:type="dxa"/>
            <w:tcBorders>
              <w:top w:val="single" w:sz="6" w:space="0" w:color="auto"/>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(2 758.4)</w:t>
            </w:r>
          </w:p>
        </w:tc>
        <w:tc>
          <w:tcPr>
            <w:tcW w:w="1400" w:type="dxa"/>
            <w:gridSpan w:val="2"/>
            <w:tcBorders>
              <w:top w:val="single" w:sz="6" w:space="0" w:color="auto"/>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43 041.4</w:t>
            </w:r>
          </w:p>
        </w:tc>
        <w:tc>
          <w:tcPr>
            <w:tcW w:w="1400" w:type="dxa"/>
            <w:gridSpan w:val="2"/>
            <w:tcBorders>
              <w:top w:val="single" w:sz="6" w:space="0" w:color="auto"/>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28 236.2</w:t>
            </w:r>
          </w:p>
        </w:tc>
        <w:tc>
          <w:tcPr>
            <w:tcW w:w="1400" w:type="dxa"/>
            <w:tcBorders>
              <w:top w:val="single" w:sz="6" w:space="0" w:color="auto"/>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(2 260.4)</w:t>
            </w:r>
          </w:p>
        </w:tc>
        <w:tc>
          <w:tcPr>
            <w:tcW w:w="1400" w:type="dxa"/>
            <w:gridSpan w:val="2"/>
            <w:tcBorders>
              <w:top w:val="single" w:sz="6" w:space="0" w:color="auto"/>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25 975.8</w:t>
            </w:r>
          </w:p>
        </w:tc>
      </w:tr>
      <w:tr w:rsidR="00336793" w:rsidRPr="00D96F49" w:rsidTr="00DF0B96">
        <w:tc>
          <w:tcPr>
            <w:tcW w:w="6170" w:type="dxa"/>
            <w:tcBorders>
              <w:top w:val="nil"/>
              <w:left w:val="nil"/>
              <w:bottom w:val="nil"/>
              <w:right w:val="nil"/>
            </w:tcBorders>
          </w:tcPr>
          <w:p w:rsidR="00336793" w:rsidRPr="00D96F49" w:rsidRDefault="00336793" w:rsidP="00DF0B96">
            <w:pPr>
              <w:autoSpaceDE w:val="0"/>
              <w:autoSpaceDN w:val="0"/>
              <w:adjustRightInd w:val="0"/>
              <w:spacing w:after="0"/>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Land and national parks</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62 507.5</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62 507.5</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40 698.8</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40 698.8</w:t>
            </w:r>
          </w:p>
        </w:tc>
      </w:tr>
      <w:tr w:rsidR="00336793" w:rsidRPr="00D96F49" w:rsidTr="00DF0B96">
        <w:tc>
          <w:tcPr>
            <w:tcW w:w="6170" w:type="dxa"/>
            <w:tcBorders>
              <w:top w:val="nil"/>
              <w:left w:val="nil"/>
              <w:bottom w:val="nil"/>
              <w:right w:val="nil"/>
            </w:tcBorders>
          </w:tcPr>
          <w:p w:rsidR="00336793" w:rsidRPr="00D96F49" w:rsidRDefault="00336793" w:rsidP="00DF0B96">
            <w:pPr>
              <w:autoSpaceDE w:val="0"/>
              <w:autoSpaceDN w:val="0"/>
              <w:adjustRightInd w:val="0"/>
              <w:spacing w:after="0"/>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 xml:space="preserve">Buildings leasehold </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3 067.8</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D96F49">
              <w:rPr>
                <w:rFonts w:ascii="Calibri" w:eastAsiaTheme="minorEastAsia" w:hAnsi="Calibri" w:cs="Calibri"/>
                <w:sz w:val="20"/>
                <w:szCs w:val="22"/>
                <w:lang w:eastAsia="en-AU"/>
              </w:rPr>
              <w:t>(535.5</w:t>
            </w:r>
            <w:r w:rsidRPr="00D96F49">
              <w:rPr>
                <w:rFonts w:ascii="Calibri" w:eastAsiaTheme="minorEastAsia" w:hAnsi="Calibri" w:cs="Calibri"/>
                <w:color w:val="000000"/>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2 532.4</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2 967.5</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D96F49">
              <w:rPr>
                <w:rFonts w:ascii="Calibri" w:eastAsiaTheme="minorEastAsia" w:hAnsi="Calibri" w:cs="Calibri"/>
                <w:sz w:val="20"/>
                <w:szCs w:val="22"/>
                <w:lang w:eastAsia="en-AU"/>
              </w:rPr>
              <w:t>(491.3</w:t>
            </w:r>
            <w:r w:rsidRPr="00D96F49">
              <w:rPr>
                <w:rFonts w:ascii="Calibri" w:eastAsiaTheme="minorEastAsia" w:hAnsi="Calibri" w:cs="Calibri"/>
                <w:color w:val="000000"/>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2 476.2</w:t>
            </w:r>
          </w:p>
        </w:tc>
      </w:tr>
      <w:tr w:rsidR="00336793" w:rsidRPr="00D96F49" w:rsidTr="00DF0B96">
        <w:tc>
          <w:tcPr>
            <w:tcW w:w="6170" w:type="dxa"/>
            <w:tcBorders>
              <w:top w:val="nil"/>
              <w:left w:val="nil"/>
              <w:bottom w:val="nil"/>
              <w:right w:val="nil"/>
            </w:tcBorders>
          </w:tcPr>
          <w:p w:rsidR="00336793" w:rsidRPr="00D96F49" w:rsidRDefault="00336793" w:rsidP="00DF0B96">
            <w:pPr>
              <w:autoSpaceDE w:val="0"/>
              <w:autoSpaceDN w:val="0"/>
              <w:adjustRightInd w:val="0"/>
              <w:spacing w:after="0"/>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 xml:space="preserve">Infrastructure systems </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56 071.6</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(4 090.1)</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51 981.5</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1 746.6</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D96F49">
              <w:rPr>
                <w:rFonts w:ascii="Calibri" w:eastAsiaTheme="minorEastAsia" w:hAnsi="Calibri" w:cs="Calibri"/>
                <w:sz w:val="20"/>
                <w:szCs w:val="22"/>
                <w:lang w:eastAsia="en-AU"/>
              </w:rPr>
              <w:t>(447.5</w:t>
            </w:r>
            <w:r w:rsidRPr="00D96F49">
              <w:rPr>
                <w:rFonts w:ascii="Calibri" w:eastAsiaTheme="minorEastAsia" w:hAnsi="Calibri" w:cs="Calibri"/>
                <w:color w:val="000000"/>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1 299.1</w:t>
            </w:r>
          </w:p>
        </w:tc>
      </w:tr>
      <w:tr w:rsidR="00336793" w:rsidRPr="00D96F49" w:rsidTr="00DF0B96">
        <w:tc>
          <w:tcPr>
            <w:tcW w:w="6170" w:type="dxa"/>
            <w:tcBorders>
              <w:top w:val="nil"/>
              <w:left w:val="nil"/>
              <w:bottom w:val="nil"/>
              <w:right w:val="nil"/>
            </w:tcBorders>
          </w:tcPr>
          <w:p w:rsidR="00336793" w:rsidRPr="00D96F49" w:rsidRDefault="00336793" w:rsidP="00DF0B96">
            <w:pPr>
              <w:autoSpaceDE w:val="0"/>
              <w:autoSpaceDN w:val="0"/>
              <w:adjustRightInd w:val="0"/>
              <w:spacing w:after="0"/>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Leased infrastructure system</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4 802.1</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D96F49">
              <w:rPr>
                <w:rFonts w:ascii="Calibri" w:eastAsiaTheme="minorEastAsia" w:hAnsi="Calibri" w:cs="Calibri"/>
                <w:sz w:val="20"/>
                <w:szCs w:val="22"/>
                <w:lang w:eastAsia="en-AU"/>
              </w:rPr>
              <w:t>(246.0</w:t>
            </w:r>
            <w:r w:rsidRPr="00D96F49">
              <w:rPr>
                <w:rFonts w:ascii="Calibri" w:eastAsiaTheme="minorEastAsia" w:hAnsi="Calibri" w:cs="Calibri"/>
                <w:color w:val="000000"/>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4 556.1</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w:t>
            </w:r>
          </w:p>
        </w:tc>
      </w:tr>
      <w:tr w:rsidR="00336793" w:rsidRPr="00D96F49" w:rsidTr="00DF0B96">
        <w:tc>
          <w:tcPr>
            <w:tcW w:w="6170" w:type="dxa"/>
            <w:tcBorders>
              <w:top w:val="nil"/>
              <w:left w:val="nil"/>
              <w:bottom w:val="nil"/>
              <w:right w:val="nil"/>
            </w:tcBorders>
          </w:tcPr>
          <w:p w:rsidR="00336793" w:rsidRPr="00D96F49" w:rsidRDefault="00336793" w:rsidP="00DF0B96">
            <w:pPr>
              <w:autoSpaceDE w:val="0"/>
              <w:autoSpaceDN w:val="0"/>
              <w:adjustRightInd w:val="0"/>
              <w:spacing w:after="0"/>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 xml:space="preserve">Plant, equipment and vehicles </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10 734.6</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(4 275.4)</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6 459.2</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5 973.0</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(3 673.7)</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2 299.3</w:t>
            </w:r>
          </w:p>
        </w:tc>
      </w:tr>
      <w:tr w:rsidR="00336793" w:rsidRPr="00D96F49" w:rsidTr="00DF0B96">
        <w:tc>
          <w:tcPr>
            <w:tcW w:w="6170" w:type="dxa"/>
            <w:tcBorders>
              <w:top w:val="nil"/>
              <w:left w:val="nil"/>
              <w:bottom w:val="nil"/>
              <w:right w:val="nil"/>
            </w:tcBorders>
          </w:tcPr>
          <w:p w:rsidR="00336793" w:rsidRPr="00D96F49" w:rsidRDefault="00336793" w:rsidP="00DF0B96">
            <w:pPr>
              <w:autoSpaceDE w:val="0"/>
              <w:autoSpaceDN w:val="0"/>
              <w:adjustRightInd w:val="0"/>
              <w:spacing w:after="0"/>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Leased plant, equipment and vehicles</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1 307.2</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D96F49">
              <w:rPr>
                <w:rFonts w:ascii="Calibri" w:eastAsiaTheme="minorEastAsia" w:hAnsi="Calibri" w:cs="Calibri"/>
                <w:sz w:val="20"/>
                <w:szCs w:val="22"/>
                <w:lang w:eastAsia="en-AU"/>
              </w:rPr>
              <w:t>(206.9</w:t>
            </w:r>
            <w:r w:rsidRPr="00D96F49">
              <w:rPr>
                <w:rFonts w:ascii="Calibri" w:eastAsiaTheme="minorEastAsia" w:hAnsi="Calibri" w:cs="Calibri"/>
                <w:color w:val="000000"/>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1 100.3</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 xml:space="preserve"> 373.0</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D96F49">
              <w:rPr>
                <w:rFonts w:ascii="Calibri" w:eastAsiaTheme="minorEastAsia" w:hAnsi="Calibri" w:cs="Calibri"/>
                <w:sz w:val="20"/>
                <w:szCs w:val="22"/>
                <w:lang w:eastAsia="en-AU"/>
              </w:rPr>
              <w:t>(206.8</w:t>
            </w:r>
            <w:r w:rsidRPr="00D96F49">
              <w:rPr>
                <w:rFonts w:ascii="Calibri" w:eastAsiaTheme="minorEastAsia" w:hAnsi="Calibri" w:cs="Calibri"/>
                <w:color w:val="000000"/>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 xml:space="preserve"> 166.1</w:t>
            </w:r>
          </w:p>
        </w:tc>
      </w:tr>
      <w:tr w:rsidR="00336793" w:rsidRPr="00D96F49" w:rsidTr="00DF0B96">
        <w:tc>
          <w:tcPr>
            <w:tcW w:w="6170" w:type="dxa"/>
            <w:tcBorders>
              <w:top w:val="nil"/>
              <w:left w:val="nil"/>
              <w:bottom w:val="nil"/>
              <w:right w:val="nil"/>
            </w:tcBorders>
          </w:tcPr>
          <w:p w:rsidR="00336793" w:rsidRPr="00D96F49" w:rsidRDefault="00336793" w:rsidP="00DF0B96">
            <w:pPr>
              <w:autoSpaceDE w:val="0"/>
              <w:autoSpaceDN w:val="0"/>
              <w:adjustRightInd w:val="0"/>
              <w:spacing w:after="0"/>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Roads and road infrastructure</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39 059.6</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(18 097.6)</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20 962.0</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38 984.1</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(18 083.6)</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20 900.5</w:t>
            </w:r>
          </w:p>
        </w:tc>
      </w:tr>
      <w:tr w:rsidR="00336793" w:rsidRPr="00D96F49" w:rsidTr="00DF0B96">
        <w:tc>
          <w:tcPr>
            <w:tcW w:w="6170" w:type="dxa"/>
            <w:tcBorders>
              <w:top w:val="nil"/>
              <w:left w:val="nil"/>
              <w:bottom w:val="nil"/>
              <w:right w:val="nil"/>
            </w:tcBorders>
          </w:tcPr>
          <w:p w:rsidR="00336793" w:rsidRPr="00D96F49" w:rsidRDefault="00336793" w:rsidP="00DF0B96">
            <w:pPr>
              <w:autoSpaceDE w:val="0"/>
              <w:autoSpaceDN w:val="0"/>
              <w:adjustRightInd w:val="0"/>
              <w:spacing w:after="0"/>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Leased roads and roads infrastructure</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 xml:space="preserve"> 584.3</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 xml:space="preserve"> 584.3</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 xml:space="preserve"> 584.3</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 xml:space="preserve"> 584.3</w:t>
            </w:r>
          </w:p>
        </w:tc>
      </w:tr>
      <w:tr w:rsidR="00336793" w:rsidRPr="00D96F49" w:rsidTr="00DF0B96">
        <w:tc>
          <w:tcPr>
            <w:tcW w:w="6170" w:type="dxa"/>
            <w:tcBorders>
              <w:top w:val="nil"/>
              <w:left w:val="nil"/>
              <w:bottom w:val="nil"/>
              <w:right w:val="nil"/>
            </w:tcBorders>
          </w:tcPr>
          <w:p w:rsidR="00336793" w:rsidRPr="00D96F49" w:rsidRDefault="00336793" w:rsidP="00DF0B96">
            <w:pPr>
              <w:autoSpaceDE w:val="0"/>
              <w:autoSpaceDN w:val="0"/>
              <w:adjustRightInd w:val="0"/>
              <w:spacing w:after="0"/>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Earthworks</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7 694.2</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7 694.2</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7 689.8</w:t>
            </w:r>
          </w:p>
        </w:tc>
        <w:tc>
          <w:tcPr>
            <w:tcW w:w="1400" w:type="dxa"/>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w:t>
            </w:r>
          </w:p>
        </w:tc>
        <w:tc>
          <w:tcPr>
            <w:tcW w:w="1400" w:type="dxa"/>
            <w:gridSpan w:val="2"/>
            <w:tcBorders>
              <w:top w:val="nil"/>
              <w:left w:val="nil"/>
              <w:bottom w:val="nil"/>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7 689.8</w:t>
            </w:r>
          </w:p>
        </w:tc>
      </w:tr>
      <w:tr w:rsidR="00336793" w:rsidRPr="00D96F49" w:rsidTr="00DF0B96">
        <w:tc>
          <w:tcPr>
            <w:tcW w:w="6170" w:type="dxa"/>
            <w:tcBorders>
              <w:top w:val="nil"/>
              <w:left w:val="nil"/>
              <w:bottom w:val="single" w:sz="6" w:space="0" w:color="auto"/>
              <w:right w:val="nil"/>
            </w:tcBorders>
          </w:tcPr>
          <w:p w:rsidR="00336793" w:rsidRPr="00D96F49" w:rsidRDefault="00336793" w:rsidP="00DF0B96">
            <w:pPr>
              <w:autoSpaceDE w:val="0"/>
              <w:autoSpaceDN w:val="0"/>
              <w:adjustRightInd w:val="0"/>
              <w:spacing w:after="0"/>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 xml:space="preserve">Cultural assets </w:t>
            </w:r>
          </w:p>
        </w:tc>
        <w:tc>
          <w:tcPr>
            <w:tcW w:w="1400" w:type="dxa"/>
            <w:gridSpan w:val="2"/>
            <w:tcBorders>
              <w:top w:val="nil"/>
              <w:left w:val="nil"/>
              <w:bottom w:val="single" w:sz="6" w:space="0" w:color="auto"/>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5 690.5</w:t>
            </w:r>
          </w:p>
        </w:tc>
        <w:tc>
          <w:tcPr>
            <w:tcW w:w="1400" w:type="dxa"/>
            <w:tcBorders>
              <w:top w:val="nil"/>
              <w:left w:val="nil"/>
              <w:bottom w:val="single" w:sz="6" w:space="0" w:color="auto"/>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D96F49">
              <w:rPr>
                <w:rFonts w:ascii="Calibri" w:eastAsiaTheme="minorEastAsia" w:hAnsi="Calibri" w:cs="Calibri"/>
                <w:sz w:val="20"/>
                <w:szCs w:val="22"/>
                <w:lang w:eastAsia="en-AU"/>
              </w:rPr>
              <w:t>(136.5</w:t>
            </w:r>
            <w:r w:rsidRPr="00D96F49">
              <w:rPr>
                <w:rFonts w:ascii="Calibri" w:eastAsiaTheme="minorEastAsia" w:hAnsi="Calibri" w:cs="Calibri"/>
                <w:color w:val="000000"/>
                <w:sz w:val="20"/>
                <w:szCs w:val="22"/>
                <w:lang w:eastAsia="en-AU"/>
              </w:rPr>
              <w:t>)</w:t>
            </w:r>
          </w:p>
        </w:tc>
        <w:tc>
          <w:tcPr>
            <w:tcW w:w="1400" w:type="dxa"/>
            <w:gridSpan w:val="2"/>
            <w:tcBorders>
              <w:top w:val="nil"/>
              <w:left w:val="nil"/>
              <w:bottom w:val="single" w:sz="6" w:space="0" w:color="auto"/>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5 554.0</w:t>
            </w:r>
          </w:p>
        </w:tc>
        <w:tc>
          <w:tcPr>
            <w:tcW w:w="1400" w:type="dxa"/>
            <w:gridSpan w:val="2"/>
            <w:tcBorders>
              <w:top w:val="nil"/>
              <w:left w:val="nil"/>
              <w:bottom w:val="single" w:sz="6" w:space="0" w:color="auto"/>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5 633.0</w:t>
            </w:r>
          </w:p>
        </w:tc>
        <w:tc>
          <w:tcPr>
            <w:tcW w:w="1400" w:type="dxa"/>
            <w:tcBorders>
              <w:top w:val="nil"/>
              <w:left w:val="nil"/>
              <w:bottom w:val="single" w:sz="6" w:space="0" w:color="auto"/>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D96F49">
              <w:rPr>
                <w:rFonts w:ascii="Calibri" w:eastAsiaTheme="minorEastAsia" w:hAnsi="Calibri" w:cs="Calibri"/>
                <w:sz w:val="20"/>
                <w:szCs w:val="22"/>
                <w:lang w:eastAsia="en-AU"/>
              </w:rPr>
              <w:t>(136.5</w:t>
            </w:r>
            <w:r w:rsidRPr="00D96F49">
              <w:rPr>
                <w:rFonts w:ascii="Calibri" w:eastAsiaTheme="minorEastAsia" w:hAnsi="Calibri" w:cs="Calibri"/>
                <w:color w:val="000000"/>
                <w:sz w:val="20"/>
                <w:szCs w:val="22"/>
                <w:lang w:eastAsia="en-AU"/>
              </w:rPr>
              <w:t>)</w:t>
            </w:r>
          </w:p>
        </w:tc>
        <w:tc>
          <w:tcPr>
            <w:tcW w:w="1400" w:type="dxa"/>
            <w:gridSpan w:val="2"/>
            <w:tcBorders>
              <w:top w:val="nil"/>
              <w:left w:val="nil"/>
              <w:bottom w:val="single" w:sz="6" w:space="0" w:color="auto"/>
              <w:right w:val="nil"/>
            </w:tcBorders>
          </w:tcPr>
          <w:p w:rsidR="00336793" w:rsidRPr="00D96F4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D96F49">
              <w:rPr>
                <w:rFonts w:ascii="Calibri" w:eastAsiaTheme="minorEastAsia" w:hAnsi="Calibri" w:cs="Calibri"/>
                <w:sz w:val="20"/>
                <w:szCs w:val="22"/>
                <w:lang w:eastAsia="en-AU"/>
              </w:rPr>
              <w:t>5 496.5</w:t>
            </w:r>
          </w:p>
        </w:tc>
      </w:tr>
      <w:tr w:rsidR="00336793" w:rsidRPr="00D96F49" w:rsidTr="00DF0B96">
        <w:tc>
          <w:tcPr>
            <w:tcW w:w="6170" w:type="dxa"/>
            <w:tcBorders>
              <w:top w:val="single" w:sz="6" w:space="0" w:color="auto"/>
              <w:left w:val="nil"/>
              <w:bottom w:val="single" w:sz="12" w:space="0" w:color="000000"/>
              <w:right w:val="nil"/>
            </w:tcBorders>
            <w:shd w:val="clear" w:color="auto" w:fill="auto"/>
          </w:tcPr>
          <w:p w:rsidR="00336793" w:rsidRPr="00D96F49" w:rsidRDefault="00336793" w:rsidP="00DF0B96">
            <w:pPr>
              <w:autoSpaceDE w:val="0"/>
              <w:autoSpaceDN w:val="0"/>
              <w:adjustRightInd w:val="0"/>
              <w:spacing w:after="0"/>
              <w:rPr>
                <w:rFonts w:ascii="Calibri" w:eastAsiaTheme="minorEastAsia" w:hAnsi="Calibri" w:cs="Calibri"/>
                <w:b/>
                <w:bCs/>
                <w:sz w:val="20"/>
                <w:szCs w:val="22"/>
                <w:lang w:eastAsia="en-AU"/>
              </w:rPr>
            </w:pPr>
            <w:r w:rsidRPr="00D96F49">
              <w:rPr>
                <w:rFonts w:ascii="Calibri" w:eastAsiaTheme="minorEastAsia" w:hAnsi="Calibri" w:cs="Calibri"/>
                <w:b/>
                <w:bCs/>
                <w:sz w:val="20"/>
                <w:szCs w:val="22"/>
                <w:lang w:eastAsia="en-AU"/>
              </w:rPr>
              <w:t>Total land, buildings, infrastructure, plant and equipment</w:t>
            </w:r>
          </w:p>
        </w:tc>
        <w:tc>
          <w:tcPr>
            <w:tcW w:w="1400" w:type="dxa"/>
            <w:gridSpan w:val="2"/>
            <w:tcBorders>
              <w:top w:val="single" w:sz="6" w:space="0" w:color="auto"/>
              <w:left w:val="nil"/>
              <w:bottom w:val="single" w:sz="12" w:space="0" w:color="000000"/>
              <w:right w:val="nil"/>
            </w:tcBorders>
            <w:shd w:val="clear" w:color="auto" w:fill="auto"/>
          </w:tcPr>
          <w:p w:rsidR="00336793" w:rsidRPr="00D96F4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D96F49">
              <w:rPr>
                <w:rFonts w:ascii="Calibri" w:eastAsiaTheme="minorEastAsia" w:hAnsi="Calibri" w:cs="Calibri"/>
                <w:b/>
                <w:bCs/>
                <w:sz w:val="20"/>
                <w:szCs w:val="22"/>
                <w:lang w:eastAsia="en-AU"/>
              </w:rPr>
              <w:t>237 319.3</w:t>
            </w:r>
          </w:p>
        </w:tc>
        <w:tc>
          <w:tcPr>
            <w:tcW w:w="1400" w:type="dxa"/>
            <w:tcBorders>
              <w:top w:val="single" w:sz="6" w:space="0" w:color="auto"/>
              <w:left w:val="nil"/>
              <w:bottom w:val="single" w:sz="12" w:space="0" w:color="000000"/>
              <w:right w:val="nil"/>
            </w:tcBorders>
            <w:shd w:val="clear" w:color="auto" w:fill="auto"/>
          </w:tcPr>
          <w:p w:rsidR="00336793" w:rsidRPr="00D96F4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D96F49">
              <w:rPr>
                <w:rFonts w:ascii="Calibri" w:eastAsiaTheme="minorEastAsia" w:hAnsi="Calibri" w:cs="Calibri"/>
                <w:b/>
                <w:bCs/>
                <w:sz w:val="20"/>
                <w:szCs w:val="22"/>
                <w:lang w:eastAsia="en-AU"/>
              </w:rPr>
              <w:t>(30 346.3)</w:t>
            </w:r>
          </w:p>
        </w:tc>
        <w:tc>
          <w:tcPr>
            <w:tcW w:w="1400" w:type="dxa"/>
            <w:gridSpan w:val="2"/>
            <w:tcBorders>
              <w:top w:val="single" w:sz="6" w:space="0" w:color="auto"/>
              <w:left w:val="nil"/>
              <w:bottom w:val="single" w:sz="12" w:space="0" w:color="000000"/>
              <w:right w:val="nil"/>
            </w:tcBorders>
            <w:shd w:val="clear" w:color="auto" w:fill="auto"/>
          </w:tcPr>
          <w:p w:rsidR="00336793" w:rsidRPr="00D96F4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D96F49">
              <w:rPr>
                <w:rFonts w:ascii="Calibri" w:eastAsiaTheme="minorEastAsia" w:hAnsi="Calibri" w:cs="Calibri"/>
                <w:b/>
                <w:bCs/>
                <w:sz w:val="20"/>
                <w:szCs w:val="22"/>
                <w:lang w:eastAsia="en-AU"/>
              </w:rPr>
              <w:t>206 972.9</w:t>
            </w:r>
          </w:p>
        </w:tc>
        <w:tc>
          <w:tcPr>
            <w:tcW w:w="1400" w:type="dxa"/>
            <w:gridSpan w:val="2"/>
            <w:tcBorders>
              <w:top w:val="single" w:sz="6" w:space="0" w:color="auto"/>
              <w:left w:val="nil"/>
              <w:bottom w:val="single" w:sz="12" w:space="0" w:color="000000"/>
              <w:right w:val="nil"/>
            </w:tcBorders>
            <w:shd w:val="clear" w:color="auto" w:fill="auto"/>
          </w:tcPr>
          <w:p w:rsidR="00336793" w:rsidRPr="00D96F4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D96F49">
              <w:rPr>
                <w:rFonts w:ascii="Calibri" w:eastAsiaTheme="minorEastAsia" w:hAnsi="Calibri" w:cs="Calibri"/>
                <w:b/>
                <w:bCs/>
                <w:sz w:val="20"/>
                <w:szCs w:val="22"/>
                <w:lang w:eastAsia="en-AU"/>
              </w:rPr>
              <w:t>132 886.4</w:t>
            </w:r>
          </w:p>
        </w:tc>
        <w:tc>
          <w:tcPr>
            <w:tcW w:w="1400" w:type="dxa"/>
            <w:tcBorders>
              <w:top w:val="single" w:sz="6" w:space="0" w:color="auto"/>
              <w:left w:val="nil"/>
              <w:bottom w:val="single" w:sz="12" w:space="0" w:color="000000"/>
              <w:right w:val="nil"/>
            </w:tcBorders>
            <w:shd w:val="clear" w:color="auto" w:fill="auto"/>
          </w:tcPr>
          <w:p w:rsidR="00336793" w:rsidRPr="00D96F4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D96F49">
              <w:rPr>
                <w:rFonts w:ascii="Calibri" w:eastAsiaTheme="minorEastAsia" w:hAnsi="Calibri" w:cs="Calibri"/>
                <w:b/>
                <w:bCs/>
                <w:sz w:val="20"/>
                <w:szCs w:val="22"/>
                <w:lang w:eastAsia="en-AU"/>
              </w:rPr>
              <w:t>(25 300.0)</w:t>
            </w:r>
          </w:p>
        </w:tc>
        <w:tc>
          <w:tcPr>
            <w:tcW w:w="1400" w:type="dxa"/>
            <w:gridSpan w:val="2"/>
            <w:tcBorders>
              <w:top w:val="single" w:sz="6" w:space="0" w:color="auto"/>
              <w:left w:val="nil"/>
              <w:bottom w:val="single" w:sz="12" w:space="0" w:color="000000"/>
              <w:right w:val="nil"/>
            </w:tcBorders>
            <w:shd w:val="clear" w:color="auto" w:fill="auto"/>
          </w:tcPr>
          <w:p w:rsidR="00336793" w:rsidRPr="00D96F4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D96F49">
              <w:rPr>
                <w:rFonts w:ascii="Calibri" w:eastAsiaTheme="minorEastAsia" w:hAnsi="Calibri" w:cs="Calibri"/>
                <w:b/>
                <w:bCs/>
                <w:sz w:val="20"/>
                <w:szCs w:val="22"/>
                <w:lang w:eastAsia="en-AU"/>
              </w:rPr>
              <w:t>107 586.4</w:t>
            </w:r>
          </w:p>
        </w:tc>
      </w:tr>
    </w:tbl>
    <w:p w:rsidR="00336793" w:rsidRPr="00A10A3B" w:rsidRDefault="00336793" w:rsidP="00DF0B96">
      <w:pPr>
        <w:pStyle w:val="4ptline"/>
        <w:rPr>
          <w:rFonts w:ascii="Times New Roman" w:hAnsi="Times New Roman"/>
        </w:rPr>
      </w:pPr>
    </w:p>
    <w:tbl>
      <w:tblPr>
        <w:tblW w:w="14570" w:type="dxa"/>
        <w:tblInd w:w="28" w:type="dxa"/>
        <w:tblLayout w:type="fixed"/>
        <w:tblCellMar>
          <w:left w:w="45" w:type="dxa"/>
          <w:right w:w="45" w:type="dxa"/>
        </w:tblCellMar>
        <w:tblLook w:val="0000" w:firstRow="0" w:lastRow="0" w:firstColumn="0" w:lastColumn="0" w:noHBand="0" w:noVBand="0"/>
      </w:tblPr>
      <w:tblGrid>
        <w:gridCol w:w="6170"/>
        <w:gridCol w:w="1400"/>
        <w:gridCol w:w="1400"/>
        <w:gridCol w:w="1400"/>
        <w:gridCol w:w="1400"/>
        <w:gridCol w:w="1400"/>
        <w:gridCol w:w="1400"/>
      </w:tblGrid>
      <w:tr w:rsidR="00336793" w:rsidRPr="00E96950" w:rsidTr="00DF0B96">
        <w:trPr>
          <w:tblHeader/>
        </w:trPr>
        <w:tc>
          <w:tcPr>
            <w:tcW w:w="6170" w:type="dxa"/>
            <w:tcBorders>
              <w:top w:val="single" w:sz="6" w:space="0" w:color="auto"/>
              <w:left w:val="single" w:sz="6" w:space="0" w:color="auto"/>
              <w:bottom w:val="single" w:sz="6" w:space="0" w:color="auto"/>
              <w:right w:val="nil"/>
            </w:tcBorders>
            <w:shd w:val="clear" w:color="000000" w:fill="000000"/>
            <w:vAlign w:val="bottom"/>
          </w:tcPr>
          <w:p w:rsidR="00336793" w:rsidRPr="00E96950" w:rsidRDefault="00336793" w:rsidP="00DF0B96">
            <w:pPr>
              <w:pStyle w:val="Tabletext"/>
              <w:rPr>
                <w:rFonts w:eastAsiaTheme="minorEastAsia"/>
                <w:i/>
                <w:sz w:val="20"/>
                <w:lang w:eastAsia="en-AU"/>
              </w:rPr>
            </w:pPr>
            <w:r w:rsidRPr="00E96950">
              <w:rPr>
                <w:rFonts w:eastAsiaTheme="minorEastAsia"/>
                <w:i/>
                <w:sz w:val="20"/>
                <w:lang w:eastAsia="en-AU"/>
              </w:rPr>
              <w:t>2014</w:t>
            </w:r>
          </w:p>
        </w:tc>
        <w:tc>
          <w:tcPr>
            <w:tcW w:w="1400" w:type="dxa"/>
            <w:tcBorders>
              <w:top w:val="single" w:sz="6" w:space="0" w:color="auto"/>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0"/>
                <w:lang w:eastAsia="en-AU"/>
              </w:rPr>
            </w:pPr>
          </w:p>
        </w:tc>
        <w:tc>
          <w:tcPr>
            <w:tcW w:w="1400" w:type="dxa"/>
            <w:tcBorders>
              <w:top w:val="single" w:sz="6" w:space="0" w:color="auto"/>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0"/>
                <w:lang w:eastAsia="en-AU"/>
              </w:rPr>
            </w:pPr>
          </w:p>
        </w:tc>
        <w:tc>
          <w:tcPr>
            <w:tcW w:w="1400" w:type="dxa"/>
            <w:tcBorders>
              <w:top w:val="single" w:sz="6" w:space="0" w:color="auto"/>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0"/>
                <w:lang w:eastAsia="en-AU"/>
              </w:rPr>
            </w:pPr>
          </w:p>
        </w:tc>
        <w:tc>
          <w:tcPr>
            <w:tcW w:w="1400" w:type="dxa"/>
            <w:tcBorders>
              <w:top w:val="single" w:sz="6" w:space="0" w:color="auto"/>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0"/>
                <w:lang w:eastAsia="en-AU"/>
              </w:rPr>
            </w:pPr>
          </w:p>
        </w:tc>
        <w:tc>
          <w:tcPr>
            <w:tcW w:w="1400" w:type="dxa"/>
            <w:tcBorders>
              <w:top w:val="single" w:sz="6" w:space="0" w:color="auto"/>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0"/>
                <w:lang w:eastAsia="en-AU"/>
              </w:rPr>
            </w:pPr>
          </w:p>
        </w:tc>
        <w:tc>
          <w:tcPr>
            <w:tcW w:w="1400" w:type="dxa"/>
            <w:tcBorders>
              <w:top w:val="single" w:sz="6" w:space="0" w:color="auto"/>
              <w:left w:val="nil"/>
              <w:bottom w:val="single" w:sz="6" w:space="0" w:color="auto"/>
              <w:right w:val="single" w:sz="6" w:space="0" w:color="auto"/>
            </w:tcBorders>
            <w:shd w:val="clear" w:color="000000" w:fill="000000"/>
            <w:vAlign w:val="bottom"/>
          </w:tcPr>
          <w:p w:rsidR="00336793" w:rsidRPr="00E96950" w:rsidRDefault="00336793" w:rsidP="00DF0B96">
            <w:pPr>
              <w:pStyle w:val="Tabletextheading"/>
              <w:rPr>
                <w:rFonts w:eastAsiaTheme="minorEastAsia"/>
                <w:iCs/>
                <w:color w:val="FFFFFF"/>
                <w:sz w:val="20"/>
                <w:lang w:eastAsia="en-AU"/>
              </w:rPr>
            </w:pPr>
          </w:p>
        </w:tc>
      </w:tr>
      <w:tr w:rsidR="00336793" w:rsidRPr="00E96950" w:rsidTr="00DF0B96">
        <w:tc>
          <w:tcPr>
            <w:tcW w:w="6170" w:type="dxa"/>
            <w:tcBorders>
              <w:top w:val="single" w:sz="6" w:space="0" w:color="auto"/>
              <w:left w:val="nil"/>
              <w:bottom w:val="nil"/>
              <w:right w:val="nil"/>
            </w:tcBorders>
          </w:tcPr>
          <w:p w:rsidR="00336793" w:rsidRPr="00E96950" w:rsidRDefault="00336793" w:rsidP="00DF0B96">
            <w:pPr>
              <w:pStyle w:val="Tabletext"/>
              <w:rPr>
                <w:rFonts w:eastAsiaTheme="minorEastAsia"/>
                <w:sz w:val="20"/>
                <w:vertAlign w:val="superscript"/>
                <w:lang w:eastAsia="en-AU"/>
              </w:rPr>
            </w:pPr>
            <w:r w:rsidRPr="00E96950">
              <w:rPr>
                <w:rFonts w:eastAsiaTheme="minorEastAsia"/>
                <w:sz w:val="20"/>
                <w:lang w:eastAsia="en-AU"/>
              </w:rPr>
              <w:t>Buildings</w:t>
            </w:r>
            <w:r w:rsidRPr="00E96950">
              <w:rPr>
                <w:rFonts w:eastAsiaTheme="minorEastAsia"/>
                <w:sz w:val="20"/>
                <w:vertAlign w:val="superscript"/>
                <w:lang w:eastAsia="en-AU"/>
              </w:rPr>
              <w:t xml:space="preserve"> (a)</w:t>
            </w:r>
          </w:p>
        </w:tc>
        <w:tc>
          <w:tcPr>
            <w:tcW w:w="1400" w:type="dxa"/>
            <w:tcBorders>
              <w:top w:val="single" w:sz="6" w:space="0" w:color="auto"/>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43 639.1</w:t>
            </w:r>
          </w:p>
        </w:tc>
        <w:tc>
          <w:tcPr>
            <w:tcW w:w="1400" w:type="dxa"/>
            <w:tcBorders>
              <w:top w:val="single" w:sz="6" w:space="0" w:color="auto"/>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(2 135.6)</w:t>
            </w:r>
          </w:p>
        </w:tc>
        <w:tc>
          <w:tcPr>
            <w:tcW w:w="1400" w:type="dxa"/>
            <w:tcBorders>
              <w:top w:val="single" w:sz="6" w:space="0" w:color="auto"/>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41 503.5</w:t>
            </w:r>
          </w:p>
        </w:tc>
        <w:tc>
          <w:tcPr>
            <w:tcW w:w="1400" w:type="dxa"/>
            <w:tcBorders>
              <w:top w:val="single" w:sz="6" w:space="0" w:color="auto"/>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27 447.4</w:t>
            </w:r>
          </w:p>
        </w:tc>
        <w:tc>
          <w:tcPr>
            <w:tcW w:w="1400" w:type="dxa"/>
            <w:tcBorders>
              <w:top w:val="single" w:sz="6" w:space="0" w:color="auto"/>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(1 536.9)</w:t>
            </w:r>
          </w:p>
        </w:tc>
        <w:tc>
          <w:tcPr>
            <w:tcW w:w="1400" w:type="dxa"/>
            <w:tcBorders>
              <w:top w:val="single" w:sz="6" w:space="0" w:color="auto"/>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25 910.5</w:t>
            </w:r>
          </w:p>
        </w:tc>
      </w:tr>
      <w:tr w:rsidR="00336793" w:rsidRPr="00E96950" w:rsidTr="00DF0B96">
        <w:tc>
          <w:tcPr>
            <w:tcW w:w="6170" w:type="dxa"/>
            <w:tcBorders>
              <w:top w:val="nil"/>
              <w:left w:val="nil"/>
              <w:bottom w:val="nil"/>
              <w:right w:val="nil"/>
            </w:tcBorders>
          </w:tcPr>
          <w:p w:rsidR="00336793" w:rsidRPr="00E96950" w:rsidRDefault="00336793" w:rsidP="00DF0B96">
            <w:pPr>
              <w:pStyle w:val="Tabletext"/>
              <w:rPr>
                <w:rFonts w:eastAsiaTheme="minorEastAsia"/>
                <w:sz w:val="20"/>
                <w:lang w:eastAsia="en-AU"/>
              </w:rPr>
            </w:pPr>
            <w:r w:rsidRPr="00E96950">
              <w:rPr>
                <w:rFonts w:eastAsiaTheme="minorEastAsia"/>
                <w:sz w:val="20"/>
                <w:lang w:eastAsia="en-AU"/>
              </w:rPr>
              <w:t>Land and national parks</w:t>
            </w:r>
            <w:r w:rsidRPr="00E96950">
              <w:rPr>
                <w:rFonts w:eastAsiaTheme="minorEastAsia"/>
                <w:sz w:val="20"/>
                <w:vertAlign w:val="superscript"/>
                <w:lang w:eastAsia="en-AU"/>
              </w:rPr>
              <w:t xml:space="preserve"> (a)</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56 978.5</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56 978.5</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37 554.2</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37 554.2</w:t>
            </w:r>
          </w:p>
        </w:tc>
      </w:tr>
      <w:tr w:rsidR="00336793" w:rsidRPr="00E96950" w:rsidTr="00DF0B96">
        <w:tc>
          <w:tcPr>
            <w:tcW w:w="6170" w:type="dxa"/>
            <w:tcBorders>
              <w:top w:val="nil"/>
              <w:left w:val="nil"/>
              <w:bottom w:val="nil"/>
              <w:right w:val="nil"/>
            </w:tcBorders>
          </w:tcPr>
          <w:p w:rsidR="00336793" w:rsidRPr="00E96950" w:rsidRDefault="00336793" w:rsidP="00DF0B96">
            <w:pPr>
              <w:pStyle w:val="Tabletext"/>
              <w:rPr>
                <w:rFonts w:eastAsiaTheme="minorEastAsia"/>
                <w:sz w:val="20"/>
                <w:lang w:eastAsia="en-AU"/>
              </w:rPr>
            </w:pPr>
            <w:r w:rsidRPr="00E96950">
              <w:rPr>
                <w:rFonts w:eastAsiaTheme="minorEastAsia"/>
                <w:sz w:val="20"/>
                <w:lang w:eastAsia="en-AU"/>
              </w:rPr>
              <w:t>Buildings leasehold</w:t>
            </w:r>
            <w:r w:rsidRPr="00E96950">
              <w:rPr>
                <w:rFonts w:eastAsiaTheme="minorEastAsia"/>
                <w:sz w:val="20"/>
                <w:vertAlign w:val="superscript"/>
                <w:lang w:eastAsia="en-AU"/>
              </w:rPr>
              <w:t xml:space="preserve"> (a) </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2 923.6</w:t>
            </w:r>
          </w:p>
        </w:tc>
        <w:tc>
          <w:tcPr>
            <w:tcW w:w="1400" w:type="dxa"/>
            <w:tcBorders>
              <w:top w:val="nil"/>
              <w:left w:val="nil"/>
              <w:bottom w:val="nil"/>
              <w:right w:val="nil"/>
            </w:tcBorders>
          </w:tcPr>
          <w:p w:rsidR="00336793" w:rsidRPr="00E96950" w:rsidRDefault="00336793" w:rsidP="00DF0B96">
            <w:pPr>
              <w:pStyle w:val="TableofFigures"/>
              <w:rPr>
                <w:rFonts w:eastAsiaTheme="minorEastAsia" w:cs="Calibri"/>
                <w:color w:val="000000"/>
                <w:sz w:val="20"/>
                <w:szCs w:val="22"/>
                <w:lang w:eastAsia="en-AU"/>
              </w:rPr>
            </w:pPr>
            <w:r w:rsidRPr="00E96950">
              <w:rPr>
                <w:rFonts w:eastAsiaTheme="minorEastAsia"/>
                <w:sz w:val="20"/>
                <w:lang w:eastAsia="en-AU"/>
              </w:rPr>
              <w:t>(</w:t>
            </w:r>
            <w:r w:rsidRPr="00E96950">
              <w:rPr>
                <w:rFonts w:eastAsiaTheme="minorEastAsia" w:cs="Calibri"/>
                <w:color w:val="000000"/>
                <w:sz w:val="20"/>
                <w:szCs w:val="22"/>
                <w:lang w:eastAsia="en-AU"/>
              </w:rPr>
              <w:t>466.1)</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2 457.5</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2 832.6</w:t>
            </w:r>
          </w:p>
        </w:tc>
        <w:tc>
          <w:tcPr>
            <w:tcW w:w="1400" w:type="dxa"/>
            <w:tcBorders>
              <w:top w:val="nil"/>
              <w:left w:val="nil"/>
              <w:bottom w:val="nil"/>
              <w:right w:val="nil"/>
            </w:tcBorders>
          </w:tcPr>
          <w:p w:rsidR="00336793" w:rsidRPr="00E96950" w:rsidRDefault="00336793" w:rsidP="00DF0B96">
            <w:pPr>
              <w:pStyle w:val="TableofFigures"/>
              <w:rPr>
                <w:rFonts w:eastAsiaTheme="minorEastAsia" w:cs="Calibri"/>
                <w:color w:val="000000"/>
                <w:sz w:val="20"/>
                <w:szCs w:val="22"/>
                <w:lang w:eastAsia="en-AU"/>
              </w:rPr>
            </w:pPr>
            <w:r w:rsidRPr="00E96950">
              <w:rPr>
                <w:rFonts w:eastAsiaTheme="minorEastAsia"/>
                <w:sz w:val="20"/>
                <w:lang w:eastAsia="en-AU"/>
              </w:rPr>
              <w:t>(</w:t>
            </w:r>
            <w:r w:rsidRPr="00E96950">
              <w:rPr>
                <w:rFonts w:eastAsiaTheme="minorEastAsia" w:cs="Calibri"/>
                <w:color w:val="000000"/>
                <w:sz w:val="20"/>
                <w:szCs w:val="22"/>
                <w:lang w:eastAsia="en-AU"/>
              </w:rPr>
              <w:t>420.0)</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2 412.6</w:t>
            </w:r>
          </w:p>
        </w:tc>
      </w:tr>
      <w:tr w:rsidR="00336793" w:rsidRPr="00E96950" w:rsidTr="00DF0B96">
        <w:tc>
          <w:tcPr>
            <w:tcW w:w="6170" w:type="dxa"/>
            <w:tcBorders>
              <w:top w:val="nil"/>
              <w:left w:val="nil"/>
              <w:bottom w:val="nil"/>
              <w:right w:val="nil"/>
            </w:tcBorders>
          </w:tcPr>
          <w:p w:rsidR="00336793" w:rsidRPr="00E96950" w:rsidRDefault="00336793" w:rsidP="00DF0B96">
            <w:pPr>
              <w:pStyle w:val="Tabletext"/>
              <w:rPr>
                <w:rFonts w:eastAsiaTheme="minorEastAsia" w:cs="Calibri"/>
                <w:color w:val="000000"/>
                <w:sz w:val="20"/>
                <w:szCs w:val="22"/>
                <w:vertAlign w:val="superscript"/>
                <w:lang w:eastAsia="en-AU"/>
              </w:rPr>
            </w:pPr>
            <w:r w:rsidRPr="00E96950">
              <w:rPr>
                <w:rFonts w:eastAsiaTheme="minorEastAsia"/>
                <w:sz w:val="20"/>
                <w:lang w:eastAsia="en-AU"/>
              </w:rPr>
              <w:t>Infrastructure systems</w:t>
            </w:r>
            <w:r w:rsidRPr="00E96950">
              <w:rPr>
                <w:rFonts w:eastAsiaTheme="minorEastAsia"/>
                <w:sz w:val="20"/>
                <w:vertAlign w:val="superscript"/>
                <w:lang w:eastAsia="en-AU"/>
              </w:rPr>
              <w:t xml:space="preserve"> </w:t>
            </w:r>
            <w:r w:rsidRPr="00E96950">
              <w:rPr>
                <w:rFonts w:eastAsiaTheme="minorEastAsia"/>
                <w:sz w:val="20"/>
                <w:szCs w:val="20"/>
                <w:vertAlign w:val="superscript"/>
                <w:lang w:eastAsia="en-AU"/>
              </w:rPr>
              <w:t>(</w:t>
            </w:r>
            <w:r w:rsidRPr="00E96950">
              <w:rPr>
                <w:rFonts w:eastAsiaTheme="minorEastAsia" w:cs="Calibri"/>
                <w:color w:val="000000"/>
                <w:sz w:val="20"/>
                <w:szCs w:val="20"/>
                <w:vertAlign w:val="superscript"/>
                <w:lang w:eastAsia="en-AU"/>
              </w:rPr>
              <w:t xml:space="preserve">b) </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54 230.3</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(4 550.1)</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49 680.2</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1 716.2</w:t>
            </w:r>
          </w:p>
        </w:tc>
        <w:tc>
          <w:tcPr>
            <w:tcW w:w="1400" w:type="dxa"/>
            <w:tcBorders>
              <w:top w:val="nil"/>
              <w:left w:val="nil"/>
              <w:bottom w:val="nil"/>
              <w:right w:val="nil"/>
            </w:tcBorders>
          </w:tcPr>
          <w:p w:rsidR="00336793" w:rsidRPr="00E96950" w:rsidRDefault="00336793" w:rsidP="00DF0B96">
            <w:pPr>
              <w:pStyle w:val="TableofFigures"/>
              <w:rPr>
                <w:rFonts w:eastAsiaTheme="minorEastAsia" w:cs="Calibri"/>
                <w:color w:val="000000"/>
                <w:sz w:val="20"/>
                <w:szCs w:val="22"/>
                <w:lang w:eastAsia="en-AU"/>
              </w:rPr>
            </w:pPr>
            <w:r w:rsidRPr="00E96950">
              <w:rPr>
                <w:rFonts w:eastAsiaTheme="minorEastAsia"/>
                <w:sz w:val="20"/>
                <w:lang w:eastAsia="en-AU"/>
              </w:rPr>
              <w:t>(</w:t>
            </w:r>
            <w:r w:rsidRPr="00E96950">
              <w:rPr>
                <w:rFonts w:eastAsiaTheme="minorEastAsia" w:cs="Calibri"/>
                <w:color w:val="000000"/>
                <w:sz w:val="20"/>
                <w:szCs w:val="22"/>
                <w:lang w:eastAsia="en-AU"/>
              </w:rPr>
              <w:t>468.4)</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1 247.8</w:t>
            </w:r>
          </w:p>
        </w:tc>
      </w:tr>
      <w:tr w:rsidR="00336793" w:rsidRPr="00E96950" w:rsidTr="00DF0B96">
        <w:tc>
          <w:tcPr>
            <w:tcW w:w="6170" w:type="dxa"/>
            <w:tcBorders>
              <w:top w:val="nil"/>
              <w:left w:val="nil"/>
              <w:bottom w:val="nil"/>
              <w:right w:val="nil"/>
            </w:tcBorders>
          </w:tcPr>
          <w:p w:rsidR="00336793" w:rsidRPr="00E96950" w:rsidRDefault="00336793" w:rsidP="00DF0B96">
            <w:pPr>
              <w:pStyle w:val="Tabletext"/>
              <w:rPr>
                <w:rFonts w:eastAsiaTheme="minorEastAsia" w:cs="Calibri"/>
                <w:color w:val="000000"/>
                <w:sz w:val="20"/>
                <w:szCs w:val="22"/>
                <w:vertAlign w:val="superscript"/>
                <w:lang w:eastAsia="en-AU"/>
              </w:rPr>
            </w:pPr>
            <w:r w:rsidRPr="00E96950">
              <w:rPr>
                <w:rFonts w:eastAsiaTheme="minorEastAsia"/>
                <w:sz w:val="20"/>
                <w:lang w:eastAsia="en-AU"/>
              </w:rPr>
              <w:t>Leased infrastructure system</w:t>
            </w:r>
            <w:r w:rsidRPr="00E96950">
              <w:rPr>
                <w:rFonts w:eastAsiaTheme="minorEastAsia"/>
                <w:sz w:val="20"/>
                <w:vertAlign w:val="superscript"/>
                <w:lang w:eastAsia="en-AU"/>
              </w:rPr>
              <w:t xml:space="preserve"> (</w:t>
            </w:r>
            <w:r w:rsidRPr="00E96950">
              <w:rPr>
                <w:rFonts w:eastAsiaTheme="minorEastAsia" w:cs="Calibri"/>
                <w:color w:val="000000"/>
                <w:sz w:val="20"/>
                <w:szCs w:val="22"/>
                <w:vertAlign w:val="superscript"/>
                <w:lang w:eastAsia="en-AU"/>
              </w:rPr>
              <w:t>b)</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4 799.4</w:t>
            </w:r>
          </w:p>
        </w:tc>
        <w:tc>
          <w:tcPr>
            <w:tcW w:w="1400" w:type="dxa"/>
            <w:tcBorders>
              <w:top w:val="nil"/>
              <w:left w:val="nil"/>
              <w:bottom w:val="nil"/>
              <w:right w:val="nil"/>
            </w:tcBorders>
          </w:tcPr>
          <w:p w:rsidR="00336793" w:rsidRPr="00E96950" w:rsidRDefault="00336793" w:rsidP="00DF0B96">
            <w:pPr>
              <w:pStyle w:val="TableofFigures"/>
              <w:rPr>
                <w:rFonts w:eastAsiaTheme="minorEastAsia" w:cs="Calibri"/>
                <w:color w:val="000000"/>
                <w:sz w:val="20"/>
                <w:szCs w:val="22"/>
                <w:lang w:eastAsia="en-AU"/>
              </w:rPr>
            </w:pPr>
            <w:r w:rsidRPr="00E96950">
              <w:rPr>
                <w:rFonts w:eastAsiaTheme="minorEastAsia"/>
                <w:sz w:val="20"/>
                <w:lang w:eastAsia="en-AU"/>
              </w:rPr>
              <w:t>(</w:t>
            </w:r>
            <w:r w:rsidRPr="00E96950">
              <w:rPr>
                <w:rFonts w:eastAsiaTheme="minorEastAsia" w:cs="Calibri"/>
                <w:color w:val="000000"/>
                <w:sz w:val="20"/>
                <w:szCs w:val="22"/>
                <w:lang w:eastAsia="en-AU"/>
              </w:rPr>
              <w:t>165.6)</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4 633.8</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r>
      <w:tr w:rsidR="00336793" w:rsidRPr="00E96950" w:rsidTr="00DF0B96">
        <w:tc>
          <w:tcPr>
            <w:tcW w:w="6170" w:type="dxa"/>
            <w:tcBorders>
              <w:top w:val="nil"/>
              <w:left w:val="nil"/>
              <w:bottom w:val="nil"/>
              <w:right w:val="nil"/>
            </w:tcBorders>
          </w:tcPr>
          <w:p w:rsidR="00336793" w:rsidRPr="00E96950" w:rsidRDefault="00336793" w:rsidP="00DF0B96">
            <w:pPr>
              <w:pStyle w:val="Tabletext"/>
              <w:rPr>
                <w:rFonts w:eastAsiaTheme="minorEastAsia" w:cs="Calibri"/>
                <w:color w:val="000000"/>
                <w:sz w:val="20"/>
                <w:szCs w:val="22"/>
                <w:vertAlign w:val="superscript"/>
                <w:lang w:eastAsia="en-AU"/>
              </w:rPr>
            </w:pPr>
            <w:r w:rsidRPr="00E96950">
              <w:rPr>
                <w:rFonts w:eastAsiaTheme="minorEastAsia"/>
                <w:sz w:val="20"/>
                <w:lang w:eastAsia="en-AU"/>
              </w:rPr>
              <w:t>Plant, equipment and vehicles</w:t>
            </w:r>
            <w:r w:rsidRPr="00E96950">
              <w:rPr>
                <w:rFonts w:eastAsiaTheme="minorEastAsia"/>
                <w:sz w:val="20"/>
                <w:vertAlign w:val="superscript"/>
                <w:lang w:eastAsia="en-AU"/>
              </w:rPr>
              <w:t xml:space="preserve"> (b</w:t>
            </w:r>
            <w:r w:rsidRPr="00E96950">
              <w:rPr>
                <w:rFonts w:eastAsiaTheme="minorEastAsia" w:cs="Calibri"/>
                <w:color w:val="000000"/>
                <w:sz w:val="20"/>
                <w:szCs w:val="22"/>
                <w:vertAlign w:val="superscript"/>
                <w:lang w:eastAsia="en-AU"/>
              </w:rPr>
              <w:t xml:space="preserve">) </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11 206.9</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(4 524.6)</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6 682.3</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5 881.5</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(3 495.2)</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2 386.2</w:t>
            </w:r>
          </w:p>
        </w:tc>
      </w:tr>
      <w:tr w:rsidR="00336793" w:rsidRPr="00E96950" w:rsidTr="00DF0B96">
        <w:tc>
          <w:tcPr>
            <w:tcW w:w="6170" w:type="dxa"/>
            <w:tcBorders>
              <w:top w:val="nil"/>
              <w:left w:val="nil"/>
              <w:bottom w:val="nil"/>
              <w:right w:val="nil"/>
            </w:tcBorders>
          </w:tcPr>
          <w:p w:rsidR="00336793" w:rsidRPr="00E96950" w:rsidRDefault="00336793" w:rsidP="00DF0B96">
            <w:pPr>
              <w:pStyle w:val="Tabletext"/>
              <w:rPr>
                <w:rFonts w:eastAsiaTheme="minorEastAsia" w:cs="Calibri"/>
                <w:color w:val="000000"/>
                <w:sz w:val="20"/>
                <w:szCs w:val="22"/>
                <w:vertAlign w:val="superscript"/>
                <w:lang w:eastAsia="en-AU"/>
              </w:rPr>
            </w:pPr>
            <w:r w:rsidRPr="00E96950">
              <w:rPr>
                <w:rFonts w:eastAsiaTheme="minorEastAsia"/>
                <w:sz w:val="20"/>
                <w:lang w:eastAsia="en-AU"/>
              </w:rPr>
              <w:t>Leased plant, equipment and vehicles</w:t>
            </w:r>
            <w:r w:rsidRPr="00E96950">
              <w:rPr>
                <w:rFonts w:eastAsiaTheme="minorEastAsia"/>
                <w:sz w:val="20"/>
                <w:vertAlign w:val="superscript"/>
                <w:lang w:eastAsia="en-AU"/>
              </w:rPr>
              <w:t xml:space="preserve"> (</w:t>
            </w:r>
            <w:r w:rsidRPr="00E96950">
              <w:rPr>
                <w:rFonts w:eastAsiaTheme="minorEastAsia" w:cs="Calibri"/>
                <w:color w:val="000000"/>
                <w:sz w:val="20"/>
                <w:szCs w:val="22"/>
                <w:vertAlign w:val="superscript"/>
                <w:lang w:eastAsia="en-AU"/>
              </w:rPr>
              <w:t>b)</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1 457.6</w:t>
            </w:r>
          </w:p>
        </w:tc>
        <w:tc>
          <w:tcPr>
            <w:tcW w:w="1400" w:type="dxa"/>
            <w:tcBorders>
              <w:top w:val="nil"/>
              <w:left w:val="nil"/>
              <w:bottom w:val="nil"/>
              <w:right w:val="nil"/>
            </w:tcBorders>
          </w:tcPr>
          <w:p w:rsidR="00336793" w:rsidRPr="00E96950" w:rsidRDefault="00336793" w:rsidP="00DF0B96">
            <w:pPr>
              <w:pStyle w:val="TableofFigures"/>
              <w:rPr>
                <w:rFonts w:eastAsiaTheme="minorEastAsia" w:cs="Calibri"/>
                <w:color w:val="000000"/>
                <w:sz w:val="20"/>
                <w:szCs w:val="22"/>
                <w:lang w:eastAsia="en-AU"/>
              </w:rPr>
            </w:pPr>
            <w:r w:rsidRPr="00E96950">
              <w:rPr>
                <w:rFonts w:eastAsiaTheme="minorEastAsia"/>
                <w:sz w:val="20"/>
                <w:lang w:eastAsia="en-AU"/>
              </w:rPr>
              <w:t>(</w:t>
            </w:r>
            <w:r w:rsidRPr="00E96950">
              <w:rPr>
                <w:rFonts w:eastAsiaTheme="minorEastAsia" w:cs="Calibri"/>
                <w:color w:val="000000"/>
                <w:sz w:val="20"/>
                <w:szCs w:val="22"/>
                <w:lang w:eastAsia="en-AU"/>
              </w:rPr>
              <w:t>303.9)</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1 153.7</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 xml:space="preserve"> 413.0</w:t>
            </w:r>
          </w:p>
        </w:tc>
        <w:tc>
          <w:tcPr>
            <w:tcW w:w="1400" w:type="dxa"/>
            <w:tcBorders>
              <w:top w:val="nil"/>
              <w:left w:val="nil"/>
              <w:bottom w:val="nil"/>
              <w:right w:val="nil"/>
            </w:tcBorders>
          </w:tcPr>
          <w:p w:rsidR="00336793" w:rsidRPr="00E96950" w:rsidRDefault="00336793" w:rsidP="00DF0B96">
            <w:pPr>
              <w:pStyle w:val="TableofFigures"/>
              <w:rPr>
                <w:rFonts w:eastAsiaTheme="minorEastAsia" w:cs="Calibri"/>
                <w:color w:val="000000"/>
                <w:sz w:val="20"/>
                <w:szCs w:val="22"/>
                <w:lang w:eastAsia="en-AU"/>
              </w:rPr>
            </w:pPr>
            <w:r w:rsidRPr="00E96950">
              <w:rPr>
                <w:rFonts w:eastAsiaTheme="minorEastAsia"/>
                <w:sz w:val="20"/>
                <w:lang w:eastAsia="en-AU"/>
              </w:rPr>
              <w:t>(</w:t>
            </w:r>
            <w:r w:rsidRPr="00E96950">
              <w:rPr>
                <w:rFonts w:eastAsiaTheme="minorEastAsia" w:cs="Calibri"/>
                <w:color w:val="000000"/>
                <w:sz w:val="20"/>
                <w:szCs w:val="22"/>
                <w:lang w:eastAsia="en-AU"/>
              </w:rPr>
              <w:t>204.0)</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 xml:space="preserve"> 209.0</w:t>
            </w:r>
          </w:p>
        </w:tc>
      </w:tr>
      <w:tr w:rsidR="00336793" w:rsidRPr="00E96950" w:rsidTr="00DF0B96">
        <w:tc>
          <w:tcPr>
            <w:tcW w:w="6170" w:type="dxa"/>
            <w:tcBorders>
              <w:top w:val="nil"/>
              <w:left w:val="nil"/>
              <w:bottom w:val="nil"/>
              <w:right w:val="nil"/>
            </w:tcBorders>
          </w:tcPr>
          <w:p w:rsidR="00336793" w:rsidRPr="00E96950" w:rsidRDefault="00336793" w:rsidP="00DF0B96">
            <w:pPr>
              <w:pStyle w:val="Tabletext"/>
              <w:rPr>
                <w:rFonts w:eastAsiaTheme="minorEastAsia"/>
                <w:sz w:val="20"/>
                <w:lang w:eastAsia="en-AU"/>
              </w:rPr>
            </w:pPr>
            <w:r w:rsidRPr="00E96950">
              <w:rPr>
                <w:rFonts w:eastAsiaTheme="minorEastAsia"/>
                <w:sz w:val="20"/>
                <w:lang w:eastAsia="en-AU"/>
              </w:rPr>
              <w:t>Roads and road infrastructure</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37 970.1</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(15 797.6)</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22 172.4</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37 890.9</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(15 787.1)</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22 103.8</w:t>
            </w:r>
          </w:p>
        </w:tc>
      </w:tr>
      <w:tr w:rsidR="00336793" w:rsidRPr="00E96950" w:rsidTr="00DF0B96">
        <w:tc>
          <w:tcPr>
            <w:tcW w:w="6170" w:type="dxa"/>
            <w:tcBorders>
              <w:top w:val="nil"/>
              <w:left w:val="nil"/>
              <w:bottom w:val="nil"/>
              <w:right w:val="nil"/>
            </w:tcBorders>
          </w:tcPr>
          <w:p w:rsidR="00336793" w:rsidRPr="00E96950" w:rsidRDefault="00336793" w:rsidP="00DF0B96">
            <w:pPr>
              <w:pStyle w:val="Tabletext"/>
              <w:rPr>
                <w:rFonts w:eastAsiaTheme="minorEastAsia"/>
                <w:sz w:val="20"/>
                <w:lang w:eastAsia="en-AU"/>
              </w:rPr>
            </w:pPr>
            <w:r w:rsidRPr="00E96950">
              <w:rPr>
                <w:rFonts w:eastAsiaTheme="minorEastAsia"/>
                <w:sz w:val="20"/>
                <w:lang w:eastAsia="en-AU"/>
              </w:rPr>
              <w:t>Leased roads and roads infrastructure</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r>
      <w:tr w:rsidR="00336793" w:rsidRPr="00E96950" w:rsidTr="00DF0B96">
        <w:tc>
          <w:tcPr>
            <w:tcW w:w="6170" w:type="dxa"/>
            <w:tcBorders>
              <w:top w:val="nil"/>
              <w:left w:val="nil"/>
              <w:bottom w:val="nil"/>
              <w:right w:val="nil"/>
            </w:tcBorders>
          </w:tcPr>
          <w:p w:rsidR="00336793" w:rsidRPr="00E96950" w:rsidRDefault="00336793" w:rsidP="00DF0B96">
            <w:pPr>
              <w:pStyle w:val="Tabletext"/>
              <w:rPr>
                <w:rFonts w:eastAsiaTheme="minorEastAsia"/>
                <w:sz w:val="20"/>
                <w:lang w:eastAsia="en-AU"/>
              </w:rPr>
            </w:pPr>
            <w:r w:rsidRPr="00E96950">
              <w:rPr>
                <w:rFonts w:eastAsiaTheme="minorEastAsia"/>
                <w:sz w:val="20"/>
                <w:lang w:eastAsia="en-AU"/>
              </w:rPr>
              <w:t>Earthworks</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7 685.2</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7 685.2</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7 685.2</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w:t>
            </w:r>
          </w:p>
        </w:tc>
        <w:tc>
          <w:tcPr>
            <w:tcW w:w="1400" w:type="dxa"/>
            <w:tcBorders>
              <w:top w:val="nil"/>
              <w:left w:val="nil"/>
              <w:bottom w:val="nil"/>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7 685.2</w:t>
            </w:r>
          </w:p>
        </w:tc>
      </w:tr>
      <w:tr w:rsidR="00336793" w:rsidRPr="00E96950" w:rsidTr="00DF0B96">
        <w:tc>
          <w:tcPr>
            <w:tcW w:w="6170" w:type="dxa"/>
            <w:tcBorders>
              <w:top w:val="nil"/>
              <w:left w:val="nil"/>
              <w:bottom w:val="single" w:sz="6" w:space="0" w:color="auto"/>
              <w:right w:val="nil"/>
            </w:tcBorders>
          </w:tcPr>
          <w:p w:rsidR="00336793" w:rsidRPr="00E96950" w:rsidRDefault="00336793" w:rsidP="00DF0B96">
            <w:pPr>
              <w:pStyle w:val="Tabletext"/>
              <w:rPr>
                <w:rFonts w:eastAsiaTheme="minorEastAsia"/>
                <w:sz w:val="20"/>
                <w:lang w:eastAsia="en-AU"/>
              </w:rPr>
            </w:pPr>
            <w:r w:rsidRPr="00E96950">
              <w:rPr>
                <w:rFonts w:eastAsiaTheme="minorEastAsia"/>
                <w:sz w:val="20"/>
                <w:lang w:eastAsia="en-AU"/>
              </w:rPr>
              <w:t xml:space="preserve">Cultural assets </w:t>
            </w:r>
          </w:p>
        </w:tc>
        <w:tc>
          <w:tcPr>
            <w:tcW w:w="1400" w:type="dxa"/>
            <w:tcBorders>
              <w:top w:val="nil"/>
              <w:left w:val="nil"/>
              <w:bottom w:val="single" w:sz="6" w:space="0" w:color="auto"/>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5 666.0</w:t>
            </w:r>
          </w:p>
        </w:tc>
        <w:tc>
          <w:tcPr>
            <w:tcW w:w="1400" w:type="dxa"/>
            <w:tcBorders>
              <w:top w:val="nil"/>
              <w:left w:val="nil"/>
              <w:bottom w:val="single" w:sz="6" w:space="0" w:color="auto"/>
              <w:right w:val="nil"/>
            </w:tcBorders>
          </w:tcPr>
          <w:p w:rsidR="00336793" w:rsidRPr="00E96950" w:rsidRDefault="00336793" w:rsidP="00DF0B96">
            <w:pPr>
              <w:pStyle w:val="TableofFigures"/>
              <w:rPr>
                <w:rFonts w:eastAsiaTheme="minorEastAsia" w:cs="Calibri"/>
                <w:color w:val="000000"/>
                <w:sz w:val="20"/>
                <w:szCs w:val="22"/>
                <w:lang w:eastAsia="en-AU"/>
              </w:rPr>
            </w:pPr>
            <w:r w:rsidRPr="00E96950">
              <w:rPr>
                <w:rFonts w:eastAsiaTheme="minorEastAsia"/>
                <w:sz w:val="20"/>
                <w:lang w:eastAsia="en-AU"/>
              </w:rPr>
              <w:t>(</w:t>
            </w:r>
            <w:r w:rsidRPr="00E96950">
              <w:rPr>
                <w:rFonts w:eastAsiaTheme="minorEastAsia" w:cs="Calibri"/>
                <w:color w:val="000000"/>
                <w:sz w:val="20"/>
                <w:szCs w:val="22"/>
                <w:lang w:eastAsia="en-AU"/>
              </w:rPr>
              <w:t>121.3)</w:t>
            </w:r>
          </w:p>
        </w:tc>
        <w:tc>
          <w:tcPr>
            <w:tcW w:w="1400" w:type="dxa"/>
            <w:tcBorders>
              <w:top w:val="nil"/>
              <w:left w:val="nil"/>
              <w:bottom w:val="single" w:sz="6" w:space="0" w:color="auto"/>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5 544.6</w:t>
            </w:r>
          </w:p>
        </w:tc>
        <w:tc>
          <w:tcPr>
            <w:tcW w:w="1400" w:type="dxa"/>
            <w:tcBorders>
              <w:top w:val="nil"/>
              <w:left w:val="nil"/>
              <w:bottom w:val="single" w:sz="6" w:space="0" w:color="auto"/>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5 610.8</w:t>
            </w:r>
          </w:p>
        </w:tc>
        <w:tc>
          <w:tcPr>
            <w:tcW w:w="1400" w:type="dxa"/>
            <w:tcBorders>
              <w:top w:val="nil"/>
              <w:left w:val="nil"/>
              <w:bottom w:val="single" w:sz="6" w:space="0" w:color="auto"/>
              <w:right w:val="nil"/>
            </w:tcBorders>
          </w:tcPr>
          <w:p w:rsidR="00336793" w:rsidRPr="00E96950" w:rsidRDefault="00336793" w:rsidP="00DF0B96">
            <w:pPr>
              <w:pStyle w:val="TableofFigures"/>
              <w:rPr>
                <w:rFonts w:eastAsiaTheme="minorEastAsia" w:cs="Calibri"/>
                <w:color w:val="000000"/>
                <w:sz w:val="20"/>
                <w:szCs w:val="22"/>
                <w:lang w:eastAsia="en-AU"/>
              </w:rPr>
            </w:pPr>
            <w:r w:rsidRPr="00E96950">
              <w:rPr>
                <w:rFonts w:eastAsiaTheme="minorEastAsia"/>
                <w:sz w:val="20"/>
                <w:lang w:eastAsia="en-AU"/>
              </w:rPr>
              <w:t>(</w:t>
            </w:r>
            <w:r w:rsidRPr="00E96950">
              <w:rPr>
                <w:rFonts w:eastAsiaTheme="minorEastAsia" w:cs="Calibri"/>
                <w:color w:val="000000"/>
                <w:sz w:val="20"/>
                <w:szCs w:val="22"/>
                <w:lang w:eastAsia="en-AU"/>
              </w:rPr>
              <w:t>121.3)</w:t>
            </w:r>
          </w:p>
        </w:tc>
        <w:tc>
          <w:tcPr>
            <w:tcW w:w="1400" w:type="dxa"/>
            <w:tcBorders>
              <w:top w:val="nil"/>
              <w:left w:val="nil"/>
              <w:bottom w:val="single" w:sz="6" w:space="0" w:color="auto"/>
              <w:right w:val="nil"/>
            </w:tcBorders>
          </w:tcPr>
          <w:p w:rsidR="00336793" w:rsidRPr="00E96950" w:rsidRDefault="00336793" w:rsidP="00DF0B96">
            <w:pPr>
              <w:pStyle w:val="TableofFigures"/>
              <w:rPr>
                <w:rFonts w:eastAsiaTheme="minorEastAsia"/>
                <w:sz w:val="20"/>
                <w:lang w:eastAsia="en-AU"/>
              </w:rPr>
            </w:pPr>
            <w:r w:rsidRPr="00E96950">
              <w:rPr>
                <w:rFonts w:eastAsiaTheme="minorEastAsia"/>
                <w:sz w:val="20"/>
                <w:lang w:eastAsia="en-AU"/>
              </w:rPr>
              <w:t>5 489.5</w:t>
            </w:r>
          </w:p>
        </w:tc>
      </w:tr>
      <w:tr w:rsidR="00336793" w:rsidRPr="00E96950" w:rsidTr="00DF0B96">
        <w:tc>
          <w:tcPr>
            <w:tcW w:w="6170"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text"/>
              <w:rPr>
                <w:rFonts w:eastAsiaTheme="minorEastAsia"/>
                <w:b/>
                <w:bCs/>
                <w:sz w:val="20"/>
                <w:lang w:eastAsia="en-AU"/>
              </w:rPr>
            </w:pPr>
            <w:r w:rsidRPr="00E96950">
              <w:rPr>
                <w:rFonts w:eastAsiaTheme="minorEastAsia"/>
                <w:b/>
                <w:bCs/>
                <w:sz w:val="20"/>
                <w:lang w:eastAsia="en-AU"/>
              </w:rPr>
              <w:t>Total land, buildings, infrastructure, plant and equipment</w:t>
            </w:r>
            <w:r w:rsidRPr="00E96950">
              <w:rPr>
                <w:rFonts w:eastAsiaTheme="minorEastAsia"/>
                <w:b/>
                <w:bCs/>
                <w:sz w:val="20"/>
                <w:vertAlign w:val="superscript"/>
                <w:lang w:eastAsia="en-AU"/>
              </w:rPr>
              <w:t xml:space="preserve"> (a)</w:t>
            </w:r>
          </w:p>
        </w:tc>
        <w:tc>
          <w:tcPr>
            <w:tcW w:w="1400"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20"/>
                <w:lang w:eastAsia="en-AU"/>
              </w:rPr>
            </w:pPr>
            <w:r w:rsidRPr="00E96950">
              <w:rPr>
                <w:rFonts w:eastAsiaTheme="minorEastAsia"/>
                <w:b/>
                <w:bCs/>
                <w:sz w:val="20"/>
                <w:lang w:eastAsia="en-AU"/>
              </w:rPr>
              <w:t>226 556.6</w:t>
            </w:r>
          </w:p>
        </w:tc>
        <w:tc>
          <w:tcPr>
            <w:tcW w:w="1400"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20"/>
                <w:lang w:eastAsia="en-AU"/>
              </w:rPr>
            </w:pPr>
            <w:r w:rsidRPr="00E96950">
              <w:rPr>
                <w:rFonts w:eastAsiaTheme="minorEastAsia"/>
                <w:b/>
                <w:bCs/>
                <w:sz w:val="20"/>
                <w:lang w:eastAsia="en-AU"/>
              </w:rPr>
              <w:t>(28 064.9)</w:t>
            </w:r>
          </w:p>
        </w:tc>
        <w:tc>
          <w:tcPr>
            <w:tcW w:w="1400"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20"/>
                <w:lang w:eastAsia="en-AU"/>
              </w:rPr>
            </w:pPr>
            <w:r w:rsidRPr="00E96950">
              <w:rPr>
                <w:rFonts w:eastAsiaTheme="minorEastAsia"/>
                <w:b/>
                <w:bCs/>
                <w:sz w:val="20"/>
                <w:lang w:eastAsia="en-AU"/>
              </w:rPr>
              <w:t>198 491.7</w:t>
            </w:r>
          </w:p>
        </w:tc>
        <w:tc>
          <w:tcPr>
            <w:tcW w:w="1400"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20"/>
                <w:lang w:eastAsia="en-AU"/>
              </w:rPr>
            </w:pPr>
            <w:r w:rsidRPr="00E96950">
              <w:rPr>
                <w:rFonts w:eastAsiaTheme="minorEastAsia"/>
                <w:b/>
                <w:bCs/>
                <w:sz w:val="20"/>
                <w:lang w:eastAsia="en-AU"/>
              </w:rPr>
              <w:t>127 031.8</w:t>
            </w:r>
          </w:p>
        </w:tc>
        <w:tc>
          <w:tcPr>
            <w:tcW w:w="1400"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20"/>
                <w:lang w:eastAsia="en-AU"/>
              </w:rPr>
            </w:pPr>
            <w:r w:rsidRPr="00E96950">
              <w:rPr>
                <w:rFonts w:eastAsiaTheme="minorEastAsia"/>
                <w:b/>
                <w:bCs/>
                <w:sz w:val="20"/>
                <w:lang w:eastAsia="en-AU"/>
              </w:rPr>
              <w:t>(22 033.0)</w:t>
            </w:r>
          </w:p>
        </w:tc>
        <w:tc>
          <w:tcPr>
            <w:tcW w:w="1400"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20"/>
                <w:lang w:eastAsia="en-AU"/>
              </w:rPr>
            </w:pPr>
            <w:r w:rsidRPr="00E96950">
              <w:rPr>
                <w:rFonts w:eastAsiaTheme="minorEastAsia"/>
                <w:b/>
                <w:bCs/>
                <w:sz w:val="20"/>
                <w:lang w:eastAsia="en-AU"/>
              </w:rPr>
              <w:t>104 998.8</w:t>
            </w:r>
          </w:p>
        </w:tc>
      </w:tr>
    </w:tbl>
    <w:p w:rsidR="00336793" w:rsidRPr="006A75A2" w:rsidRDefault="00336793" w:rsidP="00DF0B96">
      <w:pPr>
        <w:pStyle w:val="Notes"/>
      </w:pPr>
      <w:r w:rsidRPr="006A75A2">
        <w:t>Note</w:t>
      </w:r>
      <w:r>
        <w:t>s</w:t>
      </w:r>
      <w:r w:rsidRPr="006A75A2">
        <w:t>:</w:t>
      </w:r>
    </w:p>
    <w:p w:rsidR="00336793" w:rsidRDefault="00336793" w:rsidP="00DF0B96">
      <w:pPr>
        <w:pStyle w:val="Notes"/>
      </w:pPr>
      <w:r w:rsidRPr="006A75A2">
        <w:t>(a)</w:t>
      </w:r>
      <w:r w:rsidRPr="006A75A2">
        <w:tab/>
      </w:r>
      <w:r w:rsidRPr="00D41A2A">
        <w:t>June 2014 comparative figures have been restated. See Note 37.</w:t>
      </w:r>
    </w:p>
    <w:p w:rsidR="00336793" w:rsidRDefault="00336793" w:rsidP="00DF0B96">
      <w:pPr>
        <w:pStyle w:val="Notes"/>
      </w:pPr>
      <w:r>
        <w:t>(b</w:t>
      </w:r>
      <w:r w:rsidRPr="006A75A2">
        <w:t>)</w:t>
      </w:r>
      <w:r w:rsidRPr="006A75A2">
        <w:tab/>
      </w:r>
      <w:r w:rsidRPr="00D41A2A">
        <w:t>June 2014 comparative figures have been r</w:t>
      </w:r>
      <w:r>
        <w:t>eclassified to reflect more current information.</w:t>
      </w:r>
    </w:p>
    <w:p w:rsidR="00336793" w:rsidRPr="006A75A2" w:rsidRDefault="00336793" w:rsidP="00DF0B96">
      <w:pPr>
        <w:pStyle w:val="Notes"/>
      </w:pPr>
    </w:p>
    <w:p w:rsidR="00336793" w:rsidRDefault="00336793" w:rsidP="00DF0B96">
      <w:pPr>
        <w:pStyle w:val="Heading2NotesContd"/>
      </w:pPr>
      <w:r w:rsidRPr="006A75A2">
        <w:lastRenderedPageBreak/>
        <w:t>Note 22:</w:t>
      </w:r>
      <w:r w:rsidRPr="006A75A2">
        <w:tab/>
        <w:t>Land, buildings, infrastructure, plant and equipment</w:t>
      </w:r>
      <w:r w:rsidRPr="006A75A2">
        <w:rPr>
          <w:i/>
        </w:rPr>
        <w:t xml:space="preserve"> (continued)</w:t>
      </w:r>
    </w:p>
    <w:p w:rsidR="00336793" w:rsidRDefault="00336793" w:rsidP="00DF0B96">
      <w:pPr>
        <w:pStyle w:val="Heading5"/>
      </w:pPr>
      <w:r w:rsidRPr="00B17CCB">
        <w:t>(</w:t>
      </w:r>
      <w:r>
        <w:t>b</w:t>
      </w:r>
      <w:r w:rsidRPr="00B17CCB">
        <w:t>)</w:t>
      </w:r>
      <w:r>
        <w:tab/>
      </w:r>
      <w:r w:rsidRPr="00B17CCB">
        <w:t xml:space="preserve">Total </w:t>
      </w:r>
      <w:r w:rsidRPr="00C27DBA">
        <w:t>land</w:t>
      </w:r>
      <w:r w:rsidRPr="00B17CCB">
        <w:t>, buildings, infrastructure, plant and equipment by purpose</w:t>
      </w:r>
    </w:p>
    <w:p w:rsidR="00336793" w:rsidRPr="00A10A3B" w:rsidRDefault="00336793" w:rsidP="00DF0B96">
      <w:pPr>
        <w:pStyle w:val="million"/>
        <w:rPr>
          <w:rFonts w:ascii="Times New Roman" w:hAnsi="Times New Roman"/>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5237"/>
        <w:gridCol w:w="1440"/>
        <w:gridCol w:w="1126"/>
        <w:gridCol w:w="1283"/>
        <w:gridCol w:w="1191"/>
        <w:gridCol w:w="1710"/>
        <w:gridCol w:w="1530"/>
        <w:gridCol w:w="1053"/>
      </w:tblGrid>
      <w:tr w:rsidR="00336793" w:rsidRPr="00B03906" w:rsidTr="00DF0B96">
        <w:trPr>
          <w:tblHeader/>
        </w:trPr>
        <w:tc>
          <w:tcPr>
            <w:tcW w:w="5237" w:type="dxa"/>
            <w:tcBorders>
              <w:top w:val="single" w:sz="6" w:space="0" w:color="000000"/>
              <w:left w:val="single" w:sz="6" w:space="0" w:color="000000"/>
              <w:bottom w:val="single" w:sz="6" w:space="0" w:color="000000"/>
              <w:right w:val="nil"/>
            </w:tcBorders>
            <w:shd w:val="clear" w:color="000000" w:fill="000000"/>
            <w:vAlign w:val="bottom"/>
          </w:tcPr>
          <w:p w:rsidR="00336793" w:rsidRPr="00B03906" w:rsidRDefault="00336793" w:rsidP="00DF0B96">
            <w:pPr>
              <w:pStyle w:val="Tabletext"/>
              <w:rPr>
                <w:rFonts w:eastAsiaTheme="minorEastAsia"/>
                <w:i/>
                <w:sz w:val="20"/>
                <w:szCs w:val="20"/>
                <w:lang w:eastAsia="en-AU"/>
              </w:rPr>
            </w:pPr>
            <w:r w:rsidRPr="00B03906">
              <w:rPr>
                <w:rFonts w:eastAsiaTheme="minorEastAsia"/>
                <w:i/>
                <w:sz w:val="20"/>
                <w:szCs w:val="20"/>
                <w:lang w:eastAsia="en-AU"/>
              </w:rPr>
              <w:t>State of Victoria</w:t>
            </w:r>
          </w:p>
          <w:p w:rsidR="00336793" w:rsidRPr="00B03906" w:rsidRDefault="00336793" w:rsidP="00DF0B96">
            <w:pPr>
              <w:pStyle w:val="Tabletext"/>
              <w:rPr>
                <w:rFonts w:eastAsiaTheme="minorEastAsia"/>
                <w:i/>
                <w:sz w:val="20"/>
                <w:szCs w:val="20"/>
                <w:lang w:eastAsia="en-AU"/>
              </w:rPr>
            </w:pPr>
            <w:r w:rsidRPr="00B03906">
              <w:rPr>
                <w:rFonts w:eastAsiaTheme="minorEastAsia"/>
                <w:i/>
                <w:sz w:val="20"/>
                <w:szCs w:val="20"/>
                <w:lang w:eastAsia="en-AU"/>
              </w:rPr>
              <w:t>2015</w:t>
            </w:r>
          </w:p>
        </w:tc>
        <w:tc>
          <w:tcPr>
            <w:tcW w:w="1440" w:type="dxa"/>
            <w:tcBorders>
              <w:top w:val="single" w:sz="6" w:space="0" w:color="000000"/>
              <w:left w:val="nil"/>
              <w:bottom w:val="single" w:sz="6" w:space="0" w:color="000000"/>
              <w:right w:val="nil"/>
            </w:tcBorders>
            <w:shd w:val="clear" w:color="000000" w:fill="000000"/>
            <w:vAlign w:val="bottom"/>
          </w:tcPr>
          <w:p w:rsidR="00336793" w:rsidRPr="00B03906" w:rsidRDefault="00336793" w:rsidP="00DF0B96">
            <w:pPr>
              <w:pStyle w:val="Tabletextheading"/>
              <w:rPr>
                <w:rFonts w:eastAsiaTheme="minorEastAsia"/>
                <w:color w:val="FFFFFF"/>
                <w:sz w:val="20"/>
                <w:szCs w:val="20"/>
                <w:lang w:eastAsia="en-AU"/>
              </w:rPr>
            </w:pPr>
            <w:r w:rsidRPr="00B03906">
              <w:rPr>
                <w:rFonts w:eastAsiaTheme="minorEastAsia"/>
                <w:color w:val="FFFFFF"/>
                <w:sz w:val="20"/>
                <w:szCs w:val="20"/>
                <w:lang w:eastAsia="en-AU"/>
              </w:rPr>
              <w:t>Public Administration</w:t>
            </w:r>
          </w:p>
        </w:tc>
        <w:tc>
          <w:tcPr>
            <w:tcW w:w="1126" w:type="dxa"/>
            <w:tcBorders>
              <w:top w:val="single" w:sz="6" w:space="0" w:color="000000"/>
              <w:left w:val="nil"/>
              <w:bottom w:val="single" w:sz="6" w:space="0" w:color="000000"/>
              <w:right w:val="nil"/>
            </w:tcBorders>
            <w:shd w:val="clear" w:color="000000" w:fill="000000"/>
            <w:vAlign w:val="bottom"/>
          </w:tcPr>
          <w:p w:rsidR="00336793" w:rsidRPr="00B03906" w:rsidRDefault="00336793" w:rsidP="00DF0B96">
            <w:pPr>
              <w:pStyle w:val="Tabletextheading"/>
              <w:rPr>
                <w:rFonts w:eastAsiaTheme="minorEastAsia" w:cs="Calibri"/>
                <w:iCs/>
                <w:color w:val="FFFFFF"/>
                <w:sz w:val="20"/>
                <w:szCs w:val="20"/>
                <w:lang w:eastAsia="en-AU"/>
              </w:rPr>
            </w:pPr>
            <w:r w:rsidRPr="00B03906">
              <w:rPr>
                <w:rFonts w:eastAsiaTheme="minorEastAsia"/>
                <w:color w:val="FFFFFF"/>
                <w:sz w:val="20"/>
                <w:szCs w:val="20"/>
                <w:lang w:eastAsia="en-AU"/>
              </w:rPr>
              <w:t>Education</w:t>
            </w:r>
          </w:p>
        </w:tc>
        <w:tc>
          <w:tcPr>
            <w:tcW w:w="1283" w:type="dxa"/>
            <w:tcBorders>
              <w:top w:val="single" w:sz="6" w:space="0" w:color="000000"/>
              <w:left w:val="nil"/>
              <w:bottom w:val="single" w:sz="6" w:space="0" w:color="000000"/>
              <w:right w:val="nil"/>
            </w:tcBorders>
            <w:shd w:val="clear" w:color="000000" w:fill="000000"/>
            <w:vAlign w:val="bottom"/>
          </w:tcPr>
          <w:p w:rsidR="00336793" w:rsidRPr="00B03906" w:rsidRDefault="00336793" w:rsidP="00DF0B96">
            <w:pPr>
              <w:pStyle w:val="Tabletextheading"/>
              <w:rPr>
                <w:rFonts w:eastAsiaTheme="minorEastAsia"/>
                <w:color w:val="FFFFFF"/>
                <w:sz w:val="20"/>
                <w:szCs w:val="20"/>
                <w:lang w:eastAsia="en-AU"/>
              </w:rPr>
            </w:pPr>
            <w:r w:rsidRPr="00B03906">
              <w:rPr>
                <w:rFonts w:eastAsiaTheme="minorEastAsia"/>
                <w:color w:val="FFFFFF"/>
                <w:sz w:val="20"/>
                <w:szCs w:val="20"/>
                <w:lang w:eastAsia="en-AU"/>
              </w:rPr>
              <w:t>Health and Welfare</w:t>
            </w:r>
          </w:p>
        </w:tc>
        <w:tc>
          <w:tcPr>
            <w:tcW w:w="1191" w:type="dxa"/>
            <w:tcBorders>
              <w:top w:val="single" w:sz="6" w:space="0" w:color="000000"/>
              <w:left w:val="nil"/>
              <w:bottom w:val="single" w:sz="6" w:space="0" w:color="000000"/>
              <w:right w:val="nil"/>
            </w:tcBorders>
            <w:shd w:val="clear" w:color="000000" w:fill="000000"/>
            <w:vAlign w:val="bottom"/>
          </w:tcPr>
          <w:p w:rsidR="00336793" w:rsidRPr="00B03906" w:rsidRDefault="00336793" w:rsidP="00DF0B96">
            <w:pPr>
              <w:pStyle w:val="Tabletextheading"/>
              <w:rPr>
                <w:rFonts w:eastAsiaTheme="minorEastAsia"/>
                <w:color w:val="FFFFFF"/>
                <w:sz w:val="20"/>
                <w:szCs w:val="20"/>
                <w:lang w:eastAsia="en-AU"/>
              </w:rPr>
            </w:pPr>
            <w:r w:rsidRPr="00B03906">
              <w:rPr>
                <w:rFonts w:eastAsiaTheme="minorEastAsia"/>
                <w:color w:val="FFFFFF"/>
                <w:sz w:val="20"/>
                <w:szCs w:val="20"/>
                <w:lang w:eastAsia="en-AU"/>
              </w:rPr>
              <w:t>Community Housing</w:t>
            </w:r>
          </w:p>
        </w:tc>
        <w:tc>
          <w:tcPr>
            <w:tcW w:w="1710" w:type="dxa"/>
            <w:tcBorders>
              <w:top w:val="single" w:sz="6" w:space="0" w:color="000000"/>
              <w:left w:val="nil"/>
              <w:bottom w:val="single" w:sz="6" w:space="0" w:color="000000"/>
              <w:right w:val="nil"/>
            </w:tcBorders>
            <w:shd w:val="clear" w:color="000000" w:fill="000000"/>
            <w:vAlign w:val="bottom"/>
          </w:tcPr>
          <w:p w:rsidR="00336793" w:rsidRPr="00B03906" w:rsidRDefault="00336793" w:rsidP="00DF0B96">
            <w:pPr>
              <w:pStyle w:val="Tabletextheading"/>
              <w:rPr>
                <w:rFonts w:eastAsiaTheme="minorEastAsia"/>
                <w:color w:val="FFFFFF"/>
                <w:sz w:val="20"/>
                <w:szCs w:val="20"/>
                <w:lang w:eastAsia="en-AU"/>
              </w:rPr>
            </w:pPr>
            <w:r w:rsidRPr="00B03906">
              <w:rPr>
                <w:rFonts w:eastAsiaTheme="minorEastAsia"/>
                <w:color w:val="FFFFFF"/>
                <w:sz w:val="20"/>
                <w:szCs w:val="20"/>
                <w:lang w:eastAsia="en-AU"/>
              </w:rPr>
              <w:t>Transportation and Communication</w:t>
            </w:r>
          </w:p>
        </w:tc>
        <w:tc>
          <w:tcPr>
            <w:tcW w:w="1530" w:type="dxa"/>
            <w:tcBorders>
              <w:top w:val="single" w:sz="6" w:space="0" w:color="000000"/>
              <w:left w:val="nil"/>
              <w:bottom w:val="single" w:sz="6" w:space="0" w:color="000000"/>
              <w:right w:val="nil"/>
            </w:tcBorders>
            <w:shd w:val="clear" w:color="000000" w:fill="000000"/>
            <w:vAlign w:val="bottom"/>
          </w:tcPr>
          <w:p w:rsidR="00336793" w:rsidRPr="00B03906" w:rsidRDefault="00336793" w:rsidP="00DF0B96">
            <w:pPr>
              <w:pStyle w:val="Tabletextheading"/>
              <w:rPr>
                <w:rFonts w:eastAsiaTheme="minorEastAsia"/>
                <w:color w:val="FFFFFF"/>
                <w:sz w:val="20"/>
                <w:szCs w:val="20"/>
                <w:lang w:eastAsia="en-AU"/>
              </w:rPr>
            </w:pPr>
            <w:r w:rsidRPr="00B03906">
              <w:rPr>
                <w:rFonts w:eastAsiaTheme="minorEastAsia"/>
                <w:color w:val="FFFFFF"/>
                <w:sz w:val="20"/>
                <w:szCs w:val="20"/>
                <w:lang w:eastAsia="en-AU"/>
              </w:rPr>
              <w:t>Public Safety and Environment</w:t>
            </w:r>
          </w:p>
        </w:tc>
        <w:tc>
          <w:tcPr>
            <w:tcW w:w="1053" w:type="dxa"/>
            <w:tcBorders>
              <w:top w:val="single" w:sz="6" w:space="0" w:color="000000"/>
              <w:left w:val="nil"/>
              <w:bottom w:val="single" w:sz="6" w:space="0" w:color="000000"/>
              <w:right w:val="single" w:sz="6" w:space="0" w:color="000000"/>
            </w:tcBorders>
            <w:shd w:val="clear" w:color="000000" w:fill="000000"/>
            <w:vAlign w:val="bottom"/>
          </w:tcPr>
          <w:p w:rsidR="00336793" w:rsidRPr="00B03906" w:rsidRDefault="00336793" w:rsidP="00DF0B96">
            <w:pPr>
              <w:pStyle w:val="Tabletextheading"/>
              <w:rPr>
                <w:rFonts w:eastAsiaTheme="minorEastAsia"/>
                <w:color w:val="FFFFFF"/>
                <w:sz w:val="20"/>
                <w:szCs w:val="20"/>
                <w:lang w:eastAsia="en-AU"/>
              </w:rPr>
            </w:pPr>
            <w:r w:rsidRPr="00B03906">
              <w:rPr>
                <w:rFonts w:eastAsiaTheme="minorEastAsia"/>
                <w:color w:val="FFFFFF"/>
                <w:sz w:val="20"/>
                <w:szCs w:val="20"/>
                <w:lang w:eastAsia="en-AU"/>
              </w:rPr>
              <w:t>Total</w:t>
            </w:r>
          </w:p>
        </w:tc>
      </w:tr>
      <w:tr w:rsidR="00336793" w:rsidRPr="00B03906" w:rsidTr="00DF0B96">
        <w:tc>
          <w:tcPr>
            <w:tcW w:w="5237" w:type="dxa"/>
            <w:tcBorders>
              <w:top w:val="single" w:sz="6" w:space="0" w:color="000000"/>
              <w:left w:val="nil"/>
              <w:bottom w:val="nil"/>
              <w:right w:val="nil"/>
            </w:tcBorders>
          </w:tcPr>
          <w:p w:rsidR="00336793" w:rsidRPr="00B03906" w:rsidRDefault="00336793" w:rsidP="00DF0B96">
            <w:pPr>
              <w:pStyle w:val="Tabletext"/>
              <w:rPr>
                <w:rFonts w:eastAsiaTheme="minorEastAsia"/>
                <w:sz w:val="20"/>
                <w:szCs w:val="20"/>
                <w:lang w:eastAsia="en-AU"/>
              </w:rPr>
            </w:pPr>
            <w:r w:rsidRPr="00B03906">
              <w:rPr>
                <w:rFonts w:eastAsiaTheme="minorEastAsia"/>
                <w:sz w:val="20"/>
                <w:szCs w:val="20"/>
                <w:lang w:eastAsia="en-AU"/>
              </w:rPr>
              <w:t>Buildings</w:t>
            </w:r>
          </w:p>
        </w:tc>
        <w:tc>
          <w:tcPr>
            <w:tcW w:w="1440" w:type="dxa"/>
            <w:tcBorders>
              <w:top w:val="single" w:sz="6" w:space="0" w:color="000000"/>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1 670.7</w:t>
            </w:r>
          </w:p>
        </w:tc>
        <w:tc>
          <w:tcPr>
            <w:tcW w:w="1126" w:type="dxa"/>
            <w:tcBorders>
              <w:top w:val="single" w:sz="6" w:space="0" w:color="000000"/>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9 956.2</w:t>
            </w:r>
          </w:p>
        </w:tc>
        <w:tc>
          <w:tcPr>
            <w:tcW w:w="1283" w:type="dxa"/>
            <w:tcBorders>
              <w:top w:val="single" w:sz="6" w:space="0" w:color="000000"/>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9 201.7</w:t>
            </w:r>
          </w:p>
        </w:tc>
        <w:tc>
          <w:tcPr>
            <w:tcW w:w="1191" w:type="dxa"/>
            <w:tcBorders>
              <w:top w:val="single" w:sz="6" w:space="0" w:color="000000"/>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8 695.7</w:t>
            </w:r>
          </w:p>
        </w:tc>
        <w:tc>
          <w:tcPr>
            <w:tcW w:w="1710" w:type="dxa"/>
            <w:tcBorders>
              <w:top w:val="single" w:sz="6" w:space="0" w:color="000000"/>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5 875.1</w:t>
            </w:r>
          </w:p>
        </w:tc>
        <w:tc>
          <w:tcPr>
            <w:tcW w:w="1530" w:type="dxa"/>
            <w:tcBorders>
              <w:top w:val="single" w:sz="6" w:space="0" w:color="000000"/>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7 642.0</w:t>
            </w:r>
          </w:p>
        </w:tc>
        <w:tc>
          <w:tcPr>
            <w:tcW w:w="1053" w:type="dxa"/>
            <w:tcBorders>
              <w:top w:val="single" w:sz="6" w:space="0" w:color="000000"/>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43 041.4</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szCs w:val="20"/>
                <w:lang w:eastAsia="en-AU"/>
              </w:rPr>
            </w:pPr>
            <w:r w:rsidRPr="00B03906">
              <w:rPr>
                <w:rFonts w:eastAsiaTheme="minorEastAsia"/>
                <w:sz w:val="20"/>
                <w:szCs w:val="20"/>
                <w:lang w:eastAsia="en-AU"/>
              </w:rPr>
              <w:t>Land and national parks</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1 488.1</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8 366.6</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2 279.0</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12 003.4</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25 834.4</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12 536.0</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62 507.5</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szCs w:val="20"/>
                <w:lang w:eastAsia="en-AU"/>
              </w:rPr>
            </w:pPr>
            <w:r w:rsidRPr="00B03906">
              <w:rPr>
                <w:rFonts w:eastAsiaTheme="minorEastAsia"/>
                <w:sz w:val="20"/>
                <w:szCs w:val="20"/>
                <w:lang w:eastAsia="en-AU"/>
              </w:rPr>
              <w:t>Buildings leasehold</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87.1</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208.0</w:t>
            </w:r>
          </w:p>
        </w:tc>
        <w:tc>
          <w:tcPr>
            <w:tcW w:w="1283" w:type="dxa"/>
            <w:tcBorders>
              <w:top w:val="nil"/>
              <w:left w:val="nil"/>
              <w:bottom w:val="nil"/>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sz w:val="20"/>
                <w:szCs w:val="20"/>
                <w:lang w:eastAsia="en-AU"/>
              </w:rPr>
              <w:t>1 387.3</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3.3</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39.9</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806.8</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2 532.4</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szCs w:val="20"/>
                <w:lang w:eastAsia="en-AU"/>
              </w:rPr>
            </w:pPr>
            <w:r w:rsidRPr="00B03906">
              <w:rPr>
                <w:rFonts w:eastAsiaTheme="minorEastAsia"/>
                <w:sz w:val="20"/>
                <w:szCs w:val="20"/>
                <w:lang w:eastAsia="en-AU"/>
              </w:rPr>
              <w:t xml:space="preserve">Infrastructure systems </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58.0</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17 219.3</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34 704.2</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51 981.5</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szCs w:val="20"/>
                <w:lang w:eastAsia="en-AU"/>
              </w:rPr>
            </w:pPr>
            <w:r w:rsidRPr="00B03906">
              <w:rPr>
                <w:rFonts w:eastAsiaTheme="minorEastAsia"/>
                <w:sz w:val="20"/>
                <w:szCs w:val="20"/>
                <w:lang w:eastAsia="en-AU"/>
              </w:rPr>
              <w:t>Leased infrastructure system</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2.5</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4 553.6</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4 556.1</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cs="Calibri"/>
                <w:sz w:val="20"/>
                <w:szCs w:val="20"/>
                <w:lang w:eastAsia="en-AU"/>
              </w:rPr>
            </w:pPr>
            <w:r w:rsidRPr="00B03906">
              <w:rPr>
                <w:rFonts w:eastAsiaTheme="minorEastAsia"/>
                <w:sz w:val="20"/>
                <w:szCs w:val="20"/>
                <w:lang w:eastAsia="en-AU"/>
              </w:rPr>
              <w:t>Plant, equipment and vehicles</w:t>
            </w:r>
            <w:r w:rsidRPr="00B03906">
              <w:rPr>
                <w:rFonts w:eastAsiaTheme="minorEastAsia" w:cs="Calibri"/>
                <w:sz w:val="20"/>
                <w:szCs w:val="20"/>
                <w:lang w:eastAsia="en-AU"/>
              </w:rPr>
              <w:t xml:space="preserve"> </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526.1</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264.8</w:t>
            </w:r>
          </w:p>
        </w:tc>
        <w:tc>
          <w:tcPr>
            <w:tcW w:w="1283" w:type="dxa"/>
            <w:tcBorders>
              <w:top w:val="nil"/>
              <w:left w:val="nil"/>
              <w:bottom w:val="nil"/>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sz w:val="20"/>
                <w:szCs w:val="20"/>
                <w:lang w:eastAsia="en-AU"/>
              </w:rPr>
              <w:t>1 028.7</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0.3</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3 581.6</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1 057.7</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6 459.2</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cs="Calibri"/>
                <w:sz w:val="20"/>
                <w:szCs w:val="20"/>
                <w:lang w:eastAsia="en-AU"/>
              </w:rPr>
            </w:pPr>
            <w:r w:rsidRPr="00B03906">
              <w:rPr>
                <w:rFonts w:eastAsiaTheme="minorEastAsia"/>
                <w:sz w:val="20"/>
                <w:szCs w:val="20"/>
                <w:lang w:eastAsia="en-AU"/>
              </w:rPr>
              <w:t xml:space="preserve">Leased </w:t>
            </w:r>
            <w:r w:rsidRPr="00B03906">
              <w:rPr>
                <w:rFonts w:eastAsiaTheme="minorEastAsia" w:cs="Calibri"/>
                <w:sz w:val="20"/>
                <w:szCs w:val="20"/>
                <w:lang w:eastAsia="en-AU"/>
              </w:rPr>
              <w:t>plant, equipment and vehicles</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3.7</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49.1</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1 026.7</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20.8</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1 100.3</w:t>
            </w:r>
          </w:p>
        </w:tc>
      </w:tr>
      <w:tr w:rsidR="00336793" w:rsidRPr="00B03906" w:rsidTr="00DF0B96">
        <w:tc>
          <w:tcPr>
            <w:tcW w:w="5237" w:type="dxa"/>
            <w:tcBorders>
              <w:top w:val="nil"/>
              <w:left w:val="nil"/>
              <w:right w:val="nil"/>
            </w:tcBorders>
          </w:tcPr>
          <w:p w:rsidR="00336793" w:rsidRPr="00B03906" w:rsidRDefault="00336793" w:rsidP="00DF0B96">
            <w:pPr>
              <w:pStyle w:val="Tabletext"/>
              <w:rPr>
                <w:rFonts w:eastAsiaTheme="minorEastAsia" w:cs="Calibri"/>
                <w:sz w:val="20"/>
                <w:szCs w:val="20"/>
                <w:lang w:eastAsia="en-AU"/>
              </w:rPr>
            </w:pPr>
            <w:r w:rsidRPr="00B03906">
              <w:rPr>
                <w:rFonts w:eastAsiaTheme="minorEastAsia"/>
                <w:sz w:val="20"/>
                <w:szCs w:val="20"/>
                <w:lang w:eastAsia="en-AU"/>
              </w:rPr>
              <w:t>Roads and road</w:t>
            </w:r>
            <w:r w:rsidRPr="00B03906">
              <w:rPr>
                <w:rFonts w:eastAsiaTheme="minorEastAsia" w:cs="Calibri"/>
                <w:sz w:val="20"/>
                <w:szCs w:val="20"/>
                <w:lang w:eastAsia="en-AU"/>
              </w:rPr>
              <w:t xml:space="preserve"> infrastructure</w:t>
            </w:r>
          </w:p>
        </w:tc>
        <w:tc>
          <w:tcPr>
            <w:tcW w:w="1440" w:type="dxa"/>
            <w:tcBorders>
              <w:top w:val="nil"/>
              <w:left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 xml:space="preserve"> 17.3</w:t>
            </w:r>
          </w:p>
        </w:tc>
        <w:tc>
          <w:tcPr>
            <w:tcW w:w="1126" w:type="dxa"/>
            <w:tcBorders>
              <w:top w:val="nil"/>
              <w:left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283" w:type="dxa"/>
            <w:tcBorders>
              <w:top w:val="nil"/>
              <w:left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191" w:type="dxa"/>
            <w:tcBorders>
              <w:top w:val="nil"/>
              <w:left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w:t>
            </w:r>
          </w:p>
        </w:tc>
        <w:tc>
          <w:tcPr>
            <w:tcW w:w="1710" w:type="dxa"/>
            <w:tcBorders>
              <w:top w:val="nil"/>
              <w:left w:val="nil"/>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sz w:val="20"/>
                <w:szCs w:val="20"/>
                <w:lang w:eastAsia="en-AU"/>
              </w:rPr>
              <w:t>19 802.1</w:t>
            </w:r>
          </w:p>
        </w:tc>
        <w:tc>
          <w:tcPr>
            <w:tcW w:w="1530" w:type="dxa"/>
            <w:tcBorders>
              <w:top w:val="nil"/>
              <w:left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1 142.6</w:t>
            </w:r>
          </w:p>
        </w:tc>
        <w:tc>
          <w:tcPr>
            <w:tcW w:w="1053" w:type="dxa"/>
            <w:tcBorders>
              <w:top w:val="nil"/>
              <w:left w:val="nil"/>
              <w:right w:val="nil"/>
            </w:tcBorders>
          </w:tcPr>
          <w:p w:rsidR="00336793" w:rsidRPr="00B03906" w:rsidRDefault="00336793" w:rsidP="00DF0B96">
            <w:pPr>
              <w:pStyle w:val="TableofFigures"/>
              <w:rPr>
                <w:rFonts w:eastAsiaTheme="minorEastAsia"/>
                <w:sz w:val="20"/>
                <w:szCs w:val="20"/>
                <w:lang w:eastAsia="en-AU"/>
              </w:rPr>
            </w:pPr>
            <w:r w:rsidRPr="00B03906">
              <w:rPr>
                <w:rFonts w:eastAsiaTheme="minorEastAsia"/>
                <w:sz w:val="20"/>
                <w:szCs w:val="20"/>
                <w:lang w:eastAsia="en-AU"/>
              </w:rPr>
              <w:t>20 962.0</w:t>
            </w:r>
          </w:p>
        </w:tc>
      </w:tr>
      <w:tr w:rsidR="00336793" w:rsidRPr="00B03906" w:rsidTr="00DF0B96">
        <w:tc>
          <w:tcPr>
            <w:tcW w:w="5237" w:type="dxa"/>
            <w:tcBorders>
              <w:left w:val="nil"/>
              <w:right w:val="nil"/>
            </w:tcBorders>
            <w:shd w:val="clear" w:color="auto" w:fill="auto"/>
          </w:tcPr>
          <w:p w:rsidR="00336793" w:rsidRPr="00B03906" w:rsidRDefault="00336793" w:rsidP="00DF0B96">
            <w:pPr>
              <w:pStyle w:val="Tabletext"/>
              <w:rPr>
                <w:rFonts w:eastAsiaTheme="minorEastAsia"/>
                <w:bCs/>
                <w:sz w:val="20"/>
                <w:szCs w:val="20"/>
                <w:lang w:eastAsia="en-AU"/>
              </w:rPr>
            </w:pPr>
            <w:r w:rsidRPr="00B03906">
              <w:rPr>
                <w:rFonts w:eastAsiaTheme="minorEastAsia"/>
                <w:bCs/>
                <w:sz w:val="20"/>
                <w:szCs w:val="20"/>
                <w:lang w:eastAsia="en-AU"/>
              </w:rPr>
              <w:t>Leased roads and roads infrastructure</w:t>
            </w:r>
          </w:p>
        </w:tc>
        <w:tc>
          <w:tcPr>
            <w:tcW w:w="1440" w:type="dxa"/>
            <w:tcBorders>
              <w:left w:val="nil"/>
              <w:right w:val="nil"/>
            </w:tcBorders>
            <w:shd w:val="clear" w:color="auto" w:fill="auto"/>
          </w:tcPr>
          <w:p w:rsidR="00336793" w:rsidRPr="00B03906" w:rsidRDefault="00336793" w:rsidP="00DF0B96">
            <w:pPr>
              <w:pStyle w:val="TableofFigures"/>
              <w:rPr>
                <w:rFonts w:eastAsiaTheme="minorEastAsia"/>
                <w:bCs/>
                <w:sz w:val="20"/>
                <w:szCs w:val="20"/>
                <w:lang w:eastAsia="en-AU"/>
              </w:rPr>
            </w:pPr>
            <w:r w:rsidRPr="00B03906">
              <w:rPr>
                <w:rFonts w:eastAsiaTheme="minorEastAsia"/>
                <w:bCs/>
                <w:sz w:val="20"/>
                <w:szCs w:val="20"/>
                <w:lang w:eastAsia="en-AU"/>
              </w:rPr>
              <w:t>..</w:t>
            </w:r>
          </w:p>
        </w:tc>
        <w:tc>
          <w:tcPr>
            <w:tcW w:w="1126" w:type="dxa"/>
            <w:tcBorders>
              <w:left w:val="nil"/>
              <w:right w:val="nil"/>
            </w:tcBorders>
            <w:shd w:val="clear" w:color="auto" w:fill="auto"/>
          </w:tcPr>
          <w:p w:rsidR="00336793" w:rsidRPr="00B03906" w:rsidRDefault="00336793" w:rsidP="00DF0B96">
            <w:pPr>
              <w:pStyle w:val="TableofFigures"/>
              <w:rPr>
                <w:rFonts w:eastAsiaTheme="minorEastAsia"/>
                <w:bCs/>
                <w:sz w:val="20"/>
                <w:szCs w:val="20"/>
                <w:lang w:eastAsia="en-AU"/>
              </w:rPr>
            </w:pPr>
            <w:r w:rsidRPr="00B03906">
              <w:rPr>
                <w:rFonts w:eastAsiaTheme="minorEastAsia"/>
                <w:bCs/>
                <w:sz w:val="20"/>
                <w:szCs w:val="20"/>
                <w:lang w:eastAsia="en-AU"/>
              </w:rPr>
              <w:t>..</w:t>
            </w:r>
          </w:p>
        </w:tc>
        <w:tc>
          <w:tcPr>
            <w:tcW w:w="1283" w:type="dxa"/>
            <w:tcBorders>
              <w:left w:val="nil"/>
              <w:right w:val="nil"/>
            </w:tcBorders>
            <w:shd w:val="clear" w:color="auto" w:fill="auto"/>
          </w:tcPr>
          <w:p w:rsidR="00336793" w:rsidRPr="00B03906" w:rsidRDefault="00336793" w:rsidP="00DF0B96">
            <w:pPr>
              <w:pStyle w:val="TableofFigures"/>
              <w:rPr>
                <w:rFonts w:eastAsiaTheme="minorEastAsia"/>
                <w:bCs/>
                <w:sz w:val="20"/>
                <w:szCs w:val="20"/>
                <w:lang w:eastAsia="en-AU"/>
              </w:rPr>
            </w:pPr>
            <w:r w:rsidRPr="00B03906">
              <w:rPr>
                <w:rFonts w:eastAsiaTheme="minorEastAsia"/>
                <w:bCs/>
                <w:sz w:val="20"/>
                <w:szCs w:val="20"/>
                <w:lang w:eastAsia="en-AU"/>
              </w:rPr>
              <w:t>..</w:t>
            </w:r>
          </w:p>
        </w:tc>
        <w:tc>
          <w:tcPr>
            <w:tcW w:w="1191" w:type="dxa"/>
            <w:tcBorders>
              <w:left w:val="nil"/>
              <w:right w:val="nil"/>
            </w:tcBorders>
            <w:shd w:val="clear" w:color="auto" w:fill="auto"/>
          </w:tcPr>
          <w:p w:rsidR="00336793" w:rsidRPr="00B03906" w:rsidRDefault="00336793" w:rsidP="00DF0B96">
            <w:pPr>
              <w:pStyle w:val="TableofFigures"/>
              <w:rPr>
                <w:rFonts w:eastAsiaTheme="minorEastAsia"/>
                <w:bCs/>
                <w:sz w:val="20"/>
                <w:szCs w:val="20"/>
                <w:lang w:eastAsia="en-AU"/>
              </w:rPr>
            </w:pPr>
            <w:r w:rsidRPr="00B03906">
              <w:rPr>
                <w:rFonts w:eastAsiaTheme="minorEastAsia"/>
                <w:bCs/>
                <w:sz w:val="20"/>
                <w:szCs w:val="20"/>
                <w:lang w:eastAsia="en-AU"/>
              </w:rPr>
              <w:t>..</w:t>
            </w:r>
          </w:p>
        </w:tc>
        <w:tc>
          <w:tcPr>
            <w:tcW w:w="1710" w:type="dxa"/>
            <w:tcBorders>
              <w:left w:val="nil"/>
              <w:right w:val="nil"/>
            </w:tcBorders>
            <w:shd w:val="clear" w:color="auto" w:fill="auto"/>
          </w:tcPr>
          <w:p w:rsidR="00336793" w:rsidRPr="00B03906" w:rsidRDefault="00336793" w:rsidP="00DF0B96">
            <w:pPr>
              <w:pStyle w:val="TableofFigures"/>
              <w:rPr>
                <w:rFonts w:eastAsiaTheme="minorEastAsia"/>
                <w:bCs/>
                <w:sz w:val="20"/>
                <w:szCs w:val="20"/>
                <w:lang w:eastAsia="en-AU"/>
              </w:rPr>
            </w:pPr>
            <w:r w:rsidRPr="00B03906">
              <w:rPr>
                <w:rFonts w:eastAsiaTheme="minorEastAsia"/>
                <w:bCs/>
                <w:sz w:val="20"/>
                <w:szCs w:val="20"/>
                <w:lang w:eastAsia="en-AU"/>
              </w:rPr>
              <w:t xml:space="preserve"> 584.3</w:t>
            </w:r>
          </w:p>
        </w:tc>
        <w:tc>
          <w:tcPr>
            <w:tcW w:w="1530" w:type="dxa"/>
            <w:tcBorders>
              <w:left w:val="nil"/>
              <w:right w:val="nil"/>
            </w:tcBorders>
            <w:shd w:val="clear" w:color="auto" w:fill="auto"/>
          </w:tcPr>
          <w:p w:rsidR="00336793" w:rsidRPr="00B03906" w:rsidRDefault="00336793" w:rsidP="00DF0B96">
            <w:pPr>
              <w:pStyle w:val="TableofFigures"/>
              <w:rPr>
                <w:rFonts w:eastAsiaTheme="minorEastAsia"/>
                <w:bCs/>
                <w:sz w:val="20"/>
                <w:szCs w:val="20"/>
                <w:lang w:eastAsia="en-AU"/>
              </w:rPr>
            </w:pPr>
            <w:r w:rsidRPr="00B03906">
              <w:rPr>
                <w:rFonts w:eastAsiaTheme="minorEastAsia"/>
                <w:bCs/>
                <w:sz w:val="20"/>
                <w:szCs w:val="20"/>
                <w:lang w:eastAsia="en-AU"/>
              </w:rPr>
              <w:t>..</w:t>
            </w:r>
          </w:p>
        </w:tc>
        <w:tc>
          <w:tcPr>
            <w:tcW w:w="1053" w:type="dxa"/>
            <w:tcBorders>
              <w:left w:val="nil"/>
              <w:right w:val="nil"/>
            </w:tcBorders>
            <w:shd w:val="clear" w:color="auto" w:fill="auto"/>
          </w:tcPr>
          <w:p w:rsidR="00336793" w:rsidRPr="00B03906" w:rsidRDefault="00336793" w:rsidP="00DF0B96">
            <w:pPr>
              <w:pStyle w:val="TableofFigures"/>
              <w:rPr>
                <w:rFonts w:eastAsiaTheme="minorEastAsia"/>
                <w:bCs/>
                <w:sz w:val="20"/>
                <w:szCs w:val="20"/>
                <w:lang w:eastAsia="en-AU"/>
              </w:rPr>
            </w:pPr>
            <w:r w:rsidRPr="00B03906">
              <w:rPr>
                <w:rFonts w:eastAsiaTheme="minorEastAsia"/>
                <w:bCs/>
                <w:sz w:val="20"/>
                <w:szCs w:val="20"/>
                <w:lang w:eastAsia="en-AU"/>
              </w:rPr>
              <w:t xml:space="preserve"> 584.3</w:t>
            </w:r>
          </w:p>
        </w:tc>
      </w:tr>
      <w:tr w:rsidR="00336793" w:rsidRPr="00B03906" w:rsidTr="00DF0B96">
        <w:tc>
          <w:tcPr>
            <w:tcW w:w="5237" w:type="dxa"/>
            <w:tcBorders>
              <w:left w:val="nil"/>
              <w:bottom w:val="nil"/>
              <w:right w:val="nil"/>
            </w:tcBorders>
          </w:tcPr>
          <w:p w:rsidR="00336793" w:rsidRPr="00B03906" w:rsidRDefault="00336793" w:rsidP="00DF0B96">
            <w:pPr>
              <w:pStyle w:val="Tabletext"/>
              <w:rPr>
                <w:rFonts w:eastAsiaTheme="minorEastAsia" w:cs="Calibri"/>
                <w:sz w:val="20"/>
                <w:szCs w:val="20"/>
                <w:lang w:eastAsia="en-AU"/>
              </w:rPr>
            </w:pPr>
            <w:r w:rsidRPr="00B03906">
              <w:rPr>
                <w:rFonts w:eastAsiaTheme="minorEastAsia" w:cs="Calibri"/>
                <w:sz w:val="20"/>
                <w:szCs w:val="20"/>
                <w:lang w:eastAsia="en-AU"/>
              </w:rPr>
              <w:t>Earthworks</w:t>
            </w:r>
          </w:p>
        </w:tc>
        <w:tc>
          <w:tcPr>
            <w:tcW w:w="1440" w:type="dxa"/>
            <w:tcBorders>
              <w:left w:val="nil"/>
              <w:bottom w:val="nil"/>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cs="Calibri"/>
                <w:sz w:val="20"/>
                <w:szCs w:val="20"/>
                <w:lang w:eastAsia="en-AU"/>
              </w:rPr>
              <w:t xml:space="preserve"> 4.4</w:t>
            </w:r>
          </w:p>
        </w:tc>
        <w:tc>
          <w:tcPr>
            <w:tcW w:w="1126" w:type="dxa"/>
            <w:tcBorders>
              <w:left w:val="nil"/>
              <w:bottom w:val="nil"/>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cs="Calibri"/>
                <w:sz w:val="20"/>
                <w:szCs w:val="20"/>
                <w:lang w:eastAsia="en-AU"/>
              </w:rPr>
              <w:t>..</w:t>
            </w:r>
          </w:p>
        </w:tc>
        <w:tc>
          <w:tcPr>
            <w:tcW w:w="1283" w:type="dxa"/>
            <w:tcBorders>
              <w:left w:val="nil"/>
              <w:bottom w:val="nil"/>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cs="Calibri"/>
                <w:sz w:val="20"/>
                <w:szCs w:val="20"/>
                <w:lang w:eastAsia="en-AU"/>
              </w:rPr>
              <w:t>..</w:t>
            </w:r>
          </w:p>
        </w:tc>
        <w:tc>
          <w:tcPr>
            <w:tcW w:w="1191" w:type="dxa"/>
            <w:tcBorders>
              <w:left w:val="nil"/>
              <w:bottom w:val="nil"/>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cs="Calibri"/>
                <w:sz w:val="20"/>
                <w:szCs w:val="20"/>
                <w:lang w:eastAsia="en-AU"/>
              </w:rPr>
              <w:t>..</w:t>
            </w:r>
          </w:p>
        </w:tc>
        <w:tc>
          <w:tcPr>
            <w:tcW w:w="1710" w:type="dxa"/>
            <w:tcBorders>
              <w:left w:val="nil"/>
              <w:bottom w:val="nil"/>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cs="Calibri"/>
                <w:sz w:val="20"/>
                <w:szCs w:val="20"/>
                <w:lang w:eastAsia="en-AU"/>
              </w:rPr>
              <w:t>7 689.8</w:t>
            </w:r>
          </w:p>
        </w:tc>
        <w:tc>
          <w:tcPr>
            <w:tcW w:w="1530" w:type="dxa"/>
            <w:tcBorders>
              <w:left w:val="nil"/>
              <w:bottom w:val="nil"/>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cs="Calibri"/>
                <w:sz w:val="20"/>
                <w:szCs w:val="20"/>
                <w:lang w:eastAsia="en-AU"/>
              </w:rPr>
              <w:t>..</w:t>
            </w:r>
          </w:p>
        </w:tc>
        <w:tc>
          <w:tcPr>
            <w:tcW w:w="1053" w:type="dxa"/>
            <w:tcBorders>
              <w:left w:val="nil"/>
              <w:bottom w:val="nil"/>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cs="Calibri"/>
                <w:sz w:val="20"/>
                <w:szCs w:val="20"/>
                <w:lang w:eastAsia="en-AU"/>
              </w:rPr>
              <w:t>7 694.2</w:t>
            </w:r>
          </w:p>
        </w:tc>
      </w:tr>
      <w:tr w:rsidR="00336793" w:rsidRPr="00B03906" w:rsidTr="00DF0B96">
        <w:tc>
          <w:tcPr>
            <w:tcW w:w="5237" w:type="dxa"/>
            <w:tcBorders>
              <w:top w:val="nil"/>
              <w:left w:val="nil"/>
              <w:bottom w:val="single" w:sz="6" w:space="0" w:color="auto"/>
              <w:right w:val="nil"/>
            </w:tcBorders>
          </w:tcPr>
          <w:p w:rsidR="00336793" w:rsidRPr="00B03906" w:rsidRDefault="00336793" w:rsidP="00DF0B96">
            <w:pPr>
              <w:pStyle w:val="Tabletext"/>
              <w:rPr>
                <w:rFonts w:eastAsiaTheme="minorEastAsia" w:cs="Calibri"/>
                <w:sz w:val="20"/>
                <w:szCs w:val="20"/>
                <w:lang w:eastAsia="en-AU"/>
              </w:rPr>
            </w:pPr>
            <w:r w:rsidRPr="00B03906">
              <w:rPr>
                <w:rFonts w:eastAsiaTheme="minorEastAsia" w:cs="Calibri"/>
                <w:sz w:val="20"/>
                <w:szCs w:val="20"/>
                <w:lang w:eastAsia="en-AU"/>
              </w:rPr>
              <w:t>Cultural assets</w:t>
            </w:r>
          </w:p>
        </w:tc>
        <w:tc>
          <w:tcPr>
            <w:tcW w:w="1440"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cs="Calibri"/>
                <w:sz w:val="20"/>
                <w:szCs w:val="20"/>
                <w:lang w:eastAsia="en-AU"/>
              </w:rPr>
              <w:t xml:space="preserve"> 315.4</w:t>
            </w:r>
          </w:p>
        </w:tc>
        <w:tc>
          <w:tcPr>
            <w:tcW w:w="1126"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cs="Calibri"/>
                <w:sz w:val="20"/>
                <w:szCs w:val="20"/>
                <w:lang w:eastAsia="en-AU"/>
              </w:rPr>
              <w:t xml:space="preserve"> 3.6</w:t>
            </w:r>
          </w:p>
        </w:tc>
        <w:tc>
          <w:tcPr>
            <w:tcW w:w="1283"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cs="Calibri"/>
                <w:sz w:val="20"/>
                <w:szCs w:val="20"/>
                <w:lang w:eastAsia="en-AU"/>
              </w:rPr>
              <w:t xml:space="preserve"> 57.2</w:t>
            </w:r>
          </w:p>
        </w:tc>
        <w:tc>
          <w:tcPr>
            <w:tcW w:w="1191"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cs="Calibri"/>
                <w:sz w:val="20"/>
                <w:szCs w:val="20"/>
                <w:lang w:eastAsia="en-AU"/>
              </w:rPr>
              <w:t>..</w:t>
            </w:r>
          </w:p>
        </w:tc>
        <w:tc>
          <w:tcPr>
            <w:tcW w:w="1710"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cs="Calibri"/>
                <w:sz w:val="20"/>
                <w:szCs w:val="20"/>
                <w:lang w:eastAsia="en-AU"/>
              </w:rPr>
              <w:t xml:space="preserve"> 2.5</w:t>
            </w:r>
          </w:p>
        </w:tc>
        <w:tc>
          <w:tcPr>
            <w:tcW w:w="1530"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cs="Calibri"/>
                <w:sz w:val="20"/>
                <w:szCs w:val="20"/>
                <w:lang w:eastAsia="en-AU"/>
              </w:rPr>
              <w:t>5 175.3</w:t>
            </w:r>
          </w:p>
        </w:tc>
        <w:tc>
          <w:tcPr>
            <w:tcW w:w="1053"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sz w:val="20"/>
                <w:szCs w:val="20"/>
                <w:lang w:eastAsia="en-AU"/>
              </w:rPr>
            </w:pPr>
            <w:r w:rsidRPr="00B03906">
              <w:rPr>
                <w:rFonts w:eastAsiaTheme="minorEastAsia" w:cs="Calibri"/>
                <w:sz w:val="20"/>
                <w:szCs w:val="20"/>
                <w:lang w:eastAsia="en-AU"/>
              </w:rPr>
              <w:t>5 554.0</w:t>
            </w:r>
          </w:p>
        </w:tc>
      </w:tr>
      <w:tr w:rsidR="00336793" w:rsidRPr="00B03906" w:rsidTr="00DF0B96">
        <w:tc>
          <w:tcPr>
            <w:tcW w:w="5237"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text"/>
              <w:rPr>
                <w:rFonts w:eastAsiaTheme="minorEastAsia" w:cs="Calibri"/>
                <w:b/>
                <w:bCs/>
                <w:sz w:val="20"/>
                <w:szCs w:val="20"/>
                <w:lang w:eastAsia="en-AU"/>
              </w:rPr>
            </w:pPr>
            <w:r w:rsidRPr="00B03906">
              <w:rPr>
                <w:rFonts w:eastAsiaTheme="minorEastAsia" w:cs="Calibri"/>
                <w:b/>
                <w:bCs/>
                <w:sz w:val="20"/>
                <w:szCs w:val="20"/>
                <w:lang w:eastAsia="en-AU"/>
              </w:rPr>
              <w:t>Total land, buildings, infrastructure, plant and equipment</w:t>
            </w:r>
          </w:p>
        </w:tc>
        <w:tc>
          <w:tcPr>
            <w:tcW w:w="144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cs="Calibri"/>
                <w:b/>
                <w:bCs/>
                <w:sz w:val="20"/>
                <w:szCs w:val="20"/>
                <w:lang w:eastAsia="en-AU"/>
              </w:rPr>
            </w:pPr>
            <w:r w:rsidRPr="00B03906">
              <w:rPr>
                <w:rFonts w:eastAsiaTheme="minorEastAsia" w:cs="Calibri"/>
                <w:b/>
                <w:bCs/>
                <w:sz w:val="20"/>
                <w:szCs w:val="20"/>
                <w:lang w:eastAsia="en-AU"/>
              </w:rPr>
              <w:t>4 167.1</w:t>
            </w:r>
          </w:p>
        </w:tc>
        <w:tc>
          <w:tcPr>
            <w:tcW w:w="1126"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cs="Calibri"/>
                <w:b/>
                <w:bCs/>
                <w:sz w:val="20"/>
                <w:szCs w:val="20"/>
                <w:lang w:eastAsia="en-AU"/>
              </w:rPr>
            </w:pPr>
            <w:r w:rsidRPr="00B03906">
              <w:rPr>
                <w:rFonts w:eastAsiaTheme="minorEastAsia" w:cs="Calibri"/>
                <w:b/>
                <w:bCs/>
                <w:sz w:val="20"/>
                <w:szCs w:val="20"/>
                <w:lang w:eastAsia="en-AU"/>
              </w:rPr>
              <w:t>18 803.0</w:t>
            </w:r>
          </w:p>
        </w:tc>
        <w:tc>
          <w:tcPr>
            <w:tcW w:w="1283"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cs="Calibri"/>
                <w:b/>
                <w:bCs/>
                <w:sz w:val="20"/>
                <w:szCs w:val="20"/>
                <w:lang w:eastAsia="en-AU"/>
              </w:rPr>
            </w:pPr>
            <w:r w:rsidRPr="00B03906">
              <w:rPr>
                <w:rFonts w:eastAsiaTheme="minorEastAsia" w:cs="Calibri"/>
                <w:b/>
                <w:bCs/>
                <w:sz w:val="20"/>
                <w:szCs w:val="20"/>
                <w:lang w:eastAsia="en-AU"/>
              </w:rPr>
              <w:t>14 003.0</w:t>
            </w:r>
          </w:p>
        </w:tc>
        <w:tc>
          <w:tcPr>
            <w:tcW w:w="1191"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cs="Calibri"/>
                <w:b/>
                <w:bCs/>
                <w:sz w:val="20"/>
                <w:szCs w:val="20"/>
                <w:lang w:eastAsia="en-AU"/>
              </w:rPr>
            </w:pPr>
            <w:r w:rsidRPr="00B03906">
              <w:rPr>
                <w:rFonts w:eastAsiaTheme="minorEastAsia" w:cs="Calibri"/>
                <w:b/>
                <w:bCs/>
                <w:sz w:val="20"/>
                <w:szCs w:val="20"/>
                <w:lang w:eastAsia="en-AU"/>
              </w:rPr>
              <w:t>20 702.7</w:t>
            </w:r>
          </w:p>
        </w:tc>
        <w:tc>
          <w:tcPr>
            <w:tcW w:w="171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cs="Calibri"/>
                <w:b/>
                <w:bCs/>
                <w:sz w:val="20"/>
                <w:szCs w:val="20"/>
                <w:lang w:eastAsia="en-AU"/>
              </w:rPr>
            </w:pPr>
            <w:r w:rsidRPr="00B03906">
              <w:rPr>
                <w:rFonts w:eastAsiaTheme="minorEastAsia" w:cs="Calibri"/>
                <w:b/>
                <w:bCs/>
                <w:sz w:val="20"/>
                <w:szCs w:val="20"/>
                <w:lang w:eastAsia="en-AU"/>
              </w:rPr>
              <w:t>81 658.2</w:t>
            </w:r>
          </w:p>
        </w:tc>
        <w:tc>
          <w:tcPr>
            <w:tcW w:w="153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cs="Calibri"/>
                <w:b/>
                <w:bCs/>
                <w:sz w:val="20"/>
                <w:szCs w:val="20"/>
                <w:lang w:eastAsia="en-AU"/>
              </w:rPr>
            </w:pPr>
            <w:r w:rsidRPr="00B03906">
              <w:rPr>
                <w:rFonts w:eastAsiaTheme="minorEastAsia" w:cs="Calibri"/>
                <w:b/>
                <w:bCs/>
                <w:sz w:val="20"/>
                <w:szCs w:val="20"/>
                <w:lang w:eastAsia="en-AU"/>
              </w:rPr>
              <w:t>67 639.0</w:t>
            </w:r>
          </w:p>
        </w:tc>
        <w:tc>
          <w:tcPr>
            <w:tcW w:w="1053"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cs="Calibri"/>
                <w:b/>
                <w:bCs/>
                <w:sz w:val="20"/>
                <w:szCs w:val="20"/>
                <w:lang w:eastAsia="en-AU"/>
              </w:rPr>
            </w:pPr>
            <w:r w:rsidRPr="00B03906">
              <w:rPr>
                <w:rFonts w:eastAsiaTheme="minorEastAsia" w:cs="Calibri"/>
                <w:b/>
                <w:bCs/>
                <w:sz w:val="20"/>
                <w:szCs w:val="20"/>
                <w:lang w:eastAsia="en-AU"/>
              </w:rPr>
              <w:t>206 972.9</w:t>
            </w:r>
          </w:p>
        </w:tc>
      </w:tr>
    </w:tbl>
    <w:p w:rsidR="00336793" w:rsidRPr="00A10A3B" w:rsidRDefault="00336793" w:rsidP="00DF0B96">
      <w:pPr>
        <w:pStyle w:val="4ptline"/>
      </w:pPr>
    </w:p>
    <w:tbl>
      <w:tblPr>
        <w:tblW w:w="14570" w:type="dxa"/>
        <w:tblInd w:w="28" w:type="dxa"/>
        <w:tblLayout w:type="fixed"/>
        <w:tblCellMar>
          <w:left w:w="45" w:type="dxa"/>
          <w:right w:w="45" w:type="dxa"/>
        </w:tblCellMar>
        <w:tblLook w:val="0000" w:firstRow="0" w:lastRow="0" w:firstColumn="0" w:lastColumn="0" w:noHBand="0" w:noVBand="0"/>
      </w:tblPr>
      <w:tblGrid>
        <w:gridCol w:w="5237"/>
        <w:gridCol w:w="1440"/>
        <w:gridCol w:w="1126"/>
        <w:gridCol w:w="1283"/>
        <w:gridCol w:w="1191"/>
        <w:gridCol w:w="1710"/>
        <w:gridCol w:w="1530"/>
        <w:gridCol w:w="1053"/>
      </w:tblGrid>
      <w:tr w:rsidR="00336793" w:rsidRPr="00A10A3B" w:rsidTr="00DF0B96">
        <w:trPr>
          <w:tblHeader/>
        </w:trPr>
        <w:tc>
          <w:tcPr>
            <w:tcW w:w="5237"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sz w:val="20"/>
                <w:szCs w:val="20"/>
                <w:lang w:eastAsia="en-AU"/>
              </w:rPr>
            </w:pPr>
            <w:r w:rsidRPr="00A10A3B">
              <w:rPr>
                <w:rFonts w:eastAsiaTheme="minorEastAsia"/>
                <w:i/>
                <w:sz w:val="20"/>
                <w:szCs w:val="20"/>
                <w:lang w:eastAsia="en-AU"/>
              </w:rPr>
              <w:t>2014</w:t>
            </w:r>
          </w:p>
        </w:tc>
        <w:tc>
          <w:tcPr>
            <w:tcW w:w="144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0"/>
                <w:szCs w:val="20"/>
                <w:lang w:eastAsia="en-AU"/>
              </w:rPr>
            </w:pPr>
          </w:p>
        </w:tc>
        <w:tc>
          <w:tcPr>
            <w:tcW w:w="1126"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0"/>
                <w:szCs w:val="20"/>
                <w:lang w:eastAsia="en-AU"/>
              </w:rPr>
            </w:pPr>
          </w:p>
        </w:tc>
        <w:tc>
          <w:tcPr>
            <w:tcW w:w="1283"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0"/>
                <w:szCs w:val="20"/>
                <w:lang w:eastAsia="en-AU"/>
              </w:rPr>
            </w:pPr>
          </w:p>
        </w:tc>
        <w:tc>
          <w:tcPr>
            <w:tcW w:w="1191"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0"/>
                <w:szCs w:val="20"/>
                <w:lang w:eastAsia="en-AU"/>
              </w:rPr>
            </w:pPr>
          </w:p>
        </w:tc>
        <w:tc>
          <w:tcPr>
            <w:tcW w:w="171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0"/>
                <w:szCs w:val="20"/>
                <w:lang w:eastAsia="en-AU"/>
              </w:rPr>
            </w:pPr>
          </w:p>
        </w:tc>
        <w:tc>
          <w:tcPr>
            <w:tcW w:w="153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0"/>
                <w:szCs w:val="20"/>
                <w:lang w:eastAsia="en-AU"/>
              </w:rPr>
            </w:pPr>
          </w:p>
        </w:tc>
        <w:tc>
          <w:tcPr>
            <w:tcW w:w="1053"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sz w:val="20"/>
                <w:szCs w:val="20"/>
                <w:lang w:eastAsia="en-AU"/>
              </w:rPr>
            </w:pPr>
          </w:p>
        </w:tc>
      </w:tr>
      <w:tr w:rsidR="00336793" w:rsidRPr="00A10A3B" w:rsidTr="00DF0B96">
        <w:tc>
          <w:tcPr>
            <w:tcW w:w="5237" w:type="dxa"/>
            <w:tcBorders>
              <w:top w:val="single" w:sz="6" w:space="0" w:color="auto"/>
              <w:left w:val="nil"/>
              <w:bottom w:val="nil"/>
              <w:right w:val="nil"/>
            </w:tcBorders>
          </w:tcPr>
          <w:p w:rsidR="00336793" w:rsidRPr="00A10A3B" w:rsidRDefault="00336793" w:rsidP="00DF0B96">
            <w:pPr>
              <w:pStyle w:val="Tabletext"/>
              <w:rPr>
                <w:rFonts w:eastAsiaTheme="minorEastAsia"/>
                <w:sz w:val="20"/>
                <w:szCs w:val="20"/>
                <w:lang w:eastAsia="en-AU"/>
              </w:rPr>
            </w:pPr>
            <w:r w:rsidRPr="00A10A3B">
              <w:rPr>
                <w:rFonts w:eastAsiaTheme="minorEastAsia"/>
                <w:sz w:val="20"/>
                <w:szCs w:val="20"/>
                <w:lang w:eastAsia="en-AU"/>
              </w:rPr>
              <w:t>Buildings</w:t>
            </w:r>
            <w:r w:rsidRPr="00E96950">
              <w:rPr>
                <w:rFonts w:eastAsiaTheme="minorEastAsia"/>
                <w:sz w:val="20"/>
                <w:szCs w:val="20"/>
                <w:vertAlign w:val="superscript"/>
                <w:lang w:eastAsia="en-AU"/>
              </w:rPr>
              <w:t xml:space="preserve"> (</w:t>
            </w:r>
            <w:r w:rsidRPr="00A10A3B">
              <w:rPr>
                <w:rFonts w:eastAsiaTheme="minorEastAsia"/>
                <w:sz w:val="20"/>
                <w:szCs w:val="20"/>
                <w:vertAlign w:val="superscript"/>
                <w:lang w:eastAsia="en-AU"/>
              </w:rPr>
              <w:t>a)</w:t>
            </w:r>
          </w:p>
        </w:tc>
        <w:tc>
          <w:tcPr>
            <w:tcW w:w="1440" w:type="dxa"/>
            <w:tcBorders>
              <w:top w:val="single" w:sz="6" w:space="0" w:color="auto"/>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2 144.2</w:t>
            </w:r>
          </w:p>
        </w:tc>
        <w:tc>
          <w:tcPr>
            <w:tcW w:w="1126" w:type="dxa"/>
            <w:tcBorders>
              <w:top w:val="single" w:sz="6" w:space="0" w:color="auto"/>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10 043.0</w:t>
            </w:r>
          </w:p>
        </w:tc>
        <w:tc>
          <w:tcPr>
            <w:tcW w:w="1283" w:type="dxa"/>
            <w:tcBorders>
              <w:top w:val="single" w:sz="6" w:space="0" w:color="auto"/>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8 964.5</w:t>
            </w:r>
          </w:p>
        </w:tc>
        <w:tc>
          <w:tcPr>
            <w:tcW w:w="1191" w:type="dxa"/>
            <w:tcBorders>
              <w:top w:val="single" w:sz="6" w:space="0" w:color="auto"/>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8 764.3</w:t>
            </w:r>
          </w:p>
        </w:tc>
        <w:tc>
          <w:tcPr>
            <w:tcW w:w="1710" w:type="dxa"/>
            <w:tcBorders>
              <w:top w:val="single" w:sz="6" w:space="0" w:color="auto"/>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4 568.1</w:t>
            </w:r>
          </w:p>
        </w:tc>
        <w:tc>
          <w:tcPr>
            <w:tcW w:w="1530" w:type="dxa"/>
            <w:tcBorders>
              <w:top w:val="single" w:sz="6" w:space="0" w:color="auto"/>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7 019.3</w:t>
            </w:r>
          </w:p>
        </w:tc>
        <w:tc>
          <w:tcPr>
            <w:tcW w:w="1053" w:type="dxa"/>
            <w:tcBorders>
              <w:top w:val="single" w:sz="6" w:space="0" w:color="auto"/>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41 503.5</w:t>
            </w:r>
          </w:p>
        </w:tc>
      </w:tr>
      <w:tr w:rsidR="00336793" w:rsidRPr="00A10A3B" w:rsidTr="00DF0B96">
        <w:tc>
          <w:tcPr>
            <w:tcW w:w="5237" w:type="dxa"/>
            <w:tcBorders>
              <w:top w:val="nil"/>
              <w:left w:val="nil"/>
              <w:bottom w:val="nil"/>
              <w:right w:val="nil"/>
            </w:tcBorders>
          </w:tcPr>
          <w:p w:rsidR="00336793" w:rsidRPr="00A10A3B" w:rsidRDefault="00336793" w:rsidP="00DF0B96">
            <w:pPr>
              <w:pStyle w:val="Tabletext"/>
              <w:rPr>
                <w:rFonts w:eastAsiaTheme="minorEastAsia"/>
                <w:sz w:val="20"/>
                <w:szCs w:val="20"/>
                <w:lang w:eastAsia="en-AU"/>
              </w:rPr>
            </w:pPr>
            <w:r w:rsidRPr="00A10A3B">
              <w:rPr>
                <w:rFonts w:eastAsiaTheme="minorEastAsia"/>
                <w:sz w:val="20"/>
                <w:szCs w:val="20"/>
                <w:lang w:eastAsia="en-AU"/>
              </w:rPr>
              <w:t>Land and national parks</w:t>
            </w:r>
            <w:r w:rsidRPr="00E96950">
              <w:rPr>
                <w:rFonts w:eastAsiaTheme="minorEastAsia"/>
                <w:sz w:val="20"/>
                <w:szCs w:val="20"/>
                <w:vertAlign w:val="superscript"/>
                <w:lang w:eastAsia="en-AU"/>
              </w:rPr>
              <w:t xml:space="preserve"> (</w:t>
            </w:r>
            <w:r w:rsidRPr="00A10A3B">
              <w:rPr>
                <w:rFonts w:eastAsiaTheme="minorEastAsia"/>
                <w:sz w:val="20"/>
                <w:szCs w:val="20"/>
                <w:vertAlign w:val="superscript"/>
                <w:lang w:eastAsia="en-AU"/>
              </w:rPr>
              <w:t>a)</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1 468.1</w:t>
            </w:r>
          </w:p>
        </w:tc>
        <w:tc>
          <w:tcPr>
            <w:tcW w:w="1126"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7 563.0</w:t>
            </w:r>
          </w:p>
        </w:tc>
        <w:tc>
          <w:tcPr>
            <w:tcW w:w="128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2 264.7</w:t>
            </w:r>
          </w:p>
        </w:tc>
        <w:tc>
          <w:tcPr>
            <w:tcW w:w="1191"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12 058.3</w:t>
            </w:r>
          </w:p>
        </w:tc>
        <w:tc>
          <w:tcPr>
            <w:tcW w:w="171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21 308.1</w:t>
            </w:r>
          </w:p>
        </w:tc>
        <w:tc>
          <w:tcPr>
            <w:tcW w:w="153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12 316.3</w:t>
            </w:r>
          </w:p>
        </w:tc>
        <w:tc>
          <w:tcPr>
            <w:tcW w:w="105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56 978.5</w:t>
            </w:r>
          </w:p>
        </w:tc>
      </w:tr>
      <w:tr w:rsidR="00336793" w:rsidRPr="00A10A3B" w:rsidTr="00DF0B96">
        <w:tc>
          <w:tcPr>
            <w:tcW w:w="5237" w:type="dxa"/>
            <w:tcBorders>
              <w:top w:val="nil"/>
              <w:left w:val="nil"/>
              <w:bottom w:val="nil"/>
              <w:right w:val="nil"/>
            </w:tcBorders>
          </w:tcPr>
          <w:p w:rsidR="00336793" w:rsidRPr="00A10A3B" w:rsidRDefault="00336793" w:rsidP="00DF0B96">
            <w:pPr>
              <w:pStyle w:val="Tabletext"/>
              <w:rPr>
                <w:rFonts w:eastAsiaTheme="minorEastAsia"/>
                <w:sz w:val="20"/>
                <w:szCs w:val="20"/>
                <w:lang w:eastAsia="en-AU"/>
              </w:rPr>
            </w:pPr>
            <w:r w:rsidRPr="00A10A3B">
              <w:rPr>
                <w:rFonts w:eastAsiaTheme="minorEastAsia"/>
                <w:sz w:val="20"/>
                <w:szCs w:val="20"/>
                <w:lang w:eastAsia="en-AU"/>
              </w:rPr>
              <w:t>Buildings leasehold</w:t>
            </w:r>
            <w:r w:rsidRPr="00E96950">
              <w:rPr>
                <w:rFonts w:eastAsiaTheme="minorEastAsia"/>
                <w:sz w:val="20"/>
                <w:szCs w:val="20"/>
                <w:vertAlign w:val="superscript"/>
                <w:lang w:eastAsia="en-AU"/>
              </w:rPr>
              <w:t xml:space="preserve"> (</w:t>
            </w:r>
            <w:r w:rsidRPr="00A10A3B">
              <w:rPr>
                <w:rFonts w:eastAsiaTheme="minorEastAsia"/>
                <w:sz w:val="20"/>
                <w:szCs w:val="20"/>
                <w:vertAlign w:val="superscript"/>
                <w:lang w:eastAsia="en-AU"/>
              </w:rPr>
              <w:t>a)</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73.2</w:t>
            </w:r>
          </w:p>
        </w:tc>
        <w:tc>
          <w:tcPr>
            <w:tcW w:w="1126"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199.3</w:t>
            </w:r>
          </w:p>
        </w:tc>
        <w:tc>
          <w:tcPr>
            <w:tcW w:w="128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1 320.5</w:t>
            </w:r>
          </w:p>
        </w:tc>
        <w:tc>
          <w:tcPr>
            <w:tcW w:w="1191"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3.9</w:t>
            </w:r>
          </w:p>
        </w:tc>
        <w:tc>
          <w:tcPr>
            <w:tcW w:w="171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31.9</w:t>
            </w:r>
          </w:p>
        </w:tc>
        <w:tc>
          <w:tcPr>
            <w:tcW w:w="153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828.8</w:t>
            </w:r>
          </w:p>
        </w:tc>
        <w:tc>
          <w:tcPr>
            <w:tcW w:w="105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2 457.5</w:t>
            </w:r>
          </w:p>
        </w:tc>
      </w:tr>
      <w:tr w:rsidR="00336793" w:rsidRPr="00A10A3B" w:rsidTr="00DF0B96">
        <w:tc>
          <w:tcPr>
            <w:tcW w:w="5237" w:type="dxa"/>
            <w:tcBorders>
              <w:top w:val="nil"/>
              <w:left w:val="nil"/>
              <w:bottom w:val="nil"/>
              <w:right w:val="nil"/>
            </w:tcBorders>
          </w:tcPr>
          <w:p w:rsidR="00336793" w:rsidRPr="00A10A3B" w:rsidRDefault="00336793" w:rsidP="00DF0B96">
            <w:pPr>
              <w:pStyle w:val="Tabletext"/>
              <w:rPr>
                <w:rFonts w:eastAsiaTheme="minorEastAsia"/>
                <w:sz w:val="20"/>
                <w:szCs w:val="20"/>
                <w:lang w:eastAsia="en-AU"/>
              </w:rPr>
            </w:pPr>
            <w:r w:rsidRPr="00A10A3B">
              <w:rPr>
                <w:rFonts w:eastAsiaTheme="minorEastAsia"/>
                <w:sz w:val="20"/>
                <w:szCs w:val="20"/>
                <w:lang w:eastAsia="en-AU"/>
              </w:rPr>
              <w:t xml:space="preserve">Infrastructure systems </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93.1</w:t>
            </w:r>
          </w:p>
        </w:tc>
        <w:tc>
          <w:tcPr>
            <w:tcW w:w="1126"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28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191"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71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15 792.2</w:t>
            </w:r>
          </w:p>
        </w:tc>
        <w:tc>
          <w:tcPr>
            <w:tcW w:w="153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33 794.9</w:t>
            </w:r>
          </w:p>
        </w:tc>
        <w:tc>
          <w:tcPr>
            <w:tcW w:w="105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49 680.2</w:t>
            </w:r>
          </w:p>
        </w:tc>
      </w:tr>
      <w:tr w:rsidR="00336793" w:rsidRPr="00A10A3B" w:rsidTr="00DF0B96">
        <w:tc>
          <w:tcPr>
            <w:tcW w:w="5237" w:type="dxa"/>
            <w:tcBorders>
              <w:top w:val="nil"/>
              <w:left w:val="nil"/>
              <w:bottom w:val="nil"/>
              <w:right w:val="nil"/>
            </w:tcBorders>
          </w:tcPr>
          <w:p w:rsidR="00336793" w:rsidRPr="00A10A3B" w:rsidRDefault="00336793" w:rsidP="00DF0B96">
            <w:pPr>
              <w:pStyle w:val="Tabletext"/>
              <w:rPr>
                <w:rFonts w:eastAsiaTheme="minorEastAsia"/>
                <w:sz w:val="20"/>
                <w:szCs w:val="20"/>
                <w:lang w:eastAsia="en-AU"/>
              </w:rPr>
            </w:pPr>
            <w:r w:rsidRPr="00A10A3B">
              <w:rPr>
                <w:rFonts w:eastAsiaTheme="minorEastAsia"/>
                <w:sz w:val="20"/>
                <w:szCs w:val="20"/>
                <w:lang w:eastAsia="en-AU"/>
              </w:rPr>
              <w:t>Leased infrastructure system</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126"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28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191"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71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2.9</w:t>
            </w:r>
          </w:p>
        </w:tc>
        <w:tc>
          <w:tcPr>
            <w:tcW w:w="153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4 630.9</w:t>
            </w:r>
          </w:p>
        </w:tc>
        <w:tc>
          <w:tcPr>
            <w:tcW w:w="105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4 633.8</w:t>
            </w:r>
          </w:p>
        </w:tc>
      </w:tr>
      <w:tr w:rsidR="00336793" w:rsidRPr="00A10A3B" w:rsidTr="00DF0B96">
        <w:tc>
          <w:tcPr>
            <w:tcW w:w="5237" w:type="dxa"/>
            <w:tcBorders>
              <w:top w:val="nil"/>
              <w:left w:val="nil"/>
              <w:bottom w:val="nil"/>
              <w:right w:val="nil"/>
            </w:tcBorders>
          </w:tcPr>
          <w:p w:rsidR="00336793" w:rsidRPr="00A10A3B" w:rsidRDefault="00336793" w:rsidP="00DF0B96">
            <w:pPr>
              <w:pStyle w:val="Tabletext"/>
              <w:rPr>
                <w:rFonts w:eastAsiaTheme="minorEastAsia"/>
                <w:sz w:val="20"/>
                <w:szCs w:val="20"/>
                <w:lang w:eastAsia="en-AU"/>
              </w:rPr>
            </w:pPr>
            <w:r>
              <w:rPr>
                <w:rFonts w:eastAsiaTheme="minorEastAsia"/>
                <w:sz w:val="20"/>
                <w:szCs w:val="20"/>
                <w:lang w:eastAsia="en-AU"/>
              </w:rPr>
              <w:t>Plant, equipment and vehicles</w:t>
            </w:r>
            <w:r w:rsidRPr="00E96950">
              <w:rPr>
                <w:rFonts w:eastAsiaTheme="minorEastAsia"/>
                <w:sz w:val="20"/>
                <w:szCs w:val="20"/>
                <w:vertAlign w:val="superscript"/>
                <w:lang w:eastAsia="en-AU"/>
              </w:rPr>
              <w:t xml:space="preserve"> (</w:t>
            </w:r>
            <w:r w:rsidRPr="00540096">
              <w:rPr>
                <w:rFonts w:eastAsiaTheme="minorEastAsia"/>
                <w:sz w:val="20"/>
                <w:szCs w:val="20"/>
                <w:vertAlign w:val="superscript"/>
                <w:lang w:eastAsia="en-AU"/>
              </w:rPr>
              <w:t>b)</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466.9</w:t>
            </w:r>
          </w:p>
        </w:tc>
        <w:tc>
          <w:tcPr>
            <w:tcW w:w="1126"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299.5</w:t>
            </w:r>
          </w:p>
        </w:tc>
        <w:tc>
          <w:tcPr>
            <w:tcW w:w="128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943.1</w:t>
            </w:r>
          </w:p>
        </w:tc>
        <w:tc>
          <w:tcPr>
            <w:tcW w:w="1191"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0.7</w:t>
            </w:r>
          </w:p>
        </w:tc>
        <w:tc>
          <w:tcPr>
            <w:tcW w:w="171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3 771.9</w:t>
            </w:r>
          </w:p>
        </w:tc>
        <w:tc>
          <w:tcPr>
            <w:tcW w:w="153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1 200.2</w:t>
            </w:r>
          </w:p>
        </w:tc>
        <w:tc>
          <w:tcPr>
            <w:tcW w:w="105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6 682.3</w:t>
            </w:r>
          </w:p>
        </w:tc>
      </w:tr>
      <w:tr w:rsidR="00336793" w:rsidRPr="00A10A3B" w:rsidTr="00DF0B96">
        <w:tc>
          <w:tcPr>
            <w:tcW w:w="5237" w:type="dxa"/>
            <w:tcBorders>
              <w:top w:val="nil"/>
              <w:left w:val="nil"/>
              <w:bottom w:val="nil"/>
              <w:right w:val="nil"/>
            </w:tcBorders>
          </w:tcPr>
          <w:p w:rsidR="00336793" w:rsidRPr="00A10A3B" w:rsidRDefault="00336793" w:rsidP="00DF0B96">
            <w:pPr>
              <w:pStyle w:val="Tabletext"/>
              <w:rPr>
                <w:rFonts w:eastAsiaTheme="minorEastAsia"/>
                <w:sz w:val="20"/>
                <w:szCs w:val="20"/>
                <w:lang w:eastAsia="en-AU"/>
              </w:rPr>
            </w:pPr>
            <w:r w:rsidRPr="00A10A3B">
              <w:rPr>
                <w:rFonts w:eastAsiaTheme="minorEastAsia"/>
                <w:sz w:val="20"/>
                <w:szCs w:val="20"/>
                <w:lang w:eastAsia="en-AU"/>
              </w:rPr>
              <w:t>Leased plant, equipment and vehicles</w:t>
            </w:r>
            <w:r w:rsidRPr="00E96950">
              <w:rPr>
                <w:rFonts w:eastAsiaTheme="minorEastAsia"/>
                <w:sz w:val="20"/>
                <w:szCs w:val="20"/>
                <w:vertAlign w:val="superscript"/>
                <w:lang w:eastAsia="en-AU"/>
              </w:rPr>
              <w:t xml:space="preserve"> (</w:t>
            </w:r>
            <w:r w:rsidRPr="00540096">
              <w:rPr>
                <w:rFonts w:eastAsiaTheme="minorEastAsia"/>
                <w:sz w:val="20"/>
                <w:szCs w:val="20"/>
                <w:vertAlign w:val="superscript"/>
                <w:lang w:eastAsia="en-AU"/>
              </w:rPr>
              <w:t>b)</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126"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4.4</w:t>
            </w:r>
          </w:p>
        </w:tc>
        <w:tc>
          <w:tcPr>
            <w:tcW w:w="128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70.5</w:t>
            </w:r>
          </w:p>
        </w:tc>
        <w:tc>
          <w:tcPr>
            <w:tcW w:w="1191"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71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1 048.5</w:t>
            </w:r>
          </w:p>
        </w:tc>
        <w:tc>
          <w:tcPr>
            <w:tcW w:w="153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30.3</w:t>
            </w:r>
          </w:p>
        </w:tc>
        <w:tc>
          <w:tcPr>
            <w:tcW w:w="105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1 153.7</w:t>
            </w:r>
          </w:p>
        </w:tc>
      </w:tr>
      <w:tr w:rsidR="00336793" w:rsidRPr="00A10A3B" w:rsidTr="00DF0B96">
        <w:tc>
          <w:tcPr>
            <w:tcW w:w="5237" w:type="dxa"/>
            <w:tcBorders>
              <w:top w:val="nil"/>
              <w:left w:val="nil"/>
              <w:bottom w:val="nil"/>
              <w:right w:val="nil"/>
            </w:tcBorders>
          </w:tcPr>
          <w:p w:rsidR="00336793" w:rsidRPr="00A10A3B" w:rsidRDefault="00336793" w:rsidP="00DF0B96">
            <w:pPr>
              <w:pStyle w:val="Tabletext"/>
              <w:rPr>
                <w:rFonts w:eastAsiaTheme="minorEastAsia"/>
                <w:sz w:val="20"/>
                <w:szCs w:val="20"/>
                <w:lang w:eastAsia="en-AU"/>
              </w:rPr>
            </w:pPr>
            <w:r w:rsidRPr="00A10A3B">
              <w:rPr>
                <w:rFonts w:eastAsiaTheme="minorEastAsia"/>
                <w:sz w:val="20"/>
                <w:szCs w:val="20"/>
                <w:lang w:eastAsia="en-AU"/>
              </w:rPr>
              <w:t>Roads and road infrastructure</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21.9</w:t>
            </w:r>
          </w:p>
        </w:tc>
        <w:tc>
          <w:tcPr>
            <w:tcW w:w="1126"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28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191"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71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21 097.9</w:t>
            </w:r>
          </w:p>
        </w:tc>
        <w:tc>
          <w:tcPr>
            <w:tcW w:w="153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1 052.6</w:t>
            </w:r>
          </w:p>
        </w:tc>
        <w:tc>
          <w:tcPr>
            <w:tcW w:w="105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22 172.4</w:t>
            </w:r>
          </w:p>
        </w:tc>
      </w:tr>
      <w:tr w:rsidR="00336793" w:rsidRPr="00A10A3B" w:rsidTr="00DF0B96">
        <w:tc>
          <w:tcPr>
            <w:tcW w:w="5237" w:type="dxa"/>
            <w:tcBorders>
              <w:top w:val="nil"/>
              <w:left w:val="nil"/>
              <w:bottom w:val="nil"/>
              <w:right w:val="nil"/>
            </w:tcBorders>
          </w:tcPr>
          <w:p w:rsidR="00336793" w:rsidRPr="00A10A3B" w:rsidRDefault="00336793" w:rsidP="00DF0B96">
            <w:pPr>
              <w:pStyle w:val="Tabletext"/>
              <w:rPr>
                <w:rFonts w:eastAsiaTheme="minorEastAsia"/>
                <w:sz w:val="20"/>
                <w:szCs w:val="20"/>
                <w:lang w:eastAsia="en-AU"/>
              </w:rPr>
            </w:pPr>
            <w:r w:rsidRPr="00A10A3B">
              <w:rPr>
                <w:rFonts w:eastAsiaTheme="minorEastAsia"/>
                <w:sz w:val="20"/>
                <w:szCs w:val="20"/>
                <w:lang w:eastAsia="en-AU"/>
              </w:rPr>
              <w:t>Leased roads and roads infrastructure</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126"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28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191"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71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53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05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r>
      <w:tr w:rsidR="00336793" w:rsidRPr="00A10A3B" w:rsidTr="00DF0B96">
        <w:tc>
          <w:tcPr>
            <w:tcW w:w="5237" w:type="dxa"/>
            <w:tcBorders>
              <w:top w:val="nil"/>
              <w:left w:val="nil"/>
              <w:bottom w:val="nil"/>
              <w:right w:val="nil"/>
            </w:tcBorders>
          </w:tcPr>
          <w:p w:rsidR="00336793" w:rsidRPr="00A10A3B" w:rsidRDefault="00336793" w:rsidP="00DF0B96">
            <w:pPr>
              <w:pStyle w:val="Tabletext"/>
              <w:rPr>
                <w:rFonts w:eastAsiaTheme="minorEastAsia"/>
                <w:sz w:val="20"/>
                <w:szCs w:val="20"/>
                <w:lang w:eastAsia="en-AU"/>
              </w:rPr>
            </w:pPr>
            <w:r w:rsidRPr="00A10A3B">
              <w:rPr>
                <w:rFonts w:eastAsiaTheme="minorEastAsia"/>
                <w:sz w:val="20"/>
                <w:szCs w:val="20"/>
                <w:lang w:eastAsia="en-AU"/>
              </w:rPr>
              <w:t>Earthworks</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126"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28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191"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710" w:type="dxa"/>
            <w:tcBorders>
              <w:top w:val="nil"/>
              <w:left w:val="nil"/>
              <w:bottom w:val="nil"/>
              <w:right w:val="nil"/>
            </w:tcBorders>
          </w:tcPr>
          <w:p w:rsidR="00336793" w:rsidRPr="00A10A3B" w:rsidRDefault="00336793" w:rsidP="00DF0B96">
            <w:pPr>
              <w:pStyle w:val="TableofFigures"/>
              <w:rPr>
                <w:rFonts w:eastAsiaTheme="minorEastAsia" w:cs="Calibri"/>
                <w:color w:val="000000"/>
                <w:sz w:val="20"/>
                <w:szCs w:val="22"/>
                <w:lang w:eastAsia="en-AU"/>
              </w:rPr>
            </w:pPr>
            <w:r w:rsidRPr="00A10A3B">
              <w:rPr>
                <w:rFonts w:eastAsiaTheme="minorEastAsia"/>
                <w:sz w:val="20"/>
                <w:szCs w:val="20"/>
                <w:lang w:eastAsia="en-AU"/>
              </w:rPr>
              <w:t>7 685.2</w:t>
            </w:r>
          </w:p>
        </w:tc>
        <w:tc>
          <w:tcPr>
            <w:tcW w:w="1530"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053" w:type="dxa"/>
            <w:tcBorders>
              <w:top w:val="nil"/>
              <w:left w:val="nil"/>
              <w:bottom w:val="nil"/>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7 685.2</w:t>
            </w:r>
          </w:p>
        </w:tc>
      </w:tr>
      <w:tr w:rsidR="00336793" w:rsidRPr="00A10A3B" w:rsidTr="00DF0B96">
        <w:tc>
          <w:tcPr>
            <w:tcW w:w="5237" w:type="dxa"/>
            <w:tcBorders>
              <w:top w:val="nil"/>
              <w:left w:val="nil"/>
              <w:bottom w:val="single" w:sz="6" w:space="0" w:color="auto"/>
              <w:right w:val="nil"/>
            </w:tcBorders>
          </w:tcPr>
          <w:p w:rsidR="00336793" w:rsidRPr="00A10A3B" w:rsidRDefault="00336793" w:rsidP="00DF0B96">
            <w:pPr>
              <w:pStyle w:val="Tabletext"/>
              <w:rPr>
                <w:rFonts w:eastAsiaTheme="minorEastAsia"/>
                <w:sz w:val="20"/>
                <w:szCs w:val="20"/>
                <w:lang w:eastAsia="en-AU"/>
              </w:rPr>
            </w:pPr>
            <w:r w:rsidRPr="00A10A3B">
              <w:rPr>
                <w:rFonts w:eastAsiaTheme="minorEastAsia"/>
                <w:sz w:val="20"/>
                <w:szCs w:val="20"/>
                <w:lang w:eastAsia="en-AU"/>
              </w:rPr>
              <w:t>Cultural assets</w:t>
            </w:r>
          </w:p>
        </w:tc>
        <w:tc>
          <w:tcPr>
            <w:tcW w:w="1440" w:type="dxa"/>
            <w:tcBorders>
              <w:top w:val="nil"/>
              <w:left w:val="nil"/>
              <w:bottom w:val="single" w:sz="6" w:space="0" w:color="auto"/>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323.2</w:t>
            </w:r>
          </w:p>
        </w:tc>
        <w:tc>
          <w:tcPr>
            <w:tcW w:w="1126" w:type="dxa"/>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 w:val="20"/>
                <w:szCs w:val="22"/>
                <w:lang w:eastAsia="en-AU"/>
              </w:rPr>
            </w:pPr>
            <w:r w:rsidRPr="00A10A3B">
              <w:rPr>
                <w:rFonts w:eastAsiaTheme="minorEastAsia"/>
                <w:sz w:val="20"/>
                <w:szCs w:val="20"/>
                <w:lang w:eastAsia="en-AU"/>
              </w:rPr>
              <w:t xml:space="preserve"> 4.5</w:t>
            </w:r>
          </w:p>
        </w:tc>
        <w:tc>
          <w:tcPr>
            <w:tcW w:w="1283" w:type="dxa"/>
            <w:tcBorders>
              <w:top w:val="nil"/>
              <w:left w:val="nil"/>
              <w:bottom w:val="single" w:sz="6" w:space="0" w:color="auto"/>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 xml:space="preserve"> 5.3</w:t>
            </w:r>
          </w:p>
        </w:tc>
        <w:tc>
          <w:tcPr>
            <w:tcW w:w="1191" w:type="dxa"/>
            <w:tcBorders>
              <w:top w:val="nil"/>
              <w:left w:val="nil"/>
              <w:bottom w:val="single" w:sz="6" w:space="0" w:color="auto"/>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w:t>
            </w:r>
          </w:p>
        </w:tc>
        <w:tc>
          <w:tcPr>
            <w:tcW w:w="1710" w:type="dxa"/>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 w:val="20"/>
                <w:szCs w:val="22"/>
                <w:lang w:eastAsia="en-AU"/>
              </w:rPr>
            </w:pPr>
            <w:r w:rsidRPr="00A10A3B">
              <w:rPr>
                <w:rFonts w:eastAsiaTheme="minorEastAsia"/>
                <w:sz w:val="20"/>
                <w:szCs w:val="20"/>
                <w:lang w:eastAsia="en-AU"/>
              </w:rPr>
              <w:t xml:space="preserve"> 1.1</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sz w:val="20"/>
                <w:szCs w:val="20"/>
                <w:lang w:eastAsia="en-AU"/>
              </w:rPr>
              <w:t>5 210.6</w:t>
            </w:r>
          </w:p>
        </w:tc>
        <w:tc>
          <w:tcPr>
            <w:tcW w:w="1053" w:type="dxa"/>
            <w:tcBorders>
              <w:top w:val="nil"/>
              <w:left w:val="nil"/>
              <w:bottom w:val="single" w:sz="6" w:space="0" w:color="auto"/>
              <w:right w:val="nil"/>
            </w:tcBorders>
          </w:tcPr>
          <w:p w:rsidR="00336793" w:rsidRPr="00A10A3B" w:rsidRDefault="00336793" w:rsidP="00DF0B96">
            <w:pPr>
              <w:pStyle w:val="TableofFigures"/>
              <w:rPr>
                <w:rFonts w:eastAsiaTheme="minorEastAsia"/>
                <w:sz w:val="20"/>
                <w:szCs w:val="20"/>
                <w:lang w:eastAsia="en-AU"/>
              </w:rPr>
            </w:pPr>
            <w:r w:rsidRPr="00A10A3B">
              <w:rPr>
                <w:rFonts w:eastAsiaTheme="minorEastAsia"/>
                <w:sz w:val="20"/>
                <w:szCs w:val="20"/>
                <w:lang w:eastAsia="en-AU"/>
              </w:rPr>
              <w:t>5 544.6</w:t>
            </w:r>
          </w:p>
        </w:tc>
      </w:tr>
      <w:tr w:rsidR="00336793" w:rsidRPr="00A10A3B" w:rsidTr="00DF0B96">
        <w:tc>
          <w:tcPr>
            <w:tcW w:w="523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sz w:val="20"/>
                <w:szCs w:val="20"/>
                <w:lang w:eastAsia="en-AU"/>
              </w:rPr>
            </w:pPr>
            <w:r w:rsidRPr="00A10A3B">
              <w:rPr>
                <w:rFonts w:eastAsiaTheme="minorEastAsia"/>
                <w:b/>
                <w:bCs/>
                <w:sz w:val="20"/>
                <w:szCs w:val="20"/>
                <w:lang w:eastAsia="en-AU"/>
              </w:rPr>
              <w:t>Total land, buildings, infrastructure, plant and equipment</w:t>
            </w:r>
            <w:r w:rsidRPr="00E96950">
              <w:rPr>
                <w:rFonts w:eastAsiaTheme="minorEastAsia"/>
                <w:b/>
                <w:sz w:val="20"/>
                <w:szCs w:val="20"/>
                <w:vertAlign w:val="superscript"/>
                <w:lang w:eastAsia="en-AU"/>
              </w:rPr>
              <w:t xml:space="preserve"> (</w:t>
            </w:r>
            <w:r w:rsidRPr="00A10A3B">
              <w:rPr>
                <w:rFonts w:eastAsiaTheme="minorEastAsia"/>
                <w:b/>
                <w:sz w:val="20"/>
                <w:szCs w:val="20"/>
                <w:vertAlign w:val="superscript"/>
                <w:lang w:eastAsia="en-AU"/>
              </w:rPr>
              <w:t>a)</w:t>
            </w:r>
          </w:p>
        </w:tc>
        <w:tc>
          <w:tcPr>
            <w:tcW w:w="144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 w:val="20"/>
                <w:szCs w:val="20"/>
                <w:lang w:eastAsia="en-AU"/>
              </w:rPr>
            </w:pPr>
            <w:r w:rsidRPr="00A10A3B">
              <w:rPr>
                <w:rFonts w:eastAsiaTheme="minorEastAsia"/>
                <w:b/>
                <w:bCs/>
                <w:sz w:val="20"/>
                <w:szCs w:val="20"/>
                <w:lang w:eastAsia="en-AU"/>
              </w:rPr>
              <w:t>4 590.6</w:t>
            </w:r>
          </w:p>
        </w:tc>
        <w:tc>
          <w:tcPr>
            <w:tcW w:w="1126"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 w:val="20"/>
                <w:szCs w:val="20"/>
                <w:lang w:eastAsia="en-AU"/>
              </w:rPr>
            </w:pPr>
            <w:r w:rsidRPr="00A10A3B">
              <w:rPr>
                <w:rFonts w:eastAsiaTheme="minorEastAsia"/>
                <w:b/>
                <w:bCs/>
                <w:sz w:val="20"/>
                <w:szCs w:val="20"/>
                <w:lang w:eastAsia="en-AU"/>
              </w:rPr>
              <w:t>18 113.7</w:t>
            </w:r>
          </w:p>
        </w:tc>
        <w:tc>
          <w:tcPr>
            <w:tcW w:w="1283"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 w:val="20"/>
                <w:szCs w:val="20"/>
                <w:lang w:eastAsia="en-AU"/>
              </w:rPr>
            </w:pPr>
            <w:r w:rsidRPr="00A10A3B">
              <w:rPr>
                <w:rFonts w:eastAsiaTheme="minorEastAsia"/>
                <w:b/>
                <w:bCs/>
                <w:sz w:val="20"/>
                <w:szCs w:val="20"/>
                <w:lang w:eastAsia="en-AU"/>
              </w:rPr>
              <w:t>13 568.6</w:t>
            </w:r>
          </w:p>
        </w:tc>
        <w:tc>
          <w:tcPr>
            <w:tcW w:w="1191"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 w:val="20"/>
                <w:szCs w:val="20"/>
                <w:lang w:eastAsia="en-AU"/>
              </w:rPr>
            </w:pPr>
            <w:r w:rsidRPr="00A10A3B">
              <w:rPr>
                <w:rFonts w:eastAsiaTheme="minorEastAsia"/>
                <w:b/>
                <w:bCs/>
                <w:sz w:val="20"/>
                <w:szCs w:val="20"/>
                <w:lang w:eastAsia="en-AU"/>
              </w:rPr>
              <w:t>20 827.1</w:t>
            </w:r>
          </w:p>
        </w:tc>
        <w:tc>
          <w:tcPr>
            <w:tcW w:w="171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 w:val="20"/>
                <w:szCs w:val="20"/>
                <w:lang w:eastAsia="en-AU"/>
              </w:rPr>
            </w:pPr>
            <w:r w:rsidRPr="00A10A3B">
              <w:rPr>
                <w:rFonts w:eastAsiaTheme="minorEastAsia"/>
                <w:b/>
                <w:bCs/>
                <w:sz w:val="20"/>
                <w:szCs w:val="20"/>
                <w:lang w:eastAsia="en-AU"/>
              </w:rPr>
              <w:t>75 307.7</w:t>
            </w:r>
          </w:p>
        </w:tc>
        <w:tc>
          <w:tcPr>
            <w:tcW w:w="153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 w:val="20"/>
                <w:szCs w:val="20"/>
                <w:lang w:eastAsia="en-AU"/>
              </w:rPr>
            </w:pPr>
            <w:r w:rsidRPr="00A10A3B">
              <w:rPr>
                <w:rFonts w:eastAsiaTheme="minorEastAsia"/>
                <w:b/>
                <w:bCs/>
                <w:sz w:val="20"/>
                <w:szCs w:val="20"/>
                <w:lang w:eastAsia="en-AU"/>
              </w:rPr>
              <w:t>66 084.0</w:t>
            </w:r>
          </w:p>
        </w:tc>
        <w:tc>
          <w:tcPr>
            <w:tcW w:w="1053"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 w:val="20"/>
                <w:szCs w:val="20"/>
                <w:lang w:eastAsia="en-AU"/>
              </w:rPr>
            </w:pPr>
            <w:r w:rsidRPr="00A10A3B">
              <w:rPr>
                <w:rFonts w:eastAsiaTheme="minorEastAsia"/>
                <w:b/>
                <w:bCs/>
                <w:sz w:val="20"/>
                <w:szCs w:val="20"/>
                <w:lang w:eastAsia="en-AU"/>
              </w:rPr>
              <w:t>198 491.7</w:t>
            </w:r>
          </w:p>
        </w:tc>
      </w:tr>
    </w:tbl>
    <w:p w:rsidR="00336793" w:rsidRPr="006A75A2" w:rsidRDefault="00336793" w:rsidP="00DF0B96">
      <w:pPr>
        <w:pStyle w:val="Notes"/>
      </w:pPr>
      <w:r w:rsidRPr="006A75A2">
        <w:t>Note</w:t>
      </w:r>
      <w:r>
        <w:t>s</w:t>
      </w:r>
      <w:r w:rsidRPr="006A75A2">
        <w:t>:</w:t>
      </w:r>
    </w:p>
    <w:p w:rsidR="00336793" w:rsidRPr="006A75A2" w:rsidRDefault="00336793" w:rsidP="00DF0B96">
      <w:pPr>
        <w:pStyle w:val="Notes"/>
      </w:pPr>
      <w:r w:rsidRPr="006A75A2">
        <w:t>(a)</w:t>
      </w:r>
      <w:r w:rsidRPr="006A75A2">
        <w:tab/>
      </w:r>
      <w:r w:rsidRPr="00D41A2A">
        <w:t>June 2014 comparative figures have been restated. See Note 37.</w:t>
      </w:r>
    </w:p>
    <w:p w:rsidR="00336793" w:rsidRDefault="00336793" w:rsidP="00DF0B96">
      <w:pPr>
        <w:pStyle w:val="Notes"/>
      </w:pPr>
      <w:r>
        <w:t>(b</w:t>
      </w:r>
      <w:r w:rsidRPr="006A75A2">
        <w:t>)</w:t>
      </w:r>
      <w:r w:rsidRPr="006A75A2">
        <w:tab/>
      </w:r>
      <w:r w:rsidRPr="00D41A2A">
        <w:t>June 2014 comparative figures have been r</w:t>
      </w:r>
      <w:r>
        <w:t>eclassified to reflect more current information.</w:t>
      </w:r>
    </w:p>
    <w:p w:rsidR="00336793" w:rsidRDefault="00336793">
      <w:pPr>
        <w:spacing w:after="0"/>
        <w:rPr>
          <w:rFonts w:ascii="Calibri" w:hAnsi="Calibri"/>
          <w:i/>
          <w:sz w:val="16"/>
          <w:lang w:eastAsia="en-AU"/>
        </w:rPr>
      </w:pPr>
      <w:r>
        <w:br w:type="page"/>
      </w:r>
    </w:p>
    <w:p w:rsidR="00336793" w:rsidRDefault="00336793" w:rsidP="00DF0B96">
      <w:pPr>
        <w:pStyle w:val="Heading2NotesContd"/>
        <w:rPr>
          <w:i/>
        </w:rPr>
      </w:pPr>
      <w:r w:rsidRPr="006A75A2">
        <w:lastRenderedPageBreak/>
        <w:t>Note 22:</w:t>
      </w:r>
      <w:r w:rsidRPr="006A75A2">
        <w:tab/>
        <w:t>Land, buildings, infrastructure, plant and equipment</w:t>
      </w:r>
      <w:r w:rsidRPr="006A75A2">
        <w:rPr>
          <w:i/>
        </w:rPr>
        <w:t xml:space="preserve"> (continued)</w:t>
      </w:r>
    </w:p>
    <w:p w:rsidR="00336793" w:rsidRDefault="00336793" w:rsidP="00DF0B96">
      <w:pPr>
        <w:pStyle w:val="Heading5"/>
      </w:pPr>
      <w:r w:rsidRPr="00B17CCB">
        <w:t>(</w:t>
      </w:r>
      <w:r>
        <w:t>b</w:t>
      </w:r>
      <w:r w:rsidRPr="00B17CCB">
        <w:t>)</w:t>
      </w:r>
      <w:r>
        <w:tab/>
      </w:r>
      <w:r w:rsidRPr="00B17CCB">
        <w:t xml:space="preserve">Total </w:t>
      </w:r>
      <w:r w:rsidRPr="00C27DBA">
        <w:t>land</w:t>
      </w:r>
      <w:r w:rsidRPr="00B17CCB">
        <w:t>, buildings, infrastructure, plant and equipment by purpose</w:t>
      </w:r>
      <w:r>
        <w:t xml:space="preserve"> </w:t>
      </w:r>
      <w:r w:rsidRPr="008A5F7C">
        <w:rPr>
          <w:i/>
        </w:rPr>
        <w:t>(continued)</w:t>
      </w:r>
    </w:p>
    <w:p w:rsidR="00336793" w:rsidRPr="00A10A3B" w:rsidRDefault="00336793" w:rsidP="00DF0B96">
      <w:pPr>
        <w:pStyle w:val="million"/>
        <w:rPr>
          <w:rFonts w:ascii="Times New Roman" w:hAnsi="Times New Roman"/>
          <w:i w:val="0"/>
          <w:szCs w:val="20"/>
          <w:lang w:eastAsia="en-AU"/>
        </w:rPr>
      </w:pPr>
      <w:r>
        <w:t xml:space="preserve"> ($ million)</w:t>
      </w:r>
    </w:p>
    <w:tbl>
      <w:tblPr>
        <w:tblW w:w="14570" w:type="dxa"/>
        <w:tblInd w:w="28" w:type="dxa"/>
        <w:tblLayout w:type="fixed"/>
        <w:tblCellMar>
          <w:left w:w="45" w:type="dxa"/>
          <w:right w:w="45" w:type="dxa"/>
        </w:tblCellMar>
        <w:tblLook w:val="0000" w:firstRow="0" w:lastRow="0" w:firstColumn="0" w:lastColumn="0" w:noHBand="0" w:noVBand="0"/>
      </w:tblPr>
      <w:tblGrid>
        <w:gridCol w:w="5237"/>
        <w:gridCol w:w="1440"/>
        <w:gridCol w:w="1126"/>
        <w:gridCol w:w="1283"/>
        <w:gridCol w:w="1191"/>
        <w:gridCol w:w="1710"/>
        <w:gridCol w:w="1530"/>
        <w:gridCol w:w="1053"/>
      </w:tblGrid>
      <w:tr w:rsidR="00336793" w:rsidRPr="00B03906" w:rsidTr="00DF0B96">
        <w:trPr>
          <w:tblHeader/>
        </w:trPr>
        <w:tc>
          <w:tcPr>
            <w:tcW w:w="5237" w:type="dxa"/>
            <w:tcBorders>
              <w:top w:val="single" w:sz="6" w:space="0" w:color="auto"/>
              <w:left w:val="single" w:sz="6" w:space="0" w:color="auto"/>
              <w:bottom w:val="single" w:sz="6" w:space="0" w:color="auto"/>
              <w:right w:val="nil"/>
            </w:tcBorders>
            <w:shd w:val="clear" w:color="000000" w:fill="000000"/>
            <w:vAlign w:val="bottom"/>
          </w:tcPr>
          <w:p w:rsidR="00336793" w:rsidRPr="00B03906" w:rsidRDefault="00336793" w:rsidP="00DF0B96">
            <w:pPr>
              <w:pStyle w:val="Tabletext"/>
              <w:rPr>
                <w:rFonts w:eastAsiaTheme="minorEastAsia"/>
                <w:i/>
                <w:sz w:val="20"/>
                <w:lang w:eastAsia="en-AU"/>
              </w:rPr>
            </w:pPr>
            <w:r w:rsidRPr="00B03906">
              <w:rPr>
                <w:rFonts w:eastAsiaTheme="minorEastAsia"/>
                <w:i/>
                <w:sz w:val="20"/>
                <w:lang w:eastAsia="en-AU"/>
              </w:rPr>
              <w:t>General government sector</w:t>
            </w:r>
          </w:p>
          <w:p w:rsidR="00336793" w:rsidRPr="00B03906" w:rsidRDefault="00336793" w:rsidP="00DF0B96">
            <w:pPr>
              <w:pStyle w:val="Tabletext"/>
              <w:rPr>
                <w:rFonts w:eastAsiaTheme="minorEastAsia"/>
                <w:sz w:val="20"/>
                <w:lang w:eastAsia="en-AU"/>
              </w:rPr>
            </w:pPr>
            <w:r w:rsidRPr="00B03906">
              <w:rPr>
                <w:rFonts w:eastAsiaTheme="minorEastAsia"/>
                <w:i/>
                <w:sz w:val="20"/>
                <w:lang w:eastAsia="en-AU"/>
              </w:rPr>
              <w:t>2015</w:t>
            </w:r>
          </w:p>
        </w:tc>
        <w:tc>
          <w:tcPr>
            <w:tcW w:w="1440"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Public Administration</w:t>
            </w:r>
          </w:p>
        </w:tc>
        <w:tc>
          <w:tcPr>
            <w:tcW w:w="1126"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Education</w:t>
            </w:r>
          </w:p>
        </w:tc>
        <w:tc>
          <w:tcPr>
            <w:tcW w:w="1283"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Health and Welfare</w:t>
            </w:r>
          </w:p>
        </w:tc>
        <w:tc>
          <w:tcPr>
            <w:tcW w:w="1191"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Community Housing</w:t>
            </w:r>
          </w:p>
        </w:tc>
        <w:tc>
          <w:tcPr>
            <w:tcW w:w="1710"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Transportation and Communication</w:t>
            </w:r>
          </w:p>
        </w:tc>
        <w:tc>
          <w:tcPr>
            <w:tcW w:w="1530"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Public Safety and Environment</w:t>
            </w:r>
          </w:p>
        </w:tc>
        <w:tc>
          <w:tcPr>
            <w:tcW w:w="1053" w:type="dxa"/>
            <w:tcBorders>
              <w:top w:val="single" w:sz="6" w:space="0" w:color="auto"/>
              <w:left w:val="nil"/>
              <w:bottom w:val="single" w:sz="6" w:space="0" w:color="auto"/>
              <w:right w:val="single" w:sz="6" w:space="0" w:color="auto"/>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r w:rsidRPr="00B03906">
              <w:rPr>
                <w:rFonts w:eastAsiaTheme="minorEastAsia"/>
                <w:iCs/>
                <w:color w:val="FFFFFF"/>
                <w:sz w:val="20"/>
                <w:lang w:eastAsia="en-AU"/>
              </w:rPr>
              <w:t>Total</w:t>
            </w:r>
          </w:p>
        </w:tc>
      </w:tr>
      <w:tr w:rsidR="00336793" w:rsidRPr="00B03906" w:rsidTr="00DF0B96">
        <w:tc>
          <w:tcPr>
            <w:tcW w:w="5237" w:type="dxa"/>
            <w:tcBorders>
              <w:top w:val="single" w:sz="6" w:space="0" w:color="auto"/>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Buildings</w:t>
            </w:r>
          </w:p>
        </w:tc>
        <w:tc>
          <w:tcPr>
            <w:tcW w:w="1440"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597.5</w:t>
            </w:r>
          </w:p>
        </w:tc>
        <w:tc>
          <w:tcPr>
            <w:tcW w:w="1126"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9 956.2</w:t>
            </w:r>
          </w:p>
        </w:tc>
        <w:tc>
          <w:tcPr>
            <w:tcW w:w="1283"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9 187.2</w:t>
            </w:r>
          </w:p>
        </w:tc>
        <w:tc>
          <w:tcPr>
            <w:tcW w:w="1191"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615.6</w:t>
            </w:r>
          </w:p>
        </w:tc>
        <w:tc>
          <w:tcPr>
            <w:tcW w:w="1530"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5 619.2</w:t>
            </w:r>
          </w:p>
        </w:tc>
        <w:tc>
          <w:tcPr>
            <w:tcW w:w="1053"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25 975.8</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Land and national parks</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998.3</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8 366.6</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2 273.7</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19 767.1</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9 293.0</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40 698.8</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Buildings leasehold</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43.5</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208.0</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1 387.3</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39.8</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797.5</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2 476.2</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 xml:space="preserve">Infrastructure systems </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39.3</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410.6</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849.2</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1 299.1</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 xml:space="preserve">Plant, equipment and vehicles </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231.0</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264.8</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1 028.6</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25.4</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749.5</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2 299.3</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Leased plant, equipment and vehicles</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3.7</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49.1</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92.5</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20.8</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166.1</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Roads and road infrastructure</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19 802.1</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1 098.4</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20 900.5</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Leased roads and roads infrastructure</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584.3</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584.3</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Earthworks</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sz w:val="20"/>
                <w:lang w:eastAsia="en-AU"/>
              </w:rPr>
              <w:t>7 689.8</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7 689.8</w:t>
            </w:r>
          </w:p>
        </w:tc>
      </w:tr>
      <w:tr w:rsidR="00336793" w:rsidRPr="00B03906" w:rsidTr="00DF0B96">
        <w:tc>
          <w:tcPr>
            <w:tcW w:w="5237" w:type="dxa"/>
            <w:tcBorders>
              <w:top w:val="nil"/>
              <w:left w:val="nil"/>
              <w:bottom w:val="single" w:sz="6" w:space="0" w:color="auto"/>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Cultural assets</w:t>
            </w:r>
          </w:p>
        </w:tc>
        <w:tc>
          <w:tcPr>
            <w:tcW w:w="1440"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315.4</w:t>
            </w:r>
          </w:p>
        </w:tc>
        <w:tc>
          <w:tcPr>
            <w:tcW w:w="1126"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sz w:val="20"/>
                <w:lang w:eastAsia="en-AU"/>
              </w:rPr>
              <w:t xml:space="preserve"> 3.6</w:t>
            </w:r>
          </w:p>
        </w:tc>
        <w:tc>
          <w:tcPr>
            <w:tcW w:w="1283"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1.1</w:t>
            </w:r>
          </w:p>
        </w:tc>
        <w:tc>
          <w:tcPr>
            <w:tcW w:w="1191"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sz w:val="20"/>
                <w:lang w:eastAsia="en-AU"/>
              </w:rPr>
              <w:t xml:space="preserve"> 2.5</w:t>
            </w:r>
          </w:p>
        </w:tc>
        <w:tc>
          <w:tcPr>
            <w:tcW w:w="1530"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sz w:val="20"/>
                <w:lang w:eastAsia="en-AU"/>
              </w:rPr>
              <w:t>5 173.9</w:t>
            </w:r>
          </w:p>
        </w:tc>
        <w:tc>
          <w:tcPr>
            <w:tcW w:w="1053"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5 496.5</w:t>
            </w:r>
          </w:p>
        </w:tc>
      </w:tr>
      <w:tr w:rsidR="00336793" w:rsidRPr="00B03906" w:rsidTr="00DF0B96">
        <w:tc>
          <w:tcPr>
            <w:tcW w:w="5237"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text"/>
              <w:rPr>
                <w:rFonts w:eastAsiaTheme="minorEastAsia"/>
                <w:b/>
                <w:bCs/>
                <w:sz w:val="20"/>
                <w:lang w:eastAsia="en-AU"/>
              </w:rPr>
            </w:pPr>
            <w:r w:rsidRPr="00B03906">
              <w:rPr>
                <w:rFonts w:eastAsiaTheme="minorEastAsia"/>
                <w:b/>
                <w:bCs/>
                <w:sz w:val="20"/>
                <w:lang w:eastAsia="en-AU"/>
              </w:rPr>
              <w:t>Total land, buildings, infrastructure, plant and equipment</w:t>
            </w:r>
          </w:p>
        </w:tc>
        <w:tc>
          <w:tcPr>
            <w:tcW w:w="144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2 225.1</w:t>
            </w:r>
          </w:p>
        </w:tc>
        <w:tc>
          <w:tcPr>
            <w:tcW w:w="1126"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18 803.0</w:t>
            </w:r>
          </w:p>
        </w:tc>
        <w:tc>
          <w:tcPr>
            <w:tcW w:w="1283"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13 927.0</w:t>
            </w:r>
          </w:p>
        </w:tc>
        <w:tc>
          <w:tcPr>
            <w:tcW w:w="1191"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w:t>
            </w:r>
          </w:p>
        </w:tc>
        <w:tc>
          <w:tcPr>
            <w:tcW w:w="171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49 029.9</w:t>
            </w:r>
          </w:p>
        </w:tc>
        <w:tc>
          <w:tcPr>
            <w:tcW w:w="153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23 601.5</w:t>
            </w:r>
          </w:p>
        </w:tc>
        <w:tc>
          <w:tcPr>
            <w:tcW w:w="1053"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107 586.4</w:t>
            </w:r>
          </w:p>
        </w:tc>
      </w:tr>
    </w:tbl>
    <w:p w:rsidR="00336793" w:rsidRPr="00A10A3B" w:rsidRDefault="00336793" w:rsidP="00DF0B96">
      <w:pPr>
        <w:pStyle w:val="4ptline"/>
      </w:pPr>
      <w:r w:rsidRPr="006A65B8">
        <w:t xml:space="preserve"> </w:t>
      </w:r>
    </w:p>
    <w:tbl>
      <w:tblPr>
        <w:tblW w:w="14570" w:type="dxa"/>
        <w:tblInd w:w="28" w:type="dxa"/>
        <w:tblLayout w:type="fixed"/>
        <w:tblCellMar>
          <w:left w:w="45" w:type="dxa"/>
          <w:right w:w="45" w:type="dxa"/>
        </w:tblCellMar>
        <w:tblLook w:val="0000" w:firstRow="0" w:lastRow="0" w:firstColumn="0" w:lastColumn="0" w:noHBand="0" w:noVBand="0"/>
      </w:tblPr>
      <w:tblGrid>
        <w:gridCol w:w="5237"/>
        <w:gridCol w:w="1440"/>
        <w:gridCol w:w="1126"/>
        <w:gridCol w:w="1283"/>
        <w:gridCol w:w="1191"/>
        <w:gridCol w:w="1710"/>
        <w:gridCol w:w="1530"/>
        <w:gridCol w:w="1053"/>
      </w:tblGrid>
      <w:tr w:rsidR="00336793" w:rsidRPr="00B03906" w:rsidTr="00DF0B96">
        <w:trPr>
          <w:tblHeader/>
        </w:trPr>
        <w:tc>
          <w:tcPr>
            <w:tcW w:w="5237" w:type="dxa"/>
            <w:tcBorders>
              <w:top w:val="single" w:sz="6" w:space="0" w:color="auto"/>
              <w:left w:val="single" w:sz="6" w:space="0" w:color="auto"/>
              <w:bottom w:val="single" w:sz="6" w:space="0" w:color="auto"/>
              <w:right w:val="nil"/>
            </w:tcBorders>
            <w:shd w:val="clear" w:color="000000" w:fill="000000"/>
            <w:vAlign w:val="bottom"/>
          </w:tcPr>
          <w:p w:rsidR="00336793" w:rsidRPr="00B03906" w:rsidRDefault="00336793" w:rsidP="00DF0B96">
            <w:pPr>
              <w:pStyle w:val="Tabletext"/>
              <w:rPr>
                <w:rFonts w:eastAsiaTheme="minorEastAsia"/>
                <w:i/>
                <w:sz w:val="20"/>
                <w:lang w:eastAsia="en-AU"/>
              </w:rPr>
            </w:pPr>
            <w:r w:rsidRPr="00B03906">
              <w:rPr>
                <w:rFonts w:eastAsiaTheme="minorEastAsia"/>
                <w:i/>
                <w:sz w:val="20"/>
                <w:lang w:eastAsia="en-AU"/>
              </w:rPr>
              <w:t>2014</w:t>
            </w:r>
          </w:p>
        </w:tc>
        <w:tc>
          <w:tcPr>
            <w:tcW w:w="1440"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p>
        </w:tc>
        <w:tc>
          <w:tcPr>
            <w:tcW w:w="1126"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p>
        </w:tc>
        <w:tc>
          <w:tcPr>
            <w:tcW w:w="1283"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p>
        </w:tc>
        <w:tc>
          <w:tcPr>
            <w:tcW w:w="1191"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p>
        </w:tc>
        <w:tc>
          <w:tcPr>
            <w:tcW w:w="1710"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p>
        </w:tc>
        <w:tc>
          <w:tcPr>
            <w:tcW w:w="1530" w:type="dxa"/>
            <w:tcBorders>
              <w:top w:val="single" w:sz="6" w:space="0" w:color="auto"/>
              <w:left w:val="nil"/>
              <w:bottom w:val="single" w:sz="6" w:space="0" w:color="auto"/>
              <w:right w:val="nil"/>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p>
        </w:tc>
        <w:tc>
          <w:tcPr>
            <w:tcW w:w="1053" w:type="dxa"/>
            <w:tcBorders>
              <w:top w:val="single" w:sz="6" w:space="0" w:color="auto"/>
              <w:left w:val="nil"/>
              <w:bottom w:val="single" w:sz="6" w:space="0" w:color="auto"/>
              <w:right w:val="single" w:sz="6" w:space="0" w:color="auto"/>
            </w:tcBorders>
            <w:shd w:val="clear" w:color="000000" w:fill="000000"/>
            <w:vAlign w:val="bottom"/>
          </w:tcPr>
          <w:p w:rsidR="00336793" w:rsidRPr="00B03906" w:rsidRDefault="00336793" w:rsidP="00DF0B96">
            <w:pPr>
              <w:pStyle w:val="Tabletextheading"/>
              <w:rPr>
                <w:rFonts w:eastAsiaTheme="minorEastAsia"/>
                <w:iCs/>
                <w:color w:val="FFFFFF"/>
                <w:sz w:val="20"/>
                <w:lang w:eastAsia="en-AU"/>
              </w:rPr>
            </w:pPr>
          </w:p>
        </w:tc>
      </w:tr>
      <w:tr w:rsidR="00336793" w:rsidRPr="00B03906" w:rsidTr="00DF0B96">
        <w:tc>
          <w:tcPr>
            <w:tcW w:w="5237" w:type="dxa"/>
            <w:tcBorders>
              <w:top w:val="single" w:sz="6" w:space="0" w:color="auto"/>
              <w:left w:val="nil"/>
              <w:bottom w:val="nil"/>
              <w:right w:val="nil"/>
            </w:tcBorders>
          </w:tcPr>
          <w:p w:rsidR="00336793" w:rsidRPr="00B03906" w:rsidRDefault="00336793" w:rsidP="00DF0B96">
            <w:pPr>
              <w:pStyle w:val="Tabletext"/>
              <w:rPr>
                <w:rFonts w:eastAsiaTheme="minorEastAsia"/>
                <w:sz w:val="20"/>
                <w:szCs w:val="20"/>
                <w:vertAlign w:val="superscript"/>
                <w:lang w:eastAsia="en-AU"/>
              </w:rPr>
            </w:pPr>
            <w:r w:rsidRPr="00B03906">
              <w:rPr>
                <w:rFonts w:eastAsiaTheme="minorEastAsia"/>
                <w:sz w:val="20"/>
                <w:lang w:eastAsia="en-AU"/>
              </w:rPr>
              <w:t>Buildings</w:t>
            </w:r>
            <w:r w:rsidRPr="00E96950">
              <w:rPr>
                <w:rFonts w:eastAsiaTheme="minorEastAsia"/>
                <w:sz w:val="20"/>
                <w:szCs w:val="20"/>
                <w:vertAlign w:val="superscript"/>
                <w:lang w:eastAsia="en-AU"/>
              </w:rPr>
              <w:t xml:space="preserve"> (</w:t>
            </w:r>
            <w:r w:rsidRPr="00B03906">
              <w:rPr>
                <w:rFonts w:eastAsiaTheme="minorEastAsia"/>
                <w:sz w:val="20"/>
                <w:szCs w:val="20"/>
                <w:vertAlign w:val="superscript"/>
                <w:lang w:eastAsia="en-AU"/>
              </w:rPr>
              <w:t>a)</w:t>
            </w:r>
          </w:p>
        </w:tc>
        <w:tc>
          <w:tcPr>
            <w:tcW w:w="1440"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1 025.8</w:t>
            </w:r>
          </w:p>
        </w:tc>
        <w:tc>
          <w:tcPr>
            <w:tcW w:w="1126"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10 043.0</w:t>
            </w:r>
          </w:p>
        </w:tc>
        <w:tc>
          <w:tcPr>
            <w:tcW w:w="1283"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8 949.5</w:t>
            </w:r>
          </w:p>
        </w:tc>
        <w:tc>
          <w:tcPr>
            <w:tcW w:w="1191"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507.8</w:t>
            </w:r>
          </w:p>
        </w:tc>
        <w:tc>
          <w:tcPr>
            <w:tcW w:w="1530"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5 384.4</w:t>
            </w:r>
          </w:p>
        </w:tc>
        <w:tc>
          <w:tcPr>
            <w:tcW w:w="1053" w:type="dxa"/>
            <w:tcBorders>
              <w:top w:val="single" w:sz="6" w:space="0" w:color="auto"/>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25 910.5</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Land and national parks</w:t>
            </w:r>
            <w:r w:rsidRPr="00E96950">
              <w:rPr>
                <w:rFonts w:eastAsiaTheme="minorEastAsia"/>
                <w:sz w:val="20"/>
                <w:szCs w:val="20"/>
                <w:vertAlign w:val="superscript"/>
                <w:lang w:eastAsia="en-AU"/>
              </w:rPr>
              <w:t xml:space="preserve"> (</w:t>
            </w:r>
            <w:r w:rsidRPr="00B03906">
              <w:rPr>
                <w:rFonts w:eastAsiaTheme="minorEastAsia"/>
                <w:sz w:val="20"/>
                <w:szCs w:val="20"/>
                <w:vertAlign w:val="superscript"/>
                <w:lang w:eastAsia="en-AU"/>
              </w:rPr>
              <w:t>a)</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978.3</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7 563.0</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2 259.5</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17 476.5</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9 277.0</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37 554.2</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Buildings leasehold</w:t>
            </w:r>
            <w:r w:rsidRPr="00E96950">
              <w:rPr>
                <w:rFonts w:eastAsiaTheme="minorEastAsia"/>
                <w:sz w:val="20"/>
                <w:szCs w:val="20"/>
                <w:vertAlign w:val="superscript"/>
                <w:lang w:eastAsia="en-AU"/>
              </w:rPr>
              <w:t xml:space="preserve"> (</w:t>
            </w:r>
            <w:r w:rsidRPr="00B03906">
              <w:rPr>
                <w:rFonts w:eastAsiaTheme="minorEastAsia"/>
                <w:sz w:val="20"/>
                <w:szCs w:val="20"/>
                <w:vertAlign w:val="superscript"/>
                <w:lang w:eastAsia="en-AU"/>
              </w:rPr>
              <w:t>a)</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39.7</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199.3</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1 320.5</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29.2</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823.9</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2 412.6</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 xml:space="preserve">Infrastructure systems </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73.6</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336.7</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837.4</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1 247.8</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Plant, equipment and vehicles</w:t>
            </w:r>
            <w:r w:rsidRPr="00E96950">
              <w:rPr>
                <w:rFonts w:eastAsiaTheme="minorEastAsia"/>
                <w:sz w:val="20"/>
                <w:szCs w:val="20"/>
                <w:vertAlign w:val="superscript"/>
                <w:lang w:eastAsia="en-AU"/>
              </w:rPr>
              <w:t xml:space="preserve"> (</w:t>
            </w:r>
            <w:r>
              <w:rPr>
                <w:rFonts w:eastAsiaTheme="minorEastAsia"/>
                <w:sz w:val="20"/>
                <w:szCs w:val="20"/>
                <w:vertAlign w:val="superscript"/>
                <w:lang w:eastAsia="en-AU"/>
              </w:rPr>
              <w:t>b</w:t>
            </w:r>
            <w:r w:rsidRPr="00B03906">
              <w:rPr>
                <w:rFonts w:eastAsiaTheme="minorEastAsia"/>
                <w:sz w:val="20"/>
                <w:szCs w:val="20"/>
                <w:vertAlign w:val="superscript"/>
                <w:lang w:eastAsia="en-AU"/>
              </w:rPr>
              <w:t>)</w:t>
            </w:r>
            <w:r w:rsidRPr="00B03906">
              <w:rPr>
                <w:rFonts w:eastAsiaTheme="minorEastAsia"/>
                <w:sz w:val="20"/>
                <w:lang w:eastAsia="en-AU"/>
              </w:rPr>
              <w:t xml:space="preserve"> </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202.3</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299.5</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943.1</w:t>
            </w:r>
          </w:p>
        </w:tc>
        <w:tc>
          <w:tcPr>
            <w:tcW w:w="1191" w:type="dxa"/>
            <w:tcBorders>
              <w:top w:val="nil"/>
              <w:left w:val="nil"/>
              <w:bottom w:val="nil"/>
              <w:right w:val="nil"/>
            </w:tcBorders>
          </w:tcPr>
          <w:p w:rsidR="00336793" w:rsidRPr="00B0390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38.5</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902.9</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2 386.2</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Leased plant, equipment and vehicles</w:t>
            </w:r>
            <w:r w:rsidRPr="00E96950">
              <w:rPr>
                <w:rFonts w:eastAsiaTheme="minorEastAsia"/>
                <w:sz w:val="20"/>
                <w:szCs w:val="20"/>
                <w:vertAlign w:val="superscript"/>
                <w:lang w:eastAsia="en-AU"/>
              </w:rPr>
              <w:t xml:space="preserve"> (</w:t>
            </w:r>
            <w:r>
              <w:rPr>
                <w:rFonts w:eastAsiaTheme="minorEastAsia"/>
                <w:sz w:val="20"/>
                <w:szCs w:val="20"/>
                <w:vertAlign w:val="superscript"/>
                <w:lang w:eastAsia="en-AU"/>
              </w:rPr>
              <w:t>b</w:t>
            </w:r>
            <w:r w:rsidRPr="00B03906">
              <w:rPr>
                <w:rFonts w:eastAsiaTheme="minorEastAsia"/>
                <w:sz w:val="20"/>
                <w:szCs w:val="20"/>
                <w:vertAlign w:val="superscript"/>
                <w:lang w:eastAsia="en-AU"/>
              </w:rPr>
              <w:t>)</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4.4</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70.5</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104.0</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30.1</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209.0</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Roads and road infrastructure</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21 097.9</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1 005.9</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22 103.8</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Leased roads and roads infrastructure</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r>
      <w:tr w:rsidR="00336793" w:rsidRPr="00B03906" w:rsidTr="00DF0B96">
        <w:tc>
          <w:tcPr>
            <w:tcW w:w="5237" w:type="dxa"/>
            <w:tcBorders>
              <w:top w:val="nil"/>
              <w:left w:val="nil"/>
              <w:bottom w:val="nil"/>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Earthworks</w:t>
            </w:r>
          </w:p>
        </w:tc>
        <w:tc>
          <w:tcPr>
            <w:tcW w:w="144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26"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28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191"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nil"/>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sz w:val="20"/>
                <w:lang w:eastAsia="en-AU"/>
              </w:rPr>
              <w:t>7 685.2</w:t>
            </w:r>
          </w:p>
        </w:tc>
        <w:tc>
          <w:tcPr>
            <w:tcW w:w="1530"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053" w:type="dxa"/>
            <w:tcBorders>
              <w:top w:val="nil"/>
              <w:left w:val="nil"/>
              <w:bottom w:val="nil"/>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7 685.2</w:t>
            </w:r>
          </w:p>
        </w:tc>
      </w:tr>
      <w:tr w:rsidR="00336793" w:rsidRPr="00B03906" w:rsidTr="00DF0B96">
        <w:tc>
          <w:tcPr>
            <w:tcW w:w="5237" w:type="dxa"/>
            <w:tcBorders>
              <w:top w:val="nil"/>
              <w:left w:val="nil"/>
              <w:bottom w:val="single" w:sz="6" w:space="0" w:color="auto"/>
              <w:right w:val="nil"/>
            </w:tcBorders>
          </w:tcPr>
          <w:p w:rsidR="00336793" w:rsidRPr="00B03906" w:rsidRDefault="00336793" w:rsidP="00DF0B96">
            <w:pPr>
              <w:pStyle w:val="Tabletext"/>
              <w:rPr>
                <w:rFonts w:eastAsiaTheme="minorEastAsia"/>
                <w:sz w:val="20"/>
                <w:lang w:eastAsia="en-AU"/>
              </w:rPr>
            </w:pPr>
            <w:r w:rsidRPr="00B03906">
              <w:rPr>
                <w:rFonts w:eastAsiaTheme="minorEastAsia"/>
                <w:sz w:val="20"/>
                <w:lang w:eastAsia="en-AU"/>
              </w:rPr>
              <w:t>Cultural assets</w:t>
            </w:r>
          </w:p>
        </w:tc>
        <w:tc>
          <w:tcPr>
            <w:tcW w:w="1440"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323.2</w:t>
            </w:r>
          </w:p>
        </w:tc>
        <w:tc>
          <w:tcPr>
            <w:tcW w:w="1126"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sz w:val="20"/>
                <w:lang w:eastAsia="en-AU"/>
              </w:rPr>
              <w:t xml:space="preserve"> 4.5</w:t>
            </w:r>
          </w:p>
        </w:tc>
        <w:tc>
          <w:tcPr>
            <w:tcW w:w="1283"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 xml:space="preserve"> 5.3</w:t>
            </w:r>
          </w:p>
        </w:tc>
        <w:tc>
          <w:tcPr>
            <w:tcW w:w="1191"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w:t>
            </w:r>
          </w:p>
        </w:tc>
        <w:tc>
          <w:tcPr>
            <w:tcW w:w="1710"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sz w:val="20"/>
                <w:lang w:eastAsia="en-AU"/>
              </w:rPr>
              <w:t xml:space="preserve"> 1.1</w:t>
            </w:r>
          </w:p>
        </w:tc>
        <w:tc>
          <w:tcPr>
            <w:tcW w:w="1530" w:type="dxa"/>
            <w:tcBorders>
              <w:top w:val="nil"/>
              <w:left w:val="nil"/>
              <w:bottom w:val="single" w:sz="6" w:space="0" w:color="auto"/>
              <w:right w:val="nil"/>
            </w:tcBorders>
          </w:tcPr>
          <w:p w:rsidR="00336793" w:rsidRPr="00B03906" w:rsidRDefault="00336793" w:rsidP="00DF0B96">
            <w:pPr>
              <w:pStyle w:val="TableofFigures"/>
              <w:rPr>
                <w:rFonts w:eastAsiaTheme="minorEastAsia" w:cs="Calibri"/>
                <w:color w:val="000000"/>
                <w:sz w:val="20"/>
                <w:szCs w:val="22"/>
                <w:lang w:eastAsia="en-AU"/>
              </w:rPr>
            </w:pPr>
            <w:r w:rsidRPr="00B03906">
              <w:rPr>
                <w:rFonts w:eastAsiaTheme="minorEastAsia"/>
                <w:sz w:val="20"/>
                <w:lang w:eastAsia="en-AU"/>
              </w:rPr>
              <w:t>5 155.4</w:t>
            </w:r>
          </w:p>
        </w:tc>
        <w:tc>
          <w:tcPr>
            <w:tcW w:w="1053" w:type="dxa"/>
            <w:tcBorders>
              <w:top w:val="nil"/>
              <w:left w:val="nil"/>
              <w:bottom w:val="single" w:sz="6" w:space="0" w:color="auto"/>
              <w:right w:val="nil"/>
            </w:tcBorders>
          </w:tcPr>
          <w:p w:rsidR="00336793" w:rsidRPr="00B03906" w:rsidRDefault="00336793" w:rsidP="00DF0B96">
            <w:pPr>
              <w:pStyle w:val="TableofFigures"/>
              <w:rPr>
                <w:rFonts w:eastAsiaTheme="minorEastAsia"/>
                <w:sz w:val="20"/>
                <w:lang w:eastAsia="en-AU"/>
              </w:rPr>
            </w:pPr>
            <w:r w:rsidRPr="00B03906">
              <w:rPr>
                <w:rFonts w:eastAsiaTheme="minorEastAsia"/>
                <w:sz w:val="20"/>
                <w:lang w:eastAsia="en-AU"/>
              </w:rPr>
              <w:t>5 489.5</w:t>
            </w:r>
          </w:p>
        </w:tc>
      </w:tr>
      <w:tr w:rsidR="00336793" w:rsidRPr="00B03906" w:rsidTr="00DF0B96">
        <w:tc>
          <w:tcPr>
            <w:tcW w:w="5237"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text"/>
              <w:rPr>
                <w:rFonts w:eastAsiaTheme="minorEastAsia"/>
                <w:b/>
                <w:bCs/>
                <w:sz w:val="20"/>
                <w:lang w:eastAsia="en-AU"/>
              </w:rPr>
            </w:pPr>
            <w:r w:rsidRPr="00B03906">
              <w:rPr>
                <w:rFonts w:eastAsiaTheme="minorEastAsia"/>
                <w:b/>
                <w:bCs/>
                <w:sz w:val="20"/>
                <w:lang w:eastAsia="en-AU"/>
              </w:rPr>
              <w:t>Total land, buildings, infrastructure, plant and equipment</w:t>
            </w:r>
            <w:r w:rsidRPr="00E96950">
              <w:rPr>
                <w:rFonts w:eastAsiaTheme="minorEastAsia"/>
                <w:b/>
                <w:bCs/>
                <w:sz w:val="20"/>
                <w:vertAlign w:val="superscript"/>
                <w:lang w:eastAsia="en-AU"/>
              </w:rPr>
              <w:t xml:space="preserve"> (</w:t>
            </w:r>
            <w:r w:rsidRPr="00B03906">
              <w:rPr>
                <w:rFonts w:eastAsiaTheme="minorEastAsia"/>
                <w:b/>
                <w:bCs/>
                <w:sz w:val="20"/>
                <w:vertAlign w:val="superscript"/>
                <w:lang w:eastAsia="en-AU"/>
              </w:rPr>
              <w:t>a)</w:t>
            </w:r>
          </w:p>
        </w:tc>
        <w:tc>
          <w:tcPr>
            <w:tcW w:w="144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2 642.9</w:t>
            </w:r>
          </w:p>
        </w:tc>
        <w:tc>
          <w:tcPr>
            <w:tcW w:w="1126"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18 113.7</w:t>
            </w:r>
          </w:p>
        </w:tc>
        <w:tc>
          <w:tcPr>
            <w:tcW w:w="1283"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13 548.3</w:t>
            </w:r>
          </w:p>
        </w:tc>
        <w:tc>
          <w:tcPr>
            <w:tcW w:w="1191"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cs="Calibri"/>
                <w:b/>
                <w:bCs/>
                <w:color w:val="000000"/>
                <w:sz w:val="20"/>
                <w:szCs w:val="22"/>
                <w:lang w:eastAsia="en-AU"/>
              </w:rPr>
            </w:pPr>
            <w:r>
              <w:rPr>
                <w:rFonts w:eastAsiaTheme="minorEastAsia"/>
                <w:b/>
                <w:bCs/>
                <w:sz w:val="20"/>
                <w:lang w:eastAsia="en-AU"/>
              </w:rPr>
              <w:t>..</w:t>
            </w:r>
          </w:p>
        </w:tc>
        <w:tc>
          <w:tcPr>
            <w:tcW w:w="171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47 277.1</w:t>
            </w:r>
          </w:p>
        </w:tc>
        <w:tc>
          <w:tcPr>
            <w:tcW w:w="1530"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23 417.0</w:t>
            </w:r>
          </w:p>
        </w:tc>
        <w:tc>
          <w:tcPr>
            <w:tcW w:w="1053" w:type="dxa"/>
            <w:tcBorders>
              <w:top w:val="single" w:sz="6" w:space="0" w:color="auto"/>
              <w:left w:val="nil"/>
              <w:bottom w:val="single" w:sz="12" w:space="0" w:color="000000"/>
              <w:right w:val="nil"/>
            </w:tcBorders>
            <w:shd w:val="clear" w:color="auto" w:fill="auto"/>
          </w:tcPr>
          <w:p w:rsidR="00336793" w:rsidRPr="00B03906" w:rsidRDefault="00336793" w:rsidP="00DF0B96">
            <w:pPr>
              <w:pStyle w:val="TableofFigures"/>
              <w:rPr>
                <w:rFonts w:eastAsiaTheme="minorEastAsia"/>
                <w:b/>
                <w:bCs/>
                <w:sz w:val="20"/>
                <w:lang w:eastAsia="en-AU"/>
              </w:rPr>
            </w:pPr>
            <w:r w:rsidRPr="00B03906">
              <w:rPr>
                <w:rFonts w:eastAsiaTheme="minorEastAsia"/>
                <w:b/>
                <w:bCs/>
                <w:sz w:val="20"/>
                <w:lang w:eastAsia="en-AU"/>
              </w:rPr>
              <w:t>104 998.8</w:t>
            </w:r>
          </w:p>
        </w:tc>
      </w:tr>
    </w:tbl>
    <w:p w:rsidR="00336793" w:rsidRPr="006A75A2" w:rsidRDefault="00336793" w:rsidP="00DF0B96">
      <w:pPr>
        <w:pStyle w:val="Notes"/>
      </w:pPr>
      <w:r w:rsidRPr="006A75A2">
        <w:t>Note</w:t>
      </w:r>
      <w:r>
        <w:t>s</w:t>
      </w:r>
      <w:r w:rsidRPr="006A75A2">
        <w:t>:</w:t>
      </w:r>
    </w:p>
    <w:p w:rsidR="00336793" w:rsidRPr="006A75A2" w:rsidRDefault="00336793" w:rsidP="00DF0B96">
      <w:pPr>
        <w:pStyle w:val="Notes"/>
      </w:pPr>
      <w:r w:rsidRPr="006A75A2">
        <w:t>(a)</w:t>
      </w:r>
      <w:r w:rsidRPr="006A75A2">
        <w:tab/>
      </w:r>
      <w:r w:rsidRPr="00D41A2A">
        <w:t>June 2014 comparative figures have been restated. See Note 37.</w:t>
      </w:r>
    </w:p>
    <w:p w:rsidR="00336793" w:rsidRDefault="00336793" w:rsidP="00DF0B96">
      <w:pPr>
        <w:pStyle w:val="Notes"/>
      </w:pPr>
      <w:r>
        <w:t>(b</w:t>
      </w:r>
      <w:r w:rsidRPr="006A75A2">
        <w:t>)</w:t>
      </w:r>
      <w:r w:rsidRPr="006A75A2">
        <w:tab/>
      </w:r>
      <w:r w:rsidRPr="00D41A2A">
        <w:t>June 2014 comparative figures have been r</w:t>
      </w:r>
      <w:r>
        <w:t>eclassified to reflect more current information.</w:t>
      </w:r>
    </w:p>
    <w:p w:rsidR="00336793" w:rsidRDefault="00336793" w:rsidP="00DF0B96">
      <w:pPr>
        <w:pStyle w:val="Notes"/>
      </w:pPr>
    </w:p>
    <w:p w:rsidR="00336793" w:rsidRDefault="00336793" w:rsidP="00DF0B96">
      <w:r>
        <w:br w:type="page"/>
      </w:r>
    </w:p>
    <w:p w:rsidR="00336793" w:rsidRDefault="00336793" w:rsidP="00DF0B96">
      <w:pPr>
        <w:pStyle w:val="Heading2NotesContd"/>
      </w:pPr>
      <w:r w:rsidRPr="006A75A2">
        <w:lastRenderedPageBreak/>
        <w:t>Note 22:</w:t>
      </w:r>
      <w:r w:rsidRPr="006A75A2">
        <w:tab/>
        <w:t>Land, buildings, infrastructure, plant and equipment</w:t>
      </w:r>
      <w:r w:rsidRPr="006A75A2">
        <w:rPr>
          <w:i/>
        </w:rPr>
        <w:t xml:space="preserve"> (continued)</w:t>
      </w:r>
    </w:p>
    <w:p w:rsidR="00336793" w:rsidRDefault="00336793" w:rsidP="00DF0B96">
      <w:pPr>
        <w:pStyle w:val="Heading5"/>
      </w:pPr>
      <w:r>
        <w:t>(c)</w:t>
      </w:r>
      <w:r>
        <w:tab/>
        <w:t>Reconciliation of movements</w:t>
      </w:r>
    </w:p>
    <w:p w:rsidR="00336793" w:rsidRPr="004F2885"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4170"/>
        <w:gridCol w:w="113"/>
        <w:gridCol w:w="927"/>
        <w:gridCol w:w="1040"/>
        <w:gridCol w:w="247"/>
        <w:gridCol w:w="793"/>
        <w:gridCol w:w="1040"/>
        <w:gridCol w:w="237"/>
        <w:gridCol w:w="803"/>
        <w:gridCol w:w="1040"/>
        <w:gridCol w:w="236"/>
        <w:gridCol w:w="804"/>
        <w:gridCol w:w="1040"/>
        <w:gridCol w:w="236"/>
        <w:gridCol w:w="804"/>
        <w:gridCol w:w="1040"/>
      </w:tblGrid>
      <w:tr w:rsidR="00336793" w:rsidRPr="004F2885" w:rsidTr="00D96F49">
        <w:tc>
          <w:tcPr>
            <w:tcW w:w="4170" w:type="dxa"/>
            <w:tcBorders>
              <w:top w:val="single" w:sz="6" w:space="0" w:color="auto"/>
              <w:left w:val="single" w:sz="6" w:space="0" w:color="auto"/>
              <w:bottom w:val="nil"/>
              <w:right w:val="nil"/>
            </w:tcBorders>
            <w:shd w:val="clear" w:color="000000" w:fill="000000"/>
          </w:tcPr>
          <w:p w:rsidR="00336793" w:rsidRPr="004F2885" w:rsidRDefault="00336793" w:rsidP="00DF0B96">
            <w:pPr>
              <w:pStyle w:val="Tabletextheading"/>
              <w:jc w:val="left"/>
              <w:rPr>
                <w:rFonts w:eastAsiaTheme="minorEastAsia"/>
                <w:color w:val="FFFFFF"/>
                <w:sz w:val="20"/>
                <w:lang w:eastAsia="en-AU"/>
              </w:rPr>
            </w:pPr>
          </w:p>
        </w:tc>
        <w:tc>
          <w:tcPr>
            <w:tcW w:w="113" w:type="dxa"/>
            <w:tcBorders>
              <w:top w:val="single" w:sz="6" w:space="0" w:color="auto"/>
              <w:left w:val="nil"/>
              <w:bottom w:val="nil"/>
              <w:right w:val="nil"/>
            </w:tcBorders>
            <w:shd w:val="clear" w:color="000000" w:fill="000000"/>
          </w:tcPr>
          <w:p w:rsidR="00336793" w:rsidRPr="004F2885" w:rsidRDefault="00336793" w:rsidP="00DF0B96">
            <w:pPr>
              <w:pStyle w:val="TabletextheadingCentred"/>
              <w:rPr>
                <w:rFonts w:eastAsiaTheme="minorEastAsia"/>
                <w:sz w:val="20"/>
                <w:lang w:eastAsia="en-AU"/>
              </w:rPr>
            </w:pPr>
            <w:r w:rsidRPr="004F2885">
              <w:rPr>
                <w:rFonts w:eastAsiaTheme="minorEastAsia"/>
                <w:sz w:val="20"/>
                <w:lang w:eastAsia="en-AU"/>
              </w:rPr>
              <w:t xml:space="preserve"> </w:t>
            </w:r>
          </w:p>
        </w:tc>
        <w:tc>
          <w:tcPr>
            <w:tcW w:w="1967" w:type="dxa"/>
            <w:gridSpan w:val="2"/>
            <w:tcBorders>
              <w:top w:val="single" w:sz="6" w:space="0" w:color="auto"/>
              <w:left w:val="nil"/>
              <w:bottom w:val="nil"/>
              <w:right w:val="nil"/>
            </w:tcBorders>
            <w:shd w:val="clear" w:color="000000" w:fill="000000"/>
            <w:vAlign w:val="bottom"/>
          </w:tcPr>
          <w:p w:rsidR="00336793" w:rsidRPr="004F2885" w:rsidRDefault="00336793" w:rsidP="00D96F49">
            <w:pPr>
              <w:pStyle w:val="TabletextheadingCentred"/>
              <w:rPr>
                <w:rFonts w:eastAsiaTheme="minorEastAsia"/>
                <w:sz w:val="20"/>
                <w:vertAlign w:val="superscript"/>
                <w:lang w:eastAsia="en-AU"/>
              </w:rPr>
            </w:pPr>
            <w:r w:rsidRPr="004F2885">
              <w:rPr>
                <w:rFonts w:eastAsiaTheme="minorEastAsia"/>
                <w:sz w:val="20"/>
                <w:lang w:eastAsia="en-AU"/>
              </w:rPr>
              <w:t xml:space="preserve">Land and buildings </w:t>
            </w:r>
            <w:r w:rsidRPr="004F2885">
              <w:rPr>
                <w:rFonts w:eastAsiaTheme="minorEastAsia"/>
                <w:sz w:val="20"/>
                <w:vertAlign w:val="superscript"/>
                <w:lang w:eastAsia="en-AU"/>
              </w:rPr>
              <w:t>(a)</w:t>
            </w:r>
          </w:p>
        </w:tc>
        <w:tc>
          <w:tcPr>
            <w:tcW w:w="247" w:type="dxa"/>
            <w:tcBorders>
              <w:top w:val="single" w:sz="6" w:space="0" w:color="auto"/>
              <w:left w:val="nil"/>
              <w:bottom w:val="nil"/>
              <w:right w:val="nil"/>
            </w:tcBorders>
            <w:shd w:val="clear" w:color="000000" w:fill="000000"/>
            <w:vAlign w:val="bottom"/>
          </w:tcPr>
          <w:p w:rsidR="00336793" w:rsidRPr="004F2885" w:rsidRDefault="00336793" w:rsidP="00D96F49">
            <w:pPr>
              <w:pStyle w:val="TabletextheadingCentred"/>
              <w:rPr>
                <w:rFonts w:eastAsiaTheme="minorEastAsia"/>
                <w:sz w:val="20"/>
                <w:lang w:eastAsia="en-AU"/>
              </w:rPr>
            </w:pPr>
          </w:p>
        </w:tc>
        <w:tc>
          <w:tcPr>
            <w:tcW w:w="1833" w:type="dxa"/>
            <w:gridSpan w:val="2"/>
            <w:tcBorders>
              <w:top w:val="single" w:sz="6" w:space="0" w:color="auto"/>
              <w:left w:val="nil"/>
              <w:bottom w:val="nil"/>
              <w:right w:val="nil"/>
            </w:tcBorders>
            <w:shd w:val="clear" w:color="000000" w:fill="000000"/>
            <w:vAlign w:val="bottom"/>
          </w:tcPr>
          <w:p w:rsidR="00336793" w:rsidRPr="004F2885" w:rsidRDefault="00336793" w:rsidP="00D96F49">
            <w:pPr>
              <w:pStyle w:val="TabletextheadingCentred"/>
              <w:rPr>
                <w:rFonts w:eastAsiaTheme="minorEastAsia"/>
                <w:sz w:val="20"/>
                <w:vertAlign w:val="superscript"/>
                <w:lang w:eastAsia="en-AU"/>
              </w:rPr>
            </w:pPr>
            <w:r w:rsidRPr="004F2885">
              <w:rPr>
                <w:rFonts w:eastAsiaTheme="minorEastAsia"/>
                <w:sz w:val="20"/>
                <w:lang w:eastAsia="en-AU"/>
              </w:rPr>
              <w:t>Plant, equipment vehicle and infrastructure systems</w:t>
            </w:r>
            <w:r w:rsidRPr="004F2885">
              <w:rPr>
                <w:rFonts w:eastAsiaTheme="minorEastAsia"/>
                <w:sz w:val="20"/>
                <w:vertAlign w:val="superscript"/>
                <w:lang w:eastAsia="en-AU"/>
              </w:rPr>
              <w:t>(a)</w:t>
            </w:r>
          </w:p>
        </w:tc>
        <w:tc>
          <w:tcPr>
            <w:tcW w:w="237" w:type="dxa"/>
            <w:tcBorders>
              <w:top w:val="single" w:sz="6" w:space="0" w:color="auto"/>
              <w:left w:val="nil"/>
              <w:bottom w:val="nil"/>
              <w:right w:val="nil"/>
            </w:tcBorders>
            <w:shd w:val="clear" w:color="000000" w:fill="000000"/>
            <w:vAlign w:val="bottom"/>
          </w:tcPr>
          <w:p w:rsidR="00336793" w:rsidRPr="004F2885" w:rsidRDefault="00336793" w:rsidP="00D96F49">
            <w:pPr>
              <w:pStyle w:val="TabletextheadingCentred"/>
              <w:rPr>
                <w:rFonts w:eastAsiaTheme="minorEastAsia"/>
                <w:sz w:val="20"/>
                <w:lang w:eastAsia="en-AU"/>
              </w:rPr>
            </w:pPr>
          </w:p>
        </w:tc>
        <w:tc>
          <w:tcPr>
            <w:tcW w:w="1843" w:type="dxa"/>
            <w:gridSpan w:val="2"/>
            <w:tcBorders>
              <w:top w:val="single" w:sz="6" w:space="0" w:color="auto"/>
              <w:left w:val="nil"/>
              <w:bottom w:val="nil"/>
              <w:right w:val="nil"/>
            </w:tcBorders>
            <w:shd w:val="clear" w:color="000000" w:fill="000000"/>
            <w:vAlign w:val="bottom"/>
          </w:tcPr>
          <w:p w:rsidR="00336793" w:rsidRPr="004F2885" w:rsidRDefault="00336793" w:rsidP="00D96F49">
            <w:pPr>
              <w:pStyle w:val="TabletextheadingCentred"/>
              <w:rPr>
                <w:rFonts w:eastAsiaTheme="minorEastAsia"/>
                <w:sz w:val="20"/>
                <w:lang w:eastAsia="en-AU"/>
              </w:rPr>
            </w:pPr>
            <w:r w:rsidRPr="004F2885">
              <w:rPr>
                <w:rFonts w:eastAsiaTheme="minorEastAsia"/>
                <w:sz w:val="20"/>
                <w:lang w:eastAsia="en-AU"/>
              </w:rPr>
              <w:t>Roads, road infrastructure and earthworks</w:t>
            </w:r>
          </w:p>
        </w:tc>
        <w:tc>
          <w:tcPr>
            <w:tcW w:w="236" w:type="dxa"/>
            <w:tcBorders>
              <w:top w:val="single" w:sz="6" w:space="0" w:color="auto"/>
              <w:left w:val="nil"/>
              <w:bottom w:val="nil"/>
              <w:right w:val="nil"/>
            </w:tcBorders>
            <w:shd w:val="clear" w:color="000000" w:fill="000000"/>
            <w:vAlign w:val="bottom"/>
          </w:tcPr>
          <w:p w:rsidR="00336793" w:rsidRPr="004F2885" w:rsidRDefault="00336793" w:rsidP="00D96F49">
            <w:pPr>
              <w:pStyle w:val="TabletextheadingCentred"/>
              <w:rPr>
                <w:rFonts w:eastAsiaTheme="minorEastAsia"/>
                <w:sz w:val="20"/>
                <w:lang w:eastAsia="en-AU"/>
              </w:rPr>
            </w:pPr>
          </w:p>
        </w:tc>
        <w:tc>
          <w:tcPr>
            <w:tcW w:w="1844" w:type="dxa"/>
            <w:gridSpan w:val="2"/>
            <w:tcBorders>
              <w:top w:val="single" w:sz="6" w:space="0" w:color="auto"/>
              <w:left w:val="nil"/>
              <w:bottom w:val="nil"/>
              <w:right w:val="nil"/>
            </w:tcBorders>
            <w:shd w:val="clear" w:color="000000" w:fill="000000"/>
            <w:vAlign w:val="bottom"/>
          </w:tcPr>
          <w:p w:rsidR="00336793" w:rsidRPr="004F2885" w:rsidRDefault="00336793" w:rsidP="00D96F49">
            <w:pPr>
              <w:pStyle w:val="TabletextheadingCentred"/>
              <w:rPr>
                <w:rFonts w:eastAsiaTheme="minorEastAsia"/>
                <w:sz w:val="20"/>
                <w:lang w:eastAsia="en-AU"/>
              </w:rPr>
            </w:pPr>
            <w:r w:rsidRPr="004F2885">
              <w:rPr>
                <w:rFonts w:eastAsiaTheme="minorEastAsia"/>
                <w:sz w:val="20"/>
                <w:lang w:eastAsia="en-AU"/>
              </w:rPr>
              <w:t>Cultural assets</w:t>
            </w:r>
          </w:p>
        </w:tc>
        <w:tc>
          <w:tcPr>
            <w:tcW w:w="236" w:type="dxa"/>
            <w:tcBorders>
              <w:top w:val="single" w:sz="6" w:space="0" w:color="auto"/>
              <w:left w:val="nil"/>
              <w:bottom w:val="nil"/>
              <w:right w:val="nil"/>
            </w:tcBorders>
            <w:shd w:val="clear" w:color="000000" w:fill="000000"/>
            <w:vAlign w:val="bottom"/>
          </w:tcPr>
          <w:p w:rsidR="00336793" w:rsidRPr="004F2885" w:rsidRDefault="00336793" w:rsidP="00D96F49">
            <w:pPr>
              <w:pStyle w:val="TabletextheadingCentred"/>
              <w:rPr>
                <w:rFonts w:eastAsiaTheme="minorEastAsia"/>
                <w:sz w:val="20"/>
                <w:lang w:eastAsia="en-AU"/>
              </w:rPr>
            </w:pPr>
          </w:p>
        </w:tc>
        <w:tc>
          <w:tcPr>
            <w:tcW w:w="1844" w:type="dxa"/>
            <w:gridSpan w:val="2"/>
            <w:tcBorders>
              <w:top w:val="single" w:sz="6" w:space="0" w:color="auto"/>
              <w:left w:val="nil"/>
              <w:bottom w:val="nil"/>
              <w:right w:val="single" w:sz="6" w:space="0" w:color="auto"/>
            </w:tcBorders>
            <w:shd w:val="clear" w:color="000000" w:fill="000000"/>
            <w:vAlign w:val="bottom"/>
          </w:tcPr>
          <w:p w:rsidR="00336793" w:rsidRPr="004F2885" w:rsidRDefault="00336793" w:rsidP="00D96F49">
            <w:pPr>
              <w:pStyle w:val="TabletextheadingCentred"/>
              <w:rPr>
                <w:rFonts w:eastAsiaTheme="minorEastAsia"/>
                <w:sz w:val="20"/>
                <w:vertAlign w:val="superscript"/>
                <w:lang w:eastAsia="en-AU"/>
              </w:rPr>
            </w:pPr>
            <w:r w:rsidRPr="004F2885">
              <w:rPr>
                <w:rFonts w:eastAsiaTheme="minorEastAsia"/>
                <w:sz w:val="20"/>
                <w:lang w:eastAsia="en-AU"/>
              </w:rPr>
              <w:t>Total</w:t>
            </w:r>
            <w:r w:rsidRPr="004F2885">
              <w:rPr>
                <w:rFonts w:eastAsiaTheme="minorEastAsia"/>
                <w:sz w:val="20"/>
                <w:vertAlign w:val="superscript"/>
                <w:lang w:eastAsia="en-AU"/>
              </w:rPr>
              <w:t>(a)</w:t>
            </w:r>
          </w:p>
        </w:tc>
      </w:tr>
      <w:tr w:rsidR="00336793" w:rsidRPr="004F2885" w:rsidTr="00DF0B96">
        <w:tc>
          <w:tcPr>
            <w:tcW w:w="4170" w:type="dxa"/>
            <w:tcBorders>
              <w:top w:val="nil"/>
              <w:left w:val="single" w:sz="6" w:space="0" w:color="auto"/>
              <w:bottom w:val="single" w:sz="6" w:space="0" w:color="auto"/>
              <w:right w:val="nil"/>
            </w:tcBorders>
            <w:shd w:val="clear" w:color="000000" w:fill="000000"/>
          </w:tcPr>
          <w:p w:rsidR="00336793" w:rsidRPr="004F2885" w:rsidRDefault="00336793" w:rsidP="00DF0B96">
            <w:pPr>
              <w:pStyle w:val="Tabletextheading"/>
              <w:jc w:val="left"/>
              <w:rPr>
                <w:rFonts w:eastAsiaTheme="minorEastAsia"/>
                <w:iCs/>
                <w:color w:val="FFFFFF"/>
                <w:sz w:val="20"/>
                <w:lang w:eastAsia="en-AU"/>
              </w:rPr>
            </w:pPr>
            <w:r w:rsidRPr="004F2885">
              <w:rPr>
                <w:rFonts w:eastAsiaTheme="minorEastAsia"/>
                <w:iCs/>
                <w:color w:val="FFFFFF"/>
                <w:sz w:val="20"/>
                <w:lang w:eastAsia="en-AU"/>
              </w:rPr>
              <w:t>State of Victoria</w:t>
            </w:r>
          </w:p>
        </w:tc>
        <w:tc>
          <w:tcPr>
            <w:tcW w:w="1040" w:type="dxa"/>
            <w:gridSpan w:val="2"/>
            <w:tcBorders>
              <w:top w:val="nil"/>
              <w:left w:val="nil"/>
              <w:bottom w:val="single" w:sz="6" w:space="0" w:color="auto"/>
              <w:right w:val="nil"/>
            </w:tcBorders>
            <w:shd w:val="clear" w:color="000000" w:fill="000000"/>
          </w:tcPr>
          <w:p w:rsidR="00336793" w:rsidRPr="004F2885" w:rsidRDefault="00336793" w:rsidP="00DF0B96">
            <w:pPr>
              <w:pStyle w:val="Tabletextheading"/>
              <w:rPr>
                <w:rFonts w:eastAsiaTheme="minorEastAsia"/>
                <w:iCs/>
                <w:color w:val="FFFFFF"/>
                <w:sz w:val="20"/>
                <w:lang w:eastAsia="en-AU"/>
              </w:rPr>
            </w:pPr>
            <w:r w:rsidRPr="004F2885">
              <w:rPr>
                <w:rFonts w:eastAsiaTheme="minorEastAsia"/>
                <w:iCs/>
                <w:color w:val="FFFFFF"/>
                <w:sz w:val="20"/>
                <w:lang w:eastAsia="en-AU"/>
              </w:rPr>
              <w:t>2015</w:t>
            </w:r>
          </w:p>
        </w:tc>
        <w:tc>
          <w:tcPr>
            <w:tcW w:w="1040" w:type="dxa"/>
            <w:tcBorders>
              <w:top w:val="nil"/>
              <w:left w:val="nil"/>
              <w:bottom w:val="single" w:sz="6" w:space="0" w:color="auto"/>
              <w:right w:val="nil"/>
            </w:tcBorders>
            <w:shd w:val="clear" w:color="000000" w:fill="000000"/>
          </w:tcPr>
          <w:p w:rsidR="00336793" w:rsidRPr="004F2885" w:rsidRDefault="00336793" w:rsidP="00DF0B96">
            <w:pPr>
              <w:pStyle w:val="Tabletextheading"/>
              <w:rPr>
                <w:rFonts w:eastAsiaTheme="minorEastAsia"/>
                <w:iCs/>
                <w:color w:val="FFFFFF"/>
                <w:sz w:val="20"/>
                <w:lang w:eastAsia="en-AU"/>
              </w:rPr>
            </w:pPr>
            <w:r w:rsidRPr="004F2885">
              <w:rPr>
                <w:rFonts w:eastAsiaTheme="minorEastAsia"/>
                <w:iCs/>
                <w:color w:val="FFFFFF"/>
                <w:sz w:val="20"/>
                <w:lang w:eastAsia="en-AU"/>
              </w:rPr>
              <w:t>2014</w:t>
            </w:r>
          </w:p>
        </w:tc>
        <w:tc>
          <w:tcPr>
            <w:tcW w:w="1040" w:type="dxa"/>
            <w:gridSpan w:val="2"/>
            <w:tcBorders>
              <w:top w:val="nil"/>
              <w:left w:val="nil"/>
              <w:bottom w:val="single" w:sz="6" w:space="0" w:color="auto"/>
              <w:right w:val="nil"/>
            </w:tcBorders>
            <w:shd w:val="clear" w:color="000000" w:fill="000000"/>
          </w:tcPr>
          <w:p w:rsidR="00336793" w:rsidRPr="004F2885" w:rsidRDefault="00336793" w:rsidP="00DF0B96">
            <w:pPr>
              <w:pStyle w:val="Tabletextheading"/>
              <w:rPr>
                <w:rFonts w:eastAsiaTheme="minorEastAsia"/>
                <w:iCs/>
                <w:color w:val="FFFFFF"/>
                <w:sz w:val="20"/>
                <w:lang w:eastAsia="en-AU"/>
              </w:rPr>
            </w:pPr>
            <w:r w:rsidRPr="004F2885">
              <w:rPr>
                <w:rFonts w:eastAsiaTheme="minorEastAsia"/>
                <w:iCs/>
                <w:color w:val="FFFFFF"/>
                <w:sz w:val="20"/>
                <w:lang w:eastAsia="en-AU"/>
              </w:rPr>
              <w:t>2015</w:t>
            </w:r>
          </w:p>
        </w:tc>
        <w:tc>
          <w:tcPr>
            <w:tcW w:w="1040" w:type="dxa"/>
            <w:tcBorders>
              <w:top w:val="nil"/>
              <w:left w:val="nil"/>
              <w:bottom w:val="single" w:sz="6" w:space="0" w:color="auto"/>
              <w:right w:val="nil"/>
            </w:tcBorders>
            <w:shd w:val="clear" w:color="000000" w:fill="000000"/>
          </w:tcPr>
          <w:p w:rsidR="00336793" w:rsidRPr="004F2885" w:rsidRDefault="00336793" w:rsidP="00DF0B96">
            <w:pPr>
              <w:pStyle w:val="Tabletextheading"/>
              <w:rPr>
                <w:rFonts w:eastAsiaTheme="minorEastAsia"/>
                <w:iCs/>
                <w:color w:val="FFFFFF"/>
                <w:sz w:val="20"/>
                <w:lang w:eastAsia="en-AU"/>
              </w:rPr>
            </w:pPr>
            <w:r w:rsidRPr="004F2885">
              <w:rPr>
                <w:rFonts w:eastAsiaTheme="minorEastAsia"/>
                <w:iCs/>
                <w:color w:val="FFFFFF"/>
                <w:sz w:val="20"/>
                <w:lang w:eastAsia="en-AU"/>
              </w:rPr>
              <w:t>2014</w:t>
            </w:r>
          </w:p>
        </w:tc>
        <w:tc>
          <w:tcPr>
            <w:tcW w:w="1040" w:type="dxa"/>
            <w:gridSpan w:val="2"/>
            <w:tcBorders>
              <w:top w:val="nil"/>
              <w:left w:val="nil"/>
              <w:bottom w:val="single" w:sz="6" w:space="0" w:color="auto"/>
              <w:right w:val="nil"/>
            </w:tcBorders>
            <w:shd w:val="clear" w:color="000000" w:fill="000000"/>
          </w:tcPr>
          <w:p w:rsidR="00336793" w:rsidRPr="004F2885" w:rsidRDefault="00336793" w:rsidP="00DF0B96">
            <w:pPr>
              <w:pStyle w:val="Tabletextheading"/>
              <w:rPr>
                <w:rFonts w:eastAsiaTheme="minorEastAsia"/>
                <w:iCs/>
                <w:color w:val="FFFFFF"/>
                <w:sz w:val="20"/>
                <w:lang w:eastAsia="en-AU"/>
              </w:rPr>
            </w:pPr>
            <w:r w:rsidRPr="004F2885">
              <w:rPr>
                <w:rFonts w:eastAsiaTheme="minorEastAsia"/>
                <w:iCs/>
                <w:color w:val="FFFFFF"/>
                <w:sz w:val="20"/>
                <w:lang w:eastAsia="en-AU"/>
              </w:rPr>
              <w:t>2015</w:t>
            </w:r>
          </w:p>
        </w:tc>
        <w:tc>
          <w:tcPr>
            <w:tcW w:w="1040" w:type="dxa"/>
            <w:tcBorders>
              <w:top w:val="nil"/>
              <w:left w:val="nil"/>
              <w:bottom w:val="single" w:sz="6" w:space="0" w:color="auto"/>
              <w:right w:val="nil"/>
            </w:tcBorders>
            <w:shd w:val="clear" w:color="000000" w:fill="000000"/>
          </w:tcPr>
          <w:p w:rsidR="00336793" w:rsidRPr="004F2885" w:rsidRDefault="00336793" w:rsidP="00DF0B96">
            <w:pPr>
              <w:pStyle w:val="Tabletextheading"/>
              <w:rPr>
                <w:rFonts w:eastAsiaTheme="minorEastAsia"/>
                <w:iCs/>
                <w:color w:val="FFFFFF"/>
                <w:sz w:val="20"/>
                <w:lang w:eastAsia="en-AU"/>
              </w:rPr>
            </w:pPr>
            <w:r w:rsidRPr="004F2885">
              <w:rPr>
                <w:rFonts w:eastAsiaTheme="minorEastAsia"/>
                <w:iCs/>
                <w:color w:val="FFFFFF"/>
                <w:sz w:val="20"/>
                <w:lang w:eastAsia="en-AU"/>
              </w:rPr>
              <w:t>2014</w:t>
            </w:r>
          </w:p>
        </w:tc>
        <w:tc>
          <w:tcPr>
            <w:tcW w:w="1040" w:type="dxa"/>
            <w:gridSpan w:val="2"/>
            <w:tcBorders>
              <w:top w:val="nil"/>
              <w:left w:val="nil"/>
              <w:bottom w:val="single" w:sz="6" w:space="0" w:color="auto"/>
              <w:right w:val="nil"/>
            </w:tcBorders>
            <w:shd w:val="clear" w:color="000000" w:fill="000000"/>
          </w:tcPr>
          <w:p w:rsidR="00336793" w:rsidRPr="004F2885" w:rsidRDefault="00336793" w:rsidP="00DF0B96">
            <w:pPr>
              <w:pStyle w:val="Tabletextheading"/>
              <w:rPr>
                <w:rFonts w:eastAsiaTheme="minorEastAsia"/>
                <w:iCs/>
                <w:color w:val="FFFFFF"/>
                <w:sz w:val="20"/>
                <w:lang w:eastAsia="en-AU"/>
              </w:rPr>
            </w:pPr>
            <w:r w:rsidRPr="004F2885">
              <w:rPr>
                <w:rFonts w:eastAsiaTheme="minorEastAsia"/>
                <w:iCs/>
                <w:color w:val="FFFFFF"/>
                <w:sz w:val="20"/>
                <w:lang w:eastAsia="en-AU"/>
              </w:rPr>
              <w:t>2015</w:t>
            </w:r>
          </w:p>
        </w:tc>
        <w:tc>
          <w:tcPr>
            <w:tcW w:w="1040" w:type="dxa"/>
            <w:tcBorders>
              <w:top w:val="nil"/>
              <w:left w:val="nil"/>
              <w:bottom w:val="single" w:sz="6" w:space="0" w:color="auto"/>
              <w:right w:val="nil"/>
            </w:tcBorders>
            <w:shd w:val="clear" w:color="000000" w:fill="000000"/>
          </w:tcPr>
          <w:p w:rsidR="00336793" w:rsidRPr="004F2885" w:rsidRDefault="00336793" w:rsidP="00DF0B96">
            <w:pPr>
              <w:pStyle w:val="Tabletextheading"/>
              <w:rPr>
                <w:rFonts w:eastAsiaTheme="minorEastAsia"/>
                <w:iCs/>
                <w:color w:val="FFFFFF"/>
                <w:sz w:val="20"/>
                <w:lang w:eastAsia="en-AU"/>
              </w:rPr>
            </w:pPr>
            <w:r w:rsidRPr="004F2885">
              <w:rPr>
                <w:rFonts w:eastAsiaTheme="minorEastAsia"/>
                <w:iCs/>
                <w:color w:val="FFFFFF"/>
                <w:sz w:val="20"/>
                <w:lang w:eastAsia="en-AU"/>
              </w:rPr>
              <w:t>2014</w:t>
            </w:r>
          </w:p>
        </w:tc>
        <w:tc>
          <w:tcPr>
            <w:tcW w:w="1040" w:type="dxa"/>
            <w:gridSpan w:val="2"/>
            <w:tcBorders>
              <w:top w:val="nil"/>
              <w:left w:val="nil"/>
              <w:bottom w:val="single" w:sz="6" w:space="0" w:color="auto"/>
              <w:right w:val="nil"/>
            </w:tcBorders>
            <w:shd w:val="clear" w:color="000000" w:fill="000000"/>
          </w:tcPr>
          <w:p w:rsidR="00336793" w:rsidRPr="004F2885" w:rsidRDefault="00336793" w:rsidP="00DF0B96">
            <w:pPr>
              <w:pStyle w:val="Tabletextheading"/>
              <w:rPr>
                <w:rFonts w:eastAsiaTheme="minorEastAsia"/>
                <w:iCs/>
                <w:color w:val="FFFFFF"/>
                <w:sz w:val="20"/>
                <w:lang w:eastAsia="en-AU"/>
              </w:rPr>
            </w:pPr>
            <w:r w:rsidRPr="004F2885">
              <w:rPr>
                <w:rFonts w:eastAsiaTheme="minorEastAsia"/>
                <w:iCs/>
                <w:color w:val="FFFFFF"/>
                <w:sz w:val="20"/>
                <w:lang w:eastAsia="en-AU"/>
              </w:rPr>
              <w:t>2015</w:t>
            </w:r>
          </w:p>
        </w:tc>
        <w:tc>
          <w:tcPr>
            <w:tcW w:w="1040" w:type="dxa"/>
            <w:tcBorders>
              <w:top w:val="nil"/>
              <w:left w:val="nil"/>
              <w:bottom w:val="single" w:sz="6" w:space="0" w:color="auto"/>
              <w:right w:val="single" w:sz="6" w:space="0" w:color="auto"/>
            </w:tcBorders>
            <w:shd w:val="clear" w:color="000000" w:fill="000000"/>
          </w:tcPr>
          <w:p w:rsidR="00336793" w:rsidRPr="004F2885" w:rsidRDefault="00336793" w:rsidP="00DF0B96">
            <w:pPr>
              <w:pStyle w:val="Tabletextheading"/>
              <w:rPr>
                <w:rFonts w:eastAsiaTheme="minorEastAsia"/>
                <w:iCs/>
                <w:color w:val="FFFFFF"/>
                <w:sz w:val="20"/>
                <w:lang w:eastAsia="en-AU"/>
              </w:rPr>
            </w:pPr>
            <w:r w:rsidRPr="004F2885">
              <w:rPr>
                <w:rFonts w:eastAsiaTheme="minorEastAsia"/>
                <w:iCs/>
                <w:color w:val="FFFFFF"/>
                <w:sz w:val="20"/>
                <w:lang w:eastAsia="en-AU"/>
              </w:rPr>
              <w:t>2014</w:t>
            </w:r>
          </w:p>
        </w:tc>
      </w:tr>
      <w:tr w:rsidR="00336793" w:rsidRPr="004F2885" w:rsidTr="00DF0B96">
        <w:tc>
          <w:tcPr>
            <w:tcW w:w="4170" w:type="dxa"/>
            <w:tcBorders>
              <w:top w:val="single" w:sz="6" w:space="0" w:color="auto"/>
              <w:left w:val="nil"/>
              <w:bottom w:val="nil"/>
              <w:right w:val="nil"/>
            </w:tcBorders>
          </w:tcPr>
          <w:p w:rsidR="00336793" w:rsidRPr="004F2885" w:rsidRDefault="00336793" w:rsidP="00DF0B96">
            <w:pPr>
              <w:autoSpaceDE w:val="0"/>
              <w:autoSpaceDN w:val="0"/>
              <w:adjustRightInd w:val="0"/>
              <w:spacing w:after="0"/>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Opening balance</w:t>
            </w:r>
          </w:p>
        </w:tc>
        <w:tc>
          <w:tcPr>
            <w:tcW w:w="1040" w:type="dxa"/>
            <w:gridSpan w:val="2"/>
            <w:tcBorders>
              <w:top w:val="single" w:sz="6" w:space="0" w:color="auto"/>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100 939.5</w:t>
            </w:r>
          </w:p>
        </w:tc>
        <w:tc>
          <w:tcPr>
            <w:tcW w:w="1040" w:type="dxa"/>
            <w:tcBorders>
              <w:top w:val="single" w:sz="6" w:space="0" w:color="auto"/>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95 717.7</w:t>
            </w:r>
          </w:p>
        </w:tc>
        <w:tc>
          <w:tcPr>
            <w:tcW w:w="1040" w:type="dxa"/>
            <w:gridSpan w:val="2"/>
            <w:tcBorders>
              <w:top w:val="single" w:sz="6" w:space="0" w:color="auto"/>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62 150.0</w:t>
            </w:r>
          </w:p>
        </w:tc>
        <w:tc>
          <w:tcPr>
            <w:tcW w:w="1040" w:type="dxa"/>
            <w:tcBorders>
              <w:top w:val="single" w:sz="6" w:space="0" w:color="auto"/>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60 421.9</w:t>
            </w:r>
          </w:p>
        </w:tc>
        <w:tc>
          <w:tcPr>
            <w:tcW w:w="1040" w:type="dxa"/>
            <w:gridSpan w:val="2"/>
            <w:tcBorders>
              <w:top w:val="single" w:sz="6" w:space="0" w:color="auto"/>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29 857.6</w:t>
            </w:r>
          </w:p>
        </w:tc>
        <w:tc>
          <w:tcPr>
            <w:tcW w:w="1040" w:type="dxa"/>
            <w:tcBorders>
              <w:top w:val="single" w:sz="6" w:space="0" w:color="auto"/>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29 756.0</w:t>
            </w:r>
          </w:p>
        </w:tc>
        <w:tc>
          <w:tcPr>
            <w:tcW w:w="1040" w:type="dxa"/>
            <w:gridSpan w:val="2"/>
            <w:tcBorders>
              <w:top w:val="single" w:sz="6" w:space="0" w:color="auto"/>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5 544.6</w:t>
            </w:r>
          </w:p>
        </w:tc>
        <w:tc>
          <w:tcPr>
            <w:tcW w:w="1040" w:type="dxa"/>
            <w:tcBorders>
              <w:top w:val="single" w:sz="6" w:space="0" w:color="auto"/>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5 514.1</w:t>
            </w:r>
          </w:p>
        </w:tc>
        <w:tc>
          <w:tcPr>
            <w:tcW w:w="1040" w:type="dxa"/>
            <w:gridSpan w:val="2"/>
            <w:tcBorders>
              <w:top w:val="single" w:sz="6" w:space="0" w:color="auto"/>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198 491.7</w:t>
            </w:r>
          </w:p>
        </w:tc>
        <w:tc>
          <w:tcPr>
            <w:tcW w:w="1040" w:type="dxa"/>
            <w:tcBorders>
              <w:top w:val="single" w:sz="6" w:space="0" w:color="auto"/>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191 409.7</w:t>
            </w:r>
          </w:p>
        </w:tc>
      </w:tr>
      <w:tr w:rsidR="00336793" w:rsidRPr="004F2885" w:rsidTr="00DF0B96">
        <w:tc>
          <w:tcPr>
            <w:tcW w:w="4170" w:type="dxa"/>
            <w:tcBorders>
              <w:top w:val="nil"/>
              <w:left w:val="nil"/>
              <w:bottom w:val="nil"/>
              <w:right w:val="nil"/>
            </w:tcBorders>
          </w:tcPr>
          <w:p w:rsidR="00336793" w:rsidRPr="004F2885" w:rsidRDefault="00336793" w:rsidP="00DF0B96">
            <w:pPr>
              <w:autoSpaceDE w:val="0"/>
              <w:autoSpaceDN w:val="0"/>
              <w:adjustRightInd w:val="0"/>
              <w:spacing w:after="0"/>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Acquisitions</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2 211.6</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2 416.7</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3 730.4</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4 113.5</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1 183.1</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747.9</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18.0</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24.8</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7 143.0</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7 303.0</w:t>
            </w:r>
          </w:p>
        </w:tc>
      </w:tr>
      <w:tr w:rsidR="00336793" w:rsidRPr="004F2885" w:rsidTr="00DF0B96">
        <w:tc>
          <w:tcPr>
            <w:tcW w:w="4170" w:type="dxa"/>
            <w:tcBorders>
              <w:top w:val="nil"/>
              <w:left w:val="nil"/>
              <w:bottom w:val="nil"/>
              <w:right w:val="nil"/>
            </w:tcBorders>
          </w:tcPr>
          <w:p w:rsidR="00336793" w:rsidRPr="004F2885" w:rsidRDefault="00336793" w:rsidP="00DF0B96">
            <w:pPr>
              <w:autoSpaceDE w:val="0"/>
              <w:autoSpaceDN w:val="0"/>
              <w:adjustRightInd w:val="0"/>
              <w:spacing w:after="0"/>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Reclassification</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960.6</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92.5</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(1 079.1)</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422.4)</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532.0)</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78.6)</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2.6)</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39.3</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653.1)</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369.2)</w:t>
            </w:r>
          </w:p>
        </w:tc>
      </w:tr>
      <w:tr w:rsidR="00336793" w:rsidRPr="004F2885" w:rsidTr="00DF0B96">
        <w:tc>
          <w:tcPr>
            <w:tcW w:w="4170" w:type="dxa"/>
            <w:tcBorders>
              <w:top w:val="nil"/>
              <w:left w:val="nil"/>
              <w:bottom w:val="nil"/>
              <w:right w:val="nil"/>
            </w:tcBorders>
          </w:tcPr>
          <w:p w:rsidR="00336793" w:rsidRPr="004F2885" w:rsidRDefault="00336793" w:rsidP="00DF0B96">
            <w:pPr>
              <w:autoSpaceDE w:val="0"/>
              <w:autoSpaceDN w:val="0"/>
              <w:adjustRightInd w:val="0"/>
              <w:spacing w:after="0"/>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Revaluation</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5 731.1</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5 257.6</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1 602.3</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180.3</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673.7)</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1.6</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4.7</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0.3</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6 664.4</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5 439.8</w:t>
            </w:r>
          </w:p>
        </w:tc>
      </w:tr>
      <w:tr w:rsidR="00336793" w:rsidRPr="004F2885" w:rsidTr="00DF0B96">
        <w:tc>
          <w:tcPr>
            <w:tcW w:w="4170" w:type="dxa"/>
            <w:tcBorders>
              <w:top w:val="nil"/>
              <w:left w:val="nil"/>
              <w:bottom w:val="nil"/>
              <w:right w:val="nil"/>
            </w:tcBorders>
          </w:tcPr>
          <w:p w:rsidR="00336793" w:rsidRPr="004F2885" w:rsidRDefault="00336793" w:rsidP="00DF0B96">
            <w:pPr>
              <w:autoSpaceDE w:val="0"/>
              <w:autoSpaceDN w:val="0"/>
              <w:adjustRightInd w:val="0"/>
              <w:spacing w:after="0"/>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Disposals</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350.3)</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377.1)</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133.9)</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213.6)</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1.7)</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0.6)</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3.7)</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485.8)</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595.0)</w:t>
            </w:r>
          </w:p>
        </w:tc>
      </w:tr>
      <w:tr w:rsidR="00336793" w:rsidRPr="004F2885" w:rsidTr="00DF0B96">
        <w:tc>
          <w:tcPr>
            <w:tcW w:w="4170" w:type="dxa"/>
            <w:tcBorders>
              <w:top w:val="nil"/>
              <w:left w:val="nil"/>
              <w:bottom w:val="nil"/>
              <w:right w:val="nil"/>
            </w:tcBorders>
          </w:tcPr>
          <w:p w:rsidR="00336793" w:rsidRPr="004F2885" w:rsidRDefault="00336793" w:rsidP="00DF0B96">
            <w:pPr>
              <w:autoSpaceDE w:val="0"/>
              <w:autoSpaceDN w:val="0"/>
              <w:adjustRightInd w:val="0"/>
              <w:spacing w:after="0"/>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Assets recognised for the first time</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102.7</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138.3</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22.2</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214.0</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9.5</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0.1</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134.4</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 xml:space="preserve"> 352.4</w:t>
            </w:r>
          </w:p>
        </w:tc>
      </w:tr>
      <w:tr w:rsidR="00336793" w:rsidRPr="004F2885" w:rsidTr="00DF0B96">
        <w:tc>
          <w:tcPr>
            <w:tcW w:w="4170" w:type="dxa"/>
            <w:tcBorders>
              <w:top w:val="nil"/>
              <w:left w:val="nil"/>
              <w:bottom w:val="nil"/>
              <w:right w:val="nil"/>
            </w:tcBorders>
          </w:tcPr>
          <w:p w:rsidR="00336793" w:rsidRPr="004F2885" w:rsidRDefault="00336793" w:rsidP="00DF0B96">
            <w:pPr>
              <w:autoSpaceDE w:val="0"/>
              <w:autoSpaceDN w:val="0"/>
              <w:adjustRightInd w:val="0"/>
              <w:spacing w:after="0"/>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Assets provided free of charge</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873.7)</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22.3)</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8.9)</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904.9)</w:t>
            </w:r>
          </w:p>
        </w:tc>
      </w:tr>
      <w:tr w:rsidR="00336793" w:rsidRPr="004F2885" w:rsidTr="00DF0B96">
        <w:tc>
          <w:tcPr>
            <w:tcW w:w="4170" w:type="dxa"/>
            <w:tcBorders>
              <w:top w:val="nil"/>
              <w:left w:val="nil"/>
              <w:bottom w:val="nil"/>
              <w:right w:val="nil"/>
            </w:tcBorders>
          </w:tcPr>
          <w:p w:rsidR="00336793" w:rsidRPr="004F2885" w:rsidRDefault="00336793" w:rsidP="00DF0B96">
            <w:pPr>
              <w:autoSpaceDE w:val="0"/>
              <w:autoSpaceDN w:val="0"/>
              <w:adjustRightInd w:val="0"/>
              <w:spacing w:after="0"/>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Impairment</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43.0)</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11.2)</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41.4)</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5.5)</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0.1)</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0.3)</w:t>
            </w:r>
          </w:p>
        </w:tc>
        <w:tc>
          <w:tcPr>
            <w:tcW w:w="1040" w:type="dxa"/>
            <w:gridSpan w:val="2"/>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84.5)</w:t>
            </w:r>
          </w:p>
        </w:tc>
        <w:tc>
          <w:tcPr>
            <w:tcW w:w="1040" w:type="dxa"/>
            <w:tcBorders>
              <w:top w:val="nil"/>
              <w:left w:val="nil"/>
              <w:bottom w:val="nil"/>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17.0)</w:t>
            </w:r>
          </w:p>
        </w:tc>
      </w:tr>
      <w:tr w:rsidR="00336793" w:rsidRPr="004F2885" w:rsidTr="00DF0B96">
        <w:tc>
          <w:tcPr>
            <w:tcW w:w="4170" w:type="dxa"/>
            <w:tcBorders>
              <w:top w:val="nil"/>
              <w:left w:val="nil"/>
              <w:bottom w:val="single" w:sz="6" w:space="0" w:color="auto"/>
              <w:right w:val="nil"/>
            </w:tcBorders>
          </w:tcPr>
          <w:p w:rsidR="00336793" w:rsidRPr="004F2885" w:rsidRDefault="00336793" w:rsidP="00DF0B96">
            <w:pPr>
              <w:autoSpaceDE w:val="0"/>
              <w:autoSpaceDN w:val="0"/>
              <w:adjustRightInd w:val="0"/>
              <w:spacing w:after="0"/>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Depreciation</w:t>
            </w:r>
          </w:p>
        </w:tc>
        <w:tc>
          <w:tcPr>
            <w:tcW w:w="1040" w:type="dxa"/>
            <w:gridSpan w:val="2"/>
            <w:tcBorders>
              <w:top w:val="nil"/>
              <w:left w:val="nil"/>
              <w:bottom w:val="single" w:sz="6" w:space="0" w:color="auto"/>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(1 470.9)</w:t>
            </w:r>
          </w:p>
        </w:tc>
        <w:tc>
          <w:tcPr>
            <w:tcW w:w="1040" w:type="dxa"/>
            <w:tcBorders>
              <w:top w:val="nil"/>
              <w:left w:val="nil"/>
              <w:bottom w:val="single" w:sz="6" w:space="0" w:color="auto"/>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(1 421.3)</w:t>
            </w:r>
          </w:p>
        </w:tc>
        <w:tc>
          <w:tcPr>
            <w:tcW w:w="1040" w:type="dxa"/>
            <w:gridSpan w:val="2"/>
            <w:tcBorders>
              <w:top w:val="nil"/>
              <w:left w:val="nil"/>
              <w:bottom w:val="single" w:sz="6" w:space="0" w:color="auto"/>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(2 153.4)</w:t>
            </w:r>
          </w:p>
        </w:tc>
        <w:tc>
          <w:tcPr>
            <w:tcW w:w="1040" w:type="dxa"/>
            <w:tcBorders>
              <w:top w:val="nil"/>
              <w:left w:val="nil"/>
              <w:bottom w:val="single" w:sz="6" w:space="0" w:color="auto"/>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(2 115.9)</w:t>
            </w:r>
          </w:p>
        </w:tc>
        <w:tc>
          <w:tcPr>
            <w:tcW w:w="1040" w:type="dxa"/>
            <w:gridSpan w:val="2"/>
            <w:tcBorders>
              <w:top w:val="nil"/>
              <w:left w:val="nil"/>
              <w:bottom w:val="single" w:sz="6" w:space="0" w:color="auto"/>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592.7)</w:t>
            </w:r>
          </w:p>
        </w:tc>
        <w:tc>
          <w:tcPr>
            <w:tcW w:w="1040" w:type="dxa"/>
            <w:tcBorders>
              <w:top w:val="nil"/>
              <w:left w:val="nil"/>
              <w:bottom w:val="single" w:sz="6" w:space="0" w:color="auto"/>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568.7)</w:t>
            </w:r>
          </w:p>
        </w:tc>
        <w:tc>
          <w:tcPr>
            <w:tcW w:w="1040" w:type="dxa"/>
            <w:gridSpan w:val="2"/>
            <w:tcBorders>
              <w:top w:val="nil"/>
              <w:left w:val="nil"/>
              <w:bottom w:val="single" w:sz="6" w:space="0" w:color="auto"/>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20.2)</w:t>
            </w:r>
          </w:p>
        </w:tc>
        <w:tc>
          <w:tcPr>
            <w:tcW w:w="1040" w:type="dxa"/>
            <w:tcBorders>
              <w:top w:val="nil"/>
              <w:left w:val="nil"/>
              <w:bottom w:val="single" w:sz="6" w:space="0" w:color="auto"/>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4F2885">
              <w:rPr>
                <w:rFonts w:ascii="Calibri" w:eastAsiaTheme="minorEastAsia" w:hAnsi="Calibri" w:cs="Calibri"/>
                <w:color w:val="000000"/>
                <w:sz w:val="20"/>
                <w:szCs w:val="22"/>
                <w:lang w:eastAsia="en-AU"/>
              </w:rPr>
              <w:t>21.1)</w:t>
            </w:r>
          </w:p>
        </w:tc>
        <w:tc>
          <w:tcPr>
            <w:tcW w:w="1040" w:type="dxa"/>
            <w:gridSpan w:val="2"/>
            <w:tcBorders>
              <w:top w:val="nil"/>
              <w:left w:val="nil"/>
              <w:bottom w:val="single" w:sz="6" w:space="0" w:color="auto"/>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(4 237.2)</w:t>
            </w:r>
          </w:p>
        </w:tc>
        <w:tc>
          <w:tcPr>
            <w:tcW w:w="1040" w:type="dxa"/>
            <w:tcBorders>
              <w:top w:val="nil"/>
              <w:left w:val="nil"/>
              <w:bottom w:val="single" w:sz="6" w:space="0" w:color="auto"/>
              <w:right w:val="nil"/>
            </w:tcBorders>
          </w:tcPr>
          <w:p w:rsidR="00336793" w:rsidRPr="004F2885"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4F2885">
              <w:rPr>
                <w:rFonts w:ascii="Calibri" w:eastAsiaTheme="minorEastAsia" w:hAnsi="Calibri" w:cs="Calibri"/>
                <w:sz w:val="20"/>
                <w:szCs w:val="22"/>
                <w:lang w:eastAsia="en-AU"/>
              </w:rPr>
              <w:t>(4 127.0)</w:t>
            </w:r>
          </w:p>
        </w:tc>
      </w:tr>
      <w:tr w:rsidR="00336793" w:rsidRPr="004F2885" w:rsidTr="00DF0B96">
        <w:tc>
          <w:tcPr>
            <w:tcW w:w="4170" w:type="dxa"/>
            <w:tcBorders>
              <w:top w:val="single" w:sz="6" w:space="0" w:color="auto"/>
              <w:left w:val="nil"/>
              <w:bottom w:val="single" w:sz="12" w:space="0" w:color="000000"/>
              <w:right w:val="nil"/>
            </w:tcBorders>
            <w:shd w:val="clear" w:color="auto" w:fill="auto"/>
          </w:tcPr>
          <w:p w:rsidR="00336793" w:rsidRPr="004F2885" w:rsidRDefault="00336793" w:rsidP="00DF0B96">
            <w:pPr>
              <w:autoSpaceDE w:val="0"/>
              <w:autoSpaceDN w:val="0"/>
              <w:adjustRightInd w:val="0"/>
              <w:spacing w:after="0"/>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Closing balance</w:t>
            </w:r>
          </w:p>
        </w:tc>
        <w:tc>
          <w:tcPr>
            <w:tcW w:w="1040" w:type="dxa"/>
            <w:gridSpan w:val="2"/>
            <w:tcBorders>
              <w:top w:val="single" w:sz="6" w:space="0" w:color="auto"/>
              <w:left w:val="nil"/>
              <w:bottom w:val="single" w:sz="12" w:space="0" w:color="000000"/>
              <w:right w:val="nil"/>
            </w:tcBorders>
            <w:shd w:val="clear" w:color="auto" w:fill="auto"/>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108 081.3</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100 939.5</w:t>
            </w:r>
          </w:p>
        </w:tc>
        <w:tc>
          <w:tcPr>
            <w:tcW w:w="1040" w:type="dxa"/>
            <w:gridSpan w:val="2"/>
            <w:tcBorders>
              <w:top w:val="single" w:sz="6" w:space="0" w:color="auto"/>
              <w:left w:val="nil"/>
              <w:bottom w:val="single" w:sz="12" w:space="0" w:color="000000"/>
              <w:right w:val="nil"/>
            </w:tcBorders>
            <w:shd w:val="clear" w:color="auto" w:fill="auto"/>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64 097.1</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62 150.0</w:t>
            </w:r>
          </w:p>
        </w:tc>
        <w:tc>
          <w:tcPr>
            <w:tcW w:w="1040" w:type="dxa"/>
            <w:gridSpan w:val="2"/>
            <w:tcBorders>
              <w:top w:val="single" w:sz="6" w:space="0" w:color="auto"/>
              <w:left w:val="nil"/>
              <w:bottom w:val="single" w:sz="12" w:space="0" w:color="000000"/>
              <w:right w:val="nil"/>
            </w:tcBorders>
            <w:shd w:val="clear" w:color="auto" w:fill="auto"/>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29 240.5</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29 857.6</w:t>
            </w:r>
          </w:p>
        </w:tc>
        <w:tc>
          <w:tcPr>
            <w:tcW w:w="1040" w:type="dxa"/>
            <w:gridSpan w:val="2"/>
            <w:tcBorders>
              <w:top w:val="single" w:sz="6" w:space="0" w:color="auto"/>
              <w:left w:val="nil"/>
              <w:bottom w:val="single" w:sz="12" w:space="0" w:color="000000"/>
              <w:right w:val="nil"/>
            </w:tcBorders>
            <w:shd w:val="clear" w:color="auto" w:fill="auto"/>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5 554.0</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5 544.6</w:t>
            </w:r>
          </w:p>
        </w:tc>
        <w:tc>
          <w:tcPr>
            <w:tcW w:w="1040" w:type="dxa"/>
            <w:gridSpan w:val="2"/>
            <w:tcBorders>
              <w:top w:val="single" w:sz="6" w:space="0" w:color="auto"/>
              <w:left w:val="nil"/>
              <w:bottom w:val="single" w:sz="12" w:space="0" w:color="000000"/>
              <w:right w:val="nil"/>
            </w:tcBorders>
            <w:shd w:val="clear" w:color="auto" w:fill="auto"/>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206 972.9</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4F2885">
              <w:rPr>
                <w:rFonts w:ascii="Calibri" w:eastAsiaTheme="minorEastAsia" w:hAnsi="Calibri" w:cs="Calibri"/>
                <w:b/>
                <w:bCs/>
                <w:sz w:val="20"/>
                <w:szCs w:val="22"/>
                <w:lang w:eastAsia="en-AU"/>
              </w:rPr>
              <w:t>198 491.7</w:t>
            </w:r>
          </w:p>
        </w:tc>
      </w:tr>
    </w:tbl>
    <w:p w:rsidR="00336793" w:rsidRPr="004F2885" w:rsidRDefault="00336793" w:rsidP="00DF0B96">
      <w:pPr>
        <w:pStyle w:val="4ptline"/>
        <w:rPr>
          <w:lang w:eastAsia="en-US"/>
        </w:rPr>
      </w:pPr>
    </w:p>
    <w:tbl>
      <w:tblPr>
        <w:tblW w:w="14570" w:type="dxa"/>
        <w:tblInd w:w="28" w:type="dxa"/>
        <w:tblLayout w:type="fixed"/>
        <w:tblCellMar>
          <w:left w:w="45" w:type="dxa"/>
          <w:right w:w="45" w:type="dxa"/>
        </w:tblCellMar>
        <w:tblLook w:val="0000" w:firstRow="0" w:lastRow="0" w:firstColumn="0" w:lastColumn="0" w:noHBand="0" w:noVBand="0"/>
      </w:tblPr>
      <w:tblGrid>
        <w:gridCol w:w="4170"/>
        <w:gridCol w:w="1040"/>
        <w:gridCol w:w="1040"/>
        <w:gridCol w:w="1040"/>
        <w:gridCol w:w="1040"/>
        <w:gridCol w:w="1040"/>
        <w:gridCol w:w="1040"/>
        <w:gridCol w:w="1040"/>
        <w:gridCol w:w="1040"/>
        <w:gridCol w:w="1040"/>
        <w:gridCol w:w="1040"/>
      </w:tblGrid>
      <w:tr w:rsidR="00336793" w:rsidRPr="004F2885" w:rsidTr="00DF0B96">
        <w:tc>
          <w:tcPr>
            <w:tcW w:w="4170" w:type="dxa"/>
            <w:tcBorders>
              <w:top w:val="single" w:sz="6" w:space="0" w:color="000000"/>
              <w:left w:val="single" w:sz="6" w:space="0" w:color="auto"/>
              <w:bottom w:val="single" w:sz="6" w:space="0" w:color="auto"/>
              <w:right w:val="nil"/>
            </w:tcBorders>
            <w:shd w:val="clear" w:color="000000" w:fill="000000"/>
          </w:tcPr>
          <w:p w:rsidR="00336793" w:rsidRPr="004F2885" w:rsidRDefault="00336793" w:rsidP="00DF0B96">
            <w:pPr>
              <w:pStyle w:val="Tabletext"/>
              <w:rPr>
                <w:rFonts w:eastAsiaTheme="minorEastAsia"/>
                <w:i/>
                <w:sz w:val="20"/>
                <w:lang w:eastAsia="en-AU"/>
              </w:rPr>
            </w:pPr>
            <w:r w:rsidRPr="004F2885">
              <w:rPr>
                <w:rFonts w:eastAsiaTheme="minorEastAsia"/>
                <w:i/>
                <w:sz w:val="20"/>
                <w:lang w:eastAsia="en-AU"/>
              </w:rPr>
              <w:t>General government</w:t>
            </w:r>
          </w:p>
        </w:tc>
        <w:tc>
          <w:tcPr>
            <w:tcW w:w="1040" w:type="dxa"/>
            <w:tcBorders>
              <w:top w:val="single" w:sz="6" w:space="0" w:color="000000"/>
              <w:left w:val="nil"/>
              <w:bottom w:val="single" w:sz="6" w:space="0" w:color="auto"/>
              <w:right w:val="nil"/>
            </w:tcBorders>
            <w:shd w:val="clear" w:color="000000" w:fill="000000"/>
          </w:tcPr>
          <w:p w:rsidR="00336793" w:rsidRPr="004F2885" w:rsidRDefault="00336793" w:rsidP="00DF0B96">
            <w:pPr>
              <w:pStyle w:val="Tabletextheading"/>
              <w:rPr>
                <w:rFonts w:eastAsiaTheme="minorEastAsia" w:cs="Calibri"/>
                <w:iCs/>
                <w:color w:val="FFFFFF"/>
                <w:sz w:val="20"/>
                <w:szCs w:val="22"/>
                <w:lang w:eastAsia="en-AU"/>
              </w:rPr>
            </w:pPr>
          </w:p>
        </w:tc>
        <w:tc>
          <w:tcPr>
            <w:tcW w:w="1040" w:type="dxa"/>
            <w:tcBorders>
              <w:top w:val="single" w:sz="6" w:space="0" w:color="000000"/>
              <w:left w:val="nil"/>
              <w:bottom w:val="single" w:sz="6" w:space="0" w:color="auto"/>
              <w:right w:val="nil"/>
            </w:tcBorders>
            <w:shd w:val="clear" w:color="000000" w:fill="000000"/>
          </w:tcPr>
          <w:p w:rsidR="00336793" w:rsidRPr="004F2885" w:rsidRDefault="00336793" w:rsidP="00DF0B96">
            <w:pPr>
              <w:pStyle w:val="Tabletextheading"/>
              <w:rPr>
                <w:rFonts w:eastAsiaTheme="minorEastAsia" w:cs="Calibri"/>
                <w:iCs/>
                <w:color w:val="FFFFFF"/>
                <w:sz w:val="20"/>
                <w:szCs w:val="22"/>
                <w:lang w:eastAsia="en-AU"/>
              </w:rPr>
            </w:pPr>
          </w:p>
        </w:tc>
        <w:tc>
          <w:tcPr>
            <w:tcW w:w="1040" w:type="dxa"/>
            <w:tcBorders>
              <w:top w:val="single" w:sz="6" w:space="0" w:color="000000"/>
              <w:left w:val="nil"/>
              <w:bottom w:val="single" w:sz="6" w:space="0" w:color="auto"/>
              <w:right w:val="nil"/>
            </w:tcBorders>
            <w:shd w:val="clear" w:color="000000" w:fill="000000"/>
          </w:tcPr>
          <w:p w:rsidR="00336793" w:rsidRPr="004F2885" w:rsidRDefault="00336793" w:rsidP="00DF0B96">
            <w:pPr>
              <w:pStyle w:val="Tabletextheading"/>
              <w:rPr>
                <w:rFonts w:eastAsiaTheme="minorEastAsia" w:cs="Calibri"/>
                <w:iCs/>
                <w:color w:val="FFFFFF"/>
                <w:sz w:val="20"/>
                <w:szCs w:val="22"/>
                <w:lang w:eastAsia="en-AU"/>
              </w:rPr>
            </w:pPr>
          </w:p>
        </w:tc>
        <w:tc>
          <w:tcPr>
            <w:tcW w:w="1040" w:type="dxa"/>
            <w:tcBorders>
              <w:top w:val="single" w:sz="6" w:space="0" w:color="000000"/>
              <w:left w:val="nil"/>
              <w:bottom w:val="single" w:sz="6" w:space="0" w:color="auto"/>
              <w:right w:val="nil"/>
            </w:tcBorders>
            <w:shd w:val="clear" w:color="000000" w:fill="000000"/>
          </w:tcPr>
          <w:p w:rsidR="00336793" w:rsidRPr="004F2885" w:rsidRDefault="00336793" w:rsidP="00DF0B96">
            <w:pPr>
              <w:pStyle w:val="Tabletextheading"/>
              <w:rPr>
                <w:rFonts w:eastAsiaTheme="minorEastAsia" w:cs="Calibri"/>
                <w:iCs/>
                <w:color w:val="FFFFFF"/>
                <w:sz w:val="20"/>
                <w:szCs w:val="22"/>
                <w:lang w:eastAsia="en-AU"/>
              </w:rPr>
            </w:pPr>
          </w:p>
        </w:tc>
        <w:tc>
          <w:tcPr>
            <w:tcW w:w="1040" w:type="dxa"/>
            <w:tcBorders>
              <w:top w:val="single" w:sz="6" w:space="0" w:color="000000"/>
              <w:left w:val="nil"/>
              <w:bottom w:val="single" w:sz="6" w:space="0" w:color="auto"/>
              <w:right w:val="nil"/>
            </w:tcBorders>
            <w:shd w:val="clear" w:color="000000" w:fill="000000"/>
          </w:tcPr>
          <w:p w:rsidR="00336793" w:rsidRPr="004F2885" w:rsidRDefault="00336793" w:rsidP="00DF0B96">
            <w:pPr>
              <w:pStyle w:val="Tabletextheading"/>
              <w:rPr>
                <w:rFonts w:eastAsiaTheme="minorEastAsia" w:cs="Calibri"/>
                <w:iCs/>
                <w:color w:val="FFFFFF"/>
                <w:sz w:val="20"/>
                <w:szCs w:val="22"/>
                <w:lang w:eastAsia="en-AU"/>
              </w:rPr>
            </w:pPr>
          </w:p>
        </w:tc>
        <w:tc>
          <w:tcPr>
            <w:tcW w:w="1040" w:type="dxa"/>
            <w:tcBorders>
              <w:top w:val="single" w:sz="6" w:space="0" w:color="000000"/>
              <w:left w:val="nil"/>
              <w:bottom w:val="single" w:sz="6" w:space="0" w:color="auto"/>
              <w:right w:val="nil"/>
            </w:tcBorders>
            <w:shd w:val="clear" w:color="000000" w:fill="000000"/>
          </w:tcPr>
          <w:p w:rsidR="00336793" w:rsidRPr="004F2885" w:rsidRDefault="00336793" w:rsidP="00DF0B96">
            <w:pPr>
              <w:pStyle w:val="Tabletextheading"/>
              <w:rPr>
                <w:rFonts w:eastAsiaTheme="minorEastAsia" w:cs="Calibri"/>
                <w:iCs/>
                <w:color w:val="FFFFFF"/>
                <w:sz w:val="20"/>
                <w:szCs w:val="22"/>
                <w:lang w:eastAsia="en-AU"/>
              </w:rPr>
            </w:pPr>
          </w:p>
        </w:tc>
        <w:tc>
          <w:tcPr>
            <w:tcW w:w="1040" w:type="dxa"/>
            <w:tcBorders>
              <w:top w:val="single" w:sz="6" w:space="0" w:color="000000"/>
              <w:left w:val="nil"/>
              <w:bottom w:val="single" w:sz="6" w:space="0" w:color="auto"/>
              <w:right w:val="nil"/>
            </w:tcBorders>
            <w:shd w:val="clear" w:color="000000" w:fill="000000"/>
          </w:tcPr>
          <w:p w:rsidR="00336793" w:rsidRPr="004F2885" w:rsidRDefault="00336793" w:rsidP="00DF0B96">
            <w:pPr>
              <w:pStyle w:val="Tabletextheading"/>
              <w:rPr>
                <w:rFonts w:eastAsiaTheme="minorEastAsia" w:cs="Calibri"/>
                <w:iCs/>
                <w:color w:val="FFFFFF"/>
                <w:sz w:val="20"/>
                <w:szCs w:val="22"/>
                <w:lang w:eastAsia="en-AU"/>
              </w:rPr>
            </w:pPr>
          </w:p>
        </w:tc>
        <w:tc>
          <w:tcPr>
            <w:tcW w:w="1040" w:type="dxa"/>
            <w:tcBorders>
              <w:top w:val="single" w:sz="6" w:space="0" w:color="000000"/>
              <w:left w:val="nil"/>
              <w:bottom w:val="single" w:sz="6" w:space="0" w:color="auto"/>
              <w:right w:val="nil"/>
            </w:tcBorders>
            <w:shd w:val="clear" w:color="000000" w:fill="000000"/>
          </w:tcPr>
          <w:p w:rsidR="00336793" w:rsidRPr="004F2885" w:rsidRDefault="00336793" w:rsidP="00DF0B96">
            <w:pPr>
              <w:pStyle w:val="Tabletextheading"/>
              <w:rPr>
                <w:rFonts w:eastAsiaTheme="minorEastAsia" w:cs="Calibri"/>
                <w:iCs/>
                <w:color w:val="FFFFFF"/>
                <w:sz w:val="20"/>
                <w:szCs w:val="22"/>
                <w:lang w:eastAsia="en-AU"/>
              </w:rPr>
            </w:pPr>
          </w:p>
        </w:tc>
        <w:tc>
          <w:tcPr>
            <w:tcW w:w="1040" w:type="dxa"/>
            <w:tcBorders>
              <w:top w:val="single" w:sz="6" w:space="0" w:color="000000"/>
              <w:left w:val="nil"/>
              <w:bottom w:val="single" w:sz="6" w:space="0" w:color="auto"/>
              <w:right w:val="nil"/>
            </w:tcBorders>
            <w:shd w:val="clear" w:color="000000" w:fill="000000"/>
          </w:tcPr>
          <w:p w:rsidR="00336793" w:rsidRPr="004F2885" w:rsidRDefault="00336793" w:rsidP="00DF0B96">
            <w:pPr>
              <w:pStyle w:val="Tabletextheading"/>
              <w:rPr>
                <w:rFonts w:eastAsiaTheme="minorEastAsia" w:cs="Calibri"/>
                <w:iCs/>
                <w:color w:val="FFFFFF"/>
                <w:sz w:val="20"/>
                <w:szCs w:val="22"/>
                <w:lang w:eastAsia="en-AU"/>
              </w:rPr>
            </w:pPr>
          </w:p>
        </w:tc>
        <w:tc>
          <w:tcPr>
            <w:tcW w:w="1040" w:type="dxa"/>
            <w:tcBorders>
              <w:top w:val="single" w:sz="6" w:space="0" w:color="000000"/>
              <w:left w:val="nil"/>
              <w:bottom w:val="single" w:sz="6" w:space="0" w:color="auto"/>
              <w:right w:val="single" w:sz="6" w:space="0" w:color="auto"/>
            </w:tcBorders>
            <w:shd w:val="clear" w:color="000000" w:fill="000000"/>
          </w:tcPr>
          <w:p w:rsidR="00336793" w:rsidRPr="004F2885" w:rsidRDefault="00336793" w:rsidP="00DF0B96">
            <w:pPr>
              <w:pStyle w:val="Tabletextheading"/>
              <w:rPr>
                <w:rFonts w:eastAsiaTheme="minorEastAsia" w:cs="Calibri"/>
                <w:iCs/>
                <w:color w:val="FFFFFF"/>
                <w:sz w:val="20"/>
                <w:szCs w:val="22"/>
                <w:lang w:eastAsia="en-AU"/>
              </w:rPr>
            </w:pPr>
          </w:p>
        </w:tc>
      </w:tr>
      <w:tr w:rsidR="00336793" w:rsidRPr="004F2885" w:rsidTr="00DF0B96">
        <w:tc>
          <w:tcPr>
            <w:tcW w:w="4170" w:type="dxa"/>
            <w:tcBorders>
              <w:top w:val="single" w:sz="6" w:space="0" w:color="auto"/>
              <w:left w:val="nil"/>
              <w:bottom w:val="nil"/>
              <w:right w:val="nil"/>
            </w:tcBorders>
          </w:tcPr>
          <w:p w:rsidR="00336793" w:rsidRPr="004F2885" w:rsidRDefault="00336793" w:rsidP="00DF0B96">
            <w:pPr>
              <w:pStyle w:val="Tabletext"/>
              <w:rPr>
                <w:rFonts w:eastAsiaTheme="minorEastAsia"/>
                <w:b/>
                <w:bCs/>
                <w:sz w:val="20"/>
                <w:lang w:eastAsia="en-AU"/>
              </w:rPr>
            </w:pPr>
            <w:r w:rsidRPr="004F2885">
              <w:rPr>
                <w:rFonts w:eastAsiaTheme="minorEastAsia"/>
                <w:b/>
                <w:bCs/>
                <w:sz w:val="20"/>
                <w:lang w:eastAsia="en-AU"/>
              </w:rPr>
              <w:t>Opening balance</w:t>
            </w:r>
          </w:p>
        </w:tc>
        <w:tc>
          <w:tcPr>
            <w:tcW w:w="1040" w:type="dxa"/>
            <w:tcBorders>
              <w:top w:val="single" w:sz="6" w:space="0" w:color="auto"/>
              <w:left w:val="nil"/>
              <w:bottom w:val="nil"/>
              <w:right w:val="nil"/>
            </w:tcBorders>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65 877.3</w:t>
            </w:r>
          </w:p>
        </w:tc>
        <w:tc>
          <w:tcPr>
            <w:tcW w:w="1040" w:type="dxa"/>
            <w:tcBorders>
              <w:top w:val="single" w:sz="6" w:space="0" w:color="auto"/>
              <w:left w:val="nil"/>
              <w:bottom w:val="nil"/>
              <w:right w:val="nil"/>
            </w:tcBorders>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63 403.0</w:t>
            </w:r>
          </w:p>
        </w:tc>
        <w:tc>
          <w:tcPr>
            <w:tcW w:w="1040" w:type="dxa"/>
            <w:tcBorders>
              <w:top w:val="single" w:sz="6" w:space="0" w:color="auto"/>
              <w:left w:val="nil"/>
              <w:bottom w:val="nil"/>
              <w:right w:val="nil"/>
            </w:tcBorders>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3 843.1</w:t>
            </w:r>
          </w:p>
        </w:tc>
        <w:tc>
          <w:tcPr>
            <w:tcW w:w="1040" w:type="dxa"/>
            <w:tcBorders>
              <w:top w:val="single" w:sz="6" w:space="0" w:color="auto"/>
              <w:left w:val="nil"/>
              <w:bottom w:val="nil"/>
              <w:right w:val="nil"/>
            </w:tcBorders>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4 193.5</w:t>
            </w:r>
          </w:p>
        </w:tc>
        <w:tc>
          <w:tcPr>
            <w:tcW w:w="1040" w:type="dxa"/>
            <w:tcBorders>
              <w:top w:val="single" w:sz="6" w:space="0" w:color="auto"/>
              <w:left w:val="nil"/>
              <w:bottom w:val="nil"/>
              <w:right w:val="nil"/>
            </w:tcBorders>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29 789.0</w:t>
            </w:r>
          </w:p>
        </w:tc>
        <w:tc>
          <w:tcPr>
            <w:tcW w:w="1040" w:type="dxa"/>
            <w:tcBorders>
              <w:top w:val="single" w:sz="6" w:space="0" w:color="auto"/>
              <w:left w:val="nil"/>
              <w:bottom w:val="nil"/>
              <w:right w:val="nil"/>
            </w:tcBorders>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29 685.5</w:t>
            </w:r>
          </w:p>
        </w:tc>
        <w:tc>
          <w:tcPr>
            <w:tcW w:w="1040" w:type="dxa"/>
            <w:tcBorders>
              <w:top w:val="single" w:sz="6" w:space="0" w:color="auto"/>
              <w:left w:val="nil"/>
              <w:bottom w:val="nil"/>
              <w:right w:val="nil"/>
            </w:tcBorders>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5 489.5</w:t>
            </w:r>
          </w:p>
        </w:tc>
        <w:tc>
          <w:tcPr>
            <w:tcW w:w="1040" w:type="dxa"/>
            <w:tcBorders>
              <w:top w:val="single" w:sz="6" w:space="0" w:color="auto"/>
              <w:left w:val="nil"/>
              <w:bottom w:val="nil"/>
              <w:right w:val="nil"/>
            </w:tcBorders>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5 458.7</w:t>
            </w:r>
          </w:p>
        </w:tc>
        <w:tc>
          <w:tcPr>
            <w:tcW w:w="1040" w:type="dxa"/>
            <w:tcBorders>
              <w:top w:val="single" w:sz="6" w:space="0" w:color="auto"/>
              <w:left w:val="nil"/>
              <w:bottom w:val="nil"/>
              <w:right w:val="nil"/>
            </w:tcBorders>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104 998.8</w:t>
            </w:r>
          </w:p>
        </w:tc>
        <w:tc>
          <w:tcPr>
            <w:tcW w:w="1040" w:type="dxa"/>
            <w:tcBorders>
              <w:top w:val="single" w:sz="6" w:space="0" w:color="auto"/>
              <w:left w:val="nil"/>
              <w:bottom w:val="nil"/>
              <w:right w:val="nil"/>
            </w:tcBorders>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102 740.7</w:t>
            </w:r>
          </w:p>
        </w:tc>
      </w:tr>
      <w:tr w:rsidR="00336793" w:rsidRPr="004F2885" w:rsidTr="00DF0B96">
        <w:tc>
          <w:tcPr>
            <w:tcW w:w="4170" w:type="dxa"/>
            <w:tcBorders>
              <w:top w:val="nil"/>
              <w:left w:val="nil"/>
              <w:bottom w:val="nil"/>
              <w:right w:val="nil"/>
            </w:tcBorders>
          </w:tcPr>
          <w:p w:rsidR="00336793" w:rsidRPr="004F2885" w:rsidRDefault="00336793" w:rsidP="00DF0B96">
            <w:pPr>
              <w:pStyle w:val="Tabletext"/>
              <w:rPr>
                <w:rFonts w:eastAsiaTheme="minorEastAsia"/>
                <w:sz w:val="20"/>
                <w:lang w:eastAsia="en-AU"/>
              </w:rPr>
            </w:pPr>
            <w:r w:rsidRPr="004F2885">
              <w:rPr>
                <w:rFonts w:eastAsiaTheme="minorEastAsia"/>
                <w:sz w:val="20"/>
                <w:lang w:eastAsia="en-AU"/>
              </w:rPr>
              <w:t>Acquisitions</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1 506.8</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1 926.3</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668.1</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694.8</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 w:val="20"/>
                <w:szCs w:val="22"/>
                <w:lang w:eastAsia="en-AU"/>
              </w:rPr>
            </w:pPr>
            <w:r w:rsidRPr="004F2885">
              <w:rPr>
                <w:rFonts w:eastAsiaTheme="minorEastAsia"/>
                <w:sz w:val="20"/>
                <w:lang w:eastAsia="en-AU"/>
              </w:rPr>
              <w:t>1 180.7</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746.5</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16.5</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24.5</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3 372.0</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3 392.1</w:t>
            </w:r>
          </w:p>
        </w:tc>
      </w:tr>
      <w:tr w:rsidR="00336793" w:rsidRPr="004F2885" w:rsidTr="00DF0B96">
        <w:tc>
          <w:tcPr>
            <w:tcW w:w="4170" w:type="dxa"/>
            <w:tcBorders>
              <w:top w:val="nil"/>
              <w:left w:val="nil"/>
              <w:bottom w:val="nil"/>
              <w:right w:val="nil"/>
            </w:tcBorders>
          </w:tcPr>
          <w:p w:rsidR="00336793" w:rsidRPr="004F2885" w:rsidRDefault="00336793" w:rsidP="00DF0B96">
            <w:pPr>
              <w:pStyle w:val="Tabletext"/>
              <w:rPr>
                <w:rFonts w:eastAsiaTheme="minorEastAsia"/>
                <w:sz w:val="20"/>
                <w:lang w:eastAsia="en-AU"/>
              </w:rPr>
            </w:pPr>
            <w:r w:rsidRPr="004F2885">
              <w:rPr>
                <w:rFonts w:eastAsiaTheme="minorEastAsia"/>
                <w:sz w:val="20"/>
                <w:lang w:eastAsia="en-AU"/>
              </w:rPr>
              <w:t>Reclassification</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83.8</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 w:val="20"/>
                <w:szCs w:val="22"/>
                <w:lang w:eastAsia="en-AU"/>
              </w:rPr>
            </w:pPr>
            <w:r w:rsidRPr="004F2885">
              <w:rPr>
                <w:rFonts w:eastAsiaTheme="minorEastAsia"/>
                <w:sz w:val="20"/>
                <w:lang w:eastAsia="en-AU"/>
              </w:rPr>
              <w:t xml:space="preserve"> 198.0</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137.2)</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320.6)</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529.9)</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78.3)</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2.6)</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39.3</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585.8)</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sz w:val="20"/>
                <w:lang w:eastAsia="en-AU"/>
              </w:rPr>
              <w:t>161.6</w:t>
            </w:r>
            <w:r w:rsidRPr="004F2885">
              <w:rPr>
                <w:rFonts w:eastAsiaTheme="minorEastAsia" w:cs="Calibri"/>
                <w:color w:val="000000"/>
                <w:szCs w:val="22"/>
                <w:lang w:eastAsia="en-AU"/>
              </w:rPr>
              <w:t>)</w:t>
            </w:r>
          </w:p>
        </w:tc>
      </w:tr>
      <w:tr w:rsidR="00336793" w:rsidRPr="004F2885" w:rsidTr="00DF0B96">
        <w:tc>
          <w:tcPr>
            <w:tcW w:w="4170" w:type="dxa"/>
            <w:tcBorders>
              <w:top w:val="nil"/>
              <w:left w:val="nil"/>
              <w:bottom w:val="nil"/>
              <w:right w:val="nil"/>
            </w:tcBorders>
          </w:tcPr>
          <w:p w:rsidR="00336793" w:rsidRPr="004F2885" w:rsidRDefault="00336793" w:rsidP="00DF0B96">
            <w:pPr>
              <w:pStyle w:val="Tabletext"/>
              <w:rPr>
                <w:rFonts w:eastAsiaTheme="minorEastAsia"/>
                <w:sz w:val="20"/>
                <w:lang w:eastAsia="en-AU"/>
              </w:rPr>
            </w:pPr>
            <w:r w:rsidRPr="004F2885">
              <w:rPr>
                <w:rFonts w:eastAsiaTheme="minorEastAsia"/>
                <w:sz w:val="20"/>
                <w:lang w:eastAsia="en-AU"/>
              </w:rPr>
              <w:t>Revaluation</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2 927.6</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2 425.2</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63.0</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3.0</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673.7)</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2.0</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3.9</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0.3</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2 320.7</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2 430.5</w:t>
            </w:r>
          </w:p>
        </w:tc>
      </w:tr>
      <w:tr w:rsidR="00336793" w:rsidRPr="004F2885" w:rsidTr="00DF0B96">
        <w:tc>
          <w:tcPr>
            <w:tcW w:w="4170" w:type="dxa"/>
            <w:tcBorders>
              <w:top w:val="nil"/>
              <w:left w:val="nil"/>
              <w:bottom w:val="nil"/>
              <w:right w:val="nil"/>
            </w:tcBorders>
          </w:tcPr>
          <w:p w:rsidR="00336793" w:rsidRPr="004F2885" w:rsidRDefault="00336793" w:rsidP="00DF0B96">
            <w:pPr>
              <w:pStyle w:val="Tabletext"/>
              <w:rPr>
                <w:rFonts w:eastAsiaTheme="minorEastAsia"/>
                <w:sz w:val="20"/>
                <w:lang w:eastAsia="en-AU"/>
              </w:rPr>
            </w:pPr>
            <w:r w:rsidRPr="004F2885">
              <w:rPr>
                <w:rFonts w:eastAsiaTheme="minorEastAsia"/>
                <w:sz w:val="20"/>
                <w:lang w:eastAsia="en-AU"/>
              </w:rPr>
              <w:t>Disposals</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188.5)</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212.0)</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84.8)</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114.0)</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1.7)</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0.4)</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3.1)</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275.0)</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329.5)</w:t>
            </w:r>
          </w:p>
        </w:tc>
      </w:tr>
      <w:tr w:rsidR="00336793" w:rsidRPr="004F2885" w:rsidTr="00DF0B96">
        <w:tc>
          <w:tcPr>
            <w:tcW w:w="4170" w:type="dxa"/>
            <w:tcBorders>
              <w:top w:val="nil"/>
              <w:left w:val="nil"/>
              <w:bottom w:val="nil"/>
              <w:right w:val="nil"/>
            </w:tcBorders>
          </w:tcPr>
          <w:p w:rsidR="00336793" w:rsidRPr="004F2885" w:rsidRDefault="00336793" w:rsidP="00DF0B96">
            <w:pPr>
              <w:pStyle w:val="Tabletext"/>
              <w:rPr>
                <w:rFonts w:eastAsiaTheme="minorEastAsia"/>
                <w:sz w:val="20"/>
                <w:lang w:eastAsia="en-AU"/>
              </w:rPr>
            </w:pPr>
            <w:r w:rsidRPr="004F2885">
              <w:rPr>
                <w:rFonts w:eastAsiaTheme="minorEastAsia"/>
                <w:sz w:val="20"/>
                <w:lang w:eastAsia="en-AU"/>
              </w:rPr>
              <w:t>Assets recognised for the first time</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80.0</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92.8</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10.1</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27.8</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9.5</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0.1</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99.7</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 xml:space="preserve"> 120.7</w:t>
            </w:r>
          </w:p>
        </w:tc>
      </w:tr>
      <w:tr w:rsidR="00336793" w:rsidRPr="004F2885" w:rsidTr="00DF0B96">
        <w:tc>
          <w:tcPr>
            <w:tcW w:w="4170" w:type="dxa"/>
            <w:tcBorders>
              <w:top w:val="nil"/>
              <w:left w:val="nil"/>
              <w:bottom w:val="nil"/>
              <w:right w:val="nil"/>
            </w:tcBorders>
          </w:tcPr>
          <w:p w:rsidR="00336793" w:rsidRPr="004F2885" w:rsidRDefault="00336793" w:rsidP="00DF0B96">
            <w:pPr>
              <w:pStyle w:val="Tabletext"/>
              <w:rPr>
                <w:rFonts w:eastAsiaTheme="minorEastAsia"/>
                <w:sz w:val="20"/>
                <w:lang w:eastAsia="en-AU"/>
              </w:rPr>
            </w:pPr>
            <w:r w:rsidRPr="004F2885">
              <w:rPr>
                <w:rFonts w:eastAsiaTheme="minorEastAsia"/>
                <w:sz w:val="20"/>
                <w:lang w:eastAsia="en-AU"/>
              </w:rPr>
              <w:t>Assets provided free of charge</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873.7)</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22.3)</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8.9)</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904.9)</w:t>
            </w:r>
          </w:p>
        </w:tc>
      </w:tr>
      <w:tr w:rsidR="00336793" w:rsidRPr="004F2885" w:rsidTr="00DF0B96">
        <w:tc>
          <w:tcPr>
            <w:tcW w:w="4170" w:type="dxa"/>
            <w:tcBorders>
              <w:top w:val="nil"/>
              <w:left w:val="nil"/>
              <w:bottom w:val="nil"/>
              <w:right w:val="nil"/>
            </w:tcBorders>
          </w:tcPr>
          <w:p w:rsidR="00336793" w:rsidRPr="004F2885" w:rsidRDefault="00336793" w:rsidP="00DF0B96">
            <w:pPr>
              <w:pStyle w:val="Tabletext"/>
              <w:rPr>
                <w:rFonts w:eastAsiaTheme="minorEastAsia"/>
                <w:sz w:val="20"/>
                <w:lang w:eastAsia="en-AU"/>
              </w:rPr>
            </w:pPr>
            <w:r w:rsidRPr="004F2885">
              <w:rPr>
                <w:rFonts w:eastAsiaTheme="minorEastAsia"/>
                <w:sz w:val="20"/>
                <w:lang w:eastAsia="en-AU"/>
              </w:rPr>
              <w:t>Impairment</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41.7)</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9.7)</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6.3)</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3.8)</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w:t>
            </w:r>
          </w:p>
        </w:tc>
        <w:tc>
          <w:tcPr>
            <w:tcW w:w="1040" w:type="dxa"/>
            <w:tcBorders>
              <w:top w:val="nil"/>
              <w:left w:val="nil"/>
              <w:bottom w:val="nil"/>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0.1)</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0.3)</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48.1)</w:t>
            </w:r>
          </w:p>
        </w:tc>
        <w:tc>
          <w:tcPr>
            <w:tcW w:w="1040" w:type="dxa"/>
            <w:tcBorders>
              <w:top w:val="nil"/>
              <w:left w:val="nil"/>
              <w:bottom w:val="nil"/>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13.8)</w:t>
            </w:r>
          </w:p>
        </w:tc>
      </w:tr>
      <w:tr w:rsidR="00336793" w:rsidRPr="004F2885" w:rsidTr="00DF0B96">
        <w:tc>
          <w:tcPr>
            <w:tcW w:w="4170" w:type="dxa"/>
            <w:tcBorders>
              <w:top w:val="nil"/>
              <w:left w:val="nil"/>
              <w:bottom w:val="single" w:sz="6" w:space="0" w:color="auto"/>
              <w:right w:val="nil"/>
            </w:tcBorders>
          </w:tcPr>
          <w:p w:rsidR="00336793" w:rsidRPr="004F2885" w:rsidRDefault="00336793" w:rsidP="00DF0B96">
            <w:pPr>
              <w:pStyle w:val="Tabletext"/>
              <w:rPr>
                <w:rFonts w:eastAsiaTheme="minorEastAsia"/>
                <w:sz w:val="20"/>
                <w:lang w:eastAsia="en-AU"/>
              </w:rPr>
            </w:pPr>
            <w:r w:rsidRPr="004F2885">
              <w:rPr>
                <w:rFonts w:eastAsiaTheme="minorEastAsia"/>
                <w:sz w:val="20"/>
                <w:lang w:eastAsia="en-AU"/>
              </w:rPr>
              <w:t>Depreciation</w:t>
            </w:r>
          </w:p>
        </w:tc>
        <w:tc>
          <w:tcPr>
            <w:tcW w:w="1040" w:type="dxa"/>
            <w:tcBorders>
              <w:top w:val="nil"/>
              <w:left w:val="nil"/>
              <w:bottom w:val="single" w:sz="6" w:space="0" w:color="auto"/>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(1 094.7)</w:t>
            </w:r>
          </w:p>
        </w:tc>
        <w:tc>
          <w:tcPr>
            <w:tcW w:w="1040" w:type="dxa"/>
            <w:tcBorders>
              <w:top w:val="nil"/>
              <w:left w:val="nil"/>
              <w:bottom w:val="single" w:sz="6" w:space="0" w:color="auto"/>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(1 072.7)</w:t>
            </w:r>
          </w:p>
        </w:tc>
        <w:tc>
          <w:tcPr>
            <w:tcW w:w="1040" w:type="dxa"/>
            <w:tcBorders>
              <w:top w:val="nil"/>
              <w:left w:val="nil"/>
              <w:bottom w:val="single" w:sz="6" w:space="0" w:color="auto"/>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591.4)</w:t>
            </w:r>
          </w:p>
        </w:tc>
        <w:tc>
          <w:tcPr>
            <w:tcW w:w="1040" w:type="dxa"/>
            <w:tcBorders>
              <w:top w:val="nil"/>
              <w:left w:val="nil"/>
              <w:bottom w:val="single" w:sz="6" w:space="0" w:color="auto"/>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615.3)</w:t>
            </w:r>
          </w:p>
        </w:tc>
        <w:tc>
          <w:tcPr>
            <w:tcW w:w="1040" w:type="dxa"/>
            <w:tcBorders>
              <w:top w:val="nil"/>
              <w:left w:val="nil"/>
              <w:bottom w:val="single" w:sz="6" w:space="0" w:color="auto"/>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589.8)</w:t>
            </w:r>
          </w:p>
        </w:tc>
        <w:tc>
          <w:tcPr>
            <w:tcW w:w="1040" w:type="dxa"/>
            <w:tcBorders>
              <w:top w:val="nil"/>
              <w:left w:val="nil"/>
              <w:bottom w:val="single" w:sz="6" w:space="0" w:color="auto"/>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566.3)</w:t>
            </w:r>
          </w:p>
        </w:tc>
        <w:tc>
          <w:tcPr>
            <w:tcW w:w="1040" w:type="dxa"/>
            <w:tcBorders>
              <w:top w:val="nil"/>
              <w:left w:val="nil"/>
              <w:bottom w:val="single" w:sz="6" w:space="0" w:color="auto"/>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20.2)</w:t>
            </w:r>
          </w:p>
        </w:tc>
        <w:tc>
          <w:tcPr>
            <w:tcW w:w="1040" w:type="dxa"/>
            <w:tcBorders>
              <w:top w:val="nil"/>
              <w:left w:val="nil"/>
              <w:bottom w:val="single" w:sz="6" w:space="0" w:color="auto"/>
              <w:right w:val="nil"/>
            </w:tcBorders>
          </w:tcPr>
          <w:p w:rsidR="00336793" w:rsidRPr="004F2885" w:rsidRDefault="00336793" w:rsidP="00DF0B96">
            <w:pPr>
              <w:pStyle w:val="TableofFigures"/>
              <w:rPr>
                <w:rFonts w:eastAsiaTheme="minorEastAsia" w:cs="Calibri"/>
                <w:color w:val="000000"/>
                <w:szCs w:val="22"/>
                <w:lang w:eastAsia="en-AU"/>
              </w:rPr>
            </w:pPr>
            <w:r>
              <w:rPr>
                <w:rFonts w:eastAsiaTheme="minorEastAsia"/>
                <w:sz w:val="20"/>
                <w:lang w:eastAsia="en-AU"/>
              </w:rPr>
              <w:t>(</w:t>
            </w:r>
            <w:r w:rsidRPr="004F2885">
              <w:rPr>
                <w:rFonts w:eastAsiaTheme="minorEastAsia" w:cs="Calibri"/>
                <w:color w:val="000000"/>
                <w:sz w:val="20"/>
                <w:szCs w:val="22"/>
                <w:lang w:eastAsia="en-AU"/>
              </w:rPr>
              <w:t>21.1)</w:t>
            </w:r>
          </w:p>
        </w:tc>
        <w:tc>
          <w:tcPr>
            <w:tcW w:w="1040" w:type="dxa"/>
            <w:tcBorders>
              <w:top w:val="nil"/>
              <w:left w:val="nil"/>
              <w:bottom w:val="single" w:sz="6" w:space="0" w:color="auto"/>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(2 296.0)</w:t>
            </w:r>
          </w:p>
        </w:tc>
        <w:tc>
          <w:tcPr>
            <w:tcW w:w="1040" w:type="dxa"/>
            <w:tcBorders>
              <w:top w:val="nil"/>
              <w:left w:val="nil"/>
              <w:bottom w:val="single" w:sz="6" w:space="0" w:color="auto"/>
              <w:right w:val="nil"/>
            </w:tcBorders>
          </w:tcPr>
          <w:p w:rsidR="00336793" w:rsidRPr="004F2885" w:rsidRDefault="00336793" w:rsidP="00DF0B96">
            <w:pPr>
              <w:pStyle w:val="TableofFigures"/>
              <w:rPr>
                <w:rFonts w:eastAsiaTheme="minorEastAsia"/>
                <w:sz w:val="20"/>
                <w:lang w:eastAsia="en-AU"/>
              </w:rPr>
            </w:pPr>
            <w:r w:rsidRPr="004F2885">
              <w:rPr>
                <w:rFonts w:eastAsiaTheme="minorEastAsia"/>
                <w:sz w:val="20"/>
                <w:lang w:eastAsia="en-AU"/>
              </w:rPr>
              <w:t>(2 275.4)</w:t>
            </w:r>
          </w:p>
        </w:tc>
      </w:tr>
      <w:tr w:rsidR="00336793" w:rsidRPr="004F2885" w:rsidTr="00DF0B96">
        <w:tc>
          <w:tcPr>
            <w:tcW w:w="4170" w:type="dxa"/>
            <w:tcBorders>
              <w:top w:val="single" w:sz="6" w:space="0" w:color="auto"/>
              <w:left w:val="nil"/>
              <w:bottom w:val="single" w:sz="12" w:space="0" w:color="000000"/>
              <w:right w:val="nil"/>
            </w:tcBorders>
            <w:shd w:val="clear" w:color="auto" w:fill="auto"/>
          </w:tcPr>
          <w:p w:rsidR="00336793" w:rsidRPr="004F2885" w:rsidRDefault="00336793" w:rsidP="00DF0B96">
            <w:pPr>
              <w:pStyle w:val="Tabletext"/>
              <w:rPr>
                <w:rFonts w:eastAsiaTheme="minorEastAsia"/>
                <w:b/>
                <w:bCs/>
                <w:sz w:val="20"/>
                <w:lang w:eastAsia="en-AU"/>
              </w:rPr>
            </w:pPr>
            <w:r w:rsidRPr="004F2885">
              <w:rPr>
                <w:rFonts w:eastAsiaTheme="minorEastAsia"/>
                <w:b/>
                <w:bCs/>
                <w:sz w:val="20"/>
                <w:lang w:eastAsia="en-AU"/>
              </w:rPr>
              <w:t>Closing balance</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69 150.8</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65 877.3</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3 764.5</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3 843.1</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29 174.7</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29 789.0</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5 496.5</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5 489.5</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107 586.4</w:t>
            </w:r>
          </w:p>
        </w:tc>
        <w:tc>
          <w:tcPr>
            <w:tcW w:w="1040" w:type="dxa"/>
            <w:tcBorders>
              <w:top w:val="single" w:sz="6" w:space="0" w:color="auto"/>
              <w:left w:val="nil"/>
              <w:bottom w:val="single" w:sz="12" w:space="0" w:color="000000"/>
              <w:right w:val="nil"/>
            </w:tcBorders>
            <w:shd w:val="clear" w:color="auto" w:fill="auto"/>
          </w:tcPr>
          <w:p w:rsidR="00336793" w:rsidRPr="004F2885" w:rsidRDefault="00336793" w:rsidP="00DF0B96">
            <w:pPr>
              <w:pStyle w:val="TableofFigures"/>
              <w:rPr>
                <w:rFonts w:eastAsiaTheme="minorEastAsia"/>
                <w:b/>
                <w:bCs/>
                <w:sz w:val="20"/>
                <w:lang w:eastAsia="en-AU"/>
              </w:rPr>
            </w:pPr>
            <w:r w:rsidRPr="004F2885">
              <w:rPr>
                <w:rFonts w:eastAsiaTheme="minorEastAsia"/>
                <w:b/>
                <w:bCs/>
                <w:sz w:val="20"/>
                <w:lang w:eastAsia="en-AU"/>
              </w:rPr>
              <w:t>104 998.8</w:t>
            </w:r>
          </w:p>
        </w:tc>
      </w:tr>
    </w:tbl>
    <w:p w:rsidR="00336793" w:rsidRDefault="00336793" w:rsidP="00DF0B96">
      <w:pPr>
        <w:pStyle w:val="Notes"/>
      </w:pPr>
      <w:r>
        <w:t>Note:</w:t>
      </w:r>
    </w:p>
    <w:p w:rsidR="00336793" w:rsidRPr="006A75A2" w:rsidRDefault="00336793" w:rsidP="00DF0B96">
      <w:pPr>
        <w:pStyle w:val="Notes"/>
      </w:pPr>
      <w:r>
        <w:t>(a)</w:t>
      </w:r>
      <w:r>
        <w:tab/>
        <w:t xml:space="preserve">June 2014 comparative figures </w:t>
      </w:r>
      <w:r w:rsidRPr="00D41A2A">
        <w:t>have been restated. See Note 37.</w:t>
      </w:r>
    </w:p>
    <w:p w:rsidR="00336793" w:rsidRDefault="00336793">
      <w:pPr>
        <w:spacing w:after="0"/>
        <w:rPr>
          <w:rFonts w:ascii="Calibri" w:hAnsi="Calibri"/>
          <w:b/>
        </w:rPr>
      </w:pPr>
      <w:r>
        <w:br w:type="page"/>
      </w:r>
    </w:p>
    <w:p w:rsidR="00336793" w:rsidRDefault="00336793" w:rsidP="00DF0B96">
      <w:pPr>
        <w:pStyle w:val="Heading2NotesContd"/>
      </w:pPr>
      <w:r w:rsidRPr="006A75A2">
        <w:lastRenderedPageBreak/>
        <w:t>Note 22:</w:t>
      </w:r>
      <w:r w:rsidRPr="006A75A2">
        <w:tab/>
        <w:t>Land, buildings, infrastructure, plant and equipment</w:t>
      </w:r>
      <w:r w:rsidRPr="006A75A2">
        <w:rPr>
          <w:i/>
        </w:rPr>
        <w:t xml:space="preserve"> (continued)</w:t>
      </w:r>
    </w:p>
    <w:p w:rsidR="00336793" w:rsidRPr="006A75A2" w:rsidRDefault="00336793" w:rsidP="00DF0B96">
      <w:pPr>
        <w:pStyle w:val="Heading5"/>
      </w:pPr>
      <w:r>
        <w:t>(d)</w:t>
      </w:r>
      <w:r>
        <w:tab/>
      </w:r>
      <w:r w:rsidRPr="0088414A">
        <w:t>Fair value measurement of land, buildings, infrastructure, plant and equipment</w:t>
      </w:r>
      <w:r>
        <w:t xml:space="preserve"> as at 30 June</w:t>
      </w:r>
    </w:p>
    <w:p w:rsidR="00336793" w:rsidRPr="00A10A3B"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5610"/>
        <w:gridCol w:w="1120"/>
        <w:gridCol w:w="236"/>
        <w:gridCol w:w="884"/>
        <w:gridCol w:w="1120"/>
        <w:gridCol w:w="947"/>
        <w:gridCol w:w="173"/>
        <w:gridCol w:w="1120"/>
        <w:gridCol w:w="237"/>
        <w:gridCol w:w="883"/>
        <w:gridCol w:w="1120"/>
        <w:gridCol w:w="1010"/>
        <w:gridCol w:w="110"/>
      </w:tblGrid>
      <w:tr w:rsidR="00336793" w:rsidRPr="001B0BA9" w:rsidTr="00DF0B96">
        <w:trPr>
          <w:tblHeader/>
        </w:trPr>
        <w:tc>
          <w:tcPr>
            <w:tcW w:w="5610" w:type="dxa"/>
            <w:tcBorders>
              <w:top w:val="single" w:sz="6" w:space="0" w:color="auto"/>
              <w:left w:val="single" w:sz="6" w:space="0" w:color="auto"/>
              <w:bottom w:val="nil"/>
              <w:right w:val="nil"/>
            </w:tcBorders>
            <w:shd w:val="clear" w:color="000000" w:fill="000000"/>
            <w:vAlign w:val="bottom"/>
          </w:tcPr>
          <w:p w:rsidR="00336793" w:rsidRPr="001B0BA9" w:rsidRDefault="00336793" w:rsidP="00DF0B96">
            <w:pPr>
              <w:pStyle w:val="Tabletextheading"/>
              <w:jc w:val="left"/>
              <w:rPr>
                <w:rFonts w:eastAsiaTheme="minorEastAsia"/>
                <w:color w:val="FFFFFF"/>
                <w:sz w:val="20"/>
                <w:lang w:eastAsia="en-AU"/>
              </w:rPr>
            </w:pPr>
            <w:r w:rsidRPr="001B0BA9">
              <w:rPr>
                <w:rFonts w:eastAsiaTheme="minorEastAsia"/>
                <w:color w:val="FFFFFF"/>
                <w:sz w:val="20"/>
                <w:lang w:eastAsia="en-AU"/>
              </w:rPr>
              <w:t xml:space="preserve"> </w:t>
            </w:r>
          </w:p>
        </w:tc>
        <w:tc>
          <w:tcPr>
            <w:tcW w:w="1120"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20"/>
                <w:lang w:eastAsia="en-AU"/>
              </w:rPr>
            </w:pPr>
            <w:r w:rsidRPr="001B0BA9">
              <w:rPr>
                <w:rFonts w:eastAsiaTheme="minorEastAsia"/>
                <w:color w:val="FFFFFF"/>
                <w:sz w:val="20"/>
                <w:lang w:eastAsia="en-AU"/>
              </w:rPr>
              <w:t>Carrying amount</w:t>
            </w:r>
          </w:p>
        </w:tc>
        <w:tc>
          <w:tcPr>
            <w:tcW w:w="236"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jc w:val="center"/>
              <w:rPr>
                <w:rFonts w:eastAsiaTheme="minorEastAsia" w:cs="Calibri"/>
                <w:iCs/>
                <w:color w:val="FFFFFF"/>
                <w:sz w:val="20"/>
                <w:szCs w:val="22"/>
                <w:lang w:eastAsia="en-AU"/>
              </w:rPr>
            </w:pPr>
            <w:r w:rsidRPr="001B0BA9">
              <w:rPr>
                <w:rFonts w:eastAsiaTheme="minorEastAsia"/>
                <w:color w:val="FFFFFF"/>
                <w:sz w:val="20"/>
                <w:lang w:eastAsia="en-AU"/>
              </w:rPr>
              <w:t xml:space="preserve"> </w:t>
            </w:r>
          </w:p>
        </w:tc>
        <w:tc>
          <w:tcPr>
            <w:tcW w:w="2951" w:type="dxa"/>
            <w:gridSpan w:val="3"/>
            <w:tcBorders>
              <w:top w:val="single" w:sz="6" w:space="0" w:color="auto"/>
              <w:left w:val="nil"/>
              <w:bottom w:val="single" w:sz="6" w:space="0" w:color="FFFFFF" w:themeColor="background1"/>
              <w:right w:val="nil"/>
            </w:tcBorders>
            <w:shd w:val="clear" w:color="000000" w:fill="000000"/>
            <w:vAlign w:val="bottom"/>
          </w:tcPr>
          <w:p w:rsidR="00336793" w:rsidRPr="001B0BA9" w:rsidRDefault="00336793" w:rsidP="00DF0B96">
            <w:pPr>
              <w:pStyle w:val="Tabletextheading"/>
              <w:jc w:val="center"/>
              <w:rPr>
                <w:rFonts w:eastAsiaTheme="minorEastAsia"/>
                <w:color w:val="FFFFFF"/>
                <w:sz w:val="20"/>
                <w:lang w:eastAsia="en-AU"/>
              </w:rPr>
            </w:pPr>
            <w:r w:rsidRPr="001B0BA9">
              <w:rPr>
                <w:rFonts w:eastAsiaTheme="minorEastAsia"/>
                <w:color w:val="FFFFFF"/>
                <w:sz w:val="20"/>
                <w:lang w:eastAsia="en-AU"/>
              </w:rPr>
              <w:t>Fair value measurement at the end of the 2015 reporting period using:</w:t>
            </w:r>
          </w:p>
        </w:tc>
        <w:tc>
          <w:tcPr>
            <w:tcW w:w="173" w:type="dxa"/>
            <w:tcBorders>
              <w:top w:val="single" w:sz="6" w:space="0" w:color="auto"/>
              <w:left w:val="nil"/>
              <w:bottom w:val="single" w:sz="6" w:space="0" w:color="FFFFFF" w:themeColor="background1"/>
              <w:right w:val="nil"/>
            </w:tcBorders>
            <w:shd w:val="clear" w:color="000000" w:fill="000000"/>
            <w:vAlign w:val="bottom"/>
          </w:tcPr>
          <w:p w:rsidR="00336793" w:rsidRPr="001B0BA9" w:rsidRDefault="00336793" w:rsidP="00DF0B96">
            <w:pPr>
              <w:pStyle w:val="Tabletextheading"/>
              <w:rPr>
                <w:rFonts w:eastAsiaTheme="minorEastAsia" w:cs="Calibri"/>
                <w:iCs/>
                <w:color w:val="FFFFFF"/>
                <w:sz w:val="20"/>
                <w:szCs w:val="22"/>
                <w:lang w:eastAsia="en-AU"/>
              </w:rPr>
            </w:pPr>
            <w:r w:rsidRPr="001B0BA9">
              <w:rPr>
                <w:rFonts w:eastAsiaTheme="minorEastAsia" w:cs="Calibri"/>
                <w:iCs/>
                <w:color w:val="FFFFFF"/>
                <w:sz w:val="20"/>
                <w:szCs w:val="22"/>
                <w:lang w:eastAsia="en-AU"/>
              </w:rPr>
              <w:t xml:space="preserve"> </w:t>
            </w:r>
          </w:p>
        </w:tc>
        <w:tc>
          <w:tcPr>
            <w:tcW w:w="1120"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20"/>
                <w:lang w:eastAsia="en-AU"/>
              </w:rPr>
            </w:pPr>
            <w:r w:rsidRPr="001B0BA9">
              <w:rPr>
                <w:rFonts w:eastAsiaTheme="minorEastAsia"/>
                <w:color w:val="FFFFFF"/>
                <w:sz w:val="20"/>
                <w:lang w:eastAsia="en-AU"/>
              </w:rPr>
              <w:t>Carrying amount</w:t>
            </w:r>
          </w:p>
        </w:tc>
        <w:tc>
          <w:tcPr>
            <w:tcW w:w="237"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jc w:val="center"/>
              <w:rPr>
                <w:rFonts w:eastAsiaTheme="minorEastAsia" w:cs="Calibri"/>
                <w:iCs/>
                <w:color w:val="FFFFFF"/>
                <w:sz w:val="20"/>
                <w:szCs w:val="22"/>
                <w:lang w:eastAsia="en-AU"/>
              </w:rPr>
            </w:pPr>
            <w:r w:rsidRPr="001B0BA9">
              <w:rPr>
                <w:rFonts w:eastAsiaTheme="minorEastAsia" w:cs="Calibri"/>
                <w:iCs/>
                <w:color w:val="FFFFFF"/>
                <w:sz w:val="20"/>
                <w:szCs w:val="22"/>
                <w:lang w:eastAsia="en-AU"/>
              </w:rPr>
              <w:t xml:space="preserve"> </w:t>
            </w:r>
          </w:p>
        </w:tc>
        <w:tc>
          <w:tcPr>
            <w:tcW w:w="3013" w:type="dxa"/>
            <w:gridSpan w:val="3"/>
            <w:tcBorders>
              <w:top w:val="single" w:sz="6" w:space="0" w:color="auto"/>
              <w:left w:val="nil"/>
              <w:bottom w:val="single" w:sz="6" w:space="0" w:color="FFFFFF" w:themeColor="background1"/>
              <w:right w:val="nil"/>
            </w:tcBorders>
            <w:shd w:val="clear" w:color="000000" w:fill="000000"/>
            <w:vAlign w:val="bottom"/>
          </w:tcPr>
          <w:p w:rsidR="00336793" w:rsidRPr="001B0BA9" w:rsidRDefault="00336793" w:rsidP="00DF0B96">
            <w:pPr>
              <w:pStyle w:val="Tabletextheading"/>
              <w:jc w:val="center"/>
              <w:rPr>
                <w:rFonts w:eastAsiaTheme="minorEastAsia"/>
                <w:color w:val="FFFFFF"/>
                <w:sz w:val="20"/>
                <w:lang w:eastAsia="en-AU"/>
              </w:rPr>
            </w:pPr>
            <w:r w:rsidRPr="001B0BA9">
              <w:rPr>
                <w:rFonts w:eastAsiaTheme="minorEastAsia"/>
                <w:color w:val="FFFFFF"/>
                <w:sz w:val="20"/>
                <w:lang w:eastAsia="en-AU"/>
              </w:rPr>
              <w:t>Fair value measurement at the end of the 2014 reporting period using:</w:t>
            </w:r>
          </w:p>
        </w:tc>
        <w:tc>
          <w:tcPr>
            <w:tcW w:w="110" w:type="dxa"/>
            <w:tcBorders>
              <w:top w:val="single" w:sz="6" w:space="0" w:color="auto"/>
              <w:left w:val="nil"/>
              <w:bottom w:val="single" w:sz="6" w:space="0" w:color="FFFFFF" w:themeColor="background1"/>
              <w:right w:val="single" w:sz="6" w:space="0" w:color="auto"/>
            </w:tcBorders>
            <w:shd w:val="clear" w:color="000000" w:fill="000000"/>
            <w:vAlign w:val="bottom"/>
          </w:tcPr>
          <w:p w:rsidR="00336793" w:rsidRPr="001B0BA9" w:rsidRDefault="00336793" w:rsidP="00DF0B96">
            <w:pPr>
              <w:pStyle w:val="Tabletextheading"/>
              <w:rPr>
                <w:rFonts w:eastAsiaTheme="minorEastAsia" w:cs="Calibri"/>
                <w:iCs/>
                <w:color w:val="FFFFFF"/>
                <w:sz w:val="20"/>
                <w:szCs w:val="22"/>
                <w:lang w:eastAsia="en-AU"/>
              </w:rPr>
            </w:pPr>
            <w:r w:rsidRPr="001B0BA9">
              <w:rPr>
                <w:rFonts w:eastAsiaTheme="minorEastAsia"/>
                <w:color w:val="FFFFFF"/>
                <w:sz w:val="20"/>
                <w:lang w:eastAsia="en-AU"/>
              </w:rPr>
              <w:t xml:space="preserve"> </w:t>
            </w:r>
          </w:p>
        </w:tc>
      </w:tr>
      <w:tr w:rsidR="00336793" w:rsidRPr="001B0BA9" w:rsidTr="00DF0B96">
        <w:trPr>
          <w:tblHeader/>
        </w:trPr>
        <w:tc>
          <w:tcPr>
            <w:tcW w:w="5610" w:type="dxa"/>
            <w:tcBorders>
              <w:top w:val="nil"/>
              <w:left w:val="single" w:sz="6" w:space="0" w:color="auto"/>
              <w:right w:val="nil"/>
            </w:tcBorders>
            <w:shd w:val="clear" w:color="000000" w:fill="000000"/>
            <w:vAlign w:val="bottom"/>
          </w:tcPr>
          <w:p w:rsidR="00336793" w:rsidRPr="001B0BA9" w:rsidRDefault="00336793" w:rsidP="00DF0B96">
            <w:pPr>
              <w:pStyle w:val="Tabletextheading"/>
              <w:jc w:val="left"/>
              <w:rPr>
                <w:rFonts w:eastAsiaTheme="minorEastAsia"/>
                <w:color w:val="FFFFFF"/>
                <w:sz w:val="20"/>
                <w:lang w:eastAsia="en-AU"/>
              </w:rPr>
            </w:pPr>
            <w:r w:rsidRPr="001B0BA9">
              <w:rPr>
                <w:rFonts w:eastAsiaTheme="minorEastAsia"/>
                <w:color w:val="FFFFFF"/>
                <w:sz w:val="20"/>
                <w:lang w:eastAsia="en-AU"/>
              </w:rPr>
              <w:t>State of Victoria</w:t>
            </w:r>
          </w:p>
        </w:tc>
        <w:tc>
          <w:tcPr>
            <w:tcW w:w="1120" w:type="dxa"/>
            <w:tcBorders>
              <w:top w:val="nil"/>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lang w:eastAsia="en-AU"/>
              </w:rPr>
            </w:pPr>
            <w:r w:rsidRPr="001B0BA9">
              <w:rPr>
                <w:rFonts w:eastAsiaTheme="minorEastAsia"/>
                <w:color w:val="FFFFFF"/>
                <w:sz w:val="20"/>
                <w:lang w:eastAsia="en-AU"/>
              </w:rPr>
              <w:t>2015</w:t>
            </w:r>
          </w:p>
        </w:tc>
        <w:tc>
          <w:tcPr>
            <w:tcW w:w="1120" w:type="dxa"/>
            <w:gridSpan w:val="2"/>
            <w:tcBorders>
              <w:top w:val="nil"/>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Level 1</w:t>
            </w:r>
            <w:r w:rsidRPr="001B0BA9">
              <w:rPr>
                <w:rFonts w:eastAsiaTheme="minorEastAsia"/>
                <w:color w:val="FFFFFF"/>
                <w:sz w:val="20"/>
                <w:vertAlign w:val="superscript"/>
                <w:lang w:eastAsia="en-AU"/>
              </w:rPr>
              <w:t>(a)</w:t>
            </w:r>
          </w:p>
        </w:tc>
        <w:tc>
          <w:tcPr>
            <w:tcW w:w="1120" w:type="dxa"/>
            <w:tcBorders>
              <w:top w:val="nil"/>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 xml:space="preserve">Level 2 </w:t>
            </w:r>
            <w:r w:rsidRPr="001B0BA9">
              <w:rPr>
                <w:rFonts w:eastAsiaTheme="minorEastAsia"/>
                <w:color w:val="FFFFFF"/>
                <w:sz w:val="20"/>
                <w:vertAlign w:val="superscript"/>
                <w:lang w:eastAsia="en-AU"/>
              </w:rPr>
              <w:t>(b)</w:t>
            </w:r>
          </w:p>
        </w:tc>
        <w:tc>
          <w:tcPr>
            <w:tcW w:w="1120" w:type="dxa"/>
            <w:gridSpan w:val="2"/>
            <w:tcBorders>
              <w:top w:val="nil"/>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Level 3</w:t>
            </w:r>
            <w:r w:rsidRPr="001B0BA9">
              <w:rPr>
                <w:rFonts w:eastAsiaTheme="minorEastAsia"/>
                <w:color w:val="FFFFFF"/>
                <w:sz w:val="20"/>
                <w:vertAlign w:val="superscript"/>
                <w:lang w:eastAsia="en-AU"/>
              </w:rPr>
              <w:t>(c)</w:t>
            </w:r>
          </w:p>
        </w:tc>
        <w:tc>
          <w:tcPr>
            <w:tcW w:w="1120" w:type="dxa"/>
            <w:tcBorders>
              <w:top w:val="nil"/>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lang w:eastAsia="en-AU"/>
              </w:rPr>
            </w:pPr>
            <w:r w:rsidRPr="001B0BA9">
              <w:rPr>
                <w:rFonts w:eastAsiaTheme="minorEastAsia"/>
                <w:color w:val="FFFFFF"/>
                <w:sz w:val="20"/>
                <w:lang w:eastAsia="en-AU"/>
              </w:rPr>
              <w:t>2014</w:t>
            </w:r>
          </w:p>
        </w:tc>
        <w:tc>
          <w:tcPr>
            <w:tcW w:w="1120" w:type="dxa"/>
            <w:gridSpan w:val="2"/>
            <w:tcBorders>
              <w:top w:val="nil"/>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Level 1</w:t>
            </w:r>
            <w:r w:rsidRPr="001B0BA9">
              <w:rPr>
                <w:rFonts w:eastAsiaTheme="minorEastAsia"/>
                <w:color w:val="FFFFFF"/>
                <w:sz w:val="20"/>
                <w:vertAlign w:val="superscript"/>
                <w:lang w:eastAsia="en-AU"/>
              </w:rPr>
              <w:t>(a)</w:t>
            </w:r>
          </w:p>
        </w:tc>
        <w:tc>
          <w:tcPr>
            <w:tcW w:w="1120" w:type="dxa"/>
            <w:tcBorders>
              <w:top w:val="nil"/>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 xml:space="preserve">Level 2 </w:t>
            </w:r>
            <w:r w:rsidRPr="001B0BA9">
              <w:rPr>
                <w:rFonts w:eastAsiaTheme="minorEastAsia"/>
                <w:color w:val="FFFFFF"/>
                <w:sz w:val="20"/>
                <w:vertAlign w:val="superscript"/>
                <w:lang w:eastAsia="en-AU"/>
              </w:rPr>
              <w:t>(b)</w:t>
            </w:r>
          </w:p>
        </w:tc>
        <w:tc>
          <w:tcPr>
            <w:tcW w:w="1120" w:type="dxa"/>
            <w:gridSpan w:val="2"/>
            <w:tcBorders>
              <w:top w:val="nil"/>
              <w:left w:val="nil"/>
              <w:right w:val="single" w:sz="6" w:space="0" w:color="auto"/>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Level 3</w:t>
            </w:r>
            <w:r w:rsidRPr="001B0BA9">
              <w:rPr>
                <w:rFonts w:eastAsiaTheme="minorEastAsia"/>
                <w:color w:val="FFFFFF"/>
                <w:sz w:val="20"/>
                <w:vertAlign w:val="superscript"/>
                <w:lang w:eastAsia="en-AU"/>
              </w:rPr>
              <w:t>(c)</w:t>
            </w:r>
          </w:p>
        </w:tc>
      </w:tr>
      <w:tr w:rsidR="00336793" w:rsidRPr="001B0BA9" w:rsidTr="00DF0B96">
        <w:tc>
          <w:tcPr>
            <w:tcW w:w="561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Building</w:t>
            </w:r>
            <w:r w:rsidRPr="0096474E">
              <w:rPr>
                <w:rFonts w:ascii="Calibri" w:eastAsiaTheme="minorEastAsia" w:hAnsi="Calibri" w:cs="Calibri"/>
                <w:b/>
                <w:bCs/>
                <w:sz w:val="20"/>
                <w:szCs w:val="22"/>
                <w:lang w:eastAsia="en-AU"/>
              </w:rPr>
              <w:t>s</w:t>
            </w:r>
            <w:r w:rsidRPr="0096474E">
              <w:rPr>
                <w:rFonts w:ascii="Calibri" w:eastAsiaTheme="minorEastAsia" w:hAnsi="Calibri" w:cs="Calibri"/>
                <w:b/>
                <w:color w:val="000000"/>
                <w:sz w:val="20"/>
                <w:szCs w:val="22"/>
                <w:vertAlign w:val="superscript"/>
                <w:lang w:eastAsia="en-AU"/>
              </w:rPr>
              <w:t>(d)</w:t>
            </w:r>
          </w:p>
        </w:tc>
        <w:tc>
          <w:tcPr>
            <w:tcW w:w="112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40 917.6</w:t>
            </w:r>
          </w:p>
        </w:tc>
        <w:tc>
          <w:tcPr>
            <w:tcW w:w="1120" w:type="dxa"/>
            <w:gridSpan w:val="2"/>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9 531.7</w:t>
            </w:r>
          </w:p>
        </w:tc>
        <w:tc>
          <w:tcPr>
            <w:tcW w:w="1120" w:type="dxa"/>
            <w:gridSpan w:val="2"/>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31 385.9</w:t>
            </w:r>
          </w:p>
        </w:tc>
        <w:tc>
          <w:tcPr>
            <w:tcW w:w="112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38 342.5</w:t>
            </w:r>
          </w:p>
        </w:tc>
        <w:tc>
          <w:tcPr>
            <w:tcW w:w="1120" w:type="dxa"/>
            <w:gridSpan w:val="2"/>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10 576.3</w:t>
            </w:r>
          </w:p>
        </w:tc>
        <w:tc>
          <w:tcPr>
            <w:tcW w:w="1120" w:type="dxa"/>
            <w:gridSpan w:val="2"/>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27 766.2</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vertAlign w:val="superscript"/>
                <w:lang w:eastAsia="en-AU"/>
              </w:rPr>
            </w:pPr>
            <w:r w:rsidRPr="001B0BA9">
              <w:rPr>
                <w:rFonts w:ascii="Calibri" w:eastAsiaTheme="minorEastAsia" w:hAnsi="Calibri" w:cs="Calibri"/>
                <w:sz w:val="20"/>
                <w:szCs w:val="22"/>
                <w:lang w:eastAsia="en-AU"/>
              </w:rPr>
              <w:t>Non</w:t>
            </w:r>
            <w:r>
              <w:rPr>
                <w:rFonts w:ascii="Calibri" w:eastAsiaTheme="minorEastAsia" w:hAnsi="Calibri" w:cs="Calibri"/>
                <w:sz w:val="20"/>
                <w:szCs w:val="22"/>
                <w:lang w:eastAsia="en-AU"/>
              </w:rPr>
              <w:noBreakHyphen/>
              <w:t>specialised buildings</w:t>
            </w:r>
            <w:r w:rsidRPr="001B0BA9">
              <w:rPr>
                <w:rFonts w:ascii="Calibri" w:eastAsiaTheme="minorEastAsia" w:hAnsi="Calibri" w:cs="Calibri"/>
                <w:color w:val="000000"/>
                <w:sz w:val="20"/>
                <w:szCs w:val="22"/>
                <w:vertAlign w:val="superscript"/>
                <w:lang w:eastAsia="en-AU"/>
              </w:rPr>
              <w:t>(d)</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12 112.3</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9 290.9</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2 821.4</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12 238.8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9 367.6</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2 871.2</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vertAlign w:val="superscript"/>
                <w:lang w:eastAsia="en-AU"/>
              </w:rPr>
            </w:pPr>
            <w:r>
              <w:rPr>
                <w:rFonts w:ascii="Calibri" w:eastAsiaTheme="minorEastAsia" w:hAnsi="Calibri" w:cs="Calibri"/>
                <w:sz w:val="20"/>
                <w:szCs w:val="22"/>
                <w:lang w:eastAsia="en-AU"/>
              </w:rPr>
              <w:t>Specialised buildings</w:t>
            </w:r>
            <w:r w:rsidRPr="001B0BA9">
              <w:rPr>
                <w:rFonts w:ascii="Calibri" w:eastAsiaTheme="minorEastAsia" w:hAnsi="Calibri" w:cs="Calibri"/>
                <w:color w:val="000000"/>
                <w:sz w:val="20"/>
                <w:szCs w:val="22"/>
                <w:vertAlign w:val="superscript"/>
                <w:lang w:eastAsia="en-AU"/>
              </w:rPr>
              <w:t>(d)</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27 903.3</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240.8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27 662.5</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24 885.7</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1 208.7</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23 677.0</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vertAlign w:val="superscript"/>
                <w:lang w:eastAsia="en-AU"/>
              </w:rPr>
            </w:pPr>
            <w:r>
              <w:rPr>
                <w:rFonts w:ascii="Calibri" w:eastAsiaTheme="minorEastAsia" w:hAnsi="Calibri" w:cs="Calibri"/>
                <w:sz w:val="20"/>
                <w:szCs w:val="22"/>
                <w:lang w:eastAsia="en-AU"/>
              </w:rPr>
              <w:t>Heritage buildings</w:t>
            </w:r>
            <w:r w:rsidRPr="001B0BA9">
              <w:rPr>
                <w:rFonts w:ascii="Calibri" w:eastAsiaTheme="minorEastAsia" w:hAnsi="Calibri" w:cs="Calibri"/>
                <w:color w:val="000000"/>
                <w:sz w:val="20"/>
                <w:szCs w:val="22"/>
                <w:vertAlign w:val="superscript"/>
                <w:lang w:eastAsia="en-AU"/>
              </w:rPr>
              <w:t>(d)</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902.1</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902.1</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1B0BA9">
              <w:rPr>
                <w:rFonts w:ascii="Calibri" w:eastAsiaTheme="minorEastAsia" w:hAnsi="Calibri" w:cs="Calibri"/>
                <w:sz w:val="20"/>
                <w:szCs w:val="22"/>
                <w:lang w:eastAsia="en-AU"/>
              </w:rPr>
              <w:t>1 218.0</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1B0BA9">
              <w:rPr>
                <w:rFonts w:ascii="Calibri" w:eastAsiaTheme="minorEastAsia" w:hAnsi="Calibri" w:cs="Calibri"/>
                <w:sz w:val="20"/>
                <w:szCs w:val="22"/>
                <w:lang w:eastAsia="en-AU"/>
              </w:rPr>
              <w:t>1 218.0</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Land and national park</w:t>
            </w:r>
            <w:r w:rsidRPr="0096474E">
              <w:rPr>
                <w:rFonts w:ascii="Calibri" w:eastAsiaTheme="minorEastAsia" w:hAnsi="Calibri" w:cs="Calibri"/>
                <w:b/>
                <w:bCs/>
                <w:sz w:val="20"/>
                <w:szCs w:val="22"/>
                <w:lang w:eastAsia="en-AU"/>
              </w:rPr>
              <w:t>s</w:t>
            </w:r>
            <w:r w:rsidRPr="0096474E">
              <w:rPr>
                <w:rFonts w:ascii="Calibri" w:eastAsiaTheme="minorEastAsia" w:hAnsi="Calibri" w:cs="Calibri"/>
                <w:b/>
                <w:color w:val="000000"/>
                <w:sz w:val="20"/>
                <w:szCs w:val="22"/>
                <w:vertAlign w:val="superscript"/>
                <w:lang w:eastAsia="en-AU"/>
              </w:rPr>
              <w:t>(d)</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62 507.5</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13 979.7</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48 527.8</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57 088.0</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14 932.4</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42 155.6</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Non</w:t>
            </w:r>
            <w:r>
              <w:rPr>
                <w:rFonts w:ascii="Calibri" w:eastAsiaTheme="minorEastAsia" w:hAnsi="Calibri" w:cs="Calibri"/>
                <w:sz w:val="20"/>
                <w:szCs w:val="22"/>
                <w:lang w:eastAsia="en-AU"/>
              </w:rPr>
              <w:noBreakHyphen/>
            </w:r>
            <w:r w:rsidRPr="001B0BA9">
              <w:rPr>
                <w:rFonts w:ascii="Calibri" w:eastAsiaTheme="minorEastAsia" w:hAnsi="Calibri" w:cs="Calibri"/>
                <w:sz w:val="20"/>
                <w:szCs w:val="22"/>
                <w:lang w:eastAsia="en-AU"/>
              </w:rPr>
              <w:t>specialised land</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15 263.6</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13 266.0</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1 997.5</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15 497.5</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13 548.6</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1 948.9</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vertAlign w:val="superscript"/>
                <w:lang w:eastAsia="en-AU"/>
              </w:rPr>
            </w:pPr>
            <w:r>
              <w:rPr>
                <w:rFonts w:ascii="Calibri" w:eastAsiaTheme="minorEastAsia" w:hAnsi="Calibri" w:cs="Calibri"/>
                <w:sz w:val="20"/>
                <w:szCs w:val="22"/>
                <w:lang w:eastAsia="en-AU"/>
              </w:rPr>
              <w:t>Specialised land</w:t>
            </w:r>
            <w:r>
              <w:rPr>
                <w:rFonts w:ascii="Calibri" w:eastAsiaTheme="minorEastAsia" w:hAnsi="Calibri" w:cs="Calibri"/>
                <w:color w:val="000000"/>
                <w:sz w:val="20"/>
                <w:szCs w:val="22"/>
                <w:vertAlign w:val="superscript"/>
                <w:lang w:eastAsia="en-AU"/>
              </w:rPr>
              <w:t>(d</w:t>
            </w:r>
            <w:r w:rsidRPr="001B0BA9">
              <w:rPr>
                <w:rFonts w:ascii="Calibri" w:eastAsiaTheme="minorEastAsia" w:hAnsi="Calibri" w:cs="Calibri"/>
                <w:color w:val="000000"/>
                <w:sz w:val="20"/>
                <w:szCs w:val="22"/>
                <w:vertAlign w:val="superscript"/>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28 381.0</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713.7</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27 667.3</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24 012.2</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1 383.8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22 628.4</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Land under roads</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17 801.3</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17 801.3</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15 892.8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15 892.8</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National parks and other </w:t>
            </w:r>
            <w:r>
              <w:rPr>
                <w:rFonts w:ascii="Calibri" w:eastAsiaTheme="minorEastAsia" w:hAnsi="Calibri" w:cs="Calibri"/>
                <w:sz w:val="20"/>
                <w:szCs w:val="22"/>
                <w:lang w:eastAsia="en-AU"/>
              </w:rPr>
              <w:t>‘</w:t>
            </w:r>
            <w:r w:rsidRPr="001B0BA9">
              <w:rPr>
                <w:rFonts w:ascii="Calibri" w:eastAsiaTheme="minorEastAsia" w:hAnsi="Calibri" w:cs="Calibri"/>
                <w:sz w:val="20"/>
                <w:szCs w:val="22"/>
                <w:lang w:eastAsia="en-AU"/>
              </w:rPr>
              <w:t>land only</w:t>
            </w:r>
            <w:r>
              <w:rPr>
                <w:rFonts w:ascii="Calibri" w:eastAsiaTheme="minorEastAsia" w:hAnsi="Calibri" w:cs="Calibri"/>
                <w:sz w:val="20"/>
                <w:szCs w:val="22"/>
                <w:lang w:eastAsia="en-AU"/>
              </w:rPr>
              <w:t>’</w:t>
            </w:r>
            <w:r w:rsidRPr="001B0BA9">
              <w:rPr>
                <w:rFonts w:ascii="Calibri" w:eastAsiaTheme="minorEastAsia" w:hAnsi="Calibri" w:cs="Calibri"/>
                <w:sz w:val="20"/>
                <w:szCs w:val="22"/>
                <w:lang w:eastAsia="en-AU"/>
              </w:rPr>
              <w:t xml:space="preserve"> holdings</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1 061.7</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1 061.7</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1 685.5</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1 685.5</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Plant, equipment, vehicles and infrastructure systems</w:t>
            </w:r>
            <w:r w:rsidRPr="0096474E">
              <w:rPr>
                <w:rFonts w:ascii="Calibri" w:eastAsiaTheme="minorEastAsia" w:hAnsi="Calibri" w:cs="Calibri"/>
                <w:b/>
                <w:color w:val="000000"/>
                <w:sz w:val="20"/>
                <w:szCs w:val="22"/>
                <w:vertAlign w:val="superscript"/>
                <w:lang w:eastAsia="en-AU"/>
              </w:rPr>
              <w:t>(e)</w:t>
            </w:r>
            <w:r w:rsidRPr="001B0BA9">
              <w:rPr>
                <w:rFonts w:ascii="Calibri" w:eastAsiaTheme="minorEastAsia" w:hAnsi="Calibri" w:cs="Calibri"/>
                <w:b/>
                <w:bCs/>
                <w:sz w:val="20"/>
                <w:szCs w:val="22"/>
                <w:lang w:eastAsia="en-AU"/>
              </w:rPr>
              <w:t xml:space="preserve"> </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53 507.0</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 xml:space="preserve"> 291.9</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53 215.1</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48 926.9</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 xml:space="preserve"> 473.2</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48 453.7</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Infrastructure systems</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47 779.6</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53.0</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47 726.7</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43 510.8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21.4</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43 489.4</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Rolling stock</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2 125.9</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2 125.9</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2 555.8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2 555.8</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vertAlign w:val="superscript"/>
                <w:lang w:eastAsia="en-AU"/>
              </w:rPr>
            </w:pPr>
            <w:r>
              <w:rPr>
                <w:rFonts w:ascii="Calibri" w:eastAsiaTheme="minorEastAsia" w:hAnsi="Calibri" w:cs="Calibri"/>
                <w:sz w:val="20"/>
                <w:szCs w:val="22"/>
                <w:lang w:eastAsia="en-AU"/>
              </w:rPr>
              <w:t>Plant, equipment and vehicles</w:t>
            </w:r>
            <w:r w:rsidRPr="001B0BA9">
              <w:rPr>
                <w:rFonts w:ascii="Calibri" w:eastAsiaTheme="minorEastAsia" w:hAnsi="Calibri" w:cs="Calibri"/>
                <w:color w:val="000000"/>
                <w:sz w:val="20"/>
                <w:szCs w:val="22"/>
                <w:vertAlign w:val="superscript"/>
                <w:lang w:eastAsia="en-AU"/>
              </w:rPr>
              <w:t>(e)</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3 601.5</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238.9</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3 362.6</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2 859.2</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450.7</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2 408.5</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Roads, road infrastructure and earthwork</w:t>
            </w:r>
            <w:r w:rsidRPr="0096474E">
              <w:rPr>
                <w:rFonts w:ascii="Calibri" w:eastAsiaTheme="minorEastAsia" w:hAnsi="Calibri" w:cs="Calibri"/>
                <w:b/>
                <w:bCs/>
                <w:sz w:val="20"/>
                <w:szCs w:val="22"/>
                <w:lang w:eastAsia="en-AU"/>
              </w:rPr>
              <w:t>s</w:t>
            </w:r>
            <w:r w:rsidRPr="0096474E">
              <w:rPr>
                <w:rFonts w:ascii="Calibri" w:eastAsiaTheme="minorEastAsia" w:hAnsi="Calibri" w:cs="Calibri"/>
                <w:b/>
                <w:color w:val="000000"/>
                <w:sz w:val="20"/>
                <w:szCs w:val="22"/>
                <w:vertAlign w:val="superscript"/>
                <w:lang w:eastAsia="en-AU"/>
              </w:rPr>
              <w:t>(e)</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27 217.9</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 xml:space="preserve"> 354.1</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26 863.8</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28 671.2</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 xml:space="preserve"> 400.5</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28 270.7</w:t>
            </w:r>
          </w:p>
        </w:tc>
      </w:tr>
      <w:tr w:rsidR="00336793" w:rsidRPr="001B0BA9" w:rsidTr="00DF0B96">
        <w:tc>
          <w:tcPr>
            <w:tcW w:w="561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Cultural assets</w:t>
            </w:r>
            <w:r w:rsidRPr="001B0BA9">
              <w:rPr>
                <w:rFonts w:ascii="Calibri" w:eastAsiaTheme="minorEastAsia" w:hAnsi="Calibri" w:cs="Calibri"/>
                <w:color w:val="000000"/>
                <w:sz w:val="20"/>
                <w:szCs w:val="22"/>
                <w:vertAlign w:val="superscript"/>
                <w:lang w:eastAsia="en-AU"/>
              </w:rPr>
              <w:t>(e)</w:t>
            </w:r>
          </w:p>
        </w:tc>
        <w:tc>
          <w:tcPr>
            <w:tcW w:w="112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5 554.0</w:t>
            </w:r>
          </w:p>
        </w:tc>
        <w:tc>
          <w:tcPr>
            <w:tcW w:w="1120" w:type="dxa"/>
            <w:gridSpan w:val="2"/>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3 431.9</w:t>
            </w:r>
          </w:p>
        </w:tc>
        <w:tc>
          <w:tcPr>
            <w:tcW w:w="1120" w:type="dxa"/>
            <w:gridSpan w:val="2"/>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2 122.1</w:t>
            </w:r>
          </w:p>
        </w:tc>
        <w:tc>
          <w:tcPr>
            <w:tcW w:w="112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5 544.6</w:t>
            </w:r>
          </w:p>
        </w:tc>
        <w:tc>
          <w:tcPr>
            <w:tcW w:w="1120" w:type="dxa"/>
            <w:gridSpan w:val="2"/>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3 398.4</w:t>
            </w:r>
          </w:p>
        </w:tc>
        <w:tc>
          <w:tcPr>
            <w:tcW w:w="1120" w:type="dxa"/>
            <w:gridSpan w:val="2"/>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2 146.2</w:t>
            </w:r>
          </w:p>
        </w:tc>
      </w:tr>
      <w:tr w:rsidR="00336793" w:rsidRPr="001B0BA9" w:rsidTr="00DF0B96">
        <w:tc>
          <w:tcPr>
            <w:tcW w:w="5610" w:type="dxa"/>
            <w:tcBorders>
              <w:top w:val="single" w:sz="6" w:space="0" w:color="auto"/>
              <w:left w:val="nil"/>
              <w:bottom w:val="single" w:sz="12" w:space="0" w:color="000000"/>
              <w:right w:val="nil"/>
            </w:tcBorders>
          </w:tcPr>
          <w:p w:rsidR="00336793" w:rsidRPr="001B0BA9" w:rsidRDefault="00336793" w:rsidP="00DF0B96">
            <w:pPr>
              <w:autoSpaceDE w:val="0"/>
              <w:autoSpaceDN w:val="0"/>
              <w:adjustRightInd w:val="0"/>
              <w:spacing w:after="0"/>
              <w:rPr>
                <w:rFonts w:ascii="Calibri" w:eastAsiaTheme="minorEastAsia" w:hAnsi="Calibri" w:cs="Calibri"/>
                <w:b/>
                <w:bCs/>
                <w:sz w:val="20"/>
                <w:szCs w:val="22"/>
                <w:vertAlign w:val="superscript"/>
                <w:lang w:eastAsia="en-AU"/>
              </w:rPr>
            </w:pPr>
            <w:r w:rsidRPr="001B0BA9">
              <w:rPr>
                <w:rFonts w:ascii="Calibri" w:eastAsiaTheme="minorEastAsia" w:hAnsi="Calibri" w:cs="Calibri"/>
                <w:b/>
                <w:bCs/>
                <w:sz w:val="20"/>
                <w:szCs w:val="22"/>
                <w:lang w:eastAsia="en-AU"/>
              </w:rPr>
              <w:t>Total land, buildings, infr</w:t>
            </w:r>
            <w:r>
              <w:rPr>
                <w:rFonts w:ascii="Calibri" w:eastAsiaTheme="minorEastAsia" w:hAnsi="Calibri" w:cs="Calibri"/>
                <w:b/>
                <w:bCs/>
                <w:sz w:val="20"/>
                <w:szCs w:val="22"/>
                <w:lang w:eastAsia="en-AU"/>
              </w:rPr>
              <w:t>astructure, plant and equipment</w:t>
            </w:r>
            <w:r>
              <w:rPr>
                <w:rFonts w:ascii="Calibri" w:eastAsiaTheme="minorEastAsia" w:hAnsi="Calibri" w:cs="Calibri"/>
                <w:b/>
                <w:bCs/>
                <w:sz w:val="20"/>
                <w:szCs w:val="22"/>
                <w:vertAlign w:val="superscript"/>
                <w:lang w:eastAsia="en-AU"/>
              </w:rPr>
              <w:t>(d</w:t>
            </w:r>
            <w:r w:rsidRPr="001B0BA9">
              <w:rPr>
                <w:rFonts w:ascii="Calibri" w:eastAsiaTheme="minorEastAsia" w:hAnsi="Calibri" w:cs="Calibri"/>
                <w:b/>
                <w:bCs/>
                <w:sz w:val="20"/>
                <w:szCs w:val="22"/>
                <w:vertAlign w:val="superscript"/>
                <w:lang w:eastAsia="en-AU"/>
              </w:rPr>
              <w:t>)</w:t>
            </w:r>
            <w:r>
              <w:rPr>
                <w:rFonts w:ascii="Calibri" w:eastAsiaTheme="minorEastAsia" w:hAnsi="Calibri" w:cs="Calibri"/>
                <w:b/>
                <w:bCs/>
                <w:sz w:val="20"/>
                <w:szCs w:val="22"/>
                <w:vertAlign w:val="superscript"/>
                <w:lang w:eastAsia="en-AU"/>
              </w:rPr>
              <w:t>(f)</w:t>
            </w:r>
          </w:p>
        </w:tc>
        <w:tc>
          <w:tcPr>
            <w:tcW w:w="112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189 704.0</w:t>
            </w:r>
          </w:p>
        </w:tc>
        <w:tc>
          <w:tcPr>
            <w:tcW w:w="1120" w:type="dxa"/>
            <w:gridSpan w:val="2"/>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27 589.3</w:t>
            </w:r>
          </w:p>
        </w:tc>
        <w:tc>
          <w:tcPr>
            <w:tcW w:w="1120" w:type="dxa"/>
            <w:gridSpan w:val="2"/>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162 114.7</w:t>
            </w:r>
          </w:p>
        </w:tc>
        <w:tc>
          <w:tcPr>
            <w:tcW w:w="112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178 573.2</w:t>
            </w:r>
          </w:p>
        </w:tc>
        <w:tc>
          <w:tcPr>
            <w:tcW w:w="1120" w:type="dxa"/>
            <w:gridSpan w:val="2"/>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29 780.8</w:t>
            </w:r>
          </w:p>
        </w:tc>
        <w:tc>
          <w:tcPr>
            <w:tcW w:w="1120" w:type="dxa"/>
            <w:gridSpan w:val="2"/>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148 792.4</w:t>
            </w:r>
          </w:p>
        </w:tc>
      </w:tr>
    </w:tbl>
    <w:p w:rsidR="00336793" w:rsidRDefault="00336793" w:rsidP="00DF0B96">
      <w:pPr>
        <w:pStyle w:val="Notes"/>
      </w:pPr>
      <w:r>
        <w:t>Notes:</w:t>
      </w:r>
    </w:p>
    <w:p w:rsidR="00336793" w:rsidRDefault="00336793" w:rsidP="00DF0B96">
      <w:pPr>
        <w:pStyle w:val="Notes"/>
      </w:pPr>
      <w:r>
        <w:t>(a)</w:t>
      </w:r>
      <w:r>
        <w:tab/>
        <w:t>Quoted prices (unadjusted) in active markets for identical assets or liabilities.</w:t>
      </w:r>
    </w:p>
    <w:p w:rsidR="00336793" w:rsidRDefault="00336793" w:rsidP="00DF0B96">
      <w:pPr>
        <w:pStyle w:val="Notes"/>
      </w:pPr>
      <w:r>
        <w:t>(b)</w:t>
      </w:r>
      <w:r>
        <w:tab/>
        <w:t xml:space="preserve">Inputs based on observable market data (either directly using prices or indirectly derived from prices). </w:t>
      </w:r>
    </w:p>
    <w:p w:rsidR="00336793" w:rsidRDefault="00336793" w:rsidP="00DF0B96">
      <w:pPr>
        <w:pStyle w:val="Notes"/>
      </w:pPr>
      <w:r>
        <w:t>(c)</w:t>
      </w:r>
      <w:r>
        <w:tab/>
        <w:t>Inputs not based on observable market data.</w:t>
      </w:r>
    </w:p>
    <w:p w:rsidR="00336793" w:rsidRDefault="00336793" w:rsidP="00DF0B96">
      <w:pPr>
        <w:pStyle w:val="Notes"/>
      </w:pPr>
      <w:r>
        <w:t>(d)</w:t>
      </w:r>
      <w:r>
        <w:tab/>
      </w:r>
      <w:r w:rsidRPr="000452EC">
        <w:t>June 2014 comparative figures have been restated. See Note 37.</w:t>
      </w:r>
    </w:p>
    <w:p w:rsidR="00336793" w:rsidRDefault="00336793" w:rsidP="00DF0B96">
      <w:pPr>
        <w:pStyle w:val="Notes"/>
      </w:pPr>
      <w:r>
        <w:t>(e)</w:t>
      </w:r>
      <w:r>
        <w:tab/>
      </w:r>
      <w:r w:rsidRPr="000452EC">
        <w:t xml:space="preserve">June 2014 </w:t>
      </w:r>
      <w:r>
        <w:t>comparative figures have been reclassified</w:t>
      </w:r>
      <w:r w:rsidRPr="000452EC">
        <w:t xml:space="preserve"> to </w:t>
      </w:r>
      <w:r>
        <w:t>reflect more current information.</w:t>
      </w:r>
    </w:p>
    <w:p w:rsidR="00336793" w:rsidRDefault="00336793" w:rsidP="001E4A6F">
      <w:pPr>
        <w:pStyle w:val="Notes"/>
      </w:pPr>
      <w:r>
        <w:t>(f)</w:t>
      </w:r>
      <w:r>
        <w:tab/>
        <w:t>The State’s total land, building, infrastructure, plant and equipment in this table excludes leased and construction in progress assets which are valued at cost. The total of excluded assets is $17 268.9 million (2014: $19 918.5 million).</w:t>
      </w:r>
    </w:p>
    <w:p w:rsidR="00336793" w:rsidRDefault="00336793" w:rsidP="00DF0B96">
      <w:pPr>
        <w:pStyle w:val="Notes"/>
      </w:pPr>
    </w:p>
    <w:p w:rsidR="00336793" w:rsidRDefault="00336793" w:rsidP="00DF0B96">
      <w:pPr>
        <w:pStyle w:val="Notes"/>
      </w:pPr>
    </w:p>
    <w:p w:rsidR="00336793" w:rsidRDefault="00336793">
      <w:pPr>
        <w:spacing w:after="0"/>
        <w:rPr>
          <w:rFonts w:ascii="Calibri" w:hAnsi="Calibri"/>
          <w:i/>
          <w:sz w:val="16"/>
          <w:lang w:eastAsia="en-AU"/>
        </w:rPr>
      </w:pPr>
      <w:r>
        <w:br w:type="page"/>
      </w:r>
    </w:p>
    <w:p w:rsidR="00336793" w:rsidRDefault="00336793" w:rsidP="00DF0B96">
      <w:pPr>
        <w:pStyle w:val="Heading2NotesContd"/>
        <w:rPr>
          <w:i/>
        </w:rPr>
      </w:pPr>
      <w:r w:rsidRPr="006A75A2">
        <w:lastRenderedPageBreak/>
        <w:t>Note 22:</w:t>
      </w:r>
      <w:r w:rsidRPr="006A75A2">
        <w:tab/>
        <w:t>Land, buildings, infrastructure, plant and equipment</w:t>
      </w:r>
      <w:r w:rsidRPr="006A75A2">
        <w:rPr>
          <w:i/>
        </w:rPr>
        <w:t xml:space="preserve"> (continued)</w:t>
      </w:r>
    </w:p>
    <w:p w:rsidR="00336793" w:rsidRPr="006A75A2" w:rsidRDefault="00336793" w:rsidP="00DF0B96">
      <w:pPr>
        <w:pStyle w:val="Heading5"/>
      </w:pPr>
      <w:r>
        <w:t>(d)</w:t>
      </w:r>
      <w:r>
        <w:tab/>
      </w:r>
      <w:r w:rsidRPr="0088414A">
        <w:t>Fair value measurement of land, buildings, infrastructure, plant and equipment</w:t>
      </w:r>
      <w:r>
        <w:t xml:space="preserve"> as at 30 June </w:t>
      </w:r>
      <w:r w:rsidRPr="00E068A8">
        <w:rPr>
          <w:i/>
        </w:rPr>
        <w:t>(continued)</w:t>
      </w:r>
    </w:p>
    <w:p w:rsidR="00336793" w:rsidRPr="00A10A3B"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5610"/>
        <w:gridCol w:w="1120"/>
        <w:gridCol w:w="236"/>
        <w:gridCol w:w="884"/>
        <w:gridCol w:w="1120"/>
        <w:gridCol w:w="965"/>
        <w:gridCol w:w="155"/>
        <w:gridCol w:w="1120"/>
        <w:gridCol w:w="237"/>
        <w:gridCol w:w="883"/>
        <w:gridCol w:w="1120"/>
        <w:gridCol w:w="994"/>
        <w:gridCol w:w="126"/>
      </w:tblGrid>
      <w:tr w:rsidR="00336793" w:rsidRPr="001B0BA9" w:rsidTr="00DF0B96">
        <w:trPr>
          <w:tblHeader/>
        </w:trPr>
        <w:tc>
          <w:tcPr>
            <w:tcW w:w="5610" w:type="dxa"/>
            <w:tcBorders>
              <w:top w:val="single" w:sz="6" w:space="0" w:color="auto"/>
              <w:left w:val="single" w:sz="6" w:space="0" w:color="auto"/>
              <w:bottom w:val="nil"/>
              <w:right w:val="nil"/>
            </w:tcBorders>
            <w:shd w:val="clear" w:color="000000" w:fill="000000"/>
            <w:vAlign w:val="bottom"/>
          </w:tcPr>
          <w:p w:rsidR="00336793" w:rsidRPr="001B0BA9" w:rsidRDefault="00336793" w:rsidP="00DF0B96">
            <w:pPr>
              <w:pStyle w:val="Tabletextheading"/>
              <w:jc w:val="left"/>
              <w:rPr>
                <w:rFonts w:eastAsiaTheme="minorEastAsia"/>
                <w:color w:val="FFFFFF"/>
                <w:sz w:val="20"/>
                <w:lang w:eastAsia="en-AU"/>
              </w:rPr>
            </w:pPr>
          </w:p>
        </w:tc>
        <w:tc>
          <w:tcPr>
            <w:tcW w:w="1120"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20"/>
                <w:lang w:eastAsia="en-AU"/>
              </w:rPr>
            </w:pPr>
            <w:r w:rsidRPr="001B0BA9">
              <w:rPr>
                <w:rFonts w:eastAsiaTheme="minorEastAsia"/>
                <w:color w:val="FFFFFF"/>
                <w:sz w:val="20"/>
                <w:lang w:eastAsia="en-AU"/>
              </w:rPr>
              <w:t>Carrying amount</w:t>
            </w:r>
          </w:p>
        </w:tc>
        <w:tc>
          <w:tcPr>
            <w:tcW w:w="236"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jc w:val="center"/>
              <w:rPr>
                <w:rFonts w:eastAsiaTheme="minorEastAsia" w:cs="Calibri"/>
                <w:iCs/>
                <w:color w:val="FFFFFF"/>
                <w:sz w:val="20"/>
                <w:szCs w:val="22"/>
                <w:lang w:eastAsia="en-AU"/>
              </w:rPr>
            </w:pPr>
            <w:r w:rsidRPr="001B0BA9">
              <w:rPr>
                <w:rFonts w:eastAsiaTheme="minorEastAsia"/>
                <w:color w:val="FFFFFF"/>
                <w:sz w:val="20"/>
                <w:lang w:eastAsia="en-AU"/>
              </w:rPr>
              <w:t xml:space="preserve"> </w:t>
            </w:r>
          </w:p>
        </w:tc>
        <w:tc>
          <w:tcPr>
            <w:tcW w:w="2969" w:type="dxa"/>
            <w:gridSpan w:val="3"/>
            <w:tcBorders>
              <w:top w:val="single" w:sz="6" w:space="0" w:color="auto"/>
              <w:left w:val="nil"/>
              <w:bottom w:val="single" w:sz="6" w:space="0" w:color="FFFFFF" w:themeColor="background1"/>
              <w:right w:val="nil"/>
            </w:tcBorders>
            <w:shd w:val="clear" w:color="000000" w:fill="000000"/>
            <w:vAlign w:val="bottom"/>
          </w:tcPr>
          <w:p w:rsidR="00336793" w:rsidRPr="001B0BA9" w:rsidRDefault="00336793" w:rsidP="00DF0B96">
            <w:pPr>
              <w:pStyle w:val="Tabletextheading"/>
              <w:jc w:val="center"/>
              <w:rPr>
                <w:rFonts w:eastAsiaTheme="minorEastAsia"/>
                <w:color w:val="FFFFFF"/>
                <w:sz w:val="20"/>
                <w:lang w:eastAsia="en-AU"/>
              </w:rPr>
            </w:pPr>
            <w:r w:rsidRPr="001B0BA9">
              <w:rPr>
                <w:rFonts w:eastAsiaTheme="minorEastAsia"/>
                <w:color w:val="FFFFFF"/>
                <w:sz w:val="20"/>
                <w:lang w:eastAsia="en-AU"/>
              </w:rPr>
              <w:t>Fair value measurement at the end of the 2015 reporting period using:</w:t>
            </w:r>
          </w:p>
        </w:tc>
        <w:tc>
          <w:tcPr>
            <w:tcW w:w="155" w:type="dxa"/>
            <w:tcBorders>
              <w:top w:val="single" w:sz="6" w:space="0" w:color="auto"/>
              <w:left w:val="nil"/>
              <w:bottom w:val="single" w:sz="6" w:space="0" w:color="FFFFFF" w:themeColor="background1"/>
              <w:right w:val="nil"/>
            </w:tcBorders>
            <w:shd w:val="clear" w:color="000000" w:fill="000000"/>
            <w:vAlign w:val="bottom"/>
          </w:tcPr>
          <w:p w:rsidR="00336793" w:rsidRPr="001B0BA9" w:rsidRDefault="00336793" w:rsidP="00DF0B96">
            <w:pPr>
              <w:pStyle w:val="Tabletextheading"/>
              <w:rPr>
                <w:rFonts w:eastAsiaTheme="minorEastAsia" w:cs="Calibri"/>
                <w:iCs/>
                <w:color w:val="FFFFFF"/>
                <w:sz w:val="20"/>
                <w:szCs w:val="22"/>
                <w:lang w:eastAsia="en-AU"/>
              </w:rPr>
            </w:pPr>
            <w:r w:rsidRPr="001B0BA9">
              <w:rPr>
                <w:rFonts w:eastAsiaTheme="minorEastAsia"/>
                <w:color w:val="FFFFFF"/>
                <w:sz w:val="20"/>
                <w:lang w:eastAsia="en-AU"/>
              </w:rPr>
              <w:t xml:space="preserve"> </w:t>
            </w:r>
          </w:p>
        </w:tc>
        <w:tc>
          <w:tcPr>
            <w:tcW w:w="1120"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20"/>
                <w:lang w:eastAsia="en-AU"/>
              </w:rPr>
            </w:pPr>
            <w:r w:rsidRPr="001B0BA9">
              <w:rPr>
                <w:rFonts w:eastAsiaTheme="minorEastAsia"/>
                <w:color w:val="FFFFFF"/>
                <w:sz w:val="20"/>
                <w:lang w:eastAsia="en-AU"/>
              </w:rPr>
              <w:t>Carrying amount</w:t>
            </w:r>
          </w:p>
        </w:tc>
        <w:tc>
          <w:tcPr>
            <w:tcW w:w="237"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jc w:val="center"/>
              <w:rPr>
                <w:rFonts w:eastAsiaTheme="minorEastAsia" w:cs="Calibri"/>
                <w:iCs/>
                <w:color w:val="FFFFFF"/>
                <w:sz w:val="20"/>
                <w:szCs w:val="22"/>
                <w:lang w:eastAsia="en-AU"/>
              </w:rPr>
            </w:pPr>
            <w:r w:rsidRPr="001B0BA9">
              <w:rPr>
                <w:rFonts w:eastAsiaTheme="minorEastAsia"/>
                <w:color w:val="FFFFFF"/>
                <w:sz w:val="20"/>
                <w:lang w:eastAsia="en-AU"/>
              </w:rPr>
              <w:t xml:space="preserve"> </w:t>
            </w:r>
          </w:p>
        </w:tc>
        <w:tc>
          <w:tcPr>
            <w:tcW w:w="2997" w:type="dxa"/>
            <w:gridSpan w:val="3"/>
            <w:tcBorders>
              <w:top w:val="single" w:sz="6" w:space="0" w:color="auto"/>
              <w:left w:val="nil"/>
              <w:bottom w:val="single" w:sz="6" w:space="0" w:color="FFFFFF" w:themeColor="background1"/>
              <w:right w:val="nil"/>
            </w:tcBorders>
            <w:shd w:val="clear" w:color="000000" w:fill="000000"/>
            <w:vAlign w:val="bottom"/>
          </w:tcPr>
          <w:p w:rsidR="00336793" w:rsidRPr="001B0BA9" w:rsidRDefault="00336793" w:rsidP="00DF0B96">
            <w:pPr>
              <w:pStyle w:val="Tabletextheading"/>
              <w:jc w:val="center"/>
              <w:rPr>
                <w:rFonts w:eastAsiaTheme="minorEastAsia"/>
                <w:color w:val="FFFFFF"/>
                <w:sz w:val="20"/>
                <w:lang w:eastAsia="en-AU"/>
              </w:rPr>
            </w:pPr>
            <w:r w:rsidRPr="001B0BA9">
              <w:rPr>
                <w:rFonts w:eastAsiaTheme="minorEastAsia"/>
                <w:color w:val="FFFFFF"/>
                <w:sz w:val="20"/>
                <w:lang w:eastAsia="en-AU"/>
              </w:rPr>
              <w:t>Fair value measurement at the end of the 2014 reporting period using:</w:t>
            </w:r>
          </w:p>
        </w:tc>
        <w:tc>
          <w:tcPr>
            <w:tcW w:w="126" w:type="dxa"/>
            <w:tcBorders>
              <w:top w:val="single" w:sz="6" w:space="0" w:color="auto"/>
              <w:left w:val="nil"/>
              <w:bottom w:val="single" w:sz="6" w:space="0" w:color="FFFFFF" w:themeColor="background1"/>
            </w:tcBorders>
            <w:shd w:val="clear" w:color="000000" w:fill="000000"/>
            <w:vAlign w:val="bottom"/>
          </w:tcPr>
          <w:p w:rsidR="00336793" w:rsidRPr="001B0BA9" w:rsidRDefault="00336793" w:rsidP="00DF0B96">
            <w:pPr>
              <w:pStyle w:val="Tabletextheading"/>
              <w:rPr>
                <w:rFonts w:eastAsiaTheme="minorEastAsia" w:cs="Calibri"/>
                <w:iCs/>
                <w:color w:val="FFFFFF"/>
                <w:sz w:val="20"/>
                <w:szCs w:val="22"/>
                <w:lang w:eastAsia="en-AU"/>
              </w:rPr>
            </w:pPr>
            <w:r w:rsidRPr="001B0BA9">
              <w:rPr>
                <w:rFonts w:eastAsiaTheme="minorEastAsia"/>
                <w:color w:val="FFFFFF"/>
                <w:sz w:val="20"/>
                <w:lang w:eastAsia="en-AU"/>
              </w:rPr>
              <w:t xml:space="preserve"> </w:t>
            </w:r>
          </w:p>
        </w:tc>
      </w:tr>
      <w:tr w:rsidR="00336793" w:rsidRPr="001B0BA9" w:rsidTr="00DF0B96">
        <w:trPr>
          <w:tblHeader/>
        </w:trPr>
        <w:tc>
          <w:tcPr>
            <w:tcW w:w="5610" w:type="dxa"/>
            <w:tcBorders>
              <w:left w:val="single" w:sz="6" w:space="0" w:color="auto"/>
              <w:right w:val="nil"/>
            </w:tcBorders>
            <w:shd w:val="clear" w:color="000000" w:fill="000000"/>
            <w:vAlign w:val="bottom"/>
          </w:tcPr>
          <w:p w:rsidR="00336793" w:rsidRPr="001B0BA9" w:rsidRDefault="00336793" w:rsidP="00DF0B96">
            <w:pPr>
              <w:pStyle w:val="Tabletextheading"/>
              <w:jc w:val="left"/>
              <w:rPr>
                <w:rFonts w:eastAsiaTheme="minorEastAsia"/>
                <w:color w:val="FFFFFF"/>
                <w:sz w:val="20"/>
                <w:lang w:eastAsia="en-AU"/>
              </w:rPr>
            </w:pPr>
            <w:r w:rsidRPr="001B0BA9">
              <w:rPr>
                <w:rFonts w:eastAsiaTheme="minorEastAsia"/>
                <w:color w:val="FFFFFF"/>
                <w:sz w:val="20"/>
                <w:lang w:eastAsia="en-AU"/>
              </w:rPr>
              <w:t>General government sector</w:t>
            </w:r>
          </w:p>
        </w:tc>
        <w:tc>
          <w:tcPr>
            <w:tcW w:w="1120" w:type="dxa"/>
            <w:tcBorders>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lang w:eastAsia="en-AU"/>
              </w:rPr>
            </w:pPr>
            <w:r w:rsidRPr="001B0BA9">
              <w:rPr>
                <w:rFonts w:eastAsiaTheme="minorEastAsia"/>
                <w:color w:val="FFFFFF"/>
                <w:sz w:val="20"/>
                <w:lang w:eastAsia="en-AU"/>
              </w:rPr>
              <w:t>2015</w:t>
            </w:r>
          </w:p>
        </w:tc>
        <w:tc>
          <w:tcPr>
            <w:tcW w:w="1120" w:type="dxa"/>
            <w:gridSpan w:val="2"/>
            <w:tcBorders>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Level 1</w:t>
            </w:r>
            <w:r w:rsidRPr="001B0BA9">
              <w:rPr>
                <w:rFonts w:eastAsiaTheme="minorEastAsia"/>
                <w:color w:val="FFFFFF"/>
                <w:sz w:val="20"/>
                <w:vertAlign w:val="superscript"/>
                <w:lang w:eastAsia="en-AU"/>
              </w:rPr>
              <w:t>(a)</w:t>
            </w:r>
          </w:p>
        </w:tc>
        <w:tc>
          <w:tcPr>
            <w:tcW w:w="1120" w:type="dxa"/>
            <w:tcBorders>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 xml:space="preserve">Level 2 </w:t>
            </w:r>
            <w:r w:rsidRPr="001B0BA9">
              <w:rPr>
                <w:rFonts w:eastAsiaTheme="minorEastAsia"/>
                <w:color w:val="FFFFFF"/>
                <w:sz w:val="20"/>
                <w:vertAlign w:val="superscript"/>
                <w:lang w:eastAsia="en-AU"/>
              </w:rPr>
              <w:t>(b)</w:t>
            </w:r>
          </w:p>
        </w:tc>
        <w:tc>
          <w:tcPr>
            <w:tcW w:w="1120" w:type="dxa"/>
            <w:gridSpan w:val="2"/>
            <w:tcBorders>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Level 3</w:t>
            </w:r>
            <w:r w:rsidRPr="001B0BA9">
              <w:rPr>
                <w:rFonts w:eastAsiaTheme="minorEastAsia"/>
                <w:color w:val="FFFFFF"/>
                <w:sz w:val="20"/>
                <w:vertAlign w:val="superscript"/>
                <w:lang w:eastAsia="en-AU"/>
              </w:rPr>
              <w:t>(c)</w:t>
            </w:r>
          </w:p>
        </w:tc>
        <w:tc>
          <w:tcPr>
            <w:tcW w:w="1120" w:type="dxa"/>
            <w:tcBorders>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lang w:eastAsia="en-AU"/>
              </w:rPr>
            </w:pPr>
            <w:r w:rsidRPr="001B0BA9">
              <w:rPr>
                <w:rFonts w:eastAsiaTheme="minorEastAsia"/>
                <w:color w:val="FFFFFF"/>
                <w:sz w:val="20"/>
                <w:lang w:eastAsia="en-AU"/>
              </w:rPr>
              <w:t>2014</w:t>
            </w:r>
          </w:p>
        </w:tc>
        <w:tc>
          <w:tcPr>
            <w:tcW w:w="1120" w:type="dxa"/>
            <w:gridSpan w:val="2"/>
            <w:tcBorders>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Level 1</w:t>
            </w:r>
            <w:r w:rsidRPr="001B0BA9">
              <w:rPr>
                <w:rFonts w:eastAsiaTheme="minorEastAsia"/>
                <w:color w:val="FFFFFF"/>
                <w:sz w:val="20"/>
                <w:vertAlign w:val="superscript"/>
                <w:lang w:eastAsia="en-AU"/>
              </w:rPr>
              <w:t>(a)</w:t>
            </w:r>
          </w:p>
        </w:tc>
        <w:tc>
          <w:tcPr>
            <w:tcW w:w="1120" w:type="dxa"/>
            <w:tcBorders>
              <w:left w:val="nil"/>
              <w:right w:val="nil"/>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 xml:space="preserve">Level 2 </w:t>
            </w:r>
            <w:r w:rsidRPr="001B0BA9">
              <w:rPr>
                <w:rFonts w:eastAsiaTheme="minorEastAsia"/>
                <w:color w:val="FFFFFF"/>
                <w:sz w:val="20"/>
                <w:vertAlign w:val="superscript"/>
                <w:lang w:eastAsia="en-AU"/>
              </w:rPr>
              <w:t>(b)</w:t>
            </w:r>
          </w:p>
        </w:tc>
        <w:tc>
          <w:tcPr>
            <w:tcW w:w="1120" w:type="dxa"/>
            <w:gridSpan w:val="2"/>
            <w:tcBorders>
              <w:left w:val="nil"/>
              <w:right w:val="single" w:sz="6" w:space="0" w:color="auto"/>
            </w:tcBorders>
            <w:shd w:val="clear" w:color="000000" w:fill="000000"/>
            <w:vAlign w:val="bottom"/>
          </w:tcPr>
          <w:p w:rsidR="00336793" w:rsidRPr="001B0BA9" w:rsidRDefault="00336793" w:rsidP="00DF0B96">
            <w:pPr>
              <w:pStyle w:val="Tabletextheading"/>
              <w:rPr>
                <w:rFonts w:eastAsiaTheme="minorEastAsia"/>
                <w:color w:val="FFFFFF"/>
                <w:sz w:val="20"/>
                <w:vertAlign w:val="superscript"/>
                <w:lang w:eastAsia="en-AU"/>
              </w:rPr>
            </w:pPr>
            <w:r w:rsidRPr="001B0BA9">
              <w:rPr>
                <w:rFonts w:eastAsiaTheme="minorEastAsia"/>
                <w:color w:val="FFFFFF"/>
                <w:sz w:val="20"/>
                <w:lang w:eastAsia="en-AU"/>
              </w:rPr>
              <w:t>Level 3</w:t>
            </w:r>
            <w:r w:rsidRPr="001B0BA9">
              <w:rPr>
                <w:rFonts w:eastAsiaTheme="minorEastAsia"/>
                <w:color w:val="FFFFFF"/>
                <w:sz w:val="20"/>
                <w:vertAlign w:val="superscript"/>
                <w:lang w:eastAsia="en-AU"/>
              </w:rPr>
              <w:t>(c)</w:t>
            </w:r>
          </w:p>
        </w:tc>
      </w:tr>
      <w:tr w:rsidR="00336793" w:rsidRPr="001B0BA9" w:rsidTr="00DF0B96">
        <w:tc>
          <w:tcPr>
            <w:tcW w:w="561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Buildings</w:t>
            </w:r>
            <w:r w:rsidRPr="0096474E">
              <w:rPr>
                <w:rFonts w:ascii="Calibri" w:eastAsiaTheme="minorEastAsia" w:hAnsi="Calibri" w:cs="Calibri"/>
                <w:b/>
                <w:color w:val="000000"/>
                <w:sz w:val="20"/>
                <w:szCs w:val="22"/>
                <w:vertAlign w:val="superscript"/>
                <w:lang w:eastAsia="en-AU"/>
              </w:rPr>
              <w:t>(d)</w:t>
            </w:r>
          </w:p>
        </w:tc>
        <w:tc>
          <w:tcPr>
            <w:tcW w:w="112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23 952.9</w:t>
            </w:r>
          </w:p>
        </w:tc>
        <w:tc>
          <w:tcPr>
            <w:tcW w:w="1120" w:type="dxa"/>
            <w:gridSpan w:val="2"/>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 xml:space="preserve"> 833.1</w:t>
            </w:r>
          </w:p>
        </w:tc>
        <w:tc>
          <w:tcPr>
            <w:tcW w:w="1120" w:type="dxa"/>
            <w:gridSpan w:val="2"/>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23 119.9</w:t>
            </w:r>
          </w:p>
        </w:tc>
        <w:tc>
          <w:tcPr>
            <w:tcW w:w="112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23 037.0</w:t>
            </w:r>
          </w:p>
        </w:tc>
        <w:tc>
          <w:tcPr>
            <w:tcW w:w="1120" w:type="dxa"/>
            <w:gridSpan w:val="2"/>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1 696.3</w:t>
            </w:r>
          </w:p>
        </w:tc>
        <w:tc>
          <w:tcPr>
            <w:tcW w:w="1120" w:type="dxa"/>
            <w:gridSpan w:val="2"/>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21 340.7</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Non</w:t>
            </w:r>
            <w:r>
              <w:rPr>
                <w:rFonts w:ascii="Calibri" w:eastAsiaTheme="minorEastAsia" w:hAnsi="Calibri" w:cs="Calibri"/>
                <w:sz w:val="20"/>
                <w:szCs w:val="22"/>
                <w:lang w:eastAsia="en-AU"/>
              </w:rPr>
              <w:noBreakHyphen/>
            </w:r>
            <w:r w:rsidRPr="001B0BA9">
              <w:rPr>
                <w:rFonts w:ascii="Calibri" w:eastAsiaTheme="minorEastAsia" w:hAnsi="Calibri" w:cs="Calibri"/>
                <w:sz w:val="20"/>
                <w:szCs w:val="22"/>
                <w:lang w:eastAsia="en-AU"/>
              </w:rPr>
              <w:t>specialised buildings</w:t>
            </w:r>
            <w:r>
              <w:rPr>
                <w:rFonts w:ascii="Calibri" w:eastAsiaTheme="minorEastAsia" w:hAnsi="Calibri" w:cs="Calibri"/>
                <w:color w:val="000000"/>
                <w:sz w:val="20"/>
                <w:szCs w:val="22"/>
                <w:vertAlign w:val="superscript"/>
                <w:lang w:eastAsia="en-AU"/>
              </w:rPr>
              <w:t>(d</w:t>
            </w:r>
            <w:r w:rsidRPr="001B0BA9">
              <w:rPr>
                <w:rFonts w:ascii="Calibri" w:eastAsiaTheme="minorEastAsia" w:hAnsi="Calibri" w:cs="Calibri"/>
                <w:color w:val="000000"/>
                <w:sz w:val="20"/>
                <w:szCs w:val="22"/>
                <w:vertAlign w:val="superscript"/>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2 783.2</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601.8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2 181.4</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2 812.0</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569.0</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2 243.0</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Specialised buildings</w:t>
            </w:r>
            <w:r>
              <w:rPr>
                <w:rFonts w:ascii="Calibri" w:eastAsiaTheme="minorEastAsia" w:hAnsi="Calibri" w:cs="Calibri"/>
                <w:color w:val="000000"/>
                <w:sz w:val="20"/>
                <w:szCs w:val="22"/>
                <w:vertAlign w:val="superscript"/>
                <w:lang w:eastAsia="en-AU"/>
              </w:rPr>
              <w:t>(d</w:t>
            </w:r>
            <w:r w:rsidRPr="001B0BA9">
              <w:rPr>
                <w:rFonts w:ascii="Calibri" w:eastAsiaTheme="minorEastAsia" w:hAnsi="Calibri" w:cs="Calibri"/>
                <w:color w:val="000000"/>
                <w:sz w:val="20"/>
                <w:szCs w:val="22"/>
                <w:vertAlign w:val="superscript"/>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20 282.2</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231.3</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20 050.9</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19 007.1</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1 127.3</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17 879.8</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Heritage buildings</w:t>
            </w:r>
            <w:r>
              <w:rPr>
                <w:rFonts w:ascii="Calibri" w:eastAsiaTheme="minorEastAsia" w:hAnsi="Calibri" w:cs="Calibri"/>
                <w:color w:val="000000"/>
                <w:sz w:val="20"/>
                <w:szCs w:val="22"/>
                <w:vertAlign w:val="superscript"/>
                <w:lang w:eastAsia="en-AU"/>
              </w:rPr>
              <w:t>(d</w:t>
            </w:r>
            <w:r w:rsidRPr="001B0BA9">
              <w:rPr>
                <w:rFonts w:ascii="Calibri" w:eastAsiaTheme="minorEastAsia" w:hAnsi="Calibri" w:cs="Calibri"/>
                <w:color w:val="000000"/>
                <w:sz w:val="20"/>
                <w:szCs w:val="22"/>
                <w:vertAlign w:val="superscript"/>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887.6</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887.6</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1B0BA9">
              <w:rPr>
                <w:rFonts w:ascii="Calibri" w:eastAsiaTheme="minorEastAsia" w:hAnsi="Calibri" w:cs="Calibri"/>
                <w:sz w:val="20"/>
                <w:szCs w:val="22"/>
                <w:lang w:eastAsia="en-AU"/>
              </w:rPr>
              <w:t>1 218.0</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1B0BA9">
              <w:rPr>
                <w:rFonts w:ascii="Calibri" w:eastAsiaTheme="minorEastAsia" w:hAnsi="Calibri" w:cs="Calibri"/>
                <w:sz w:val="20"/>
                <w:szCs w:val="22"/>
                <w:lang w:eastAsia="en-AU"/>
              </w:rPr>
              <w:t>1 218.0</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Land and national parks</w:t>
            </w:r>
            <w:r w:rsidRPr="0096474E">
              <w:rPr>
                <w:rFonts w:ascii="Calibri" w:eastAsiaTheme="minorEastAsia" w:hAnsi="Calibri" w:cs="Calibri"/>
                <w:b/>
                <w:color w:val="000000"/>
                <w:sz w:val="20"/>
                <w:szCs w:val="22"/>
                <w:vertAlign w:val="superscript"/>
                <w:lang w:eastAsia="en-AU"/>
              </w:rPr>
              <w:t>(d)</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40 698.8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1 251.7</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39 447.1</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37 663.8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1 336.8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36 327.0</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Non</w:t>
            </w:r>
            <w:r>
              <w:rPr>
                <w:rFonts w:ascii="Calibri" w:eastAsiaTheme="minorEastAsia" w:hAnsi="Calibri" w:cs="Calibri"/>
                <w:sz w:val="20"/>
                <w:szCs w:val="22"/>
                <w:lang w:eastAsia="en-AU"/>
              </w:rPr>
              <w:noBreakHyphen/>
            </w:r>
            <w:r w:rsidRPr="001B0BA9">
              <w:rPr>
                <w:rFonts w:ascii="Calibri" w:eastAsiaTheme="minorEastAsia" w:hAnsi="Calibri" w:cs="Calibri"/>
                <w:sz w:val="20"/>
                <w:szCs w:val="22"/>
                <w:lang w:eastAsia="en-AU"/>
              </w:rPr>
              <w:t>specialised land</w:t>
            </w:r>
            <w:r>
              <w:rPr>
                <w:rFonts w:ascii="Calibri" w:eastAsiaTheme="minorEastAsia" w:hAnsi="Calibri" w:cs="Calibri"/>
                <w:color w:val="000000"/>
                <w:sz w:val="20"/>
                <w:szCs w:val="22"/>
                <w:vertAlign w:val="superscript"/>
                <w:lang w:eastAsia="en-AU"/>
              </w:rPr>
              <w:t>(d</w:t>
            </w:r>
            <w:r w:rsidRPr="001B0BA9">
              <w:rPr>
                <w:rFonts w:ascii="Calibri" w:eastAsiaTheme="minorEastAsia" w:hAnsi="Calibri" w:cs="Calibri"/>
                <w:color w:val="000000"/>
                <w:sz w:val="20"/>
                <w:szCs w:val="22"/>
                <w:vertAlign w:val="superscript"/>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2 577.7</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684.9</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1 892.8</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2 718.5</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889.5</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1 829.0</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Specialised land</w:t>
            </w:r>
            <w:r>
              <w:rPr>
                <w:rFonts w:ascii="Calibri" w:eastAsiaTheme="minorEastAsia" w:hAnsi="Calibri" w:cs="Calibri"/>
                <w:color w:val="000000"/>
                <w:sz w:val="20"/>
                <w:szCs w:val="22"/>
                <w:vertAlign w:val="superscript"/>
                <w:lang w:eastAsia="en-AU"/>
              </w:rPr>
              <w:t>(d</w:t>
            </w:r>
            <w:r w:rsidRPr="001B0BA9">
              <w:rPr>
                <w:rFonts w:ascii="Calibri" w:eastAsiaTheme="minorEastAsia" w:hAnsi="Calibri" w:cs="Calibri"/>
                <w:color w:val="000000"/>
                <w:sz w:val="20"/>
                <w:szCs w:val="22"/>
                <w:vertAlign w:val="superscript"/>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19 258.1</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566.8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18 691.3</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17 366.8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447.1</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16 919.7</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Land under roads</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17 801.3</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17 801.3</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15 892.8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15 892.8</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National parks and other </w:t>
            </w:r>
            <w:r>
              <w:rPr>
                <w:rFonts w:ascii="Calibri" w:eastAsiaTheme="minorEastAsia" w:hAnsi="Calibri" w:cs="Calibri"/>
                <w:sz w:val="20"/>
                <w:szCs w:val="22"/>
                <w:lang w:eastAsia="en-AU"/>
              </w:rPr>
              <w:t>‘</w:t>
            </w:r>
            <w:r w:rsidRPr="001B0BA9">
              <w:rPr>
                <w:rFonts w:ascii="Calibri" w:eastAsiaTheme="minorEastAsia" w:hAnsi="Calibri" w:cs="Calibri"/>
                <w:sz w:val="20"/>
                <w:szCs w:val="22"/>
                <w:lang w:eastAsia="en-AU"/>
              </w:rPr>
              <w:t>land only</w:t>
            </w:r>
            <w:r>
              <w:rPr>
                <w:rFonts w:ascii="Calibri" w:eastAsiaTheme="minorEastAsia" w:hAnsi="Calibri" w:cs="Calibri"/>
                <w:sz w:val="20"/>
                <w:szCs w:val="22"/>
                <w:lang w:eastAsia="en-AU"/>
              </w:rPr>
              <w:t>’</w:t>
            </w:r>
            <w:r w:rsidRPr="001B0BA9">
              <w:rPr>
                <w:rFonts w:ascii="Calibri" w:eastAsiaTheme="minorEastAsia" w:hAnsi="Calibri" w:cs="Calibri"/>
                <w:sz w:val="20"/>
                <w:szCs w:val="22"/>
                <w:lang w:eastAsia="en-AU"/>
              </w:rPr>
              <w:t xml:space="preserve"> holdings</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1 061.7</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1 061.7</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1 685.5</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1 685.5</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Plant, equipment, vehicles and infrastructure systems</w:t>
            </w:r>
            <w:r w:rsidRPr="0096474E">
              <w:rPr>
                <w:rFonts w:ascii="Calibri" w:eastAsiaTheme="minorEastAsia" w:hAnsi="Calibri" w:cs="Calibri"/>
                <w:b/>
                <w:color w:val="000000"/>
                <w:sz w:val="20"/>
                <w:szCs w:val="22"/>
                <w:vertAlign w:val="superscript"/>
                <w:lang w:eastAsia="en-AU"/>
              </w:rPr>
              <w:t>(e)</w:t>
            </w:r>
            <w:r w:rsidRPr="0096474E">
              <w:rPr>
                <w:rFonts w:ascii="Calibri" w:eastAsiaTheme="minorEastAsia" w:hAnsi="Calibri" w:cs="Calibri"/>
                <w:b/>
                <w:bCs/>
                <w:sz w:val="20"/>
                <w:szCs w:val="22"/>
                <w:lang w:eastAsia="en-AU"/>
              </w:rPr>
              <w:t xml:space="preserve"> </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2 973.5</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 xml:space="preserve"> 169.3</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2 804.1</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2 692.8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 xml:space="preserve"> 256.3</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2 436.5</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Infrastructure systems</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1 129.4</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35.4</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1 094.0</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1 134.8</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9.5</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1 125.3</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Plant, equipment and vehicles</w:t>
            </w:r>
            <w:r w:rsidRPr="001B0BA9">
              <w:rPr>
                <w:rFonts w:ascii="Calibri" w:eastAsiaTheme="minorEastAsia" w:hAnsi="Calibri" w:cs="Calibri"/>
                <w:color w:val="000000"/>
                <w:sz w:val="20"/>
                <w:szCs w:val="22"/>
                <w:vertAlign w:val="superscript"/>
                <w:lang w:eastAsia="en-AU"/>
              </w:rPr>
              <w:t>(e)</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1 844.1</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133.9</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1 710.2</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1 558.7</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 xml:space="preserve"> 247.5</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1 311.2</w:t>
            </w:r>
          </w:p>
        </w:tc>
      </w:tr>
      <w:tr w:rsidR="00336793" w:rsidRPr="001B0BA9" w:rsidTr="00DF0B96">
        <w:tc>
          <w:tcPr>
            <w:tcW w:w="561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Roads, road infrastructure and earthworks</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27 152.1</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 xml:space="preserve"> 354.1</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26 797.9</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28 607.4</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 xml:space="preserve"> 400.4</w:t>
            </w:r>
          </w:p>
        </w:tc>
        <w:tc>
          <w:tcPr>
            <w:tcW w:w="1120"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28 207.0</w:t>
            </w:r>
          </w:p>
        </w:tc>
      </w:tr>
      <w:tr w:rsidR="00336793" w:rsidRPr="001B0BA9" w:rsidTr="00DF0B96">
        <w:tc>
          <w:tcPr>
            <w:tcW w:w="561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Cultural assets</w:t>
            </w:r>
          </w:p>
        </w:tc>
        <w:tc>
          <w:tcPr>
            <w:tcW w:w="112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5 496.5</w:t>
            </w:r>
          </w:p>
        </w:tc>
        <w:tc>
          <w:tcPr>
            <w:tcW w:w="1120" w:type="dxa"/>
            <w:gridSpan w:val="2"/>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3 374.4</w:t>
            </w:r>
          </w:p>
        </w:tc>
        <w:tc>
          <w:tcPr>
            <w:tcW w:w="1120" w:type="dxa"/>
            <w:gridSpan w:val="2"/>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2 122.1</w:t>
            </w:r>
          </w:p>
        </w:tc>
        <w:tc>
          <w:tcPr>
            <w:tcW w:w="112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5 489.5</w:t>
            </w:r>
          </w:p>
        </w:tc>
        <w:tc>
          <w:tcPr>
            <w:tcW w:w="1120" w:type="dxa"/>
            <w:gridSpan w:val="2"/>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w:t>
            </w:r>
          </w:p>
        </w:tc>
        <w:tc>
          <w:tcPr>
            <w:tcW w:w="112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3 343.3</w:t>
            </w:r>
          </w:p>
        </w:tc>
        <w:tc>
          <w:tcPr>
            <w:tcW w:w="1120" w:type="dxa"/>
            <w:gridSpan w:val="2"/>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1B0BA9">
              <w:rPr>
                <w:rFonts w:ascii="Calibri" w:eastAsiaTheme="minorEastAsia" w:hAnsi="Calibri" w:cs="Calibri"/>
                <w:sz w:val="20"/>
                <w:szCs w:val="22"/>
                <w:lang w:eastAsia="en-AU"/>
              </w:rPr>
              <w:t>2 146.2</w:t>
            </w:r>
          </w:p>
        </w:tc>
      </w:tr>
      <w:tr w:rsidR="00336793" w:rsidRPr="001B0BA9" w:rsidTr="00DF0B96">
        <w:tc>
          <w:tcPr>
            <w:tcW w:w="5610" w:type="dxa"/>
            <w:tcBorders>
              <w:top w:val="single" w:sz="6" w:space="0" w:color="auto"/>
              <w:left w:val="nil"/>
              <w:bottom w:val="single" w:sz="12" w:space="0" w:color="000000"/>
              <w:right w:val="nil"/>
            </w:tcBorders>
          </w:tcPr>
          <w:p w:rsidR="00336793" w:rsidRPr="001B0BA9" w:rsidRDefault="00336793" w:rsidP="00DF0B96">
            <w:pPr>
              <w:autoSpaceDE w:val="0"/>
              <w:autoSpaceDN w:val="0"/>
              <w:adjustRightInd w:val="0"/>
              <w:spacing w:after="0"/>
              <w:rPr>
                <w:rFonts w:ascii="Calibri" w:eastAsiaTheme="minorEastAsia" w:hAnsi="Calibri" w:cs="Calibri"/>
                <w:b/>
                <w:bCs/>
                <w:sz w:val="20"/>
                <w:szCs w:val="22"/>
                <w:vertAlign w:val="superscript"/>
                <w:lang w:eastAsia="en-AU"/>
              </w:rPr>
            </w:pPr>
            <w:r w:rsidRPr="001B0BA9">
              <w:rPr>
                <w:rFonts w:ascii="Calibri" w:eastAsiaTheme="minorEastAsia" w:hAnsi="Calibri" w:cs="Calibri"/>
                <w:b/>
                <w:bCs/>
                <w:sz w:val="20"/>
                <w:szCs w:val="22"/>
                <w:lang w:eastAsia="en-AU"/>
              </w:rPr>
              <w:t xml:space="preserve">Total land, buildings, infrastructure, plant and equipment </w:t>
            </w:r>
            <w:r w:rsidRPr="001B0BA9">
              <w:rPr>
                <w:rFonts w:ascii="Calibri" w:eastAsiaTheme="minorEastAsia" w:hAnsi="Calibri" w:cs="Calibri"/>
                <w:b/>
                <w:bCs/>
                <w:sz w:val="20"/>
                <w:szCs w:val="22"/>
                <w:vertAlign w:val="superscript"/>
                <w:lang w:eastAsia="en-AU"/>
              </w:rPr>
              <w:t>(d)</w:t>
            </w:r>
            <w:r>
              <w:rPr>
                <w:rFonts w:ascii="Calibri" w:eastAsiaTheme="minorEastAsia" w:hAnsi="Calibri" w:cs="Calibri"/>
                <w:b/>
                <w:bCs/>
                <w:sz w:val="20"/>
                <w:szCs w:val="22"/>
                <w:vertAlign w:val="superscript"/>
                <w:lang w:eastAsia="en-AU"/>
              </w:rPr>
              <w:t>(f)</w:t>
            </w:r>
          </w:p>
        </w:tc>
        <w:tc>
          <w:tcPr>
            <w:tcW w:w="112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100 273.8</w:t>
            </w:r>
          </w:p>
        </w:tc>
        <w:tc>
          <w:tcPr>
            <w:tcW w:w="1120" w:type="dxa"/>
            <w:gridSpan w:val="2"/>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5 982.6</w:t>
            </w:r>
          </w:p>
        </w:tc>
        <w:tc>
          <w:tcPr>
            <w:tcW w:w="1120" w:type="dxa"/>
            <w:gridSpan w:val="2"/>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94 291.1</w:t>
            </w:r>
          </w:p>
        </w:tc>
        <w:tc>
          <w:tcPr>
            <w:tcW w:w="112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97 490.6</w:t>
            </w:r>
          </w:p>
        </w:tc>
        <w:tc>
          <w:tcPr>
            <w:tcW w:w="1120" w:type="dxa"/>
            <w:gridSpan w:val="2"/>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w:t>
            </w:r>
          </w:p>
        </w:tc>
        <w:tc>
          <w:tcPr>
            <w:tcW w:w="112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7 033.1</w:t>
            </w:r>
          </w:p>
        </w:tc>
        <w:tc>
          <w:tcPr>
            <w:tcW w:w="1120" w:type="dxa"/>
            <w:gridSpan w:val="2"/>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1B0BA9">
              <w:rPr>
                <w:rFonts w:ascii="Calibri" w:eastAsiaTheme="minorEastAsia" w:hAnsi="Calibri" w:cs="Calibri"/>
                <w:b/>
                <w:bCs/>
                <w:sz w:val="20"/>
                <w:szCs w:val="22"/>
                <w:lang w:eastAsia="en-AU"/>
              </w:rPr>
              <w:t>90 457.5</w:t>
            </w:r>
          </w:p>
        </w:tc>
      </w:tr>
    </w:tbl>
    <w:p w:rsidR="00336793" w:rsidRDefault="00336793" w:rsidP="00DF0B96">
      <w:pPr>
        <w:pStyle w:val="Notes"/>
      </w:pPr>
      <w:r>
        <w:t>Notes:</w:t>
      </w:r>
    </w:p>
    <w:p w:rsidR="00336793" w:rsidRDefault="00336793" w:rsidP="00DF0B96">
      <w:pPr>
        <w:pStyle w:val="Notes"/>
      </w:pPr>
      <w:r>
        <w:t>(a)</w:t>
      </w:r>
      <w:r>
        <w:tab/>
        <w:t>Quoted prices (unadjusted) in active markets for identical assets or liabilities.</w:t>
      </w:r>
    </w:p>
    <w:p w:rsidR="00336793" w:rsidRDefault="00336793" w:rsidP="00DF0B96">
      <w:pPr>
        <w:pStyle w:val="Notes"/>
      </w:pPr>
      <w:r>
        <w:t>(b)</w:t>
      </w:r>
      <w:r>
        <w:tab/>
        <w:t xml:space="preserve">Inputs based on observable market data (either directly using prices or indirectly derived from prices). </w:t>
      </w:r>
    </w:p>
    <w:p w:rsidR="00336793" w:rsidRDefault="00336793" w:rsidP="00DF0B96">
      <w:pPr>
        <w:pStyle w:val="Notes"/>
      </w:pPr>
      <w:r>
        <w:t>(c)</w:t>
      </w:r>
      <w:r>
        <w:tab/>
        <w:t>Inputs not based on observable market data.</w:t>
      </w:r>
    </w:p>
    <w:p w:rsidR="00336793" w:rsidRDefault="00336793" w:rsidP="00DF0B96">
      <w:pPr>
        <w:pStyle w:val="Notes"/>
      </w:pPr>
      <w:r>
        <w:t>(d)</w:t>
      </w:r>
      <w:r>
        <w:tab/>
        <w:t>June 2014 comparative figures have been restated. See Note 37.</w:t>
      </w:r>
    </w:p>
    <w:p w:rsidR="00336793" w:rsidRDefault="00336793" w:rsidP="00DF0B96">
      <w:pPr>
        <w:pStyle w:val="Notes"/>
      </w:pPr>
      <w:r>
        <w:t>(e)</w:t>
      </w:r>
      <w:r>
        <w:tab/>
        <w:t>June 2014 comparative figures have been reclassified to reflect more current information.</w:t>
      </w:r>
    </w:p>
    <w:p w:rsidR="00336793" w:rsidRDefault="00336793" w:rsidP="00DF0B96">
      <w:pPr>
        <w:pStyle w:val="Notes"/>
      </w:pPr>
      <w:r>
        <w:t>(f)</w:t>
      </w:r>
      <w:r>
        <w:tab/>
        <w:t>The general government sector’s total land, building, infrastructure, plant and equipment in this table excludes leased and construction in progress assets which are valued at cost. The total of excluded assets is $7 312.6 million (2014: $7 508.2 million).</w:t>
      </w:r>
    </w:p>
    <w:p w:rsidR="00336793" w:rsidRDefault="00336793">
      <w:pPr>
        <w:spacing w:after="0"/>
        <w:rPr>
          <w:rFonts w:ascii="Calibri" w:hAnsi="Calibri"/>
          <w:i/>
          <w:sz w:val="20"/>
          <w:szCs w:val="18"/>
        </w:rPr>
      </w:pPr>
      <w:r>
        <w:br w:type="page"/>
      </w:r>
    </w:p>
    <w:p w:rsidR="00336793" w:rsidRDefault="00336793" w:rsidP="00DF0B96">
      <w:pPr>
        <w:pStyle w:val="Heading2NotesContd"/>
      </w:pPr>
      <w:r w:rsidRPr="006A75A2">
        <w:lastRenderedPageBreak/>
        <w:t>Note 22:</w:t>
      </w:r>
      <w:r w:rsidRPr="006A75A2">
        <w:tab/>
        <w:t>Land, buildings, infrastructure, plant and equipment</w:t>
      </w:r>
      <w:r w:rsidRPr="006A75A2">
        <w:rPr>
          <w:i/>
        </w:rPr>
        <w:t xml:space="preserve"> (continued)</w:t>
      </w:r>
    </w:p>
    <w:p w:rsidR="00336793" w:rsidRPr="00973565" w:rsidRDefault="00336793" w:rsidP="00DF0B96">
      <w:pPr>
        <w:pStyle w:val="Heading5"/>
      </w:pPr>
      <w:r w:rsidRPr="006A75A2">
        <w:t>(</w:t>
      </w:r>
      <w:r>
        <w:t>e</w:t>
      </w:r>
      <w:r w:rsidRPr="006A75A2">
        <w:t>)</w:t>
      </w:r>
      <w:r w:rsidRPr="006A75A2">
        <w:tab/>
        <w:t>Reconciliation of Level 3 fair value movements</w:t>
      </w:r>
      <w:r>
        <w:t xml:space="preserve"> </w:t>
      </w:r>
    </w:p>
    <w:p w:rsidR="00336793" w:rsidRPr="00A10A3B" w:rsidRDefault="00336793" w:rsidP="00DF0B96">
      <w:pPr>
        <w:pStyle w:val="million"/>
        <w:rPr>
          <w:rFonts w:ascii="Times New Roman" w:hAnsi="Times New Roman"/>
          <w:i w:val="0"/>
          <w:sz w:val="16"/>
          <w:szCs w:val="16"/>
          <w:lang w:eastAsia="en-AU"/>
        </w:rPr>
      </w:pPr>
      <w:r>
        <w:t>($ million)</w:t>
      </w:r>
    </w:p>
    <w:tbl>
      <w:tblPr>
        <w:tblW w:w="14588" w:type="dxa"/>
        <w:tblInd w:w="28" w:type="dxa"/>
        <w:tblLayout w:type="fixed"/>
        <w:tblCellMar>
          <w:left w:w="45" w:type="dxa"/>
          <w:right w:w="45" w:type="dxa"/>
        </w:tblCellMar>
        <w:tblLook w:val="0000" w:firstRow="0" w:lastRow="0" w:firstColumn="0" w:lastColumn="0" w:noHBand="0" w:noVBand="0"/>
      </w:tblPr>
      <w:tblGrid>
        <w:gridCol w:w="4337"/>
        <w:gridCol w:w="990"/>
        <w:gridCol w:w="1080"/>
        <w:gridCol w:w="1080"/>
        <w:gridCol w:w="1260"/>
        <w:gridCol w:w="1080"/>
        <w:gridCol w:w="1170"/>
        <w:gridCol w:w="1350"/>
        <w:gridCol w:w="1350"/>
        <w:gridCol w:w="891"/>
      </w:tblGrid>
      <w:tr w:rsidR="00336793" w:rsidRPr="001B0BA9" w:rsidTr="00DF0B96">
        <w:trPr>
          <w:tblHeader/>
        </w:trPr>
        <w:tc>
          <w:tcPr>
            <w:tcW w:w="4337" w:type="dxa"/>
            <w:tcBorders>
              <w:top w:val="single" w:sz="6" w:space="0" w:color="auto"/>
              <w:left w:val="single" w:sz="6" w:space="0" w:color="auto"/>
              <w:right w:val="nil"/>
            </w:tcBorders>
            <w:shd w:val="clear" w:color="000000" w:fill="000000"/>
            <w:vAlign w:val="bottom"/>
          </w:tcPr>
          <w:p w:rsidR="00336793" w:rsidRPr="001B0BA9" w:rsidRDefault="00336793" w:rsidP="00DF0B96">
            <w:pPr>
              <w:pStyle w:val="Tabletext"/>
              <w:rPr>
                <w:rFonts w:eastAsiaTheme="minorEastAsia"/>
                <w:i/>
                <w:sz w:val="16"/>
                <w:szCs w:val="16"/>
                <w:lang w:eastAsia="en-AU"/>
              </w:rPr>
            </w:pPr>
            <w:r w:rsidRPr="001B0BA9">
              <w:rPr>
                <w:rFonts w:eastAsiaTheme="minorEastAsia"/>
                <w:i/>
                <w:sz w:val="16"/>
                <w:szCs w:val="16"/>
                <w:lang w:eastAsia="en-AU"/>
              </w:rPr>
              <w:t>State of Victoria</w:t>
            </w:r>
          </w:p>
          <w:p w:rsidR="00336793" w:rsidRPr="001B0BA9" w:rsidRDefault="00336793" w:rsidP="00DF0B96">
            <w:pPr>
              <w:pStyle w:val="Tabletext"/>
              <w:rPr>
                <w:rFonts w:eastAsiaTheme="minorEastAsia"/>
                <w:i/>
                <w:sz w:val="16"/>
                <w:szCs w:val="16"/>
                <w:lang w:eastAsia="en-AU"/>
              </w:rPr>
            </w:pPr>
            <w:r w:rsidRPr="001B0BA9">
              <w:rPr>
                <w:rFonts w:eastAsiaTheme="minorEastAsia"/>
                <w:i/>
                <w:sz w:val="16"/>
                <w:szCs w:val="16"/>
                <w:lang w:eastAsia="en-AU"/>
              </w:rPr>
              <w:t>2015</w:t>
            </w:r>
          </w:p>
        </w:tc>
        <w:tc>
          <w:tcPr>
            <w:tcW w:w="990" w:type="dxa"/>
            <w:tcBorders>
              <w:top w:val="single" w:sz="6" w:space="0" w:color="auto"/>
              <w:left w:val="nil"/>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r w:rsidRPr="001B0BA9">
              <w:rPr>
                <w:rFonts w:eastAsiaTheme="minorEastAsia"/>
                <w:color w:val="FFFFFF"/>
                <w:sz w:val="16"/>
                <w:szCs w:val="16"/>
                <w:lang w:eastAsia="en-AU"/>
              </w:rPr>
              <w:t>Opening balance</w:t>
            </w:r>
          </w:p>
        </w:tc>
        <w:tc>
          <w:tcPr>
            <w:tcW w:w="1080" w:type="dxa"/>
            <w:tcBorders>
              <w:top w:val="single" w:sz="6" w:space="0" w:color="auto"/>
              <w:left w:val="nil"/>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r w:rsidRPr="001B0BA9">
              <w:rPr>
                <w:rFonts w:eastAsiaTheme="minorEastAsia"/>
                <w:color w:val="FFFFFF"/>
                <w:sz w:val="16"/>
                <w:szCs w:val="16"/>
                <w:lang w:eastAsia="en-AU"/>
              </w:rPr>
              <w:t>Depreciation</w:t>
            </w:r>
          </w:p>
        </w:tc>
        <w:tc>
          <w:tcPr>
            <w:tcW w:w="1080" w:type="dxa"/>
            <w:tcBorders>
              <w:top w:val="single" w:sz="6" w:space="0" w:color="auto"/>
              <w:left w:val="nil"/>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r w:rsidRPr="001B0BA9">
              <w:rPr>
                <w:rFonts w:eastAsiaTheme="minorEastAsia"/>
                <w:color w:val="FFFFFF"/>
                <w:sz w:val="16"/>
                <w:szCs w:val="16"/>
                <w:lang w:eastAsia="en-AU"/>
              </w:rPr>
              <w:t>Impairment</w:t>
            </w:r>
          </w:p>
        </w:tc>
        <w:tc>
          <w:tcPr>
            <w:tcW w:w="1260" w:type="dxa"/>
            <w:tcBorders>
              <w:top w:val="single" w:sz="6" w:space="0" w:color="auto"/>
              <w:left w:val="nil"/>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r w:rsidRPr="001B0BA9">
              <w:rPr>
                <w:rFonts w:eastAsiaTheme="minorEastAsia"/>
                <w:color w:val="FFFFFF"/>
                <w:sz w:val="16"/>
                <w:szCs w:val="16"/>
                <w:lang w:eastAsia="en-AU"/>
              </w:rPr>
              <w:t>Assets recognised for the first time</w:t>
            </w:r>
          </w:p>
        </w:tc>
        <w:tc>
          <w:tcPr>
            <w:tcW w:w="1080" w:type="dxa"/>
            <w:tcBorders>
              <w:top w:val="single" w:sz="6" w:space="0" w:color="auto"/>
              <w:left w:val="nil"/>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r w:rsidRPr="001B0BA9">
              <w:rPr>
                <w:rFonts w:eastAsiaTheme="minorEastAsia"/>
                <w:color w:val="FFFFFF"/>
                <w:sz w:val="16"/>
                <w:szCs w:val="16"/>
                <w:lang w:eastAsia="en-AU"/>
              </w:rPr>
              <w:t>Revaluation</w:t>
            </w:r>
          </w:p>
        </w:tc>
        <w:tc>
          <w:tcPr>
            <w:tcW w:w="1170" w:type="dxa"/>
            <w:tcBorders>
              <w:top w:val="single" w:sz="6" w:space="0" w:color="auto"/>
              <w:left w:val="nil"/>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r w:rsidRPr="001B0BA9">
              <w:rPr>
                <w:rFonts w:eastAsiaTheme="minorEastAsia"/>
                <w:color w:val="FFFFFF"/>
                <w:sz w:val="16"/>
                <w:szCs w:val="16"/>
                <w:lang w:eastAsia="en-AU"/>
              </w:rPr>
              <w:t>Acquisitions/ (Disposals)</w:t>
            </w:r>
          </w:p>
        </w:tc>
        <w:tc>
          <w:tcPr>
            <w:tcW w:w="1350" w:type="dxa"/>
            <w:tcBorders>
              <w:top w:val="single" w:sz="6" w:space="0" w:color="auto"/>
              <w:left w:val="nil"/>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r>
              <w:rPr>
                <w:rFonts w:eastAsiaTheme="minorEastAsia"/>
                <w:color w:val="FFFFFF"/>
                <w:sz w:val="16"/>
                <w:szCs w:val="16"/>
                <w:lang w:eastAsia="en-AU"/>
              </w:rPr>
              <w:t>Transfers in/out of </w:t>
            </w:r>
            <w:r w:rsidRPr="001B0BA9">
              <w:rPr>
                <w:rFonts w:eastAsiaTheme="minorEastAsia"/>
                <w:color w:val="FFFFFF"/>
                <w:sz w:val="16"/>
                <w:szCs w:val="16"/>
                <w:lang w:eastAsia="en-AU"/>
              </w:rPr>
              <w:t>Level 3</w:t>
            </w:r>
          </w:p>
        </w:tc>
        <w:tc>
          <w:tcPr>
            <w:tcW w:w="1350" w:type="dxa"/>
            <w:tcBorders>
              <w:top w:val="single" w:sz="6" w:space="0" w:color="auto"/>
              <w:left w:val="nil"/>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r w:rsidRPr="001B0BA9">
              <w:rPr>
                <w:rFonts w:eastAsiaTheme="minorEastAsia"/>
                <w:color w:val="FFFFFF"/>
                <w:sz w:val="16"/>
                <w:szCs w:val="16"/>
                <w:lang w:eastAsia="en-AU"/>
              </w:rPr>
              <w:t>Reclassification</w:t>
            </w:r>
          </w:p>
        </w:tc>
        <w:tc>
          <w:tcPr>
            <w:tcW w:w="891" w:type="dxa"/>
            <w:tcBorders>
              <w:top w:val="single" w:sz="6" w:space="0" w:color="auto"/>
              <w:left w:val="nil"/>
              <w:right w:val="single" w:sz="6" w:space="0" w:color="auto"/>
            </w:tcBorders>
            <w:shd w:val="clear" w:color="000000" w:fill="000000"/>
            <w:vAlign w:val="bottom"/>
          </w:tcPr>
          <w:p w:rsidR="00336793" w:rsidRPr="001B0BA9" w:rsidRDefault="00336793" w:rsidP="00DF0B96">
            <w:pPr>
              <w:pStyle w:val="Tabletextheading"/>
              <w:rPr>
                <w:rFonts w:eastAsiaTheme="minorEastAsia"/>
                <w:bCs/>
                <w:color w:val="FFFFFF"/>
                <w:sz w:val="16"/>
                <w:szCs w:val="16"/>
                <w:lang w:eastAsia="en-AU"/>
              </w:rPr>
            </w:pPr>
            <w:r w:rsidRPr="001B0BA9">
              <w:rPr>
                <w:rFonts w:eastAsiaTheme="minorEastAsia"/>
                <w:bCs/>
                <w:color w:val="FFFFFF"/>
                <w:sz w:val="16"/>
                <w:szCs w:val="16"/>
                <w:lang w:eastAsia="en-AU"/>
              </w:rPr>
              <w:t>Closing balance</w:t>
            </w:r>
          </w:p>
        </w:tc>
      </w:tr>
      <w:tr w:rsidR="00336793" w:rsidRPr="001B0BA9" w:rsidTr="00DF0B96">
        <w:tc>
          <w:tcPr>
            <w:tcW w:w="4337" w:type="dxa"/>
            <w:tcBorders>
              <w:left w:val="nil"/>
              <w:bottom w:val="nil"/>
              <w:right w:val="nil"/>
            </w:tcBorders>
            <w:shd w:val="solid" w:color="FFFFFF" w:fill="auto"/>
          </w:tcPr>
          <w:p w:rsidR="00336793" w:rsidRPr="001B0BA9" w:rsidRDefault="00336793" w:rsidP="00DF0B96">
            <w:pPr>
              <w:pStyle w:val="Tabletext"/>
              <w:rPr>
                <w:rFonts w:eastAsiaTheme="minorEastAsia"/>
                <w:b/>
                <w:bCs/>
                <w:sz w:val="16"/>
                <w:szCs w:val="16"/>
                <w:lang w:eastAsia="en-AU"/>
              </w:rPr>
            </w:pPr>
            <w:r w:rsidRPr="001B0BA9">
              <w:rPr>
                <w:rFonts w:eastAsiaTheme="minorEastAsia"/>
                <w:b/>
                <w:bCs/>
                <w:sz w:val="16"/>
                <w:szCs w:val="16"/>
                <w:lang w:eastAsia="en-AU"/>
              </w:rPr>
              <w:t>Buildings</w:t>
            </w:r>
          </w:p>
        </w:tc>
        <w:tc>
          <w:tcPr>
            <w:tcW w:w="990" w:type="dxa"/>
            <w:tcBorders>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27 766.1</w:t>
            </w:r>
          </w:p>
        </w:tc>
        <w:tc>
          <w:tcPr>
            <w:tcW w:w="1080" w:type="dxa"/>
            <w:tcBorders>
              <w:left w:val="nil"/>
              <w:bottom w:val="nil"/>
              <w:right w:val="nil"/>
            </w:tcBorders>
            <w:shd w:val="solid" w:color="FFFFFF" w:fill="auto"/>
          </w:tcPr>
          <w:p w:rsidR="00336793" w:rsidRPr="001B0BA9" w:rsidRDefault="00336793" w:rsidP="00DF0B96">
            <w:pPr>
              <w:pStyle w:val="TableofFigures"/>
              <w:rPr>
                <w:rFonts w:eastAsiaTheme="minorEastAsia" w:cs="Calibri"/>
                <w:b/>
                <w:bCs/>
                <w:color w:val="000000"/>
                <w:sz w:val="16"/>
                <w:szCs w:val="16"/>
                <w:lang w:eastAsia="en-AU"/>
              </w:rPr>
            </w:pPr>
            <w:r w:rsidRPr="001B0BA9">
              <w:rPr>
                <w:rFonts w:eastAsiaTheme="minorEastAsia"/>
                <w:b/>
                <w:bCs/>
                <w:sz w:val="16"/>
                <w:szCs w:val="16"/>
                <w:lang w:eastAsia="en-AU"/>
              </w:rPr>
              <w:t>(1 028.8</w:t>
            </w:r>
            <w:r w:rsidRPr="001B0BA9">
              <w:rPr>
                <w:rFonts w:eastAsiaTheme="minorEastAsia" w:cs="Calibri"/>
                <w:b/>
                <w:bCs/>
                <w:color w:val="000000"/>
                <w:sz w:val="16"/>
                <w:szCs w:val="16"/>
                <w:lang w:eastAsia="en-AU"/>
              </w:rPr>
              <w:t>)</w:t>
            </w:r>
          </w:p>
        </w:tc>
        <w:tc>
          <w:tcPr>
            <w:tcW w:w="1080" w:type="dxa"/>
            <w:tcBorders>
              <w:left w:val="nil"/>
              <w:bottom w:val="nil"/>
              <w:right w:val="nil"/>
            </w:tcBorders>
            <w:shd w:val="solid" w:color="FFFFFF" w:fill="auto"/>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15.2)</w:t>
            </w:r>
          </w:p>
        </w:tc>
        <w:tc>
          <w:tcPr>
            <w:tcW w:w="1260" w:type="dxa"/>
            <w:tcBorders>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99.5</w:t>
            </w:r>
          </w:p>
        </w:tc>
        <w:tc>
          <w:tcPr>
            <w:tcW w:w="1080" w:type="dxa"/>
            <w:tcBorders>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409.3</w:t>
            </w:r>
          </w:p>
        </w:tc>
        <w:tc>
          <w:tcPr>
            <w:tcW w:w="1170" w:type="dxa"/>
            <w:tcBorders>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2 725.5</w:t>
            </w:r>
          </w:p>
        </w:tc>
        <w:tc>
          <w:tcPr>
            <w:tcW w:w="1350" w:type="dxa"/>
            <w:tcBorders>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627.6</w:t>
            </w:r>
          </w:p>
        </w:tc>
        <w:tc>
          <w:tcPr>
            <w:tcW w:w="1350" w:type="dxa"/>
            <w:tcBorders>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801.9</w:t>
            </w:r>
          </w:p>
        </w:tc>
        <w:tc>
          <w:tcPr>
            <w:tcW w:w="891" w:type="dxa"/>
            <w:tcBorders>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31 385.9</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sz w:val="16"/>
                <w:szCs w:val="16"/>
                <w:lang w:eastAsia="en-AU"/>
              </w:rPr>
            </w:pPr>
            <w:r w:rsidRPr="001B0BA9">
              <w:rPr>
                <w:rFonts w:eastAsiaTheme="minorEastAsia"/>
                <w:sz w:val="16"/>
                <w:szCs w:val="16"/>
                <w:lang w:eastAsia="en-AU"/>
              </w:rPr>
              <w:t>Non</w:t>
            </w:r>
            <w:r>
              <w:rPr>
                <w:rFonts w:eastAsiaTheme="minorEastAsia"/>
                <w:sz w:val="16"/>
                <w:szCs w:val="16"/>
                <w:lang w:eastAsia="en-AU"/>
              </w:rPr>
              <w:noBreakHyphen/>
            </w:r>
            <w:r w:rsidRPr="001B0BA9">
              <w:rPr>
                <w:rFonts w:eastAsiaTheme="minorEastAsia"/>
                <w:sz w:val="16"/>
                <w:szCs w:val="16"/>
                <w:lang w:eastAsia="en-AU"/>
              </w:rPr>
              <w:t>specialised buildings</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2 871.2</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166.5)</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0.3)</w:t>
            </w:r>
          </w:p>
        </w:tc>
        <w:tc>
          <w:tcPr>
            <w:tcW w:w="126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0.5</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6.1</w:t>
            </w:r>
          </w:p>
        </w:tc>
        <w:tc>
          <w:tcPr>
            <w:tcW w:w="117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93.6</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0.4)</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17.2</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2 821.4</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sz w:val="16"/>
                <w:szCs w:val="16"/>
                <w:lang w:eastAsia="en-AU"/>
              </w:rPr>
            </w:pPr>
            <w:r w:rsidRPr="001B0BA9">
              <w:rPr>
                <w:rFonts w:eastAsiaTheme="minorEastAsia"/>
                <w:sz w:val="16"/>
                <w:szCs w:val="16"/>
                <w:lang w:eastAsia="en-AU"/>
              </w:rPr>
              <w:t>Specialised buildings</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23 677.0</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826.3)</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14.9)</w:t>
            </w:r>
          </w:p>
        </w:tc>
        <w:tc>
          <w:tcPr>
            <w:tcW w:w="126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98.1</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403.2</w:t>
            </w:r>
          </w:p>
        </w:tc>
        <w:tc>
          <w:tcPr>
            <w:tcW w:w="117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2 612.8</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928.5</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784.0</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27 662.5</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sz w:val="16"/>
                <w:szCs w:val="16"/>
                <w:lang w:eastAsia="en-AU"/>
              </w:rPr>
            </w:pPr>
            <w:r w:rsidRPr="001B0BA9">
              <w:rPr>
                <w:rFonts w:eastAsiaTheme="minorEastAsia"/>
                <w:sz w:val="16"/>
                <w:szCs w:val="16"/>
                <w:lang w:eastAsia="en-AU"/>
              </w:rPr>
              <w:t>Heritage buildings</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1 218.0</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36.1)</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26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1.0</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17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16"/>
                <w:lang w:eastAsia="en-AU"/>
              </w:rPr>
            </w:pPr>
            <w:r w:rsidRPr="001B0BA9">
              <w:rPr>
                <w:rFonts w:eastAsiaTheme="minorEastAsia"/>
                <w:sz w:val="16"/>
                <w:szCs w:val="16"/>
                <w:lang w:eastAsia="en-AU"/>
              </w:rPr>
              <w:t xml:space="preserve"> 19.1</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sz w:val="16"/>
                <w:szCs w:val="16"/>
                <w:lang w:eastAsia="en-AU"/>
              </w:rPr>
              <w:t>300.5</w:t>
            </w:r>
            <w:r w:rsidRPr="001B0BA9">
              <w:rPr>
                <w:rFonts w:eastAsiaTheme="minorEastAsia" w:cs="Calibri"/>
                <w:color w:val="000000"/>
                <w:sz w:val="16"/>
                <w:szCs w:val="22"/>
                <w:lang w:eastAsia="en-AU"/>
              </w:rPr>
              <w:t>)</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0.7</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902.1</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b/>
                <w:bCs/>
                <w:sz w:val="16"/>
                <w:szCs w:val="16"/>
                <w:lang w:eastAsia="en-AU"/>
              </w:rPr>
            </w:pPr>
            <w:r w:rsidRPr="001B0BA9">
              <w:rPr>
                <w:rFonts w:eastAsiaTheme="minorEastAsia"/>
                <w:b/>
                <w:bCs/>
                <w:sz w:val="16"/>
                <w:szCs w:val="16"/>
                <w:lang w:eastAsia="en-AU"/>
              </w:rPr>
              <w:t>Land and national parks</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42 155.6</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w:t>
            </w:r>
          </w:p>
        </w:tc>
        <w:tc>
          <w:tcPr>
            <w:tcW w:w="1080" w:type="dxa"/>
            <w:tcBorders>
              <w:top w:val="nil"/>
              <w:left w:val="nil"/>
              <w:bottom w:val="nil"/>
              <w:right w:val="nil"/>
            </w:tcBorders>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w:t>
            </w:r>
          </w:p>
        </w:tc>
        <w:tc>
          <w:tcPr>
            <w:tcW w:w="1260" w:type="dxa"/>
            <w:tcBorders>
              <w:top w:val="nil"/>
              <w:left w:val="nil"/>
              <w:bottom w:val="nil"/>
              <w:right w:val="nil"/>
            </w:tcBorders>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32.4</w:t>
            </w:r>
          </w:p>
        </w:tc>
        <w:tc>
          <w:tcPr>
            <w:tcW w:w="1080" w:type="dxa"/>
            <w:tcBorders>
              <w:top w:val="nil"/>
              <w:left w:val="nil"/>
              <w:bottom w:val="nil"/>
              <w:right w:val="nil"/>
            </w:tcBorders>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5 332.8</w:t>
            </w:r>
          </w:p>
        </w:tc>
        <w:tc>
          <w:tcPr>
            <w:tcW w:w="1170" w:type="dxa"/>
            <w:tcBorders>
              <w:top w:val="nil"/>
              <w:left w:val="nil"/>
              <w:bottom w:val="nil"/>
              <w:right w:val="nil"/>
            </w:tcBorders>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155.6)</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1 175.3</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12.7)</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48 527.8</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sz w:val="16"/>
                <w:szCs w:val="16"/>
                <w:lang w:eastAsia="en-AU"/>
              </w:rPr>
            </w:pPr>
            <w:r w:rsidRPr="001B0BA9">
              <w:rPr>
                <w:rFonts w:eastAsiaTheme="minorEastAsia"/>
                <w:sz w:val="16"/>
                <w:szCs w:val="16"/>
                <w:lang w:eastAsia="en-AU"/>
              </w:rPr>
              <w:t>Non</w:t>
            </w:r>
            <w:r>
              <w:rPr>
                <w:rFonts w:eastAsiaTheme="minorEastAsia"/>
                <w:sz w:val="16"/>
                <w:szCs w:val="16"/>
                <w:lang w:eastAsia="en-AU"/>
              </w:rPr>
              <w:noBreakHyphen/>
            </w:r>
            <w:r w:rsidRPr="001B0BA9">
              <w:rPr>
                <w:rFonts w:eastAsiaTheme="minorEastAsia"/>
                <w:sz w:val="16"/>
                <w:szCs w:val="16"/>
                <w:lang w:eastAsia="en-AU"/>
              </w:rPr>
              <w:t>specialised land</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1 948.9</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26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78.8</w:t>
            </w:r>
          </w:p>
        </w:tc>
        <w:tc>
          <w:tcPr>
            <w:tcW w:w="117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16.5</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10.5)</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36.1)</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1 997.5</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sz w:val="16"/>
                <w:szCs w:val="16"/>
                <w:lang w:eastAsia="en-AU"/>
              </w:rPr>
            </w:pPr>
            <w:r w:rsidRPr="001B0BA9">
              <w:rPr>
                <w:rFonts w:eastAsiaTheme="minorEastAsia"/>
                <w:sz w:val="16"/>
                <w:szCs w:val="16"/>
                <w:lang w:eastAsia="en-AU"/>
              </w:rPr>
              <w:t>Specialised land</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22 628.4</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26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32.4</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3 410.0</w:t>
            </w:r>
          </w:p>
        </w:tc>
        <w:tc>
          <w:tcPr>
            <w:tcW w:w="1170" w:type="dxa"/>
            <w:tcBorders>
              <w:top w:val="nil"/>
              <w:left w:val="nil"/>
              <w:bottom w:val="nil"/>
              <w:right w:val="nil"/>
            </w:tcBorders>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218.0)</w:t>
            </w:r>
          </w:p>
        </w:tc>
        <w:tc>
          <w:tcPr>
            <w:tcW w:w="1350" w:type="dxa"/>
            <w:tcBorders>
              <w:top w:val="nil"/>
              <w:left w:val="nil"/>
              <w:bottom w:val="nil"/>
              <w:right w:val="nil"/>
            </w:tcBorders>
          </w:tcPr>
          <w:p w:rsidR="00336793" w:rsidRPr="001B0BA9" w:rsidRDefault="00336793" w:rsidP="00DF0B96">
            <w:pPr>
              <w:pStyle w:val="TableofFigures"/>
              <w:rPr>
                <w:rFonts w:eastAsiaTheme="minorEastAsia" w:cs="Calibri"/>
                <w:color w:val="000000"/>
                <w:sz w:val="16"/>
                <w:szCs w:val="16"/>
                <w:lang w:eastAsia="en-AU"/>
              </w:rPr>
            </w:pPr>
            <w:r w:rsidRPr="001B0BA9">
              <w:rPr>
                <w:rFonts w:eastAsiaTheme="minorEastAsia"/>
                <w:sz w:val="16"/>
                <w:szCs w:val="16"/>
                <w:lang w:eastAsia="en-AU"/>
              </w:rPr>
              <w:t>1 185.8</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628.6</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27 667.3</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sz w:val="16"/>
                <w:szCs w:val="16"/>
                <w:lang w:eastAsia="en-AU"/>
              </w:rPr>
            </w:pPr>
            <w:r w:rsidRPr="001B0BA9">
              <w:rPr>
                <w:rFonts w:eastAsiaTheme="minorEastAsia"/>
                <w:sz w:val="16"/>
                <w:szCs w:val="16"/>
                <w:lang w:eastAsia="en-AU"/>
              </w:rPr>
              <w:t>Land under roads</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15 892.8</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26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1 843.9</w:t>
            </w:r>
          </w:p>
        </w:tc>
        <w:tc>
          <w:tcPr>
            <w:tcW w:w="117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46.0</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18.6</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17 801.3</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sz w:val="16"/>
                <w:szCs w:val="16"/>
                <w:lang w:eastAsia="en-AU"/>
              </w:rPr>
            </w:pPr>
            <w:r w:rsidRPr="001B0BA9">
              <w:rPr>
                <w:rFonts w:eastAsiaTheme="minorEastAsia"/>
                <w:sz w:val="16"/>
                <w:szCs w:val="16"/>
                <w:lang w:eastAsia="en-AU"/>
              </w:rPr>
              <w:t xml:space="preserve">National parks and other </w:t>
            </w:r>
            <w:r>
              <w:rPr>
                <w:rFonts w:eastAsiaTheme="minorEastAsia"/>
                <w:sz w:val="16"/>
                <w:szCs w:val="16"/>
                <w:lang w:eastAsia="en-AU"/>
              </w:rPr>
              <w:t>‘</w:t>
            </w:r>
            <w:r w:rsidRPr="001B0BA9">
              <w:rPr>
                <w:rFonts w:eastAsiaTheme="minorEastAsia"/>
                <w:sz w:val="16"/>
                <w:szCs w:val="16"/>
                <w:lang w:eastAsia="en-AU"/>
              </w:rPr>
              <w:t>land only</w:t>
            </w:r>
            <w:r>
              <w:rPr>
                <w:rFonts w:eastAsiaTheme="minorEastAsia"/>
                <w:sz w:val="16"/>
                <w:szCs w:val="16"/>
                <w:lang w:eastAsia="en-AU"/>
              </w:rPr>
              <w:t>’</w:t>
            </w:r>
            <w:r w:rsidRPr="001B0BA9">
              <w:rPr>
                <w:rFonts w:eastAsiaTheme="minorEastAsia"/>
                <w:sz w:val="16"/>
                <w:szCs w:val="16"/>
                <w:lang w:eastAsia="en-AU"/>
              </w:rPr>
              <w:t xml:space="preserve"> holdings</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1 685.5</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26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17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623.8)</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1 061.7</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b/>
                <w:bCs/>
                <w:sz w:val="16"/>
                <w:szCs w:val="16"/>
                <w:lang w:eastAsia="en-AU"/>
              </w:rPr>
            </w:pPr>
            <w:r w:rsidRPr="001B0BA9">
              <w:rPr>
                <w:rFonts w:eastAsiaTheme="minorEastAsia"/>
                <w:b/>
                <w:bCs/>
                <w:sz w:val="16"/>
                <w:szCs w:val="16"/>
                <w:lang w:eastAsia="en-AU"/>
              </w:rPr>
              <w:t xml:space="preserve">Plant, equipment, vehicles and infrastructure systems </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48 453.7</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(1 945.0)</w:t>
            </w:r>
          </w:p>
        </w:tc>
        <w:tc>
          <w:tcPr>
            <w:tcW w:w="1080" w:type="dxa"/>
            <w:tcBorders>
              <w:top w:val="nil"/>
              <w:left w:val="nil"/>
              <w:bottom w:val="nil"/>
              <w:right w:val="nil"/>
            </w:tcBorders>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5.6)</w:t>
            </w:r>
          </w:p>
        </w:tc>
        <w:tc>
          <w:tcPr>
            <w:tcW w:w="1260" w:type="dxa"/>
            <w:tcBorders>
              <w:top w:val="nil"/>
              <w:left w:val="nil"/>
              <w:bottom w:val="nil"/>
              <w:right w:val="nil"/>
            </w:tcBorders>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173.9</w:t>
            </w:r>
          </w:p>
        </w:tc>
        <w:tc>
          <w:tcPr>
            <w:tcW w:w="1080" w:type="dxa"/>
            <w:tcBorders>
              <w:top w:val="nil"/>
              <w:left w:val="nil"/>
              <w:bottom w:val="nil"/>
              <w:right w:val="nil"/>
            </w:tcBorders>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1 576.8</w:t>
            </w:r>
          </w:p>
        </w:tc>
        <w:tc>
          <w:tcPr>
            <w:tcW w:w="1170" w:type="dxa"/>
            <w:tcBorders>
              <w:top w:val="nil"/>
              <w:left w:val="nil"/>
              <w:bottom w:val="nil"/>
              <w:right w:val="nil"/>
            </w:tcBorders>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4 424.3</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61.4</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475.8</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53 215.1</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sz w:val="16"/>
                <w:szCs w:val="16"/>
                <w:lang w:eastAsia="en-AU"/>
              </w:rPr>
            </w:pPr>
            <w:r w:rsidRPr="001B0BA9">
              <w:rPr>
                <w:rFonts w:eastAsiaTheme="minorEastAsia"/>
                <w:sz w:val="16"/>
                <w:szCs w:val="16"/>
                <w:lang w:eastAsia="en-AU"/>
              </w:rPr>
              <w:t>Infrastructure systems</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43 489.4</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(1 100.0)</w:t>
            </w:r>
          </w:p>
        </w:tc>
        <w:tc>
          <w:tcPr>
            <w:tcW w:w="1080" w:type="dxa"/>
            <w:tcBorders>
              <w:top w:val="nil"/>
              <w:left w:val="nil"/>
              <w:bottom w:val="nil"/>
              <w:right w:val="nil"/>
            </w:tcBorders>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3.3)</w:t>
            </w:r>
          </w:p>
        </w:tc>
        <w:tc>
          <w:tcPr>
            <w:tcW w:w="126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68.1</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1 464.3</w:t>
            </w:r>
          </w:p>
        </w:tc>
        <w:tc>
          <w:tcPr>
            <w:tcW w:w="117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3 853.2</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6.5</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51.5)</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47 726.7</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sz w:val="16"/>
                <w:szCs w:val="16"/>
                <w:lang w:eastAsia="en-AU"/>
              </w:rPr>
            </w:pPr>
            <w:r w:rsidRPr="001B0BA9">
              <w:rPr>
                <w:rFonts w:eastAsiaTheme="minorEastAsia"/>
                <w:sz w:val="16"/>
                <w:szCs w:val="16"/>
                <w:lang w:eastAsia="en-AU"/>
              </w:rPr>
              <w:t>Rolling stock</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2 555.8</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136.8)</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26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67.6</w:t>
            </w:r>
          </w:p>
        </w:tc>
        <w:tc>
          <w:tcPr>
            <w:tcW w:w="1170" w:type="dxa"/>
            <w:tcBorders>
              <w:top w:val="nil"/>
              <w:left w:val="nil"/>
              <w:bottom w:val="nil"/>
              <w:right w:val="nil"/>
            </w:tcBorders>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350.3)</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10.4)</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2 125.9</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sz w:val="16"/>
                <w:szCs w:val="16"/>
                <w:lang w:eastAsia="en-AU"/>
              </w:rPr>
            </w:pPr>
            <w:r w:rsidRPr="001B0BA9">
              <w:rPr>
                <w:rFonts w:eastAsiaTheme="minorEastAsia"/>
                <w:sz w:val="16"/>
                <w:szCs w:val="16"/>
                <w:lang w:eastAsia="en-AU"/>
              </w:rPr>
              <w:t>Plant, equipment and vehicles</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2 408.5</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708.2)</w:t>
            </w:r>
          </w:p>
        </w:tc>
        <w:tc>
          <w:tcPr>
            <w:tcW w:w="1080" w:type="dxa"/>
            <w:tcBorders>
              <w:top w:val="nil"/>
              <w:left w:val="nil"/>
              <w:bottom w:val="nil"/>
              <w:right w:val="nil"/>
            </w:tcBorders>
          </w:tcPr>
          <w:p w:rsidR="00336793" w:rsidRPr="001B0BA9" w:rsidRDefault="00336793" w:rsidP="00DF0B96">
            <w:pPr>
              <w:pStyle w:val="TableofFigures"/>
              <w:rPr>
                <w:rFonts w:eastAsiaTheme="minorEastAsia" w:cs="Calibri"/>
                <w:color w:val="000000"/>
                <w:sz w:val="16"/>
                <w:szCs w:val="22"/>
                <w:lang w:eastAsia="en-AU"/>
              </w:rPr>
            </w:pPr>
            <w:r>
              <w:rPr>
                <w:rFonts w:eastAsiaTheme="minorEastAsia"/>
                <w:sz w:val="16"/>
                <w:szCs w:val="16"/>
                <w:lang w:eastAsia="en-AU"/>
              </w:rPr>
              <w:t>(</w:t>
            </w:r>
            <w:r w:rsidRPr="001B0BA9">
              <w:rPr>
                <w:rFonts w:eastAsiaTheme="minorEastAsia" w:cs="Calibri"/>
                <w:color w:val="000000"/>
                <w:sz w:val="16"/>
                <w:szCs w:val="16"/>
                <w:lang w:eastAsia="en-AU"/>
              </w:rPr>
              <w:t>2.3)</w:t>
            </w:r>
          </w:p>
        </w:tc>
        <w:tc>
          <w:tcPr>
            <w:tcW w:w="126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105.8</w:t>
            </w:r>
          </w:p>
        </w:tc>
        <w:tc>
          <w:tcPr>
            <w:tcW w:w="108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44.9</w:t>
            </w:r>
          </w:p>
        </w:tc>
        <w:tc>
          <w:tcPr>
            <w:tcW w:w="1170" w:type="dxa"/>
            <w:tcBorders>
              <w:top w:val="nil"/>
              <w:left w:val="nil"/>
              <w:bottom w:val="nil"/>
              <w:right w:val="nil"/>
            </w:tcBorders>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921.3</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54.9</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 xml:space="preserve"> 537.6</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sz w:val="16"/>
                <w:szCs w:val="16"/>
                <w:lang w:eastAsia="en-AU"/>
              </w:rPr>
            </w:pPr>
            <w:r w:rsidRPr="001B0BA9">
              <w:rPr>
                <w:rFonts w:eastAsiaTheme="minorEastAsia"/>
                <w:sz w:val="16"/>
                <w:szCs w:val="16"/>
                <w:lang w:eastAsia="en-AU"/>
              </w:rPr>
              <w:t>3 362.6</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pStyle w:val="Tabletext"/>
              <w:rPr>
                <w:rFonts w:eastAsiaTheme="minorEastAsia"/>
                <w:b/>
                <w:bCs/>
                <w:sz w:val="16"/>
                <w:szCs w:val="16"/>
                <w:lang w:eastAsia="en-AU"/>
              </w:rPr>
            </w:pPr>
            <w:r w:rsidRPr="001B0BA9">
              <w:rPr>
                <w:rFonts w:eastAsiaTheme="minorEastAsia"/>
                <w:b/>
                <w:bCs/>
                <w:sz w:val="16"/>
                <w:szCs w:val="16"/>
                <w:lang w:eastAsia="en-AU"/>
              </w:rPr>
              <w:t>Roads, road infrastructure and earthworks</w:t>
            </w:r>
          </w:p>
        </w:tc>
        <w:tc>
          <w:tcPr>
            <w:tcW w:w="99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28 270.7</w:t>
            </w:r>
          </w:p>
        </w:tc>
        <w:tc>
          <w:tcPr>
            <w:tcW w:w="108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539.1)</w:t>
            </w:r>
          </w:p>
        </w:tc>
        <w:tc>
          <w:tcPr>
            <w:tcW w:w="1080" w:type="dxa"/>
            <w:tcBorders>
              <w:top w:val="nil"/>
              <w:left w:val="nil"/>
              <w:bottom w:val="nil"/>
              <w:right w:val="nil"/>
            </w:tcBorders>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p>
        </w:tc>
        <w:tc>
          <w:tcPr>
            <w:tcW w:w="1260" w:type="dxa"/>
            <w:tcBorders>
              <w:top w:val="nil"/>
              <w:left w:val="nil"/>
              <w:bottom w:val="nil"/>
              <w:right w:val="nil"/>
            </w:tcBorders>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6.1</w:t>
            </w:r>
          </w:p>
        </w:tc>
        <w:tc>
          <w:tcPr>
            <w:tcW w:w="1080" w:type="dxa"/>
            <w:tcBorders>
              <w:top w:val="nil"/>
              <w:left w:val="nil"/>
              <w:bottom w:val="nil"/>
              <w:right w:val="nil"/>
            </w:tcBorders>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503.8)</w:t>
            </w:r>
          </w:p>
        </w:tc>
        <w:tc>
          <w:tcPr>
            <w:tcW w:w="1170" w:type="dxa"/>
            <w:tcBorders>
              <w:top w:val="nil"/>
              <w:left w:val="nil"/>
              <w:bottom w:val="nil"/>
              <w:right w:val="nil"/>
            </w:tcBorders>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164.9)</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381.3</w:t>
            </w:r>
          </w:p>
        </w:tc>
        <w:tc>
          <w:tcPr>
            <w:tcW w:w="1350"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586.4)</w:t>
            </w:r>
          </w:p>
        </w:tc>
        <w:tc>
          <w:tcPr>
            <w:tcW w:w="891" w:type="dxa"/>
            <w:tcBorders>
              <w:top w:val="nil"/>
              <w:left w:val="nil"/>
              <w:bottom w:val="nil"/>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26 863.8</w:t>
            </w:r>
          </w:p>
        </w:tc>
      </w:tr>
      <w:tr w:rsidR="00336793" w:rsidRPr="001B0BA9" w:rsidTr="00DF0B96">
        <w:tc>
          <w:tcPr>
            <w:tcW w:w="4337" w:type="dxa"/>
            <w:tcBorders>
              <w:top w:val="nil"/>
              <w:left w:val="nil"/>
              <w:bottom w:val="single" w:sz="6" w:space="0" w:color="auto"/>
              <w:right w:val="nil"/>
            </w:tcBorders>
            <w:shd w:val="solid" w:color="FFFFFF" w:fill="auto"/>
          </w:tcPr>
          <w:p w:rsidR="00336793" w:rsidRPr="001B0BA9" w:rsidRDefault="00336793" w:rsidP="00DF0B96">
            <w:pPr>
              <w:pStyle w:val="Tabletext"/>
              <w:rPr>
                <w:rFonts w:eastAsiaTheme="minorEastAsia"/>
                <w:b/>
                <w:bCs/>
                <w:sz w:val="16"/>
                <w:szCs w:val="16"/>
                <w:lang w:eastAsia="en-AU"/>
              </w:rPr>
            </w:pPr>
            <w:r w:rsidRPr="001B0BA9">
              <w:rPr>
                <w:rFonts w:eastAsiaTheme="minorEastAsia"/>
                <w:b/>
                <w:bCs/>
                <w:sz w:val="16"/>
                <w:szCs w:val="16"/>
                <w:lang w:eastAsia="en-AU"/>
              </w:rPr>
              <w:t>Cultural assets</w:t>
            </w:r>
          </w:p>
        </w:tc>
        <w:tc>
          <w:tcPr>
            <w:tcW w:w="990" w:type="dxa"/>
            <w:tcBorders>
              <w:top w:val="nil"/>
              <w:left w:val="nil"/>
              <w:bottom w:val="single" w:sz="6" w:space="0" w:color="auto"/>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2 146.2</w:t>
            </w:r>
          </w:p>
        </w:tc>
        <w:tc>
          <w:tcPr>
            <w:tcW w:w="1080" w:type="dxa"/>
            <w:tcBorders>
              <w:top w:val="nil"/>
              <w:left w:val="nil"/>
              <w:bottom w:val="single" w:sz="6" w:space="0" w:color="auto"/>
              <w:right w:val="nil"/>
            </w:tcBorders>
            <w:shd w:val="solid" w:color="FFFFFF" w:fill="auto"/>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17.2)</w:t>
            </w:r>
          </w:p>
        </w:tc>
        <w:tc>
          <w:tcPr>
            <w:tcW w:w="1080" w:type="dxa"/>
            <w:tcBorders>
              <w:top w:val="nil"/>
              <w:left w:val="nil"/>
              <w:bottom w:val="single" w:sz="6" w:space="0" w:color="auto"/>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w:t>
            </w:r>
          </w:p>
        </w:tc>
        <w:tc>
          <w:tcPr>
            <w:tcW w:w="1260" w:type="dxa"/>
            <w:tcBorders>
              <w:top w:val="nil"/>
              <w:left w:val="nil"/>
              <w:bottom w:val="single" w:sz="6" w:space="0" w:color="auto"/>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10.9</w:t>
            </w:r>
          </w:p>
        </w:tc>
        <w:tc>
          <w:tcPr>
            <w:tcW w:w="1080" w:type="dxa"/>
            <w:tcBorders>
              <w:top w:val="nil"/>
              <w:left w:val="nil"/>
              <w:bottom w:val="single" w:sz="6" w:space="0" w:color="auto"/>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1.6</w:t>
            </w:r>
          </w:p>
        </w:tc>
        <w:tc>
          <w:tcPr>
            <w:tcW w:w="1170" w:type="dxa"/>
            <w:tcBorders>
              <w:top w:val="nil"/>
              <w:left w:val="nil"/>
              <w:bottom w:val="single" w:sz="6" w:space="0" w:color="auto"/>
              <w:right w:val="nil"/>
            </w:tcBorders>
            <w:shd w:val="solid" w:color="FFFFFF" w:fill="auto"/>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15.0)</w:t>
            </w:r>
          </w:p>
        </w:tc>
        <w:tc>
          <w:tcPr>
            <w:tcW w:w="1350" w:type="dxa"/>
            <w:tcBorders>
              <w:top w:val="nil"/>
              <w:left w:val="nil"/>
              <w:bottom w:val="single" w:sz="6" w:space="0" w:color="auto"/>
              <w:right w:val="nil"/>
            </w:tcBorders>
            <w:shd w:val="solid" w:color="FFFFFF" w:fill="auto"/>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1.3)</w:t>
            </w:r>
          </w:p>
        </w:tc>
        <w:tc>
          <w:tcPr>
            <w:tcW w:w="1350" w:type="dxa"/>
            <w:tcBorders>
              <w:top w:val="nil"/>
              <w:left w:val="nil"/>
              <w:bottom w:val="single" w:sz="6" w:space="0" w:color="auto"/>
              <w:right w:val="nil"/>
            </w:tcBorders>
            <w:shd w:val="solid" w:color="FFFFFF" w:fill="auto"/>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3.0)</w:t>
            </w:r>
          </w:p>
        </w:tc>
        <w:tc>
          <w:tcPr>
            <w:tcW w:w="891" w:type="dxa"/>
            <w:tcBorders>
              <w:top w:val="nil"/>
              <w:left w:val="nil"/>
              <w:bottom w:val="single" w:sz="6" w:space="0" w:color="auto"/>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2 122.1</w:t>
            </w:r>
          </w:p>
        </w:tc>
      </w:tr>
      <w:tr w:rsidR="00336793" w:rsidRPr="001B0BA9" w:rsidTr="00DF0B96">
        <w:tc>
          <w:tcPr>
            <w:tcW w:w="4337" w:type="dxa"/>
            <w:tcBorders>
              <w:top w:val="single" w:sz="6" w:space="0" w:color="auto"/>
              <w:left w:val="nil"/>
              <w:bottom w:val="single" w:sz="12" w:space="0" w:color="000000"/>
              <w:right w:val="nil"/>
            </w:tcBorders>
          </w:tcPr>
          <w:p w:rsidR="00336793" w:rsidRPr="001B0BA9" w:rsidRDefault="00336793" w:rsidP="00DF0B96">
            <w:pPr>
              <w:pStyle w:val="Tabletext"/>
              <w:rPr>
                <w:rFonts w:eastAsiaTheme="minorEastAsia"/>
                <w:b/>
                <w:bCs/>
                <w:sz w:val="16"/>
                <w:szCs w:val="16"/>
                <w:lang w:eastAsia="en-AU"/>
              </w:rPr>
            </w:pPr>
            <w:r w:rsidRPr="001B0BA9">
              <w:rPr>
                <w:rFonts w:eastAsiaTheme="minorEastAsia"/>
                <w:b/>
                <w:bCs/>
                <w:sz w:val="16"/>
                <w:szCs w:val="16"/>
                <w:lang w:eastAsia="en-AU"/>
              </w:rPr>
              <w:t>Total</w:t>
            </w:r>
          </w:p>
        </w:tc>
        <w:tc>
          <w:tcPr>
            <w:tcW w:w="990" w:type="dxa"/>
            <w:tcBorders>
              <w:top w:val="single" w:sz="6" w:space="0" w:color="auto"/>
              <w:left w:val="nil"/>
              <w:bottom w:val="single" w:sz="12" w:space="0" w:color="000000"/>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148 792.</w:t>
            </w:r>
            <w:r>
              <w:rPr>
                <w:rFonts w:eastAsiaTheme="minorEastAsia"/>
                <w:b/>
                <w:bCs/>
                <w:sz w:val="16"/>
                <w:szCs w:val="16"/>
                <w:lang w:eastAsia="en-AU"/>
              </w:rPr>
              <w:t>4</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(3 530.2)</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pStyle w:val="TableofFigures"/>
              <w:rPr>
                <w:rFonts w:eastAsiaTheme="minorEastAsia" w:cs="Calibri"/>
                <w:b/>
                <w:bCs/>
                <w:color w:val="000000"/>
                <w:sz w:val="16"/>
                <w:szCs w:val="22"/>
                <w:lang w:eastAsia="en-AU"/>
              </w:rPr>
            </w:pPr>
            <w:r>
              <w:rPr>
                <w:rFonts w:eastAsiaTheme="minorEastAsia"/>
                <w:b/>
                <w:bCs/>
                <w:sz w:val="16"/>
                <w:szCs w:val="16"/>
                <w:lang w:eastAsia="en-AU"/>
              </w:rPr>
              <w:t>(</w:t>
            </w:r>
            <w:r w:rsidRPr="001B0BA9">
              <w:rPr>
                <w:rFonts w:eastAsiaTheme="minorEastAsia" w:cs="Calibri"/>
                <w:b/>
                <w:bCs/>
                <w:color w:val="000000"/>
                <w:sz w:val="16"/>
                <w:szCs w:val="16"/>
                <w:lang w:eastAsia="en-AU"/>
              </w:rPr>
              <w:t>20.9)</w:t>
            </w:r>
          </w:p>
        </w:tc>
        <w:tc>
          <w:tcPr>
            <w:tcW w:w="1260" w:type="dxa"/>
            <w:tcBorders>
              <w:top w:val="single" w:sz="6" w:space="0" w:color="auto"/>
              <w:left w:val="nil"/>
              <w:bottom w:val="single" w:sz="12" w:space="0" w:color="000000"/>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 xml:space="preserve"> 322.7</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6 816.6</w:t>
            </w:r>
          </w:p>
        </w:tc>
        <w:tc>
          <w:tcPr>
            <w:tcW w:w="1170" w:type="dxa"/>
            <w:tcBorders>
              <w:top w:val="single" w:sz="6" w:space="0" w:color="auto"/>
              <w:left w:val="nil"/>
              <w:bottom w:val="single" w:sz="12" w:space="0" w:color="000000"/>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6 814.2</w:t>
            </w:r>
          </w:p>
        </w:tc>
        <w:tc>
          <w:tcPr>
            <w:tcW w:w="1350" w:type="dxa"/>
            <w:tcBorders>
              <w:top w:val="single" w:sz="6" w:space="0" w:color="auto"/>
              <w:left w:val="nil"/>
              <w:bottom w:val="single" w:sz="12" w:space="0" w:color="000000"/>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2 244.3</w:t>
            </w:r>
          </w:p>
        </w:tc>
        <w:tc>
          <w:tcPr>
            <w:tcW w:w="1350" w:type="dxa"/>
            <w:tcBorders>
              <w:top w:val="single" w:sz="6" w:space="0" w:color="auto"/>
              <w:left w:val="nil"/>
              <w:bottom w:val="single" w:sz="12" w:space="0" w:color="000000"/>
              <w:right w:val="nil"/>
            </w:tcBorders>
            <w:shd w:val="solid" w:color="FFFFFF" w:fill="auto"/>
          </w:tcPr>
          <w:p w:rsidR="00336793" w:rsidRPr="001B0BA9" w:rsidRDefault="00336793" w:rsidP="00DF0B96">
            <w:pPr>
              <w:pStyle w:val="TableofFigures"/>
              <w:rPr>
                <w:rFonts w:eastAsiaTheme="minorEastAsia" w:cs="Calibri"/>
                <w:b/>
                <w:bCs/>
                <w:color w:val="000000"/>
                <w:sz w:val="16"/>
                <w:szCs w:val="16"/>
                <w:lang w:eastAsia="en-AU"/>
              </w:rPr>
            </w:pPr>
            <w:r w:rsidRPr="001B0BA9">
              <w:rPr>
                <w:rFonts w:eastAsiaTheme="minorEastAsia"/>
                <w:b/>
                <w:bCs/>
                <w:sz w:val="16"/>
                <w:szCs w:val="16"/>
                <w:lang w:eastAsia="en-AU"/>
              </w:rPr>
              <w:t xml:space="preserve"> 675.6</w:t>
            </w:r>
          </w:p>
        </w:tc>
        <w:tc>
          <w:tcPr>
            <w:tcW w:w="891" w:type="dxa"/>
            <w:tcBorders>
              <w:top w:val="single" w:sz="6" w:space="0" w:color="auto"/>
              <w:left w:val="nil"/>
              <w:bottom w:val="single" w:sz="12" w:space="0" w:color="000000"/>
              <w:right w:val="nil"/>
            </w:tcBorders>
            <w:shd w:val="solid" w:color="FFFFFF" w:fill="auto"/>
          </w:tcPr>
          <w:p w:rsidR="00336793" w:rsidRPr="001B0BA9" w:rsidRDefault="00336793" w:rsidP="00DF0B96">
            <w:pPr>
              <w:pStyle w:val="TableofFigures"/>
              <w:rPr>
                <w:rFonts w:eastAsiaTheme="minorEastAsia"/>
                <w:b/>
                <w:bCs/>
                <w:sz w:val="16"/>
                <w:szCs w:val="16"/>
                <w:lang w:eastAsia="en-AU"/>
              </w:rPr>
            </w:pPr>
            <w:r w:rsidRPr="001B0BA9">
              <w:rPr>
                <w:rFonts w:eastAsiaTheme="minorEastAsia"/>
                <w:b/>
                <w:bCs/>
                <w:sz w:val="16"/>
                <w:szCs w:val="16"/>
                <w:lang w:eastAsia="en-AU"/>
              </w:rPr>
              <w:t>162 114.7</w:t>
            </w:r>
          </w:p>
        </w:tc>
      </w:tr>
    </w:tbl>
    <w:p w:rsidR="00336793" w:rsidRPr="001B0BA9" w:rsidRDefault="00336793" w:rsidP="00DF0B96">
      <w:pPr>
        <w:pStyle w:val="4ptline"/>
      </w:pPr>
    </w:p>
    <w:tbl>
      <w:tblPr>
        <w:tblW w:w="14570" w:type="dxa"/>
        <w:tblInd w:w="28" w:type="dxa"/>
        <w:tblLayout w:type="fixed"/>
        <w:tblCellMar>
          <w:left w:w="45" w:type="dxa"/>
          <w:right w:w="45" w:type="dxa"/>
        </w:tblCellMar>
        <w:tblLook w:val="0000" w:firstRow="0" w:lastRow="0" w:firstColumn="0" w:lastColumn="0" w:noHBand="0" w:noVBand="0"/>
      </w:tblPr>
      <w:tblGrid>
        <w:gridCol w:w="4337"/>
        <w:gridCol w:w="990"/>
        <w:gridCol w:w="1080"/>
        <w:gridCol w:w="1080"/>
        <w:gridCol w:w="1260"/>
        <w:gridCol w:w="1080"/>
        <w:gridCol w:w="1170"/>
        <w:gridCol w:w="1350"/>
        <w:gridCol w:w="1350"/>
        <w:gridCol w:w="873"/>
      </w:tblGrid>
      <w:tr w:rsidR="00336793" w:rsidRPr="001B0BA9" w:rsidTr="00DF0B96">
        <w:trPr>
          <w:tblHeader/>
        </w:trPr>
        <w:tc>
          <w:tcPr>
            <w:tcW w:w="4337" w:type="dxa"/>
            <w:tcBorders>
              <w:top w:val="single" w:sz="6" w:space="0" w:color="auto"/>
              <w:left w:val="single" w:sz="6" w:space="0" w:color="auto"/>
              <w:bottom w:val="single" w:sz="6" w:space="0" w:color="auto"/>
              <w:right w:val="nil"/>
            </w:tcBorders>
            <w:shd w:val="clear" w:color="000000" w:fill="000000"/>
            <w:vAlign w:val="bottom"/>
          </w:tcPr>
          <w:p w:rsidR="00336793" w:rsidRPr="001B0BA9" w:rsidRDefault="00336793" w:rsidP="00DF0B96">
            <w:pPr>
              <w:pStyle w:val="Tabletextheading"/>
              <w:jc w:val="left"/>
              <w:rPr>
                <w:rFonts w:eastAsiaTheme="minorEastAsia"/>
                <w:color w:val="FFFFFF"/>
                <w:sz w:val="16"/>
                <w:szCs w:val="16"/>
                <w:lang w:eastAsia="en-AU"/>
              </w:rPr>
            </w:pPr>
            <w:r w:rsidRPr="001B0BA9">
              <w:rPr>
                <w:rFonts w:eastAsiaTheme="minorEastAsia"/>
                <w:color w:val="FFFFFF"/>
                <w:sz w:val="16"/>
                <w:szCs w:val="16"/>
                <w:lang w:eastAsia="en-AU"/>
              </w:rPr>
              <w:t>2014</w:t>
            </w:r>
          </w:p>
        </w:tc>
        <w:tc>
          <w:tcPr>
            <w:tcW w:w="99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p>
        </w:tc>
        <w:tc>
          <w:tcPr>
            <w:tcW w:w="108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p>
        </w:tc>
        <w:tc>
          <w:tcPr>
            <w:tcW w:w="108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p>
        </w:tc>
        <w:tc>
          <w:tcPr>
            <w:tcW w:w="126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p>
        </w:tc>
        <w:tc>
          <w:tcPr>
            <w:tcW w:w="108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p>
        </w:tc>
        <w:tc>
          <w:tcPr>
            <w:tcW w:w="117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p>
        </w:tc>
        <w:tc>
          <w:tcPr>
            <w:tcW w:w="135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p>
        </w:tc>
        <w:tc>
          <w:tcPr>
            <w:tcW w:w="135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p>
        </w:tc>
        <w:tc>
          <w:tcPr>
            <w:tcW w:w="873" w:type="dxa"/>
            <w:tcBorders>
              <w:top w:val="single" w:sz="6" w:space="0" w:color="auto"/>
              <w:left w:val="nil"/>
              <w:bottom w:val="single" w:sz="6" w:space="0" w:color="auto"/>
              <w:right w:val="single" w:sz="6" w:space="0" w:color="auto"/>
            </w:tcBorders>
            <w:shd w:val="clear" w:color="000000" w:fill="000000"/>
            <w:vAlign w:val="bottom"/>
          </w:tcPr>
          <w:p w:rsidR="00336793" w:rsidRPr="001B0BA9" w:rsidRDefault="00336793" w:rsidP="00DF0B96">
            <w:pPr>
              <w:pStyle w:val="Tabletextheading"/>
              <w:rPr>
                <w:rFonts w:eastAsiaTheme="minorEastAsia"/>
                <w:color w:val="FFFFFF"/>
                <w:sz w:val="16"/>
                <w:szCs w:val="16"/>
                <w:lang w:eastAsia="en-AU"/>
              </w:rPr>
            </w:pPr>
          </w:p>
        </w:tc>
      </w:tr>
      <w:tr w:rsidR="00336793" w:rsidRPr="001B0BA9" w:rsidTr="00DF0B96">
        <w:tc>
          <w:tcPr>
            <w:tcW w:w="4337"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color w:val="000000"/>
                <w:sz w:val="16"/>
                <w:szCs w:val="16"/>
                <w:vertAlign w:val="superscript"/>
                <w:lang w:eastAsia="en-AU"/>
              </w:rPr>
            </w:pPr>
            <w:r w:rsidRPr="001B0BA9">
              <w:rPr>
                <w:rFonts w:ascii="Calibri" w:eastAsiaTheme="minorEastAsia" w:hAnsi="Calibri" w:cs="Calibri"/>
                <w:b/>
                <w:bCs/>
                <w:sz w:val="16"/>
                <w:szCs w:val="16"/>
                <w:lang w:eastAsia="en-AU"/>
              </w:rPr>
              <w:t xml:space="preserve">Buildings </w:t>
            </w:r>
            <w:r w:rsidRPr="001B0BA9">
              <w:rPr>
                <w:rFonts w:ascii="Calibri" w:eastAsiaTheme="minorEastAsia" w:hAnsi="Calibri" w:cs="Calibri"/>
                <w:b/>
                <w:bCs/>
                <w:color w:val="000000"/>
                <w:sz w:val="16"/>
                <w:szCs w:val="16"/>
                <w:vertAlign w:val="superscript"/>
                <w:lang w:eastAsia="en-AU"/>
              </w:rPr>
              <w:t>(a)</w:t>
            </w:r>
          </w:p>
        </w:tc>
        <w:tc>
          <w:tcPr>
            <w:tcW w:w="99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26 330.2</w:t>
            </w:r>
          </w:p>
        </w:tc>
        <w:tc>
          <w:tcPr>
            <w:tcW w:w="108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(1 158.7)</w:t>
            </w:r>
          </w:p>
        </w:tc>
        <w:tc>
          <w:tcPr>
            <w:tcW w:w="108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sz w:val="16"/>
                <w:szCs w:val="16"/>
                <w:lang w:eastAsia="en-AU"/>
              </w:rPr>
              <w:t>2.2</w:t>
            </w:r>
            <w:r w:rsidRPr="001B0BA9">
              <w:rPr>
                <w:rFonts w:ascii="Calibri" w:eastAsiaTheme="minorEastAsia" w:hAnsi="Calibri" w:cs="Calibri"/>
                <w:b/>
                <w:bCs/>
                <w:color w:val="000000"/>
                <w:sz w:val="16"/>
                <w:szCs w:val="16"/>
                <w:lang w:eastAsia="en-AU"/>
              </w:rPr>
              <w:t>)</w:t>
            </w:r>
          </w:p>
        </w:tc>
        <w:tc>
          <w:tcPr>
            <w:tcW w:w="126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49.8</w:t>
            </w:r>
          </w:p>
        </w:tc>
        <w:tc>
          <w:tcPr>
            <w:tcW w:w="108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1 702.1</w:t>
            </w:r>
          </w:p>
        </w:tc>
        <w:tc>
          <w:tcPr>
            <w:tcW w:w="117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866.6</w:t>
            </w:r>
          </w:p>
        </w:tc>
        <w:tc>
          <w:tcPr>
            <w:tcW w:w="135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sz w:val="16"/>
                <w:szCs w:val="16"/>
                <w:lang w:eastAsia="en-AU"/>
              </w:rPr>
              <w:t>1.1</w:t>
            </w:r>
            <w:r w:rsidRPr="001B0BA9">
              <w:rPr>
                <w:rFonts w:ascii="Calibri" w:eastAsiaTheme="minorEastAsia" w:hAnsi="Calibri" w:cs="Calibri"/>
                <w:b/>
                <w:bCs/>
                <w:color w:val="000000"/>
                <w:sz w:val="16"/>
                <w:szCs w:val="16"/>
                <w:lang w:eastAsia="en-AU"/>
              </w:rPr>
              <w:t>)</w:t>
            </w:r>
          </w:p>
        </w:tc>
        <w:tc>
          <w:tcPr>
            <w:tcW w:w="135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sz w:val="16"/>
                <w:szCs w:val="16"/>
                <w:lang w:eastAsia="en-AU"/>
              </w:rPr>
              <w:t>20.6</w:t>
            </w:r>
            <w:r w:rsidRPr="001B0BA9">
              <w:rPr>
                <w:rFonts w:ascii="Calibri" w:eastAsiaTheme="minorEastAsia" w:hAnsi="Calibri" w:cs="Calibri"/>
                <w:b/>
                <w:bCs/>
                <w:color w:val="000000"/>
                <w:sz w:val="16"/>
                <w:szCs w:val="16"/>
                <w:lang w:eastAsia="en-AU"/>
              </w:rPr>
              <w:t>)</w:t>
            </w:r>
          </w:p>
        </w:tc>
        <w:tc>
          <w:tcPr>
            <w:tcW w:w="873"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27 766.1</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Non</w:t>
            </w:r>
            <w:r>
              <w:rPr>
                <w:rFonts w:ascii="Calibri" w:eastAsiaTheme="minorEastAsia" w:hAnsi="Calibri" w:cs="Calibri"/>
                <w:sz w:val="16"/>
                <w:szCs w:val="16"/>
                <w:lang w:eastAsia="en-AU"/>
              </w:rPr>
              <w:noBreakHyphen/>
              <w:t>s</w:t>
            </w:r>
            <w:r w:rsidRPr="001B0BA9">
              <w:rPr>
                <w:rFonts w:ascii="Calibri" w:eastAsiaTheme="minorEastAsia" w:hAnsi="Calibri" w:cs="Calibri"/>
                <w:sz w:val="16"/>
                <w:szCs w:val="16"/>
                <w:lang w:eastAsia="en-AU"/>
              </w:rPr>
              <w:t>pecialised buildings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2 664.1</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185.7</w:t>
            </w:r>
            <w:r w:rsidRPr="001B0BA9">
              <w:rPr>
                <w:rFonts w:ascii="Calibri" w:eastAsiaTheme="minorEastAsia" w:hAnsi="Calibri" w:cs="Calibri"/>
                <w:color w:val="000000"/>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17.7</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312.5</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82.0</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24.9</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44.4</w:t>
            </w:r>
            <w:r w:rsidRPr="001B0BA9">
              <w:rPr>
                <w:rFonts w:ascii="Calibri" w:eastAsiaTheme="minorEastAsia" w:hAnsi="Calibri" w:cs="Calibri"/>
                <w:color w:val="000000"/>
                <w:sz w:val="16"/>
                <w:szCs w:val="16"/>
                <w:lang w:eastAsia="en-AU"/>
              </w:rPr>
              <w:t>)</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2 871.2</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16"/>
                <w:vertAlign w:val="superscript"/>
                <w:lang w:eastAsia="en-AU"/>
              </w:rPr>
            </w:pPr>
            <w:r w:rsidRPr="001B0BA9">
              <w:rPr>
                <w:rFonts w:ascii="Calibri" w:eastAsiaTheme="minorEastAsia" w:hAnsi="Calibri" w:cs="Calibri"/>
                <w:sz w:val="16"/>
                <w:szCs w:val="16"/>
                <w:lang w:eastAsia="en-AU"/>
              </w:rPr>
              <w:t xml:space="preserve">Specialised buildings </w:t>
            </w:r>
            <w:r w:rsidRPr="001B0BA9">
              <w:rPr>
                <w:rFonts w:ascii="Calibri" w:eastAsiaTheme="minorEastAsia" w:hAnsi="Calibri" w:cs="Calibri"/>
                <w:color w:val="000000"/>
                <w:sz w:val="16"/>
                <w:szCs w:val="16"/>
                <w:vertAlign w:val="superscript"/>
                <w:lang w:eastAsia="en-AU"/>
              </w:rPr>
              <w:t>(a)</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22 418.5</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932.4</w:t>
            </w:r>
            <w:r w:rsidRPr="001B0BA9">
              <w:rPr>
                <w:rFonts w:ascii="Calibri" w:eastAsiaTheme="minorEastAsia" w:hAnsi="Calibri" w:cs="Calibri"/>
                <w:color w:val="000000"/>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2.2</w:t>
            </w:r>
            <w:r w:rsidRPr="001B0BA9">
              <w:rPr>
                <w:rFonts w:ascii="Calibri" w:eastAsiaTheme="minorEastAsia" w:hAnsi="Calibri" w:cs="Calibri"/>
                <w:color w:val="000000"/>
                <w:sz w:val="16"/>
                <w:szCs w:val="16"/>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32.0</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1 389.6</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775.8</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26.0</w:t>
            </w:r>
            <w:r w:rsidRPr="001B0BA9">
              <w:rPr>
                <w:rFonts w:ascii="Calibri" w:eastAsiaTheme="minorEastAsia" w:hAnsi="Calibri" w:cs="Calibri"/>
                <w:color w:val="000000"/>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21.6</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23 677.0</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16"/>
                <w:vertAlign w:val="superscript"/>
                <w:lang w:eastAsia="en-AU"/>
              </w:rPr>
            </w:pPr>
            <w:r w:rsidRPr="001B0BA9">
              <w:rPr>
                <w:rFonts w:ascii="Calibri" w:eastAsiaTheme="minorEastAsia" w:hAnsi="Calibri" w:cs="Calibri"/>
                <w:sz w:val="16"/>
                <w:szCs w:val="16"/>
                <w:lang w:eastAsia="en-AU"/>
              </w:rPr>
              <w:t xml:space="preserve">Heritage buildings </w:t>
            </w:r>
            <w:r w:rsidRPr="001B0BA9">
              <w:rPr>
                <w:rFonts w:ascii="Calibri" w:eastAsiaTheme="minorEastAsia" w:hAnsi="Calibri" w:cs="Calibri"/>
                <w:color w:val="000000"/>
                <w:sz w:val="16"/>
                <w:szCs w:val="16"/>
                <w:vertAlign w:val="superscript"/>
                <w:lang w:eastAsia="en-AU"/>
              </w:rPr>
              <w:t>(a)</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1 247.6</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40.7</w:t>
            </w:r>
            <w:r w:rsidRPr="001B0BA9">
              <w:rPr>
                <w:rFonts w:ascii="Calibri" w:eastAsiaTheme="minorEastAsia" w:hAnsi="Calibri" w:cs="Calibri"/>
                <w:color w:val="000000"/>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8.8</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2.2</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1 218.0</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Land and national parks</w:t>
            </w:r>
            <w:r>
              <w:rPr>
                <w:rFonts w:ascii="Calibri" w:eastAsiaTheme="minorEastAsia" w:hAnsi="Calibri" w:cs="Calibri"/>
                <w:color w:val="000000"/>
                <w:sz w:val="16"/>
                <w:szCs w:val="16"/>
                <w:vertAlign w:val="superscript"/>
                <w:lang w:eastAsia="en-AU"/>
              </w:rPr>
              <w:t>(a</w:t>
            </w:r>
            <w:r w:rsidRPr="001B0BA9">
              <w:rPr>
                <w:rFonts w:ascii="Calibri" w:eastAsiaTheme="minorEastAsia" w:hAnsi="Calibri" w:cs="Calibri"/>
                <w:color w:val="000000"/>
                <w:sz w:val="16"/>
                <w:szCs w:val="16"/>
                <w:vertAlign w:val="superscript"/>
                <w:lang w:eastAsia="en-AU"/>
              </w:rPr>
              <w:t>)</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41 561.7</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color w:val="000000"/>
                <w:sz w:val="16"/>
                <w:szCs w:val="16"/>
                <w:lang w:eastAsia="en-AU"/>
              </w:rPr>
              <w:t>2.8)</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sz w:val="16"/>
                <w:szCs w:val="16"/>
                <w:lang w:eastAsia="en-AU"/>
              </w:rPr>
              <w:t>0.1</w:t>
            </w:r>
            <w:r w:rsidRPr="001B0BA9">
              <w:rPr>
                <w:rFonts w:ascii="Calibri" w:eastAsiaTheme="minorEastAsia" w:hAnsi="Calibri" w:cs="Calibri"/>
                <w:b/>
                <w:bCs/>
                <w:color w:val="000000"/>
                <w:sz w:val="16"/>
                <w:szCs w:val="16"/>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34.4</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380.3</w:t>
            </w:r>
          </w:p>
        </w:tc>
        <w:tc>
          <w:tcPr>
            <w:tcW w:w="117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326.9</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sz w:val="16"/>
                <w:szCs w:val="16"/>
                <w:lang w:eastAsia="en-AU"/>
              </w:rPr>
              <w:t>36.8</w:t>
            </w:r>
            <w:r w:rsidRPr="001B0BA9">
              <w:rPr>
                <w:rFonts w:ascii="Calibri" w:eastAsiaTheme="minorEastAsia" w:hAnsi="Calibri" w:cs="Calibri"/>
                <w:b/>
                <w:bCs/>
                <w:color w:val="000000"/>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sz w:val="16"/>
                <w:szCs w:val="16"/>
                <w:lang w:eastAsia="en-AU"/>
              </w:rPr>
              <w:t>107.9</w:t>
            </w:r>
            <w:r w:rsidRPr="001B0BA9">
              <w:rPr>
                <w:rFonts w:ascii="Calibri" w:eastAsiaTheme="minorEastAsia" w:hAnsi="Calibri" w:cs="Calibri"/>
                <w:b/>
                <w:bCs/>
                <w:color w:val="000000"/>
                <w:sz w:val="16"/>
                <w:szCs w:val="16"/>
                <w:lang w:eastAsia="en-AU"/>
              </w:rPr>
              <w:t>)</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42 155.6</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Non</w:t>
            </w:r>
            <w:r>
              <w:rPr>
                <w:rFonts w:ascii="Calibri" w:eastAsiaTheme="minorEastAsia" w:hAnsi="Calibri" w:cs="Calibri"/>
                <w:sz w:val="16"/>
                <w:szCs w:val="16"/>
                <w:lang w:eastAsia="en-AU"/>
              </w:rPr>
              <w:noBreakHyphen/>
              <w:t>s</w:t>
            </w:r>
            <w:r w:rsidRPr="001B0BA9">
              <w:rPr>
                <w:rFonts w:ascii="Calibri" w:eastAsiaTheme="minorEastAsia" w:hAnsi="Calibri" w:cs="Calibri"/>
                <w:sz w:val="16"/>
                <w:szCs w:val="16"/>
                <w:lang w:eastAsia="en-AU"/>
              </w:rPr>
              <w:t>pecialised land</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1 930.8</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22.3</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6.3</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1.4</w:t>
            </w:r>
            <w:r w:rsidRPr="001B0BA9">
              <w:rPr>
                <w:rFonts w:ascii="Calibri" w:eastAsiaTheme="minorEastAsia" w:hAnsi="Calibri" w:cs="Calibri"/>
                <w:color w:val="000000"/>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16.0</w:t>
            </w:r>
            <w:r w:rsidRPr="001B0BA9">
              <w:rPr>
                <w:rFonts w:ascii="Calibri" w:eastAsiaTheme="minorEastAsia" w:hAnsi="Calibri" w:cs="Calibri"/>
                <w:color w:val="000000"/>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6.8</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1 948.9</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16"/>
                <w:vertAlign w:val="superscript"/>
                <w:lang w:eastAsia="en-AU"/>
              </w:rPr>
            </w:pPr>
            <w:r w:rsidRPr="001B0BA9">
              <w:rPr>
                <w:rFonts w:ascii="Calibri" w:eastAsiaTheme="minorEastAsia" w:hAnsi="Calibri" w:cs="Calibri"/>
                <w:sz w:val="16"/>
                <w:szCs w:val="16"/>
                <w:lang w:eastAsia="en-AU"/>
              </w:rPr>
              <w:t xml:space="preserve">Specialised land </w:t>
            </w:r>
            <w:r>
              <w:rPr>
                <w:rFonts w:ascii="Calibri" w:eastAsiaTheme="minorEastAsia" w:hAnsi="Calibri" w:cs="Calibri"/>
                <w:color w:val="000000"/>
                <w:sz w:val="16"/>
                <w:szCs w:val="16"/>
                <w:vertAlign w:val="superscript"/>
                <w:lang w:eastAsia="en-AU"/>
              </w:rPr>
              <w:t>(a</w:t>
            </w:r>
            <w:r w:rsidRPr="001B0BA9">
              <w:rPr>
                <w:rFonts w:ascii="Calibri" w:eastAsiaTheme="minorEastAsia" w:hAnsi="Calibri" w:cs="Calibri"/>
                <w:color w:val="000000"/>
                <w:sz w:val="16"/>
                <w:szCs w:val="16"/>
                <w:vertAlign w:val="superscript"/>
                <w:lang w:eastAsia="en-AU"/>
              </w:rPr>
              <w:t>)</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22 053.0</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color w:val="000000"/>
                <w:sz w:val="16"/>
                <w:szCs w:val="16"/>
                <w:lang w:eastAsia="en-AU"/>
              </w:rPr>
              <w:t>2.8)</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0.1</w:t>
            </w:r>
            <w:r w:rsidRPr="001B0BA9">
              <w:rPr>
                <w:rFonts w:ascii="Calibri" w:eastAsiaTheme="minorEastAsia" w:hAnsi="Calibri" w:cs="Calibri"/>
                <w:color w:val="000000"/>
                <w:sz w:val="16"/>
                <w:szCs w:val="16"/>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12.1</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374.0</w:t>
            </w:r>
          </w:p>
        </w:tc>
        <w:tc>
          <w:tcPr>
            <w:tcW w:w="117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328.3</w:t>
            </w:r>
          </w:p>
        </w:tc>
        <w:tc>
          <w:tcPr>
            <w:tcW w:w="135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21.3</w:t>
            </w:r>
            <w:r w:rsidRPr="001B0BA9">
              <w:rPr>
                <w:rFonts w:ascii="Calibri" w:eastAsiaTheme="minorEastAsia" w:hAnsi="Calibri" w:cs="Calibri"/>
                <w:color w:val="000000"/>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114.8</w:t>
            </w:r>
            <w:r w:rsidRPr="001B0BA9">
              <w:rPr>
                <w:rFonts w:ascii="Calibri" w:eastAsiaTheme="minorEastAsia" w:hAnsi="Calibri" w:cs="Calibri"/>
                <w:color w:val="000000"/>
                <w:sz w:val="16"/>
                <w:szCs w:val="16"/>
                <w:lang w:eastAsia="en-AU"/>
              </w:rPr>
              <w:t>)</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22 628.4</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Land under roads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15 892.4</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0.4</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15 892.8</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National parks and other </w:t>
            </w: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land only</w:t>
            </w: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 xml:space="preserve"> holdings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1 685.5</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1 685.5</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Plant, equipment, vehicles and infrastructure systems</w:t>
            </w:r>
            <w:r w:rsidRPr="001B0BA9">
              <w:rPr>
                <w:rFonts w:ascii="Calibri" w:eastAsiaTheme="minorEastAsia" w:hAnsi="Calibri" w:cs="Calibri"/>
                <w:color w:val="000000"/>
                <w:sz w:val="16"/>
                <w:szCs w:val="16"/>
                <w:vertAlign w:val="superscript"/>
                <w:lang w:eastAsia="en-AU"/>
              </w:rPr>
              <w:t>(b)</w:t>
            </w:r>
            <w:r w:rsidRPr="001B0BA9">
              <w:rPr>
                <w:rFonts w:ascii="Calibri" w:eastAsiaTheme="minorEastAsia" w:hAnsi="Calibri" w:cs="Calibri"/>
                <w:b/>
                <w:bCs/>
                <w:sz w:val="16"/>
                <w:szCs w:val="16"/>
                <w:lang w:eastAsia="en-AU"/>
              </w:rPr>
              <w:t xml:space="preserve"> </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48 258.1</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(1 809.1)</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sz w:val="16"/>
                <w:szCs w:val="16"/>
                <w:lang w:eastAsia="en-AU"/>
              </w:rPr>
              <w:t>2.2</w:t>
            </w:r>
            <w:r w:rsidRPr="001B0BA9">
              <w:rPr>
                <w:rFonts w:ascii="Calibri" w:eastAsiaTheme="minorEastAsia" w:hAnsi="Calibri" w:cs="Calibri"/>
                <w:b/>
                <w:bCs/>
                <w:color w:val="000000"/>
                <w:sz w:val="16"/>
                <w:szCs w:val="16"/>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87.3</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177.5</w:t>
            </w:r>
          </w:p>
        </w:tc>
        <w:tc>
          <w:tcPr>
            <w:tcW w:w="117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1 693.5</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0.4</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48.1</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48 453.7</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Infrastructure systems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43 213.7</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(1 161.9)</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1.6</w:t>
            </w:r>
            <w:r w:rsidRPr="001B0BA9">
              <w:rPr>
                <w:rFonts w:ascii="Calibri" w:eastAsiaTheme="minorEastAsia" w:hAnsi="Calibri" w:cs="Calibri"/>
                <w:color w:val="000000"/>
                <w:sz w:val="16"/>
                <w:szCs w:val="16"/>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37.2</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177.2</w:t>
            </w:r>
          </w:p>
        </w:tc>
        <w:tc>
          <w:tcPr>
            <w:tcW w:w="117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1 197.9</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1.5</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25.4</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43 489.4</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Rolling stock</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2 481.8</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0.2</w:t>
            </w:r>
            <w:r w:rsidRPr="001B0BA9">
              <w:rPr>
                <w:rFonts w:ascii="Calibri" w:eastAsiaTheme="minorEastAsia" w:hAnsi="Calibri" w:cs="Calibri"/>
                <w:color w:val="000000"/>
                <w:sz w:val="16"/>
                <w:szCs w:val="16"/>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74.1</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2 555.8</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16"/>
                <w:vertAlign w:val="superscript"/>
                <w:lang w:eastAsia="en-AU"/>
              </w:rPr>
            </w:pPr>
            <w:r>
              <w:rPr>
                <w:rFonts w:ascii="Calibri" w:eastAsiaTheme="minorEastAsia" w:hAnsi="Calibri" w:cs="Calibri"/>
                <w:sz w:val="16"/>
                <w:szCs w:val="16"/>
                <w:lang w:eastAsia="en-AU"/>
              </w:rPr>
              <w:t>Plant, equipment and vehicles</w:t>
            </w:r>
            <w:r w:rsidRPr="001B0BA9">
              <w:rPr>
                <w:rFonts w:ascii="Calibri" w:eastAsiaTheme="minorEastAsia" w:hAnsi="Calibri" w:cs="Calibri"/>
                <w:color w:val="000000"/>
                <w:sz w:val="16"/>
                <w:szCs w:val="16"/>
                <w:vertAlign w:val="superscript"/>
                <w:lang w:eastAsia="en-AU"/>
              </w:rPr>
              <w:t>(b)</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2 562.6</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647.2</w:t>
            </w:r>
            <w:r w:rsidRPr="001B0BA9">
              <w:rPr>
                <w:rFonts w:ascii="Calibri" w:eastAsiaTheme="minorEastAsia" w:hAnsi="Calibri" w:cs="Calibri"/>
                <w:color w:val="000000"/>
                <w:sz w:val="16"/>
                <w:szCs w:val="16"/>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0.4</w:t>
            </w:r>
            <w:r w:rsidRPr="001B0BA9">
              <w:rPr>
                <w:rFonts w:ascii="Calibri" w:eastAsiaTheme="minorEastAsia" w:hAnsi="Calibri" w:cs="Calibri"/>
                <w:color w:val="000000"/>
                <w:sz w:val="16"/>
                <w:szCs w:val="16"/>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50.1</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0.3</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421.5</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16"/>
                <w:lang w:eastAsia="en-AU"/>
              </w:rPr>
              <w:t>(</w:t>
            </w:r>
            <w:r w:rsidRPr="001B0BA9">
              <w:rPr>
                <w:rFonts w:ascii="Calibri" w:eastAsiaTheme="minorEastAsia" w:hAnsi="Calibri" w:cs="Calibri"/>
                <w:sz w:val="16"/>
                <w:szCs w:val="16"/>
                <w:lang w:eastAsia="en-AU"/>
              </w:rPr>
              <w:t>1.0</w:t>
            </w:r>
            <w:r w:rsidRPr="001B0BA9">
              <w:rPr>
                <w:rFonts w:ascii="Calibri" w:eastAsiaTheme="minorEastAsia" w:hAnsi="Calibri" w:cs="Calibri"/>
                <w:color w:val="000000"/>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 xml:space="preserve"> 22.8</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16"/>
                <w:lang w:eastAsia="en-AU"/>
              </w:rPr>
            </w:pPr>
            <w:r w:rsidRPr="001B0BA9">
              <w:rPr>
                <w:rFonts w:ascii="Calibri" w:eastAsiaTheme="minorEastAsia" w:hAnsi="Calibri" w:cs="Calibri"/>
                <w:sz w:val="16"/>
                <w:szCs w:val="16"/>
                <w:lang w:eastAsia="en-AU"/>
              </w:rPr>
              <w:t>2 408.5</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Roads, road infrastructure and earthworks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27 349.7</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sz w:val="16"/>
                <w:szCs w:val="16"/>
                <w:lang w:eastAsia="en-AU"/>
              </w:rPr>
              <w:t>567.9</w:t>
            </w:r>
            <w:r w:rsidRPr="001B0BA9">
              <w:rPr>
                <w:rFonts w:ascii="Calibri" w:eastAsiaTheme="minorEastAsia" w:hAnsi="Calibri" w:cs="Calibri"/>
                <w:b/>
                <w:bCs/>
                <w:color w:val="000000"/>
                <w:sz w:val="16"/>
                <w:szCs w:val="16"/>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4.4</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12.3</w:t>
            </w:r>
          </w:p>
        </w:tc>
        <w:tc>
          <w:tcPr>
            <w:tcW w:w="117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5.6</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16"/>
                <w:lang w:eastAsia="en-AU"/>
              </w:rPr>
            </w:pPr>
            <w:r w:rsidRPr="001B0BA9">
              <w:rPr>
                <w:rFonts w:ascii="Calibri" w:eastAsiaTheme="minorEastAsia" w:hAnsi="Calibri" w:cs="Calibri"/>
                <w:b/>
                <w:bCs/>
                <w:sz w:val="16"/>
                <w:szCs w:val="16"/>
                <w:lang w:eastAsia="en-AU"/>
              </w:rPr>
              <w:t>1 466.7</w:t>
            </w:r>
          </w:p>
        </w:tc>
        <w:tc>
          <w:tcPr>
            <w:tcW w:w="87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28 270.7</w:t>
            </w:r>
          </w:p>
        </w:tc>
      </w:tr>
      <w:tr w:rsidR="00336793" w:rsidRPr="001B0BA9" w:rsidTr="00DF0B96">
        <w:tc>
          <w:tcPr>
            <w:tcW w:w="4337"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Cultural assets</w:t>
            </w:r>
          </w:p>
        </w:tc>
        <w:tc>
          <w:tcPr>
            <w:tcW w:w="99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2 092.0</w:t>
            </w:r>
          </w:p>
        </w:tc>
        <w:tc>
          <w:tcPr>
            <w:tcW w:w="108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sz w:val="16"/>
                <w:szCs w:val="16"/>
                <w:lang w:eastAsia="en-AU"/>
              </w:rPr>
              <w:t>15.2</w:t>
            </w:r>
            <w:r w:rsidRPr="001B0BA9">
              <w:rPr>
                <w:rFonts w:ascii="Calibri" w:eastAsiaTheme="minorEastAsia" w:hAnsi="Calibri" w:cs="Calibri"/>
                <w:b/>
                <w:bCs/>
                <w:color w:val="000000"/>
                <w:sz w:val="16"/>
                <w:szCs w:val="16"/>
                <w:lang w:eastAsia="en-AU"/>
              </w:rPr>
              <w:t>)</w:t>
            </w:r>
          </w:p>
        </w:tc>
        <w:tc>
          <w:tcPr>
            <w:tcW w:w="108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w:t>
            </w:r>
          </w:p>
        </w:tc>
        <w:tc>
          <w:tcPr>
            <w:tcW w:w="126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w:t>
            </w:r>
          </w:p>
        </w:tc>
        <w:tc>
          <w:tcPr>
            <w:tcW w:w="108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w:t>
            </w:r>
          </w:p>
        </w:tc>
        <w:tc>
          <w:tcPr>
            <w:tcW w:w="117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5.3</w:t>
            </w:r>
          </w:p>
        </w:tc>
        <w:tc>
          <w:tcPr>
            <w:tcW w:w="135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w:t>
            </w:r>
          </w:p>
        </w:tc>
        <w:tc>
          <w:tcPr>
            <w:tcW w:w="135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64.1</w:t>
            </w:r>
          </w:p>
        </w:tc>
        <w:tc>
          <w:tcPr>
            <w:tcW w:w="873"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2 146.2</w:t>
            </w:r>
          </w:p>
        </w:tc>
      </w:tr>
      <w:tr w:rsidR="00336793" w:rsidRPr="001B0BA9" w:rsidTr="00DF0B96">
        <w:tc>
          <w:tcPr>
            <w:tcW w:w="4337" w:type="dxa"/>
            <w:tcBorders>
              <w:top w:val="single" w:sz="6" w:space="0" w:color="auto"/>
              <w:left w:val="nil"/>
              <w:bottom w:val="single" w:sz="12" w:space="0" w:color="000000"/>
              <w:right w:val="nil"/>
            </w:tcBorders>
          </w:tcPr>
          <w:p w:rsidR="00336793" w:rsidRPr="001B0BA9" w:rsidRDefault="00336793" w:rsidP="00DF0B96">
            <w:pPr>
              <w:autoSpaceDE w:val="0"/>
              <w:autoSpaceDN w:val="0"/>
              <w:adjustRightInd w:val="0"/>
              <w:spacing w:after="0"/>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Total</w:t>
            </w:r>
            <w:r>
              <w:rPr>
                <w:rFonts w:ascii="Calibri" w:eastAsiaTheme="minorEastAsia" w:hAnsi="Calibri" w:cs="Calibri"/>
                <w:color w:val="000000"/>
                <w:sz w:val="16"/>
                <w:szCs w:val="16"/>
                <w:vertAlign w:val="superscript"/>
                <w:lang w:eastAsia="en-AU"/>
              </w:rPr>
              <w:t>(a</w:t>
            </w:r>
            <w:r w:rsidRPr="001B0BA9">
              <w:rPr>
                <w:rFonts w:ascii="Calibri" w:eastAsiaTheme="minorEastAsia" w:hAnsi="Calibri" w:cs="Calibri"/>
                <w:color w:val="000000"/>
                <w:sz w:val="16"/>
                <w:szCs w:val="16"/>
                <w:vertAlign w:val="superscript"/>
                <w:lang w:eastAsia="en-AU"/>
              </w:rPr>
              <w:t>)</w:t>
            </w:r>
          </w:p>
        </w:tc>
        <w:tc>
          <w:tcPr>
            <w:tcW w:w="99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145 591.7</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(3 553.7)</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sz w:val="16"/>
                <w:szCs w:val="16"/>
                <w:lang w:eastAsia="en-AU"/>
              </w:rPr>
              <w:t>4.5</w:t>
            </w:r>
            <w:r w:rsidRPr="001B0BA9">
              <w:rPr>
                <w:rFonts w:ascii="Calibri" w:eastAsiaTheme="minorEastAsia" w:hAnsi="Calibri" w:cs="Calibri"/>
                <w:b/>
                <w:bCs/>
                <w:color w:val="000000"/>
                <w:sz w:val="16"/>
                <w:szCs w:val="16"/>
                <w:lang w:eastAsia="en-AU"/>
              </w:rPr>
              <w:t>)</w:t>
            </w:r>
          </w:p>
        </w:tc>
        <w:tc>
          <w:tcPr>
            <w:tcW w:w="126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 xml:space="preserve"> 175.8</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2 272.3</w:t>
            </w:r>
          </w:p>
        </w:tc>
        <w:tc>
          <w:tcPr>
            <w:tcW w:w="117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2 897.9</w:t>
            </w:r>
          </w:p>
        </w:tc>
        <w:tc>
          <w:tcPr>
            <w:tcW w:w="135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sz w:val="16"/>
                <w:szCs w:val="16"/>
                <w:lang w:eastAsia="en-AU"/>
              </w:rPr>
              <w:t>37.5</w:t>
            </w:r>
            <w:r w:rsidRPr="001B0BA9">
              <w:rPr>
                <w:rFonts w:ascii="Calibri" w:eastAsiaTheme="minorEastAsia" w:hAnsi="Calibri" w:cs="Calibri"/>
                <w:b/>
                <w:bCs/>
                <w:color w:val="000000"/>
                <w:sz w:val="16"/>
                <w:szCs w:val="16"/>
                <w:lang w:eastAsia="en-AU"/>
              </w:rPr>
              <w:t>)</w:t>
            </w:r>
          </w:p>
        </w:tc>
        <w:tc>
          <w:tcPr>
            <w:tcW w:w="135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1 450.4</w:t>
            </w:r>
          </w:p>
        </w:tc>
        <w:tc>
          <w:tcPr>
            <w:tcW w:w="873"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16"/>
                <w:lang w:eastAsia="en-AU"/>
              </w:rPr>
            </w:pPr>
            <w:r w:rsidRPr="001B0BA9">
              <w:rPr>
                <w:rFonts w:ascii="Calibri" w:eastAsiaTheme="minorEastAsia" w:hAnsi="Calibri" w:cs="Calibri"/>
                <w:b/>
                <w:bCs/>
                <w:sz w:val="16"/>
                <w:szCs w:val="16"/>
                <w:lang w:eastAsia="en-AU"/>
              </w:rPr>
              <w:t>148 792.</w:t>
            </w:r>
            <w:r>
              <w:rPr>
                <w:rFonts w:ascii="Calibri" w:eastAsiaTheme="minorEastAsia" w:hAnsi="Calibri" w:cs="Calibri"/>
                <w:b/>
                <w:bCs/>
                <w:sz w:val="16"/>
                <w:szCs w:val="16"/>
                <w:lang w:eastAsia="en-AU"/>
              </w:rPr>
              <w:t>4</w:t>
            </w:r>
          </w:p>
        </w:tc>
      </w:tr>
    </w:tbl>
    <w:p w:rsidR="00336793" w:rsidRDefault="00336793" w:rsidP="00DF0B96">
      <w:pPr>
        <w:pStyle w:val="Notes"/>
      </w:pPr>
      <w:r>
        <w:t>Notes:</w:t>
      </w:r>
    </w:p>
    <w:p w:rsidR="00336793" w:rsidRDefault="00336793" w:rsidP="00DF0B96">
      <w:pPr>
        <w:pStyle w:val="Notes"/>
      </w:pPr>
      <w:r>
        <w:t>(a)</w:t>
      </w:r>
      <w:r>
        <w:tab/>
        <w:t>June 2014 comparative figures have been restated. See Note 37.</w:t>
      </w:r>
    </w:p>
    <w:p w:rsidR="00336793" w:rsidRDefault="00336793" w:rsidP="00DF0B96">
      <w:pPr>
        <w:pStyle w:val="Notes"/>
      </w:pPr>
      <w:r>
        <w:t>(b)</w:t>
      </w:r>
      <w:r>
        <w:tab/>
        <w:t>June 2014 comparative figures have been reclassified to reflect more current information.</w:t>
      </w:r>
    </w:p>
    <w:p w:rsidR="00336793" w:rsidRDefault="00336793" w:rsidP="00DF0B96">
      <w:pPr>
        <w:pStyle w:val="Notes"/>
        <w:rPr>
          <w:sz w:val="18"/>
          <w:szCs w:val="18"/>
        </w:rPr>
      </w:pPr>
    </w:p>
    <w:p w:rsidR="00336793" w:rsidRPr="00761D5D" w:rsidRDefault="00336793" w:rsidP="00DF0B96">
      <w:pPr>
        <w:pStyle w:val="Notes"/>
        <w:ind w:left="0" w:firstLine="0"/>
      </w:pPr>
    </w:p>
    <w:p w:rsidR="00336793" w:rsidRDefault="00336793" w:rsidP="00DF0B96">
      <w:pPr>
        <w:pStyle w:val="Heading2NotesContd"/>
        <w:rPr>
          <w:i/>
        </w:rPr>
      </w:pPr>
      <w:r w:rsidRPr="006A75A2">
        <w:lastRenderedPageBreak/>
        <w:t>Note 22:</w:t>
      </w:r>
      <w:r w:rsidRPr="006A75A2">
        <w:tab/>
        <w:t>Land, buildings, infrastructure, plant and equipment</w:t>
      </w:r>
      <w:r w:rsidRPr="006A75A2">
        <w:rPr>
          <w:i/>
        </w:rPr>
        <w:t xml:space="preserve"> (continued)</w:t>
      </w:r>
    </w:p>
    <w:p w:rsidR="00336793" w:rsidRPr="008C7811" w:rsidRDefault="00336793" w:rsidP="00DF0B96">
      <w:pPr>
        <w:pStyle w:val="Heading5"/>
        <w:spacing w:before="60" w:after="0"/>
        <w:rPr>
          <w:i/>
          <w:vertAlign w:val="superscript"/>
        </w:rPr>
      </w:pPr>
      <w:r w:rsidRPr="006A75A2">
        <w:t>(</w:t>
      </w:r>
      <w:r>
        <w:t>e</w:t>
      </w:r>
      <w:r w:rsidRPr="006A75A2">
        <w:t>)</w:t>
      </w:r>
      <w:r w:rsidRPr="006A75A2">
        <w:tab/>
        <w:t>Reconciliation of Level 3 fair value movements</w:t>
      </w:r>
      <w:r>
        <w:t xml:space="preserve"> </w:t>
      </w:r>
      <w:r w:rsidRPr="00E42A70">
        <w:rPr>
          <w:i/>
        </w:rPr>
        <w:t>(</w:t>
      </w:r>
      <w:r>
        <w:rPr>
          <w:i/>
        </w:rPr>
        <w:t xml:space="preserve">continued) </w:t>
      </w:r>
    </w:p>
    <w:p w:rsidR="00336793" w:rsidRPr="00A10A3B"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4337"/>
        <w:gridCol w:w="990"/>
        <w:gridCol w:w="1080"/>
        <w:gridCol w:w="1080"/>
        <w:gridCol w:w="1260"/>
        <w:gridCol w:w="1080"/>
        <w:gridCol w:w="1332"/>
        <w:gridCol w:w="18"/>
        <w:gridCol w:w="1260"/>
        <w:gridCol w:w="1170"/>
        <w:gridCol w:w="963"/>
      </w:tblGrid>
      <w:tr w:rsidR="00336793" w:rsidRPr="001B0BA9" w:rsidTr="00DF0B96">
        <w:trPr>
          <w:tblHeader/>
        </w:trPr>
        <w:tc>
          <w:tcPr>
            <w:tcW w:w="4337" w:type="dxa"/>
            <w:tcBorders>
              <w:top w:val="single" w:sz="6" w:space="0" w:color="auto"/>
              <w:left w:val="single" w:sz="6" w:space="0" w:color="auto"/>
              <w:bottom w:val="nil"/>
              <w:right w:val="nil"/>
            </w:tcBorders>
            <w:shd w:val="clear" w:color="000000" w:fill="000000"/>
            <w:vAlign w:val="bottom"/>
          </w:tcPr>
          <w:p w:rsidR="00336793" w:rsidRPr="001B0BA9" w:rsidRDefault="00336793" w:rsidP="00DF0B96">
            <w:pPr>
              <w:pStyle w:val="Tabletextheading"/>
              <w:jc w:val="left"/>
              <w:rPr>
                <w:rFonts w:eastAsiaTheme="minorEastAsia"/>
                <w:color w:val="FFFFFF"/>
                <w:sz w:val="16"/>
                <w:lang w:eastAsia="en-AU"/>
              </w:rPr>
            </w:pPr>
            <w:r w:rsidRPr="001B0BA9">
              <w:rPr>
                <w:rFonts w:eastAsiaTheme="minorEastAsia"/>
                <w:color w:val="FFFFFF"/>
                <w:sz w:val="16"/>
                <w:lang w:eastAsia="en-AU"/>
              </w:rPr>
              <w:t>General government sector</w:t>
            </w:r>
          </w:p>
          <w:p w:rsidR="00336793" w:rsidRPr="001B0BA9" w:rsidRDefault="00336793" w:rsidP="00DF0B96">
            <w:pPr>
              <w:pStyle w:val="TabletextheadingLeft"/>
              <w:rPr>
                <w:rFonts w:eastAsiaTheme="minorEastAsia"/>
                <w:sz w:val="16"/>
                <w:lang w:eastAsia="en-AU"/>
              </w:rPr>
            </w:pPr>
            <w:r w:rsidRPr="001B0BA9">
              <w:rPr>
                <w:rFonts w:eastAsiaTheme="minorEastAsia"/>
                <w:sz w:val="16"/>
                <w:lang w:eastAsia="en-AU"/>
              </w:rPr>
              <w:t>2015</w:t>
            </w:r>
          </w:p>
        </w:tc>
        <w:tc>
          <w:tcPr>
            <w:tcW w:w="990"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r w:rsidRPr="001B0BA9">
              <w:rPr>
                <w:rFonts w:eastAsiaTheme="minorEastAsia"/>
                <w:color w:val="FFFFFF"/>
                <w:sz w:val="16"/>
                <w:lang w:eastAsia="en-AU"/>
              </w:rPr>
              <w:t>Opening balance</w:t>
            </w:r>
          </w:p>
        </w:tc>
        <w:tc>
          <w:tcPr>
            <w:tcW w:w="1080"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r w:rsidRPr="001B0BA9">
              <w:rPr>
                <w:rFonts w:eastAsiaTheme="minorEastAsia"/>
                <w:color w:val="FFFFFF"/>
                <w:sz w:val="16"/>
                <w:lang w:eastAsia="en-AU"/>
              </w:rPr>
              <w:t>Depreciation</w:t>
            </w:r>
          </w:p>
        </w:tc>
        <w:tc>
          <w:tcPr>
            <w:tcW w:w="1080"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r w:rsidRPr="001B0BA9">
              <w:rPr>
                <w:rFonts w:eastAsiaTheme="minorEastAsia"/>
                <w:color w:val="FFFFFF"/>
                <w:sz w:val="16"/>
                <w:lang w:eastAsia="en-AU"/>
              </w:rPr>
              <w:t>Impairment</w:t>
            </w:r>
          </w:p>
        </w:tc>
        <w:tc>
          <w:tcPr>
            <w:tcW w:w="1260"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r w:rsidRPr="001B0BA9">
              <w:rPr>
                <w:rFonts w:eastAsiaTheme="minorEastAsia"/>
                <w:color w:val="FFFFFF"/>
                <w:sz w:val="16"/>
                <w:lang w:eastAsia="en-AU"/>
              </w:rPr>
              <w:t>Assets recognised for the first time</w:t>
            </w:r>
          </w:p>
        </w:tc>
        <w:tc>
          <w:tcPr>
            <w:tcW w:w="1080"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r w:rsidRPr="001B0BA9">
              <w:rPr>
                <w:rFonts w:eastAsiaTheme="minorEastAsia"/>
                <w:color w:val="FFFFFF"/>
                <w:sz w:val="16"/>
                <w:lang w:eastAsia="en-AU"/>
              </w:rPr>
              <w:t>Revaluation</w:t>
            </w:r>
          </w:p>
        </w:tc>
        <w:tc>
          <w:tcPr>
            <w:tcW w:w="1350" w:type="dxa"/>
            <w:gridSpan w:val="2"/>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r w:rsidRPr="001B0BA9">
              <w:rPr>
                <w:rFonts w:eastAsiaTheme="minorEastAsia"/>
                <w:color w:val="FFFFFF"/>
                <w:sz w:val="16"/>
                <w:lang w:eastAsia="en-AU"/>
              </w:rPr>
              <w:t>Acquisitions/ (Disposals)</w:t>
            </w:r>
          </w:p>
        </w:tc>
        <w:tc>
          <w:tcPr>
            <w:tcW w:w="1260"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r w:rsidRPr="001B0BA9">
              <w:rPr>
                <w:rFonts w:eastAsiaTheme="minorEastAsia"/>
                <w:color w:val="FFFFFF"/>
                <w:sz w:val="16"/>
                <w:lang w:eastAsia="en-AU"/>
              </w:rPr>
              <w:t>Transfers in/out of Level 3</w:t>
            </w:r>
          </w:p>
        </w:tc>
        <w:tc>
          <w:tcPr>
            <w:tcW w:w="1170" w:type="dxa"/>
            <w:tcBorders>
              <w:top w:val="single" w:sz="6" w:space="0" w:color="auto"/>
              <w:left w:val="nil"/>
              <w:bottom w:val="nil"/>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r w:rsidRPr="001B0BA9">
              <w:rPr>
                <w:rFonts w:eastAsiaTheme="minorEastAsia"/>
                <w:color w:val="FFFFFF"/>
                <w:sz w:val="16"/>
                <w:lang w:eastAsia="en-AU"/>
              </w:rPr>
              <w:t>Reclassification</w:t>
            </w:r>
          </w:p>
        </w:tc>
        <w:tc>
          <w:tcPr>
            <w:tcW w:w="963" w:type="dxa"/>
            <w:tcBorders>
              <w:top w:val="single" w:sz="6" w:space="0" w:color="auto"/>
              <w:left w:val="nil"/>
              <w:bottom w:val="nil"/>
              <w:right w:val="single" w:sz="6" w:space="0" w:color="auto"/>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r w:rsidRPr="001B0BA9">
              <w:rPr>
                <w:rFonts w:eastAsiaTheme="minorEastAsia"/>
                <w:color w:val="FFFFFF"/>
                <w:sz w:val="16"/>
                <w:lang w:eastAsia="en-AU"/>
              </w:rPr>
              <w:t>Closing balance</w:t>
            </w:r>
          </w:p>
        </w:tc>
      </w:tr>
      <w:tr w:rsidR="00336793" w:rsidRPr="001B0BA9" w:rsidTr="00DF0B96">
        <w:tc>
          <w:tcPr>
            <w:tcW w:w="4337"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Buildings</w:t>
            </w:r>
          </w:p>
        </w:tc>
        <w:tc>
          <w:tcPr>
            <w:tcW w:w="99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21</w:t>
            </w:r>
            <w:r w:rsidRPr="001B0BA9">
              <w:rPr>
                <w:rFonts w:ascii="Calibri" w:eastAsiaTheme="minorEastAsia" w:hAnsi="Calibri" w:cs="Calibri"/>
                <w:b/>
                <w:bCs/>
                <w:color w:val="000000"/>
                <w:sz w:val="16"/>
                <w:szCs w:val="22"/>
                <w:lang w:eastAsia="en-AU"/>
              </w:rPr>
              <w:t xml:space="preserve"> 340.8</w:t>
            </w:r>
          </w:p>
        </w:tc>
        <w:tc>
          <w:tcPr>
            <w:tcW w:w="108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color w:val="000000"/>
                <w:sz w:val="16"/>
                <w:szCs w:val="22"/>
                <w:lang w:eastAsia="en-AU"/>
              </w:rPr>
              <w:t>862.7)</w:t>
            </w:r>
          </w:p>
        </w:tc>
        <w:tc>
          <w:tcPr>
            <w:tcW w:w="1080" w:type="dxa"/>
            <w:tcBorders>
              <w:top w:val="single" w:sz="6" w:space="0" w:color="auto"/>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color w:val="000000"/>
                <w:sz w:val="16"/>
                <w:szCs w:val="22"/>
                <w:lang w:eastAsia="en-AU"/>
              </w:rPr>
              <w:t>13.2)</w:t>
            </w:r>
          </w:p>
        </w:tc>
        <w:tc>
          <w:tcPr>
            <w:tcW w:w="1260" w:type="dxa"/>
            <w:tcBorders>
              <w:top w:val="single" w:sz="6" w:space="0" w:color="auto"/>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 xml:space="preserve"> </w:t>
            </w:r>
            <w:r w:rsidRPr="001B0BA9">
              <w:rPr>
                <w:rFonts w:ascii="Calibri" w:eastAsiaTheme="minorEastAsia" w:hAnsi="Calibri" w:cs="Calibri"/>
                <w:b/>
                <w:bCs/>
                <w:color w:val="000000"/>
                <w:sz w:val="16"/>
                <w:szCs w:val="22"/>
                <w:lang w:eastAsia="en-AU"/>
              </w:rPr>
              <w:t>93.7</w:t>
            </w:r>
          </w:p>
        </w:tc>
        <w:tc>
          <w:tcPr>
            <w:tcW w:w="1080" w:type="dxa"/>
            <w:tcBorders>
              <w:top w:val="single" w:sz="6" w:space="0" w:color="auto"/>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 xml:space="preserve"> </w:t>
            </w:r>
            <w:r w:rsidRPr="001B0BA9">
              <w:rPr>
                <w:rFonts w:ascii="Calibri" w:eastAsiaTheme="minorEastAsia" w:hAnsi="Calibri" w:cs="Calibri"/>
                <w:b/>
                <w:bCs/>
                <w:color w:val="000000"/>
                <w:sz w:val="16"/>
                <w:szCs w:val="22"/>
                <w:lang w:eastAsia="en-AU"/>
              </w:rPr>
              <w:t>53.2</w:t>
            </w:r>
          </w:p>
        </w:tc>
        <w:tc>
          <w:tcPr>
            <w:tcW w:w="1332" w:type="dxa"/>
            <w:tcBorders>
              <w:top w:val="single" w:sz="6" w:space="0" w:color="auto"/>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1</w:t>
            </w:r>
            <w:r w:rsidRPr="001B0BA9">
              <w:rPr>
                <w:rFonts w:ascii="Calibri" w:eastAsiaTheme="minorEastAsia" w:hAnsi="Calibri" w:cs="Calibri"/>
                <w:b/>
                <w:bCs/>
                <w:color w:val="000000"/>
                <w:sz w:val="16"/>
                <w:szCs w:val="22"/>
                <w:lang w:eastAsia="en-AU"/>
              </w:rPr>
              <w:t xml:space="preserve"> 373.4</w:t>
            </w:r>
          </w:p>
        </w:tc>
        <w:tc>
          <w:tcPr>
            <w:tcW w:w="1278" w:type="dxa"/>
            <w:gridSpan w:val="2"/>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 xml:space="preserve"> </w:t>
            </w:r>
            <w:r w:rsidRPr="001B0BA9">
              <w:rPr>
                <w:rFonts w:ascii="Calibri" w:eastAsiaTheme="minorEastAsia" w:hAnsi="Calibri" w:cs="Calibri"/>
                <w:b/>
                <w:bCs/>
                <w:color w:val="000000"/>
                <w:sz w:val="16"/>
                <w:szCs w:val="22"/>
                <w:lang w:eastAsia="en-AU"/>
              </w:rPr>
              <w:t>907.9</w:t>
            </w:r>
          </w:p>
        </w:tc>
        <w:tc>
          <w:tcPr>
            <w:tcW w:w="117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 xml:space="preserve"> </w:t>
            </w:r>
            <w:r w:rsidRPr="001B0BA9">
              <w:rPr>
                <w:rFonts w:ascii="Calibri" w:eastAsiaTheme="minorEastAsia" w:hAnsi="Calibri" w:cs="Calibri"/>
                <w:b/>
                <w:bCs/>
                <w:color w:val="000000"/>
                <w:sz w:val="16"/>
                <w:szCs w:val="22"/>
                <w:lang w:eastAsia="en-AU"/>
              </w:rPr>
              <w:t>226.9</w:t>
            </w:r>
          </w:p>
        </w:tc>
        <w:tc>
          <w:tcPr>
            <w:tcW w:w="963"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23</w:t>
            </w:r>
            <w:r w:rsidRPr="001B0BA9">
              <w:rPr>
                <w:rFonts w:ascii="Calibri" w:eastAsiaTheme="minorEastAsia" w:hAnsi="Calibri" w:cs="Calibri"/>
                <w:b/>
                <w:bCs/>
                <w:color w:val="000000"/>
                <w:sz w:val="16"/>
                <w:szCs w:val="22"/>
                <w:lang w:eastAsia="en-AU"/>
              </w:rPr>
              <w:t xml:space="preserve"> 119.9</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22"/>
                <w:lang w:eastAsia="en-AU"/>
              </w:rPr>
            </w:pPr>
            <w:r w:rsidRPr="001B0BA9">
              <w:rPr>
                <w:rFonts w:ascii="Calibri" w:eastAsiaTheme="minorEastAsia" w:hAnsi="Calibri" w:cs="Calibri"/>
                <w:sz w:val="16"/>
                <w:szCs w:val="22"/>
                <w:lang w:eastAsia="en-AU"/>
              </w:rPr>
              <w:t>Non</w:t>
            </w:r>
            <w:r>
              <w:rPr>
                <w:rFonts w:ascii="Calibri" w:eastAsiaTheme="minorEastAsia" w:hAnsi="Calibri" w:cs="Calibri"/>
                <w:sz w:val="16"/>
                <w:szCs w:val="22"/>
                <w:lang w:eastAsia="en-AU"/>
              </w:rPr>
              <w:noBreakHyphen/>
            </w:r>
            <w:r w:rsidRPr="001B0BA9">
              <w:rPr>
                <w:rFonts w:ascii="Calibri" w:eastAsiaTheme="minorEastAsia" w:hAnsi="Calibri" w:cs="Calibri"/>
                <w:sz w:val="16"/>
                <w:szCs w:val="22"/>
                <w:lang w:eastAsia="en-AU"/>
              </w:rPr>
              <w:t xml:space="preserve">specialised </w:t>
            </w:r>
            <w:r w:rsidRPr="001B0BA9">
              <w:rPr>
                <w:rFonts w:ascii="Calibri" w:eastAsiaTheme="minorEastAsia" w:hAnsi="Calibri" w:cs="Calibri"/>
                <w:color w:val="000000"/>
                <w:sz w:val="16"/>
                <w:szCs w:val="22"/>
                <w:lang w:eastAsia="en-AU"/>
              </w:rPr>
              <w:t>buildings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2 243.0</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145.6</w:t>
            </w:r>
            <w:r w:rsidRPr="001B0BA9">
              <w:rPr>
                <w:rFonts w:ascii="Calibri" w:eastAsiaTheme="minorEastAsia" w:hAnsi="Calibri" w:cs="Calibri"/>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0.5</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5.8</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81.4</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color w:val="000000"/>
                <w:sz w:val="16"/>
                <w:szCs w:val="22"/>
                <w:lang w:eastAsia="en-AU"/>
              </w:rPr>
              <w:t>0.4)</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color w:val="000000"/>
                <w:sz w:val="16"/>
                <w:szCs w:val="22"/>
                <w:lang w:eastAsia="en-AU"/>
              </w:rPr>
              <w:t>3.3)</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2 181.4</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Specialised buildings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17 879.8</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681.2</w:t>
            </w:r>
            <w:r w:rsidRPr="001B0BA9">
              <w:rPr>
                <w:rFonts w:ascii="Calibri" w:eastAsiaTheme="minorEastAsia" w:hAnsi="Calibri" w:cs="Calibri"/>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color w:val="000000"/>
                <w:sz w:val="16"/>
                <w:szCs w:val="22"/>
                <w:lang w:eastAsia="en-AU"/>
              </w:rPr>
              <w:t>13.2)</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92.2</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47.4</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sidRPr="001B0BA9">
              <w:rPr>
                <w:rFonts w:ascii="Calibri" w:eastAsiaTheme="minorEastAsia" w:hAnsi="Calibri" w:cs="Calibri"/>
                <w:sz w:val="16"/>
                <w:szCs w:val="22"/>
                <w:lang w:eastAsia="en-AU"/>
              </w:rPr>
              <w:t>1 273.0</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868.0</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585.0</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20 050.9</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Heritage buildings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1 218.0</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36.0</w:t>
            </w:r>
            <w:r w:rsidRPr="001B0BA9">
              <w:rPr>
                <w:rFonts w:ascii="Calibri" w:eastAsiaTheme="minorEastAsia" w:hAnsi="Calibri" w:cs="Calibri"/>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1.0</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sidRPr="001B0BA9">
              <w:rPr>
                <w:rFonts w:ascii="Calibri" w:eastAsiaTheme="minorEastAsia" w:hAnsi="Calibri" w:cs="Calibri"/>
                <w:sz w:val="16"/>
                <w:szCs w:val="22"/>
                <w:lang w:eastAsia="en-AU"/>
              </w:rPr>
              <w:t xml:space="preserve"> 19.1</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40.3</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354.8</w:t>
            </w:r>
            <w:r w:rsidRPr="001B0BA9">
              <w:rPr>
                <w:rFonts w:ascii="Calibri" w:eastAsiaTheme="minorEastAsia" w:hAnsi="Calibri" w:cs="Calibri"/>
                <w:color w:val="000000"/>
                <w:sz w:val="16"/>
                <w:szCs w:val="22"/>
                <w:lang w:eastAsia="en-AU"/>
              </w:rPr>
              <w:t>)</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887.6</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 xml:space="preserve">Land and </w:t>
            </w:r>
            <w:r w:rsidRPr="001B0BA9">
              <w:rPr>
                <w:rFonts w:ascii="Calibri" w:eastAsiaTheme="minorEastAsia" w:hAnsi="Calibri" w:cs="Calibri"/>
                <w:b/>
                <w:bCs/>
                <w:color w:val="000000"/>
                <w:sz w:val="16"/>
                <w:szCs w:val="22"/>
                <w:lang w:eastAsia="en-AU"/>
              </w:rPr>
              <w:t>national parks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36 327.0</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5.0</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2 918.5</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154.0</w:t>
            </w:r>
            <w:r w:rsidRPr="001B0BA9">
              <w:rPr>
                <w:rFonts w:ascii="Calibri" w:eastAsiaTheme="minorEastAsia" w:hAnsi="Calibri" w:cs="Calibri"/>
                <w:b/>
                <w:bCs/>
                <w:color w:val="000000"/>
                <w:sz w:val="16"/>
                <w:szCs w:val="22"/>
                <w:lang w:eastAsia="en-AU"/>
              </w:rPr>
              <w:t>)</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356.7</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color w:val="000000"/>
                <w:sz w:val="16"/>
                <w:szCs w:val="22"/>
                <w:lang w:eastAsia="en-AU"/>
              </w:rPr>
              <w:t>6.2)</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39 447.1</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Non</w:t>
            </w:r>
            <w:r>
              <w:rPr>
                <w:rFonts w:ascii="Calibri" w:eastAsiaTheme="minorEastAsia" w:hAnsi="Calibri" w:cs="Calibri"/>
                <w:sz w:val="16"/>
                <w:szCs w:val="22"/>
                <w:lang w:eastAsia="en-AU"/>
              </w:rPr>
              <w:noBreakHyphen/>
            </w:r>
            <w:r w:rsidRPr="001B0BA9">
              <w:rPr>
                <w:rFonts w:ascii="Calibri" w:eastAsiaTheme="minorEastAsia" w:hAnsi="Calibri" w:cs="Calibri"/>
                <w:sz w:val="16"/>
                <w:szCs w:val="22"/>
                <w:lang w:eastAsia="en-AU"/>
              </w:rPr>
              <w:t>specialised land</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1 829.0</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78.8</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16.5</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color w:val="000000"/>
                <w:sz w:val="16"/>
                <w:szCs w:val="22"/>
                <w:lang w:eastAsia="en-AU"/>
              </w:rPr>
              <w:t>11.2)</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20.3</w:t>
            </w:r>
            <w:r w:rsidRPr="001B0BA9">
              <w:rPr>
                <w:rFonts w:ascii="Calibri" w:eastAsiaTheme="minorEastAsia" w:hAnsi="Calibri" w:cs="Calibri"/>
                <w:color w:val="000000"/>
                <w:sz w:val="16"/>
                <w:szCs w:val="22"/>
                <w:lang w:eastAsia="en-AU"/>
              </w:rPr>
              <w:t>)</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1 892.8</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Specialised land</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16 919.7</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5.0</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995.8</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color w:val="000000"/>
                <w:sz w:val="16"/>
                <w:szCs w:val="22"/>
                <w:lang w:eastAsia="en-AU"/>
              </w:rPr>
              <w:t>216.5)</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383.3</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604.0</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18 691.3</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22"/>
                <w:lang w:eastAsia="en-AU"/>
              </w:rPr>
            </w:pPr>
            <w:r w:rsidRPr="001B0BA9">
              <w:rPr>
                <w:rFonts w:ascii="Calibri" w:eastAsiaTheme="minorEastAsia" w:hAnsi="Calibri" w:cs="Calibri"/>
                <w:sz w:val="16"/>
                <w:szCs w:val="22"/>
                <w:lang w:eastAsia="en-AU"/>
              </w:rPr>
              <w:t xml:space="preserve">Land under </w:t>
            </w:r>
            <w:r w:rsidRPr="001B0BA9">
              <w:rPr>
                <w:rFonts w:ascii="Calibri" w:eastAsiaTheme="minorEastAsia" w:hAnsi="Calibri" w:cs="Calibri"/>
                <w:color w:val="000000"/>
                <w:sz w:val="16"/>
                <w:szCs w:val="22"/>
                <w:lang w:eastAsia="en-AU"/>
              </w:rPr>
              <w:t>roads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15 892.8</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1 843.9</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46.0</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18.6</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17 801.3</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22"/>
                <w:lang w:eastAsia="en-AU"/>
              </w:rPr>
            </w:pPr>
            <w:r w:rsidRPr="001B0BA9">
              <w:rPr>
                <w:rFonts w:ascii="Calibri" w:eastAsiaTheme="minorEastAsia" w:hAnsi="Calibri" w:cs="Calibri"/>
                <w:sz w:val="16"/>
                <w:szCs w:val="22"/>
                <w:lang w:eastAsia="en-AU"/>
              </w:rPr>
              <w:t xml:space="preserve">National parks and </w:t>
            </w:r>
            <w:r w:rsidRPr="001B0BA9">
              <w:rPr>
                <w:rFonts w:ascii="Calibri" w:eastAsiaTheme="minorEastAsia" w:hAnsi="Calibri" w:cs="Calibri"/>
                <w:color w:val="000000"/>
                <w:sz w:val="16"/>
                <w:szCs w:val="22"/>
                <w:lang w:eastAsia="en-AU"/>
              </w:rPr>
              <w:t xml:space="preserve">other </w:t>
            </w:r>
            <w:r>
              <w:rPr>
                <w:rFonts w:ascii="Calibri" w:eastAsiaTheme="minorEastAsia" w:hAnsi="Calibri" w:cs="Calibri"/>
                <w:color w:val="000000"/>
                <w:sz w:val="16"/>
                <w:szCs w:val="22"/>
                <w:lang w:eastAsia="en-AU"/>
              </w:rPr>
              <w:t>‘</w:t>
            </w:r>
            <w:r w:rsidRPr="001B0BA9">
              <w:rPr>
                <w:rFonts w:ascii="Calibri" w:eastAsiaTheme="minorEastAsia" w:hAnsi="Calibri" w:cs="Calibri"/>
                <w:color w:val="000000"/>
                <w:sz w:val="16"/>
                <w:szCs w:val="22"/>
                <w:lang w:eastAsia="en-AU"/>
              </w:rPr>
              <w:t>land only</w:t>
            </w:r>
            <w:r>
              <w:rPr>
                <w:rFonts w:ascii="Calibri" w:eastAsiaTheme="minorEastAsia" w:hAnsi="Calibri" w:cs="Calibri"/>
                <w:color w:val="000000"/>
                <w:sz w:val="16"/>
                <w:szCs w:val="22"/>
                <w:lang w:eastAsia="en-AU"/>
              </w:rPr>
              <w:t>’</w:t>
            </w:r>
            <w:r w:rsidRPr="001B0BA9">
              <w:rPr>
                <w:rFonts w:ascii="Calibri" w:eastAsiaTheme="minorEastAsia" w:hAnsi="Calibri" w:cs="Calibri"/>
                <w:color w:val="000000"/>
                <w:sz w:val="16"/>
                <w:szCs w:val="22"/>
                <w:lang w:eastAsia="en-AU"/>
              </w:rPr>
              <w:t xml:space="preserve"> holdings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1 685.5</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color w:val="000000"/>
                <w:sz w:val="16"/>
                <w:szCs w:val="22"/>
                <w:lang w:eastAsia="en-AU"/>
              </w:rPr>
              <w:t>15.4)</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color w:val="000000"/>
                <w:sz w:val="16"/>
                <w:szCs w:val="22"/>
                <w:lang w:eastAsia="en-AU"/>
              </w:rPr>
              <w:t>608.4)</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1 061.7</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 xml:space="preserve">Plant, equipment, vehicles and infrastructure systems </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2 436.5</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16"/>
                <w:lang w:eastAsia="en-AU"/>
              </w:rPr>
              <w:t>(</w:t>
            </w:r>
            <w:r w:rsidRPr="001B0BA9">
              <w:rPr>
                <w:rFonts w:ascii="Calibri" w:eastAsiaTheme="minorEastAsia" w:hAnsi="Calibri" w:cs="Calibri"/>
                <w:b/>
                <w:bCs/>
                <w:color w:val="000000"/>
                <w:sz w:val="16"/>
                <w:szCs w:val="16"/>
                <w:lang w:eastAsia="en-AU"/>
              </w:rPr>
              <w:t>478.1</w:t>
            </w:r>
            <w:r w:rsidRPr="001B0BA9">
              <w:rPr>
                <w:rFonts w:ascii="Calibri" w:eastAsiaTheme="minorEastAsia" w:hAnsi="Calibri" w:cs="Calibri"/>
                <w:b/>
                <w:bCs/>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color w:val="000000"/>
                <w:sz w:val="16"/>
                <w:szCs w:val="22"/>
                <w:lang w:eastAsia="en-AU"/>
              </w:rPr>
              <w:t>2.1)</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81.1</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35.0</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218.0</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51.2</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462.5</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2 804.1</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Infrastructure systems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1 125.3</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11.7</w:t>
            </w:r>
            <w:r w:rsidRPr="001B0BA9">
              <w:rPr>
                <w:rFonts w:ascii="Calibri" w:eastAsiaTheme="minorEastAsia" w:hAnsi="Calibri" w:cs="Calibri"/>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0.3</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34.4</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9.9</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color w:val="000000"/>
                <w:sz w:val="16"/>
                <w:szCs w:val="22"/>
                <w:lang w:eastAsia="en-AU"/>
              </w:rPr>
              <w:t>0.1)</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color w:val="000000"/>
                <w:sz w:val="16"/>
                <w:szCs w:val="22"/>
                <w:lang w:eastAsia="en-AU"/>
              </w:rPr>
              <w:t>64.0)</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1 094.0</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22"/>
                <w:lang w:eastAsia="en-AU"/>
              </w:rPr>
            </w:pPr>
            <w:r w:rsidRPr="001B0BA9">
              <w:rPr>
                <w:rFonts w:ascii="Calibri" w:eastAsiaTheme="minorEastAsia" w:hAnsi="Calibri" w:cs="Calibri"/>
                <w:sz w:val="16"/>
                <w:szCs w:val="22"/>
                <w:lang w:eastAsia="en-AU"/>
              </w:rPr>
              <w:t>Plant, equipment</w:t>
            </w:r>
            <w:r w:rsidRPr="001B0BA9">
              <w:rPr>
                <w:rFonts w:ascii="Calibri" w:eastAsiaTheme="minorEastAsia" w:hAnsi="Calibri" w:cs="Calibri"/>
                <w:color w:val="000000"/>
                <w:sz w:val="16"/>
                <w:szCs w:val="22"/>
                <w:lang w:eastAsia="en-AU"/>
              </w:rPr>
              <w:t xml:space="preserve"> and vehicles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sidRPr="001B0BA9">
              <w:rPr>
                <w:rFonts w:ascii="Calibri" w:eastAsiaTheme="minorEastAsia" w:hAnsi="Calibri" w:cs="Calibri"/>
                <w:sz w:val="16"/>
                <w:szCs w:val="22"/>
                <w:lang w:eastAsia="en-AU"/>
              </w:rPr>
              <w:t>1 311.2</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color w:val="000000"/>
                <w:sz w:val="16"/>
                <w:szCs w:val="22"/>
                <w:lang w:eastAsia="en-AU"/>
              </w:rPr>
              <w:t>466.3)</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color w:val="000000"/>
                <w:sz w:val="16"/>
                <w:szCs w:val="22"/>
                <w:lang w:eastAsia="en-AU"/>
              </w:rPr>
              <w:t>2.1)</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80.8</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0.7</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208.2</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51.3</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526.5</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sidRPr="001B0BA9">
              <w:rPr>
                <w:rFonts w:ascii="Calibri" w:eastAsiaTheme="minorEastAsia" w:hAnsi="Calibri" w:cs="Calibri"/>
                <w:sz w:val="16"/>
                <w:szCs w:val="22"/>
                <w:lang w:eastAsia="en-AU"/>
              </w:rPr>
              <w:t>1 710.2</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 xml:space="preserve">Roads, road infrastructure and </w:t>
            </w:r>
            <w:r w:rsidRPr="001B0BA9">
              <w:rPr>
                <w:rFonts w:ascii="Calibri" w:eastAsiaTheme="minorEastAsia" w:hAnsi="Calibri" w:cs="Calibri"/>
                <w:b/>
                <w:bCs/>
                <w:color w:val="000000"/>
                <w:sz w:val="16"/>
                <w:szCs w:val="22"/>
                <w:lang w:eastAsia="en-AU"/>
              </w:rPr>
              <w:t>earthworks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28 207.0</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532.0</w:t>
            </w:r>
            <w:r w:rsidRPr="001B0BA9">
              <w:rPr>
                <w:rFonts w:ascii="Calibri" w:eastAsiaTheme="minorEastAsia" w:hAnsi="Calibri" w:cs="Calibri"/>
                <w:b/>
                <w:bCs/>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4.9</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color w:val="000000"/>
                <w:sz w:val="16"/>
                <w:szCs w:val="22"/>
                <w:lang w:eastAsia="en-AU"/>
              </w:rPr>
              <w:t>503.5)</w:t>
            </w:r>
          </w:p>
        </w:tc>
        <w:tc>
          <w:tcPr>
            <w:tcW w:w="1332"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color w:val="000000"/>
                <w:sz w:val="16"/>
                <w:szCs w:val="22"/>
                <w:lang w:eastAsia="en-AU"/>
              </w:rPr>
              <w:t>170.5)</w:t>
            </w:r>
          </w:p>
        </w:tc>
        <w:tc>
          <w:tcPr>
            <w:tcW w:w="1278" w:type="dxa"/>
            <w:gridSpan w:val="2"/>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376.4</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color w:val="000000"/>
                <w:sz w:val="16"/>
                <w:szCs w:val="22"/>
                <w:lang w:eastAsia="en-AU"/>
              </w:rPr>
              <w:t>584.3)</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26 797.9</w:t>
            </w:r>
          </w:p>
        </w:tc>
      </w:tr>
      <w:tr w:rsidR="00336793" w:rsidRPr="001B0BA9" w:rsidTr="00DF0B96">
        <w:tc>
          <w:tcPr>
            <w:tcW w:w="4337"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Cultural assets</w:t>
            </w:r>
          </w:p>
        </w:tc>
        <w:tc>
          <w:tcPr>
            <w:tcW w:w="99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2 146.2</w:t>
            </w:r>
          </w:p>
        </w:tc>
        <w:tc>
          <w:tcPr>
            <w:tcW w:w="108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17.2</w:t>
            </w:r>
            <w:r w:rsidRPr="001B0BA9">
              <w:rPr>
                <w:rFonts w:ascii="Calibri" w:eastAsiaTheme="minorEastAsia" w:hAnsi="Calibri" w:cs="Calibri"/>
                <w:b/>
                <w:bCs/>
                <w:color w:val="000000"/>
                <w:sz w:val="16"/>
                <w:szCs w:val="22"/>
                <w:lang w:eastAsia="en-AU"/>
              </w:rPr>
              <w:t>)</w:t>
            </w:r>
          </w:p>
        </w:tc>
        <w:tc>
          <w:tcPr>
            <w:tcW w:w="108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w:t>
            </w:r>
          </w:p>
        </w:tc>
        <w:tc>
          <w:tcPr>
            <w:tcW w:w="126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10.9</w:t>
            </w:r>
          </w:p>
        </w:tc>
        <w:tc>
          <w:tcPr>
            <w:tcW w:w="108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1.6</w:t>
            </w:r>
          </w:p>
        </w:tc>
        <w:tc>
          <w:tcPr>
            <w:tcW w:w="1332"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15.0</w:t>
            </w:r>
            <w:r w:rsidRPr="001B0BA9">
              <w:rPr>
                <w:rFonts w:ascii="Calibri" w:eastAsiaTheme="minorEastAsia" w:hAnsi="Calibri" w:cs="Calibri"/>
                <w:b/>
                <w:bCs/>
                <w:color w:val="000000"/>
                <w:sz w:val="16"/>
                <w:szCs w:val="22"/>
                <w:lang w:eastAsia="en-AU"/>
              </w:rPr>
              <w:t>)</w:t>
            </w:r>
          </w:p>
        </w:tc>
        <w:tc>
          <w:tcPr>
            <w:tcW w:w="1278" w:type="dxa"/>
            <w:gridSpan w:val="2"/>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color w:val="000000"/>
                <w:sz w:val="16"/>
                <w:szCs w:val="22"/>
                <w:lang w:eastAsia="en-AU"/>
              </w:rPr>
              <w:t>1.3)</w:t>
            </w:r>
          </w:p>
        </w:tc>
        <w:tc>
          <w:tcPr>
            <w:tcW w:w="117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3.0</w:t>
            </w:r>
            <w:r w:rsidRPr="001B0BA9">
              <w:rPr>
                <w:rFonts w:ascii="Calibri" w:eastAsiaTheme="minorEastAsia" w:hAnsi="Calibri" w:cs="Calibri"/>
                <w:b/>
                <w:bCs/>
                <w:color w:val="000000"/>
                <w:sz w:val="16"/>
                <w:szCs w:val="22"/>
                <w:lang w:eastAsia="en-AU"/>
              </w:rPr>
              <w:t>)</w:t>
            </w:r>
          </w:p>
        </w:tc>
        <w:tc>
          <w:tcPr>
            <w:tcW w:w="963"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2 122.1</w:t>
            </w:r>
          </w:p>
        </w:tc>
      </w:tr>
      <w:tr w:rsidR="00336793" w:rsidRPr="001B0BA9" w:rsidTr="00DF0B96">
        <w:tc>
          <w:tcPr>
            <w:tcW w:w="4337" w:type="dxa"/>
            <w:tcBorders>
              <w:top w:val="single" w:sz="6" w:space="0" w:color="auto"/>
              <w:left w:val="nil"/>
              <w:bottom w:val="single" w:sz="12" w:space="0" w:color="000000"/>
              <w:right w:val="nil"/>
            </w:tcBorders>
          </w:tcPr>
          <w:p w:rsidR="00336793" w:rsidRPr="001B0BA9" w:rsidRDefault="00336793" w:rsidP="00DF0B96">
            <w:pPr>
              <w:autoSpaceDE w:val="0"/>
              <w:autoSpaceDN w:val="0"/>
              <w:adjustRightInd w:val="0"/>
              <w:spacing w:after="0"/>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Total</w:t>
            </w:r>
          </w:p>
        </w:tc>
        <w:tc>
          <w:tcPr>
            <w:tcW w:w="99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90 457.5</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(1 890.0)</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color w:val="000000"/>
                <w:sz w:val="16"/>
                <w:szCs w:val="22"/>
                <w:lang w:eastAsia="en-AU"/>
              </w:rPr>
              <w:t>15.4)</w:t>
            </w:r>
          </w:p>
        </w:tc>
        <w:tc>
          <w:tcPr>
            <w:tcW w:w="126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195.5</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2 504.9</w:t>
            </w:r>
          </w:p>
        </w:tc>
        <w:tc>
          <w:tcPr>
            <w:tcW w:w="1332"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1 251.9</w:t>
            </w:r>
          </w:p>
        </w:tc>
        <w:tc>
          <w:tcPr>
            <w:tcW w:w="1278" w:type="dxa"/>
            <w:gridSpan w:val="2"/>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1 691.0</w:t>
            </w:r>
          </w:p>
        </w:tc>
        <w:tc>
          <w:tcPr>
            <w:tcW w:w="117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 xml:space="preserve"> 95.8</w:t>
            </w:r>
          </w:p>
        </w:tc>
        <w:tc>
          <w:tcPr>
            <w:tcW w:w="963"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94 291.1</w:t>
            </w:r>
          </w:p>
        </w:tc>
      </w:tr>
    </w:tbl>
    <w:p w:rsidR="00336793" w:rsidRPr="00A10A3B" w:rsidRDefault="00336793" w:rsidP="00DF0B96">
      <w:pPr>
        <w:pStyle w:val="4ptline"/>
        <w:rPr>
          <w:shd w:val="clear" w:color="auto" w:fill="auto"/>
        </w:rPr>
      </w:pPr>
    </w:p>
    <w:tbl>
      <w:tblPr>
        <w:tblW w:w="14570" w:type="dxa"/>
        <w:tblInd w:w="28" w:type="dxa"/>
        <w:tblLayout w:type="fixed"/>
        <w:tblCellMar>
          <w:left w:w="45" w:type="dxa"/>
          <w:right w:w="45" w:type="dxa"/>
        </w:tblCellMar>
        <w:tblLook w:val="0000" w:firstRow="0" w:lastRow="0" w:firstColumn="0" w:lastColumn="0" w:noHBand="0" w:noVBand="0"/>
      </w:tblPr>
      <w:tblGrid>
        <w:gridCol w:w="4337"/>
        <w:gridCol w:w="990"/>
        <w:gridCol w:w="1080"/>
        <w:gridCol w:w="1080"/>
        <w:gridCol w:w="1260"/>
        <w:gridCol w:w="1080"/>
        <w:gridCol w:w="1350"/>
        <w:gridCol w:w="1260"/>
        <w:gridCol w:w="1170"/>
        <w:gridCol w:w="963"/>
      </w:tblGrid>
      <w:tr w:rsidR="00336793" w:rsidRPr="001B0BA9" w:rsidTr="00DF0B96">
        <w:trPr>
          <w:tblHeader/>
        </w:trPr>
        <w:tc>
          <w:tcPr>
            <w:tcW w:w="4337" w:type="dxa"/>
            <w:tcBorders>
              <w:top w:val="single" w:sz="6" w:space="0" w:color="auto"/>
              <w:left w:val="single" w:sz="6" w:space="0" w:color="auto"/>
              <w:bottom w:val="single" w:sz="6" w:space="0" w:color="auto"/>
              <w:right w:val="nil"/>
            </w:tcBorders>
            <w:shd w:val="clear" w:color="000000" w:fill="000000"/>
            <w:vAlign w:val="bottom"/>
          </w:tcPr>
          <w:p w:rsidR="00336793" w:rsidRPr="001B0BA9" w:rsidRDefault="00336793" w:rsidP="00DF0B96">
            <w:pPr>
              <w:pStyle w:val="Tabletextheading"/>
              <w:jc w:val="left"/>
              <w:rPr>
                <w:rFonts w:eastAsiaTheme="minorEastAsia"/>
                <w:color w:val="FFFFFF"/>
                <w:sz w:val="16"/>
                <w:lang w:eastAsia="en-AU"/>
              </w:rPr>
            </w:pPr>
            <w:r w:rsidRPr="001B0BA9">
              <w:rPr>
                <w:rFonts w:eastAsiaTheme="minorEastAsia"/>
                <w:color w:val="FFFFFF"/>
                <w:sz w:val="16"/>
                <w:lang w:eastAsia="en-AU"/>
              </w:rPr>
              <w:t>2014</w:t>
            </w:r>
          </w:p>
        </w:tc>
        <w:tc>
          <w:tcPr>
            <w:tcW w:w="99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p>
        </w:tc>
        <w:tc>
          <w:tcPr>
            <w:tcW w:w="108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p>
        </w:tc>
        <w:tc>
          <w:tcPr>
            <w:tcW w:w="108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p>
        </w:tc>
        <w:tc>
          <w:tcPr>
            <w:tcW w:w="126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p>
        </w:tc>
        <w:tc>
          <w:tcPr>
            <w:tcW w:w="108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p>
        </w:tc>
        <w:tc>
          <w:tcPr>
            <w:tcW w:w="135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p>
        </w:tc>
        <w:tc>
          <w:tcPr>
            <w:tcW w:w="126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p>
        </w:tc>
        <w:tc>
          <w:tcPr>
            <w:tcW w:w="1170" w:type="dxa"/>
            <w:tcBorders>
              <w:top w:val="single" w:sz="6" w:space="0" w:color="auto"/>
              <w:left w:val="nil"/>
              <w:bottom w:val="single" w:sz="6" w:space="0" w:color="auto"/>
              <w:right w:val="nil"/>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p>
        </w:tc>
        <w:tc>
          <w:tcPr>
            <w:tcW w:w="963" w:type="dxa"/>
            <w:tcBorders>
              <w:top w:val="single" w:sz="6" w:space="0" w:color="auto"/>
              <w:left w:val="nil"/>
              <w:bottom w:val="single" w:sz="6" w:space="0" w:color="auto"/>
              <w:right w:val="single" w:sz="6" w:space="0" w:color="auto"/>
            </w:tcBorders>
            <w:shd w:val="clear" w:color="000000" w:fill="000000"/>
            <w:vAlign w:val="bottom"/>
          </w:tcPr>
          <w:p w:rsidR="00336793" w:rsidRPr="001B0BA9" w:rsidRDefault="00336793" w:rsidP="00DF0B96">
            <w:pPr>
              <w:pStyle w:val="Tabletextheading"/>
              <w:rPr>
                <w:rFonts w:eastAsiaTheme="minorEastAsia"/>
                <w:color w:val="FFFFFF"/>
                <w:sz w:val="16"/>
                <w:lang w:eastAsia="en-AU"/>
              </w:rPr>
            </w:pPr>
          </w:p>
        </w:tc>
      </w:tr>
      <w:tr w:rsidR="00336793" w:rsidRPr="001B0BA9" w:rsidTr="00DF0B96">
        <w:tc>
          <w:tcPr>
            <w:tcW w:w="4337"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color w:val="000000"/>
                <w:sz w:val="16"/>
                <w:szCs w:val="22"/>
                <w:vertAlign w:val="superscript"/>
                <w:lang w:eastAsia="en-AU"/>
              </w:rPr>
            </w:pPr>
            <w:r w:rsidRPr="001B0BA9">
              <w:rPr>
                <w:rFonts w:ascii="Calibri" w:eastAsiaTheme="minorEastAsia" w:hAnsi="Calibri" w:cs="Calibri"/>
                <w:b/>
                <w:bCs/>
                <w:sz w:val="16"/>
                <w:szCs w:val="22"/>
                <w:lang w:eastAsia="en-AU"/>
              </w:rPr>
              <w:t xml:space="preserve">Buildings </w:t>
            </w:r>
            <w:r w:rsidRPr="001B0BA9">
              <w:rPr>
                <w:rFonts w:ascii="Calibri" w:eastAsiaTheme="minorEastAsia" w:hAnsi="Calibri" w:cs="Calibri"/>
                <w:b/>
                <w:bCs/>
                <w:color w:val="000000"/>
                <w:sz w:val="16"/>
                <w:szCs w:val="22"/>
                <w:vertAlign w:val="superscript"/>
                <w:lang w:eastAsia="en-AU"/>
              </w:rPr>
              <w:t>(a)</w:t>
            </w:r>
          </w:p>
        </w:tc>
        <w:tc>
          <w:tcPr>
            <w:tcW w:w="99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19 713.1</w:t>
            </w:r>
          </w:p>
        </w:tc>
        <w:tc>
          <w:tcPr>
            <w:tcW w:w="108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991.2</w:t>
            </w:r>
            <w:r w:rsidRPr="001B0BA9">
              <w:rPr>
                <w:rFonts w:ascii="Calibri" w:eastAsiaTheme="minorEastAsia" w:hAnsi="Calibri" w:cs="Calibri"/>
                <w:b/>
                <w:bCs/>
                <w:color w:val="000000"/>
                <w:sz w:val="16"/>
                <w:szCs w:val="22"/>
                <w:lang w:eastAsia="en-AU"/>
              </w:rPr>
              <w:t>)</w:t>
            </w:r>
          </w:p>
        </w:tc>
        <w:tc>
          <w:tcPr>
            <w:tcW w:w="1080" w:type="dxa"/>
            <w:tcBorders>
              <w:top w:val="single" w:sz="6" w:space="0" w:color="auto"/>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2.0</w:t>
            </w:r>
            <w:r w:rsidRPr="001B0BA9">
              <w:rPr>
                <w:rFonts w:ascii="Calibri" w:eastAsiaTheme="minorEastAsia" w:hAnsi="Calibri" w:cs="Calibri"/>
                <w:b/>
                <w:bCs/>
                <w:color w:val="000000"/>
                <w:sz w:val="16"/>
                <w:szCs w:val="22"/>
                <w:lang w:eastAsia="en-AU"/>
              </w:rPr>
              <w:t>)</w:t>
            </w:r>
          </w:p>
        </w:tc>
        <w:tc>
          <w:tcPr>
            <w:tcW w:w="1260" w:type="dxa"/>
            <w:tcBorders>
              <w:top w:val="single" w:sz="6" w:space="0" w:color="auto"/>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25.1</w:t>
            </w:r>
          </w:p>
        </w:tc>
        <w:tc>
          <w:tcPr>
            <w:tcW w:w="1080" w:type="dxa"/>
            <w:tcBorders>
              <w:top w:val="single" w:sz="6" w:space="0" w:color="auto"/>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1 702.3</w:t>
            </w:r>
          </w:p>
        </w:tc>
        <w:tc>
          <w:tcPr>
            <w:tcW w:w="1350" w:type="dxa"/>
            <w:tcBorders>
              <w:top w:val="single" w:sz="6" w:space="0" w:color="auto"/>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887.9</w:t>
            </w:r>
          </w:p>
        </w:tc>
        <w:tc>
          <w:tcPr>
            <w:tcW w:w="126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1.1</w:t>
            </w:r>
            <w:r w:rsidRPr="001B0BA9">
              <w:rPr>
                <w:rFonts w:ascii="Calibri" w:eastAsiaTheme="minorEastAsia" w:hAnsi="Calibri" w:cs="Calibri"/>
                <w:b/>
                <w:bCs/>
                <w:color w:val="000000"/>
                <w:sz w:val="16"/>
                <w:szCs w:val="22"/>
                <w:lang w:eastAsia="en-AU"/>
              </w:rPr>
              <w:t>)</w:t>
            </w:r>
          </w:p>
        </w:tc>
        <w:tc>
          <w:tcPr>
            <w:tcW w:w="1170"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6.8</w:t>
            </w:r>
          </w:p>
        </w:tc>
        <w:tc>
          <w:tcPr>
            <w:tcW w:w="963" w:type="dxa"/>
            <w:tcBorders>
              <w:top w:val="single" w:sz="6" w:space="0" w:color="auto"/>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21 340.8</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Non</w:t>
            </w:r>
            <w:r>
              <w:rPr>
                <w:rFonts w:ascii="Calibri" w:eastAsiaTheme="minorEastAsia" w:hAnsi="Calibri" w:cs="Calibri"/>
                <w:sz w:val="16"/>
                <w:szCs w:val="22"/>
                <w:lang w:eastAsia="en-AU"/>
              </w:rPr>
              <w:noBreakHyphen/>
              <w:t>s</w:t>
            </w:r>
            <w:r w:rsidRPr="001B0BA9">
              <w:rPr>
                <w:rFonts w:ascii="Calibri" w:eastAsiaTheme="minorEastAsia" w:hAnsi="Calibri" w:cs="Calibri"/>
                <w:sz w:val="16"/>
                <w:szCs w:val="22"/>
                <w:lang w:eastAsia="en-AU"/>
              </w:rPr>
              <w:t>pecialised buildings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2 029.3</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166.2</w:t>
            </w:r>
            <w:r w:rsidRPr="001B0BA9">
              <w:rPr>
                <w:rFonts w:ascii="Calibri" w:eastAsiaTheme="minorEastAsia" w:hAnsi="Calibri" w:cs="Calibri"/>
                <w:color w:val="000000"/>
                <w:sz w:val="16"/>
                <w:szCs w:val="22"/>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7.8</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312.9</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79.0</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24.9</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44.6</w:t>
            </w:r>
            <w:r w:rsidRPr="001B0BA9">
              <w:rPr>
                <w:rFonts w:ascii="Calibri" w:eastAsiaTheme="minorEastAsia" w:hAnsi="Calibri" w:cs="Calibri"/>
                <w:color w:val="000000"/>
                <w:sz w:val="16"/>
                <w:szCs w:val="22"/>
                <w:lang w:eastAsia="en-AU"/>
              </w:rPr>
              <w:t>)</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2 243.0</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22"/>
                <w:vertAlign w:val="superscript"/>
                <w:lang w:eastAsia="en-AU"/>
              </w:rPr>
            </w:pPr>
            <w:r>
              <w:rPr>
                <w:rFonts w:ascii="Calibri" w:eastAsiaTheme="minorEastAsia" w:hAnsi="Calibri" w:cs="Calibri"/>
                <w:sz w:val="16"/>
                <w:szCs w:val="22"/>
                <w:lang w:eastAsia="en-AU"/>
              </w:rPr>
              <w:t>Specialised buildings</w:t>
            </w:r>
            <w:r w:rsidRPr="001B0BA9">
              <w:rPr>
                <w:rFonts w:ascii="Calibri" w:eastAsiaTheme="minorEastAsia" w:hAnsi="Calibri" w:cs="Calibri"/>
                <w:color w:val="000000"/>
                <w:sz w:val="16"/>
                <w:szCs w:val="22"/>
                <w:vertAlign w:val="superscript"/>
                <w:lang w:eastAsia="en-AU"/>
              </w:rPr>
              <w:t>(a)</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16 436.3</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784.4</w:t>
            </w:r>
            <w:r w:rsidRPr="001B0BA9">
              <w:rPr>
                <w:rFonts w:ascii="Calibri" w:eastAsiaTheme="minorEastAsia" w:hAnsi="Calibri" w:cs="Calibri"/>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2.0</w:t>
            </w:r>
            <w:r w:rsidRPr="001B0BA9">
              <w:rPr>
                <w:rFonts w:ascii="Calibri" w:eastAsiaTheme="minorEastAsia" w:hAnsi="Calibri" w:cs="Calibri"/>
                <w:color w:val="000000"/>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17.3</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1 389.4</w:t>
            </w:r>
          </w:p>
        </w:tc>
        <w:tc>
          <w:tcPr>
            <w:tcW w:w="135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800.0</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26.0</w:t>
            </w:r>
            <w:r w:rsidRPr="001B0BA9">
              <w:rPr>
                <w:rFonts w:ascii="Calibri" w:eastAsiaTheme="minorEastAsia" w:hAnsi="Calibri" w:cs="Calibri"/>
                <w:color w:val="000000"/>
                <w:sz w:val="16"/>
                <w:szCs w:val="22"/>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49.2</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17 879.8</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22"/>
                <w:vertAlign w:val="superscript"/>
                <w:lang w:eastAsia="en-AU"/>
              </w:rPr>
            </w:pPr>
            <w:r>
              <w:rPr>
                <w:rFonts w:ascii="Calibri" w:eastAsiaTheme="minorEastAsia" w:hAnsi="Calibri" w:cs="Calibri"/>
                <w:sz w:val="16"/>
                <w:szCs w:val="22"/>
                <w:lang w:eastAsia="en-AU"/>
              </w:rPr>
              <w:t>Heritage buildings</w:t>
            </w:r>
            <w:r w:rsidRPr="001B0BA9">
              <w:rPr>
                <w:rFonts w:ascii="Calibri" w:eastAsiaTheme="minorEastAsia" w:hAnsi="Calibri" w:cs="Calibri"/>
                <w:color w:val="000000"/>
                <w:sz w:val="16"/>
                <w:szCs w:val="22"/>
                <w:vertAlign w:val="superscript"/>
                <w:lang w:eastAsia="en-AU"/>
              </w:rPr>
              <w:t>(a)</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1 247.6</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40.7</w:t>
            </w:r>
            <w:r w:rsidRPr="001B0BA9">
              <w:rPr>
                <w:rFonts w:ascii="Calibri" w:eastAsiaTheme="minorEastAsia" w:hAnsi="Calibri" w:cs="Calibri"/>
                <w:color w:val="000000"/>
                <w:sz w:val="16"/>
                <w:szCs w:val="22"/>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8.8</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2.2</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1 218.0</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Land and national parks</w:t>
            </w:r>
            <w:r w:rsidRPr="001B0BA9">
              <w:rPr>
                <w:rFonts w:ascii="Calibri" w:eastAsiaTheme="minorEastAsia" w:hAnsi="Calibri" w:cs="Calibri"/>
                <w:color w:val="000000"/>
                <w:sz w:val="16"/>
                <w:szCs w:val="22"/>
                <w:vertAlign w:val="superscript"/>
                <w:lang w:eastAsia="en-AU"/>
              </w:rPr>
              <w:t>(a)</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35 726.3</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2.8</w:t>
            </w:r>
            <w:r w:rsidRPr="001B0BA9">
              <w:rPr>
                <w:rFonts w:ascii="Calibri" w:eastAsiaTheme="minorEastAsia" w:hAnsi="Calibri" w:cs="Calibri"/>
                <w:b/>
                <w:bCs/>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0.1</w:t>
            </w:r>
            <w:r w:rsidRPr="001B0BA9">
              <w:rPr>
                <w:rFonts w:ascii="Calibri" w:eastAsiaTheme="minorEastAsia" w:hAnsi="Calibri" w:cs="Calibri"/>
                <w:b/>
                <w:bCs/>
                <w:color w:val="000000"/>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15.3</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377.8</w:t>
            </w:r>
          </w:p>
        </w:tc>
        <w:tc>
          <w:tcPr>
            <w:tcW w:w="135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335.1</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16.6</w:t>
            </w:r>
            <w:r w:rsidRPr="001B0BA9">
              <w:rPr>
                <w:rFonts w:ascii="Calibri" w:eastAsiaTheme="minorEastAsia" w:hAnsi="Calibri" w:cs="Calibri"/>
                <w:b/>
                <w:bCs/>
                <w:color w:val="000000"/>
                <w:sz w:val="16"/>
                <w:szCs w:val="22"/>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107.9</w:t>
            </w:r>
            <w:r w:rsidRPr="001B0BA9">
              <w:rPr>
                <w:rFonts w:ascii="Calibri" w:eastAsiaTheme="minorEastAsia" w:hAnsi="Calibri" w:cs="Calibri"/>
                <w:b/>
                <w:bCs/>
                <w:color w:val="000000"/>
                <w:sz w:val="16"/>
                <w:szCs w:val="22"/>
                <w:lang w:eastAsia="en-AU"/>
              </w:rPr>
              <w:t>)</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36 327.0</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Non</w:t>
            </w:r>
            <w:r>
              <w:rPr>
                <w:rFonts w:ascii="Calibri" w:eastAsiaTheme="minorEastAsia" w:hAnsi="Calibri" w:cs="Calibri"/>
                <w:sz w:val="16"/>
                <w:szCs w:val="22"/>
                <w:lang w:eastAsia="en-AU"/>
              </w:rPr>
              <w:noBreakHyphen/>
              <w:t>s</w:t>
            </w:r>
            <w:r w:rsidRPr="001B0BA9">
              <w:rPr>
                <w:rFonts w:ascii="Calibri" w:eastAsiaTheme="minorEastAsia" w:hAnsi="Calibri" w:cs="Calibri"/>
                <w:sz w:val="16"/>
                <w:szCs w:val="22"/>
                <w:lang w:eastAsia="en-AU"/>
              </w:rPr>
              <w:t>pecialised land</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1 812.6</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22.1</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4.9</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1.5</w:t>
            </w:r>
            <w:r w:rsidRPr="001B0BA9">
              <w:rPr>
                <w:rFonts w:ascii="Calibri" w:eastAsiaTheme="minorEastAsia" w:hAnsi="Calibri" w:cs="Calibri"/>
                <w:color w:val="000000"/>
                <w:sz w:val="16"/>
                <w:szCs w:val="22"/>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16.0</w:t>
            </w:r>
            <w:r w:rsidRPr="001B0BA9">
              <w:rPr>
                <w:rFonts w:ascii="Calibri" w:eastAsiaTheme="minorEastAsia" w:hAnsi="Calibri" w:cs="Calibri"/>
                <w:color w:val="000000"/>
                <w:sz w:val="16"/>
                <w:szCs w:val="22"/>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6.8</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1 829.0</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22"/>
                <w:vertAlign w:val="superscript"/>
                <w:lang w:eastAsia="en-AU"/>
              </w:rPr>
            </w:pPr>
            <w:r>
              <w:rPr>
                <w:rFonts w:ascii="Calibri" w:eastAsiaTheme="minorEastAsia" w:hAnsi="Calibri" w:cs="Calibri"/>
                <w:sz w:val="16"/>
                <w:szCs w:val="22"/>
                <w:lang w:eastAsia="en-AU"/>
              </w:rPr>
              <w:t>Specialised land</w:t>
            </w:r>
            <w:r w:rsidRPr="001B0BA9">
              <w:rPr>
                <w:rFonts w:ascii="Calibri" w:eastAsiaTheme="minorEastAsia" w:hAnsi="Calibri" w:cs="Calibri"/>
                <w:color w:val="000000"/>
                <w:sz w:val="16"/>
                <w:szCs w:val="22"/>
                <w:vertAlign w:val="superscript"/>
                <w:lang w:eastAsia="en-AU"/>
              </w:rPr>
              <w:t>(a)</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16 335.8</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2.8</w:t>
            </w:r>
            <w:r w:rsidRPr="001B0BA9">
              <w:rPr>
                <w:rFonts w:ascii="Calibri" w:eastAsiaTheme="minorEastAsia" w:hAnsi="Calibri" w:cs="Calibri"/>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0.1</w:t>
            </w:r>
            <w:r w:rsidRPr="001B0BA9">
              <w:rPr>
                <w:rFonts w:ascii="Calibri" w:eastAsiaTheme="minorEastAsia" w:hAnsi="Calibri" w:cs="Calibri"/>
                <w:color w:val="000000"/>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6.8</w:t>
            </w:r>
            <w:r w:rsidRPr="001B0BA9">
              <w:rPr>
                <w:rFonts w:ascii="Calibri" w:eastAsiaTheme="minorEastAsia" w:hAnsi="Calibri" w:cs="Calibri"/>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372.9</w:t>
            </w:r>
          </w:p>
        </w:tc>
        <w:tc>
          <w:tcPr>
            <w:tcW w:w="135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336.5</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1.1</w:t>
            </w:r>
            <w:r w:rsidRPr="001B0BA9">
              <w:rPr>
                <w:rFonts w:ascii="Calibri" w:eastAsiaTheme="minorEastAsia" w:hAnsi="Calibri" w:cs="Calibri"/>
                <w:color w:val="000000"/>
                <w:sz w:val="16"/>
                <w:szCs w:val="22"/>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114.8</w:t>
            </w:r>
            <w:r w:rsidRPr="001B0BA9">
              <w:rPr>
                <w:rFonts w:ascii="Calibri" w:eastAsiaTheme="minorEastAsia" w:hAnsi="Calibri" w:cs="Calibri"/>
                <w:color w:val="000000"/>
                <w:sz w:val="16"/>
                <w:szCs w:val="22"/>
                <w:lang w:eastAsia="en-AU"/>
              </w:rPr>
              <w:t>)</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16 919.7</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Land under roads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15 892.4</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0.4</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15 892.8</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National parks and other </w:t>
            </w: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land only</w:t>
            </w: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 xml:space="preserve"> holdings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1 685.5</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1 685.5</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Plant, equipment, vehicles and infrastructure systems</w:t>
            </w:r>
            <w:r>
              <w:rPr>
                <w:rFonts w:ascii="Calibri" w:eastAsiaTheme="minorEastAsia" w:hAnsi="Calibri" w:cs="Calibri"/>
                <w:color w:val="000000"/>
                <w:sz w:val="16"/>
                <w:szCs w:val="22"/>
                <w:vertAlign w:val="superscript"/>
                <w:lang w:eastAsia="en-AU"/>
              </w:rPr>
              <w:t>(b</w:t>
            </w:r>
            <w:r w:rsidRPr="001B0BA9">
              <w:rPr>
                <w:rFonts w:ascii="Calibri" w:eastAsiaTheme="minorEastAsia" w:hAnsi="Calibri" w:cs="Calibri"/>
                <w:color w:val="000000"/>
                <w:sz w:val="16"/>
                <w:szCs w:val="22"/>
                <w:vertAlign w:val="superscript"/>
                <w:lang w:eastAsia="en-AU"/>
              </w:rPr>
              <w:t>)</w:t>
            </w:r>
            <w:r w:rsidRPr="001B0BA9">
              <w:rPr>
                <w:rFonts w:ascii="Calibri" w:eastAsiaTheme="minorEastAsia" w:hAnsi="Calibri" w:cs="Calibri"/>
                <w:b/>
                <w:bCs/>
                <w:sz w:val="16"/>
                <w:szCs w:val="22"/>
                <w:lang w:eastAsia="en-AU"/>
              </w:rPr>
              <w:t xml:space="preserve"> </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2 496.8</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453.7</w:t>
            </w:r>
            <w:r w:rsidRPr="001B0BA9">
              <w:rPr>
                <w:rFonts w:ascii="Calibri" w:eastAsiaTheme="minorEastAsia" w:hAnsi="Calibri" w:cs="Calibri"/>
                <w:b/>
                <w:bCs/>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0.4</w:t>
            </w:r>
            <w:r w:rsidRPr="001B0BA9">
              <w:rPr>
                <w:rFonts w:ascii="Calibri" w:eastAsiaTheme="minorEastAsia" w:hAnsi="Calibri" w:cs="Calibri"/>
                <w:b/>
                <w:bCs/>
                <w:color w:val="000000"/>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22.1</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0.3</w:t>
            </w:r>
          </w:p>
        </w:tc>
        <w:tc>
          <w:tcPr>
            <w:tcW w:w="135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355.5</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6.6</w:t>
            </w:r>
            <w:r w:rsidRPr="001B0BA9">
              <w:rPr>
                <w:rFonts w:ascii="Calibri" w:eastAsiaTheme="minorEastAsia" w:hAnsi="Calibri" w:cs="Calibri"/>
                <w:b/>
                <w:bCs/>
                <w:color w:val="000000"/>
                <w:sz w:val="16"/>
                <w:szCs w:val="22"/>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22.5</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2 436.5</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Infrastructure systems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1 149.7</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33.5</w:t>
            </w:r>
            <w:r w:rsidRPr="001B0BA9">
              <w:rPr>
                <w:rFonts w:ascii="Calibri" w:eastAsiaTheme="minorEastAsia" w:hAnsi="Calibri" w:cs="Calibri"/>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0.4</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135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18.3</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9.6</w:t>
            </w:r>
            <w:r w:rsidRPr="001B0BA9">
              <w:rPr>
                <w:rFonts w:ascii="Calibri" w:eastAsiaTheme="minorEastAsia" w:hAnsi="Calibri" w:cs="Calibri"/>
                <w:color w:val="000000"/>
                <w:sz w:val="16"/>
                <w:szCs w:val="22"/>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1 125.3</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16"/>
                <w:szCs w:val="22"/>
                <w:vertAlign w:val="superscript"/>
                <w:lang w:eastAsia="en-AU"/>
              </w:rPr>
            </w:pPr>
            <w:r w:rsidRPr="001B0BA9">
              <w:rPr>
                <w:rFonts w:ascii="Calibri" w:eastAsiaTheme="minorEastAsia" w:hAnsi="Calibri" w:cs="Calibri"/>
                <w:sz w:val="16"/>
                <w:szCs w:val="22"/>
                <w:lang w:eastAsia="en-AU"/>
              </w:rPr>
              <w:t xml:space="preserve">Plant, equipment and vehicles </w:t>
            </w:r>
            <w:r w:rsidRPr="001B0BA9">
              <w:rPr>
                <w:rFonts w:ascii="Calibri" w:eastAsiaTheme="minorEastAsia" w:hAnsi="Calibri" w:cs="Calibri"/>
                <w:color w:val="000000"/>
                <w:sz w:val="16"/>
                <w:szCs w:val="22"/>
                <w:vertAlign w:val="superscript"/>
                <w:lang w:eastAsia="en-AU"/>
              </w:rPr>
              <w:t>(b)</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1 347.1</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420.2</w:t>
            </w:r>
            <w:r w:rsidRPr="001B0BA9">
              <w:rPr>
                <w:rFonts w:ascii="Calibri" w:eastAsiaTheme="minorEastAsia" w:hAnsi="Calibri" w:cs="Calibri"/>
                <w:color w:val="000000"/>
                <w:sz w:val="16"/>
                <w:szCs w:val="22"/>
                <w:lang w:eastAsia="en-AU"/>
              </w:rPr>
              <w:t>)</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color w:val="000000"/>
                <w:sz w:val="16"/>
                <w:szCs w:val="22"/>
                <w:lang w:eastAsia="en-AU"/>
              </w:rPr>
            </w:pPr>
            <w:r>
              <w:rPr>
                <w:rFonts w:ascii="Calibri" w:eastAsiaTheme="minorEastAsia" w:hAnsi="Calibri" w:cs="Calibri"/>
                <w:sz w:val="16"/>
                <w:szCs w:val="22"/>
                <w:lang w:eastAsia="en-AU"/>
              </w:rPr>
              <w:t>(</w:t>
            </w:r>
            <w:r w:rsidRPr="001B0BA9">
              <w:rPr>
                <w:rFonts w:ascii="Calibri" w:eastAsiaTheme="minorEastAsia" w:hAnsi="Calibri" w:cs="Calibri"/>
                <w:sz w:val="16"/>
                <w:szCs w:val="22"/>
                <w:lang w:eastAsia="en-AU"/>
              </w:rPr>
              <w:t>0.4</w:t>
            </w:r>
            <w:r w:rsidRPr="001B0BA9">
              <w:rPr>
                <w:rFonts w:ascii="Calibri" w:eastAsiaTheme="minorEastAsia" w:hAnsi="Calibri" w:cs="Calibri"/>
                <w:color w:val="000000"/>
                <w:sz w:val="16"/>
                <w:szCs w:val="22"/>
                <w:lang w:eastAsia="en-AU"/>
              </w:rPr>
              <w:t>)</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21.7</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0.3</w:t>
            </w:r>
          </w:p>
        </w:tc>
        <w:tc>
          <w:tcPr>
            <w:tcW w:w="135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337.3</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3.0</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 xml:space="preserve"> 22.5</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sz w:val="16"/>
                <w:szCs w:val="22"/>
                <w:lang w:eastAsia="en-AU"/>
              </w:rPr>
            </w:pPr>
            <w:r w:rsidRPr="001B0BA9">
              <w:rPr>
                <w:rFonts w:ascii="Calibri" w:eastAsiaTheme="minorEastAsia" w:hAnsi="Calibri" w:cs="Calibri"/>
                <w:sz w:val="16"/>
                <w:szCs w:val="22"/>
                <w:lang w:eastAsia="en-AU"/>
              </w:rPr>
              <w:t>1 311.2</w:t>
            </w:r>
          </w:p>
        </w:tc>
      </w:tr>
      <w:tr w:rsidR="00336793" w:rsidRPr="001B0BA9" w:rsidTr="00DF0B96">
        <w:tc>
          <w:tcPr>
            <w:tcW w:w="4337"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Roads, road infrastructure and earthworks</w:t>
            </w:r>
          </w:p>
        </w:tc>
        <w:tc>
          <w:tcPr>
            <w:tcW w:w="99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27 285.3</w:t>
            </w:r>
          </w:p>
        </w:tc>
        <w:tc>
          <w:tcPr>
            <w:tcW w:w="108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566.3</w:t>
            </w:r>
            <w:r w:rsidRPr="001B0BA9">
              <w:rPr>
                <w:rFonts w:ascii="Calibri" w:eastAsiaTheme="minorEastAsia" w:hAnsi="Calibri" w:cs="Calibri"/>
                <w:b/>
                <w:bCs/>
                <w:color w:val="000000"/>
                <w:sz w:val="16"/>
                <w:szCs w:val="22"/>
                <w:lang w:eastAsia="en-AU"/>
              </w:rPr>
              <w:t>)</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w:t>
            </w:r>
          </w:p>
        </w:tc>
        <w:tc>
          <w:tcPr>
            <w:tcW w:w="126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4.4</w:t>
            </w:r>
          </w:p>
        </w:tc>
        <w:tc>
          <w:tcPr>
            <w:tcW w:w="108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12.3</w:t>
            </w:r>
          </w:p>
        </w:tc>
        <w:tc>
          <w:tcPr>
            <w:tcW w:w="1350" w:type="dxa"/>
            <w:tcBorders>
              <w:top w:val="nil"/>
              <w:left w:val="nil"/>
              <w:bottom w:val="nil"/>
              <w:right w:val="nil"/>
            </w:tcBorders>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4.7</w:t>
            </w:r>
          </w:p>
        </w:tc>
        <w:tc>
          <w:tcPr>
            <w:tcW w:w="126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p>
        </w:tc>
        <w:tc>
          <w:tcPr>
            <w:tcW w:w="1170"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sidRPr="001B0BA9">
              <w:rPr>
                <w:rFonts w:ascii="Calibri" w:eastAsiaTheme="minorEastAsia" w:hAnsi="Calibri" w:cs="Calibri"/>
                <w:b/>
                <w:bCs/>
                <w:sz w:val="16"/>
                <w:szCs w:val="22"/>
                <w:lang w:eastAsia="en-AU"/>
              </w:rPr>
              <w:t>1 466.7</w:t>
            </w:r>
          </w:p>
        </w:tc>
        <w:tc>
          <w:tcPr>
            <w:tcW w:w="963" w:type="dxa"/>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28 207.0</w:t>
            </w:r>
          </w:p>
        </w:tc>
      </w:tr>
      <w:tr w:rsidR="00336793" w:rsidRPr="001B0BA9" w:rsidTr="00DF0B96">
        <w:tc>
          <w:tcPr>
            <w:tcW w:w="4337"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Cultural assets</w:t>
            </w:r>
          </w:p>
        </w:tc>
        <w:tc>
          <w:tcPr>
            <w:tcW w:w="99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2 092.0</w:t>
            </w:r>
          </w:p>
        </w:tc>
        <w:tc>
          <w:tcPr>
            <w:tcW w:w="108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15.2</w:t>
            </w:r>
            <w:r w:rsidRPr="001B0BA9">
              <w:rPr>
                <w:rFonts w:ascii="Calibri" w:eastAsiaTheme="minorEastAsia" w:hAnsi="Calibri" w:cs="Calibri"/>
                <w:b/>
                <w:bCs/>
                <w:color w:val="000000"/>
                <w:sz w:val="16"/>
                <w:szCs w:val="22"/>
                <w:lang w:eastAsia="en-AU"/>
              </w:rPr>
              <w:t>)</w:t>
            </w:r>
          </w:p>
        </w:tc>
        <w:tc>
          <w:tcPr>
            <w:tcW w:w="108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w:t>
            </w:r>
          </w:p>
        </w:tc>
        <w:tc>
          <w:tcPr>
            <w:tcW w:w="126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w:t>
            </w:r>
          </w:p>
        </w:tc>
        <w:tc>
          <w:tcPr>
            <w:tcW w:w="108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w:t>
            </w:r>
          </w:p>
        </w:tc>
        <w:tc>
          <w:tcPr>
            <w:tcW w:w="135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5.3</w:t>
            </w:r>
          </w:p>
        </w:tc>
        <w:tc>
          <w:tcPr>
            <w:tcW w:w="126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w:t>
            </w:r>
          </w:p>
        </w:tc>
        <w:tc>
          <w:tcPr>
            <w:tcW w:w="1170"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64.1</w:t>
            </w:r>
          </w:p>
        </w:tc>
        <w:tc>
          <w:tcPr>
            <w:tcW w:w="963" w:type="dxa"/>
            <w:tcBorders>
              <w:top w:val="nil"/>
              <w:left w:val="nil"/>
              <w:bottom w:val="single" w:sz="6" w:space="0" w:color="auto"/>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2 146.2</w:t>
            </w:r>
          </w:p>
        </w:tc>
      </w:tr>
      <w:tr w:rsidR="00336793" w:rsidRPr="001B0BA9" w:rsidTr="00DF0B96">
        <w:tc>
          <w:tcPr>
            <w:tcW w:w="4337" w:type="dxa"/>
            <w:tcBorders>
              <w:top w:val="single" w:sz="6" w:space="0" w:color="auto"/>
              <w:left w:val="nil"/>
              <w:bottom w:val="single" w:sz="12" w:space="0" w:color="000000"/>
              <w:right w:val="nil"/>
            </w:tcBorders>
          </w:tcPr>
          <w:p w:rsidR="00336793" w:rsidRPr="001B0BA9" w:rsidRDefault="00336793" w:rsidP="00DF0B96">
            <w:pPr>
              <w:autoSpaceDE w:val="0"/>
              <w:autoSpaceDN w:val="0"/>
              <w:adjustRightInd w:val="0"/>
              <w:spacing w:after="0"/>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Total</w:t>
            </w:r>
            <w:r w:rsidRPr="001B0BA9">
              <w:rPr>
                <w:rFonts w:ascii="Calibri" w:eastAsiaTheme="minorEastAsia" w:hAnsi="Calibri" w:cs="Calibri"/>
                <w:color w:val="000000"/>
                <w:sz w:val="16"/>
                <w:szCs w:val="22"/>
                <w:vertAlign w:val="superscript"/>
                <w:lang w:eastAsia="en-AU"/>
              </w:rPr>
              <w:t>(a)</w:t>
            </w:r>
          </w:p>
        </w:tc>
        <w:tc>
          <w:tcPr>
            <w:tcW w:w="99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87 313.5</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(2 029.2)</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2.6</w:t>
            </w:r>
            <w:r w:rsidRPr="001B0BA9">
              <w:rPr>
                <w:rFonts w:ascii="Calibri" w:eastAsiaTheme="minorEastAsia" w:hAnsi="Calibri" w:cs="Calibri"/>
                <w:b/>
                <w:bCs/>
                <w:color w:val="000000"/>
                <w:sz w:val="16"/>
                <w:szCs w:val="22"/>
                <w:lang w:eastAsia="en-AU"/>
              </w:rPr>
              <w:t>)</w:t>
            </w:r>
          </w:p>
        </w:tc>
        <w:tc>
          <w:tcPr>
            <w:tcW w:w="126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 xml:space="preserve"> 66.8</w:t>
            </w:r>
          </w:p>
        </w:tc>
        <w:tc>
          <w:tcPr>
            <w:tcW w:w="108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2 092.7</w:t>
            </w:r>
          </w:p>
        </w:tc>
        <w:tc>
          <w:tcPr>
            <w:tcW w:w="135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1 588.5</w:t>
            </w:r>
          </w:p>
        </w:tc>
        <w:tc>
          <w:tcPr>
            <w:tcW w:w="126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color w:val="000000"/>
                <w:sz w:val="16"/>
                <w:szCs w:val="22"/>
                <w:lang w:eastAsia="en-AU"/>
              </w:rPr>
            </w:pPr>
            <w:r>
              <w:rPr>
                <w:rFonts w:ascii="Calibri" w:eastAsiaTheme="minorEastAsia" w:hAnsi="Calibri" w:cs="Calibri"/>
                <w:b/>
                <w:bCs/>
                <w:sz w:val="16"/>
                <w:szCs w:val="22"/>
                <w:lang w:eastAsia="en-AU"/>
              </w:rPr>
              <w:t>(</w:t>
            </w:r>
            <w:r w:rsidRPr="001B0BA9">
              <w:rPr>
                <w:rFonts w:ascii="Calibri" w:eastAsiaTheme="minorEastAsia" w:hAnsi="Calibri" w:cs="Calibri"/>
                <w:b/>
                <w:bCs/>
                <w:sz w:val="16"/>
                <w:szCs w:val="22"/>
                <w:lang w:eastAsia="en-AU"/>
              </w:rPr>
              <w:t>24.3</w:t>
            </w:r>
            <w:r w:rsidRPr="001B0BA9">
              <w:rPr>
                <w:rFonts w:ascii="Calibri" w:eastAsiaTheme="minorEastAsia" w:hAnsi="Calibri" w:cs="Calibri"/>
                <w:b/>
                <w:bCs/>
                <w:color w:val="000000"/>
                <w:sz w:val="16"/>
                <w:szCs w:val="22"/>
                <w:lang w:eastAsia="en-AU"/>
              </w:rPr>
              <w:t>)</w:t>
            </w:r>
          </w:p>
        </w:tc>
        <w:tc>
          <w:tcPr>
            <w:tcW w:w="1170"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1 388.0</w:t>
            </w:r>
          </w:p>
        </w:tc>
        <w:tc>
          <w:tcPr>
            <w:tcW w:w="963" w:type="dxa"/>
            <w:tcBorders>
              <w:top w:val="single" w:sz="6" w:space="0" w:color="auto"/>
              <w:left w:val="nil"/>
              <w:bottom w:val="single" w:sz="12" w:space="0" w:color="000000"/>
              <w:right w:val="nil"/>
            </w:tcBorders>
            <w:shd w:val="solid" w:color="FFFFFF" w:fill="auto"/>
          </w:tcPr>
          <w:p w:rsidR="00336793" w:rsidRPr="001B0BA9" w:rsidRDefault="00336793" w:rsidP="00DF0B96">
            <w:pPr>
              <w:autoSpaceDE w:val="0"/>
              <w:autoSpaceDN w:val="0"/>
              <w:adjustRightInd w:val="0"/>
              <w:spacing w:after="0"/>
              <w:jc w:val="right"/>
              <w:rPr>
                <w:rFonts w:ascii="Calibri" w:eastAsiaTheme="minorEastAsia" w:hAnsi="Calibri" w:cs="Calibri"/>
                <w:b/>
                <w:bCs/>
                <w:sz w:val="16"/>
                <w:szCs w:val="22"/>
                <w:lang w:eastAsia="en-AU"/>
              </w:rPr>
            </w:pPr>
            <w:r w:rsidRPr="001B0BA9">
              <w:rPr>
                <w:rFonts w:ascii="Calibri" w:eastAsiaTheme="minorEastAsia" w:hAnsi="Calibri" w:cs="Calibri"/>
                <w:b/>
                <w:bCs/>
                <w:sz w:val="16"/>
                <w:szCs w:val="22"/>
                <w:lang w:eastAsia="en-AU"/>
              </w:rPr>
              <w:t>90 457.5</w:t>
            </w:r>
          </w:p>
        </w:tc>
      </w:tr>
    </w:tbl>
    <w:p w:rsidR="00336793" w:rsidRDefault="00336793" w:rsidP="00DF0B96">
      <w:pPr>
        <w:pStyle w:val="Notes"/>
      </w:pPr>
      <w:r>
        <w:t>Notes:</w:t>
      </w:r>
    </w:p>
    <w:p w:rsidR="00336793" w:rsidRDefault="00336793" w:rsidP="00DF0B96">
      <w:pPr>
        <w:pStyle w:val="Notes"/>
      </w:pPr>
      <w:r>
        <w:t>(a)</w:t>
      </w:r>
      <w:r>
        <w:tab/>
        <w:t>June 2014 comparative figures have been restated. See Note 37.</w:t>
      </w:r>
    </w:p>
    <w:p w:rsidR="00336793" w:rsidRDefault="00336793" w:rsidP="00DF0B96">
      <w:pPr>
        <w:pStyle w:val="Notes"/>
      </w:pPr>
      <w:r>
        <w:t>(b)</w:t>
      </w:r>
      <w:r>
        <w:tab/>
        <w:t>June 2014 comparative figures have been reclassified to reflect more current information.</w:t>
      </w:r>
    </w:p>
    <w:p w:rsidR="00336793" w:rsidRDefault="00336793" w:rsidP="00DF0B96">
      <w:pPr>
        <w:pStyle w:val="4ptline"/>
      </w:pPr>
    </w:p>
    <w:p w:rsidR="00336793" w:rsidRDefault="00336793" w:rsidP="00DF0B96">
      <w:pPr>
        <w:pStyle w:val="Notes"/>
      </w:pPr>
    </w:p>
    <w:p w:rsidR="00336793" w:rsidRDefault="00336793" w:rsidP="00DF0B96">
      <w:pPr>
        <w:pStyle w:val="Notes"/>
        <w:sectPr w:rsidR="00336793" w:rsidSect="00DF0B96">
          <w:headerReference w:type="even" r:id="rId72"/>
          <w:headerReference w:type="default" r:id="rId73"/>
          <w:footerReference w:type="even" r:id="rId74"/>
          <w:footerReference w:type="default" r:id="rId75"/>
          <w:pgSz w:w="16838" w:h="11906" w:orient="landscape" w:code="9"/>
          <w:pgMar w:top="1152" w:right="1152" w:bottom="1152" w:left="1152" w:header="720" w:footer="720" w:gutter="0"/>
          <w:cols w:space="708"/>
          <w:docGrid w:linePitch="360"/>
        </w:sectPr>
      </w:pPr>
    </w:p>
    <w:p w:rsidR="00336793" w:rsidRDefault="00336793" w:rsidP="00DF0B96">
      <w:pPr>
        <w:pStyle w:val="Heading2NotesContd"/>
      </w:pPr>
      <w:r w:rsidRPr="006A75A2">
        <w:lastRenderedPageBreak/>
        <w:t>Note 22:</w:t>
      </w:r>
      <w:r w:rsidRPr="006A75A2">
        <w:tab/>
        <w:t>Land, buildings, infrastructure, plant and equipment</w:t>
      </w:r>
      <w:r w:rsidRPr="006A75A2">
        <w:rPr>
          <w:i/>
        </w:rPr>
        <w:t xml:space="preserve"> (continued)</w:t>
      </w:r>
    </w:p>
    <w:p w:rsidR="00336793" w:rsidRPr="006A75A2" w:rsidRDefault="00336793" w:rsidP="00DF0B96">
      <w:pPr>
        <w:pStyle w:val="Heading5"/>
        <w:ind w:left="504" w:hanging="504"/>
      </w:pPr>
      <w:r w:rsidRPr="006A75A2">
        <w:t>(</w:t>
      </w:r>
      <w:r>
        <w:t>f)</w:t>
      </w:r>
      <w:r w:rsidRPr="006A75A2">
        <w:tab/>
      </w:r>
      <w:r w:rsidRPr="00562FFE">
        <w:t xml:space="preserve">Description of the valuation </w:t>
      </w:r>
      <w:r w:rsidRPr="00D5797D">
        <w:t>techniques</w:t>
      </w:r>
      <w:r w:rsidRPr="00562FFE">
        <w:t xml:space="preserve"> and </w:t>
      </w:r>
      <w:r>
        <w:t xml:space="preserve">significant unobservable </w:t>
      </w:r>
      <w:r w:rsidRPr="00562FFE">
        <w:t>input</w:t>
      </w:r>
      <w:r>
        <w:t>s</w:t>
      </w:r>
      <w:r w:rsidRPr="00562FFE">
        <w:t xml:space="preserve"> in the </w:t>
      </w:r>
      <w:r>
        <w:t xml:space="preserve">Level 3 </w:t>
      </w:r>
      <w:r w:rsidRPr="00562FFE">
        <w:t>fair value measurement</w:t>
      </w:r>
      <w:r>
        <w:t>s</w:t>
      </w:r>
    </w:p>
    <w:p w:rsidR="00336793" w:rsidRPr="00D10226" w:rsidRDefault="00336793" w:rsidP="00DF0B96">
      <w:r w:rsidRPr="00D10226">
        <w:t>The State measures all non</w:t>
      </w:r>
      <w:r>
        <w:noBreakHyphen/>
      </w:r>
      <w:r w:rsidRPr="00D10226">
        <w:t>financial physical assets initially at cost and subsequently revalue</w:t>
      </w:r>
      <w:r>
        <w:t>s</w:t>
      </w:r>
      <w:r w:rsidRPr="00D10226">
        <w:t xml:space="preserve"> the assets at fair value less accumulated depreciation and impairment</w:t>
      </w:r>
      <w:r>
        <w:t xml:space="preserve">. </w:t>
      </w:r>
      <w:r w:rsidRPr="00D10226">
        <w:t>The disclosure below provide</w:t>
      </w:r>
      <w:r>
        <w:t>s</w:t>
      </w:r>
      <w:r w:rsidRPr="00D10226">
        <w:t xml:space="preserve"> additional information about the Level 3 measurements (fair value measurements using significant unobservable inputs).</w:t>
      </w:r>
    </w:p>
    <w:p w:rsidR="00336793" w:rsidRPr="00D10226" w:rsidRDefault="00336793" w:rsidP="00DF0B96">
      <w:r w:rsidRPr="00D10226">
        <w:t>Please refer to Note 1(M) for the</w:t>
      </w:r>
      <w:r>
        <w:t xml:space="preserve"> State’s accounting</w:t>
      </w:r>
      <w:r w:rsidRPr="00D10226">
        <w:t xml:space="preserve"> policy </w:t>
      </w:r>
      <w:r>
        <w:t>in relation to</w:t>
      </w:r>
      <w:r w:rsidRPr="00D10226">
        <w:t xml:space="preserve"> the revaluation of non</w:t>
      </w:r>
      <w:r>
        <w:noBreakHyphen/>
      </w:r>
      <w:r w:rsidRPr="00D10226">
        <w:t>financial physical assets.</w:t>
      </w:r>
    </w:p>
    <w:p w:rsidR="00336793" w:rsidRDefault="00336793" w:rsidP="00DF0B96">
      <w:pPr>
        <w:pStyle w:val="BulletText"/>
        <w:numPr>
          <w:ilvl w:val="0"/>
          <w:numId w:val="0"/>
        </w:numPr>
      </w:pPr>
      <w:r>
        <w:rPr>
          <w:sz w:val="23"/>
          <w:szCs w:val="23"/>
        </w:rPr>
        <w:t xml:space="preserve">As disclosed in Note 1(V), </w:t>
      </w:r>
      <w:r>
        <w:t>the State has elected to early adopt AASB 2015</w:t>
      </w:r>
      <w:r>
        <w:noBreakHyphen/>
        <w:t xml:space="preserve">7 </w:t>
      </w:r>
      <w:r w:rsidRPr="008F756B">
        <w:rPr>
          <w:i/>
        </w:rPr>
        <w:t>Amendments to Australian Accounting Standards – Fair Value Disclosures of Not</w:t>
      </w:r>
      <w:r>
        <w:rPr>
          <w:i/>
        </w:rPr>
        <w:noBreakHyphen/>
      </w:r>
      <w:r w:rsidRPr="008F756B">
        <w:rPr>
          <w:i/>
        </w:rPr>
        <w:t>for</w:t>
      </w:r>
      <w:r>
        <w:rPr>
          <w:i/>
        </w:rPr>
        <w:noBreakHyphen/>
      </w:r>
      <w:r w:rsidRPr="008F756B">
        <w:rPr>
          <w:i/>
        </w:rPr>
        <w:t>Profit Public Sector Entities</w:t>
      </w:r>
      <w:r>
        <w:t xml:space="preserve"> for the 2014</w:t>
      </w:r>
      <w:r>
        <w:noBreakHyphen/>
        <w:t xml:space="preserve">15 reporting period. The amendments allow reduced disclosure for </w:t>
      </w:r>
      <w:r w:rsidRPr="00D10226">
        <w:t>all recurring non</w:t>
      </w:r>
      <w:r>
        <w:noBreakHyphen/>
      </w:r>
      <w:r w:rsidRPr="00D10226">
        <w:t xml:space="preserve">financial assets that are measured at Level 3 fair value measurement and </w:t>
      </w:r>
      <w:r>
        <w:t>are held</w:t>
      </w:r>
      <w:r w:rsidRPr="00D10226">
        <w:t xml:space="preserve"> primarily</w:t>
      </w:r>
      <w:r>
        <w:t xml:space="preserve"> for service potential rather than</w:t>
      </w:r>
      <w:r w:rsidRPr="00D10226">
        <w:t xml:space="preserve"> the</w:t>
      </w:r>
      <w:r>
        <w:t>ir</w:t>
      </w:r>
      <w:r w:rsidRPr="00D10226">
        <w:t xml:space="preserve"> ability to generate net cash inflows</w:t>
      </w:r>
      <w:r>
        <w:t>,</w:t>
      </w:r>
      <w:r w:rsidRPr="00D10226">
        <w:t xml:space="preserve"> </w:t>
      </w:r>
      <w:r>
        <w:t>which is the case</w:t>
      </w:r>
      <w:r w:rsidRPr="00D10226">
        <w:t xml:space="preserve"> with the Victorian not</w:t>
      </w:r>
      <w:r>
        <w:noBreakHyphen/>
      </w:r>
      <w:r w:rsidRPr="00D10226">
        <w:t>for</w:t>
      </w:r>
      <w:r>
        <w:noBreakHyphen/>
      </w:r>
      <w:r w:rsidRPr="00D10226">
        <w:t>profit public sector entities</w:t>
      </w:r>
      <w:r>
        <w:t xml:space="preserve">. </w:t>
      </w:r>
    </w:p>
    <w:p w:rsidR="00336793" w:rsidRPr="00D10226" w:rsidRDefault="00336793" w:rsidP="00DF0B96">
      <w:pPr>
        <w:pStyle w:val="BulletText"/>
        <w:numPr>
          <w:ilvl w:val="0"/>
          <w:numId w:val="0"/>
        </w:numPr>
      </w:pPr>
      <w:r>
        <w:t>The Government’s designated entities as for</w:t>
      </w:r>
      <w:r>
        <w:noBreakHyphen/>
        <w:t xml:space="preserve">profit in accordance with FRD 108A </w:t>
      </w:r>
      <w:r>
        <w:rPr>
          <w:i/>
        </w:rPr>
        <w:t>Classification of entities as for</w:t>
      </w:r>
      <w:r>
        <w:rPr>
          <w:i/>
        </w:rPr>
        <w:noBreakHyphen/>
        <w:t xml:space="preserve">profit, </w:t>
      </w:r>
      <w:r>
        <w:t>are considered to be primarily held to generate future net cash flows.</w:t>
      </w:r>
    </w:p>
    <w:p w:rsidR="00336793" w:rsidRDefault="00336793" w:rsidP="00DF0B96">
      <w:r>
        <w:t>See below the respective fair value disclosures for not</w:t>
      </w:r>
      <w:r>
        <w:noBreakHyphen/>
        <w:t>for profit and for</w:t>
      </w:r>
      <w:r>
        <w:noBreakHyphen/>
        <w:t xml:space="preserve">profit public sector entities. </w:t>
      </w:r>
      <w:r>
        <w:rPr>
          <w:rFonts w:cs="Garamond"/>
          <w:szCs w:val="24"/>
          <w:lang w:eastAsia="en-AU"/>
        </w:rPr>
        <w:t xml:space="preserve">The disclosures refer to </w:t>
      </w:r>
      <w:r w:rsidRPr="006A75A2">
        <w:rPr>
          <w:rFonts w:cs="Garamond"/>
          <w:szCs w:val="24"/>
          <w:lang w:eastAsia="en-AU"/>
        </w:rPr>
        <w:t xml:space="preserve">the significant asset balances within each of the different Level 3 asset classes as per Note </w:t>
      </w:r>
      <w:r w:rsidRPr="0000250A">
        <w:rPr>
          <w:rFonts w:cs="Garamond"/>
          <w:szCs w:val="24"/>
          <w:lang w:eastAsia="en-AU"/>
        </w:rPr>
        <w:t>22(</w:t>
      </w:r>
      <w:r>
        <w:rPr>
          <w:rFonts w:cs="Garamond"/>
          <w:szCs w:val="24"/>
          <w:lang w:eastAsia="en-AU"/>
        </w:rPr>
        <w:t>d</w:t>
      </w:r>
      <w:r w:rsidRPr="0000250A">
        <w:rPr>
          <w:rFonts w:cs="Garamond"/>
          <w:szCs w:val="24"/>
          <w:lang w:eastAsia="en-AU"/>
        </w:rPr>
        <w:t>).</w:t>
      </w:r>
      <w:r w:rsidRPr="006A75A2">
        <w:rPr>
          <w:rFonts w:cs="Garamond"/>
          <w:szCs w:val="24"/>
          <w:lang w:eastAsia="en-AU"/>
        </w:rPr>
        <w:t xml:space="preserve">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r w:rsidRPr="006A75A2">
        <w:t xml:space="preserve"> </w:t>
      </w:r>
    </w:p>
    <w:p w:rsidR="00336793" w:rsidRDefault="00336793">
      <w:pPr>
        <w:spacing w:after="0"/>
        <w:rPr>
          <w:rFonts w:ascii="Calibri" w:hAnsi="Calibri"/>
          <w:b/>
          <w:sz w:val="25"/>
        </w:rPr>
      </w:pPr>
      <w:r>
        <w:br w:type="page"/>
      </w:r>
    </w:p>
    <w:p w:rsidR="00336793" w:rsidRDefault="00336793" w:rsidP="00DF0B96">
      <w:pPr>
        <w:pStyle w:val="Heading2NotesContd"/>
      </w:pPr>
      <w:r w:rsidRPr="006A75A2">
        <w:lastRenderedPageBreak/>
        <w:t>Note 22:</w:t>
      </w:r>
      <w:r w:rsidRPr="006A75A2">
        <w:tab/>
        <w:t>Land, buildings, infrastructure, plant and equipment</w:t>
      </w:r>
      <w:r w:rsidRPr="006A75A2">
        <w:rPr>
          <w:i/>
        </w:rPr>
        <w:t xml:space="preserve"> (continued)</w:t>
      </w:r>
    </w:p>
    <w:p w:rsidR="00336793" w:rsidRDefault="00336793" w:rsidP="00DF0B96">
      <w:pPr>
        <w:pStyle w:val="Heading5"/>
        <w:ind w:left="504" w:hanging="504"/>
      </w:pPr>
      <w:r w:rsidRPr="006A75A2">
        <w:t>(</w:t>
      </w:r>
      <w:r>
        <w:t>f)</w:t>
      </w:r>
      <w:r w:rsidRPr="006A75A2">
        <w:tab/>
      </w:r>
      <w:r w:rsidRPr="00562FFE">
        <w:t xml:space="preserve">Description of the valuation </w:t>
      </w:r>
      <w:r w:rsidRPr="00D5797D">
        <w:t>techniques</w:t>
      </w:r>
      <w:r w:rsidRPr="00562FFE">
        <w:t xml:space="preserve"> and </w:t>
      </w:r>
      <w:r>
        <w:t xml:space="preserve">significant unobservable </w:t>
      </w:r>
      <w:r w:rsidRPr="00562FFE">
        <w:t>input</w:t>
      </w:r>
      <w:r>
        <w:t>s</w:t>
      </w:r>
      <w:r w:rsidRPr="00562FFE">
        <w:t xml:space="preserve"> in the </w:t>
      </w:r>
      <w:r>
        <w:t xml:space="preserve">Level 3 </w:t>
      </w:r>
      <w:r w:rsidRPr="00562FFE">
        <w:t>fair value measurement</w:t>
      </w:r>
      <w:r>
        <w:t xml:space="preserve">s </w:t>
      </w:r>
      <w:r w:rsidRPr="00466479">
        <w:rPr>
          <w:i/>
        </w:rPr>
        <w:t>(continued)</w:t>
      </w:r>
    </w:p>
    <w:p w:rsidR="00336793" w:rsidRPr="00A10A3B" w:rsidRDefault="00336793" w:rsidP="00DF0B96">
      <w:pPr>
        <w:pStyle w:val="Tableheading"/>
        <w:rPr>
          <w:rFonts w:ascii="Times New Roman" w:hAnsi="Times New Roman"/>
          <w:b w:val="0"/>
          <w:sz w:val="20"/>
          <w:lang w:eastAsia="en-AU"/>
        </w:rPr>
      </w:pPr>
      <w:r w:rsidRPr="00562FFE">
        <w:t>Fair value disclosure for assets held primarily for service potential</w:t>
      </w:r>
    </w:p>
    <w:tbl>
      <w:tblPr>
        <w:tblW w:w="5000" w:type="pct"/>
        <w:tblInd w:w="29" w:type="dxa"/>
        <w:tblLayout w:type="fixed"/>
        <w:tblCellMar>
          <w:left w:w="43" w:type="dxa"/>
          <w:right w:w="43" w:type="dxa"/>
        </w:tblCellMar>
        <w:tblLook w:val="0000" w:firstRow="0" w:lastRow="0" w:firstColumn="0" w:lastColumn="0" w:noHBand="0" w:noVBand="0"/>
      </w:tblPr>
      <w:tblGrid>
        <w:gridCol w:w="2899"/>
        <w:gridCol w:w="3668"/>
        <w:gridCol w:w="3121"/>
      </w:tblGrid>
      <w:tr w:rsidR="00336793" w:rsidRPr="001B0BA9" w:rsidTr="00DF0B96">
        <w:trPr>
          <w:trHeight w:val="20"/>
          <w:tblHeader/>
        </w:trPr>
        <w:tc>
          <w:tcPr>
            <w:tcW w:w="1496" w:type="pct"/>
            <w:tcBorders>
              <w:top w:val="nil"/>
              <w:left w:val="nil"/>
              <w:bottom w:val="nil"/>
              <w:right w:val="nil"/>
            </w:tcBorders>
            <w:shd w:val="solid" w:color="000000" w:fill="auto"/>
            <w:vAlign w:val="bottom"/>
          </w:tcPr>
          <w:p w:rsidR="00336793" w:rsidRPr="001B0BA9" w:rsidRDefault="00336793" w:rsidP="00DF0B96">
            <w:pPr>
              <w:autoSpaceDE w:val="0"/>
              <w:autoSpaceDN w:val="0"/>
              <w:adjustRightInd w:val="0"/>
              <w:spacing w:after="0"/>
              <w:rPr>
                <w:rFonts w:ascii="Calibri" w:eastAsiaTheme="minorEastAsia" w:hAnsi="Calibri" w:cs="Calibri"/>
                <w:i/>
                <w:iCs/>
                <w:color w:val="FFFFFF"/>
                <w:sz w:val="20"/>
                <w:szCs w:val="22"/>
                <w:lang w:eastAsia="en-AU"/>
              </w:rPr>
            </w:pPr>
            <w:r w:rsidRPr="001B0BA9">
              <w:rPr>
                <w:rFonts w:ascii="Calibri" w:eastAsiaTheme="minorEastAsia" w:hAnsi="Calibri" w:cs="Calibri"/>
                <w:i/>
                <w:iCs/>
                <w:color w:val="FFFFFF"/>
                <w:sz w:val="20"/>
                <w:szCs w:val="22"/>
                <w:lang w:eastAsia="en-AU"/>
              </w:rPr>
              <w:t>Asset class</w:t>
            </w:r>
          </w:p>
        </w:tc>
        <w:tc>
          <w:tcPr>
            <w:tcW w:w="1893" w:type="pct"/>
            <w:tcBorders>
              <w:top w:val="nil"/>
              <w:left w:val="nil"/>
              <w:bottom w:val="nil"/>
              <w:right w:val="nil"/>
            </w:tcBorders>
            <w:shd w:val="solid" w:color="000000" w:fill="auto"/>
            <w:vAlign w:val="bottom"/>
          </w:tcPr>
          <w:p w:rsidR="00336793" w:rsidRPr="001B0BA9" w:rsidRDefault="00336793" w:rsidP="00DF0B96">
            <w:pPr>
              <w:autoSpaceDE w:val="0"/>
              <w:autoSpaceDN w:val="0"/>
              <w:adjustRightInd w:val="0"/>
              <w:spacing w:after="0"/>
              <w:rPr>
                <w:rFonts w:ascii="Calibri" w:eastAsiaTheme="minorEastAsia" w:hAnsi="Calibri" w:cs="Calibri"/>
                <w:i/>
                <w:iCs/>
                <w:color w:val="FFFFFF"/>
                <w:sz w:val="20"/>
                <w:szCs w:val="22"/>
                <w:lang w:eastAsia="en-AU"/>
              </w:rPr>
            </w:pPr>
            <w:r w:rsidRPr="001B0BA9">
              <w:rPr>
                <w:rFonts w:ascii="Calibri" w:eastAsiaTheme="minorEastAsia" w:hAnsi="Calibri" w:cs="Calibri"/>
                <w:i/>
                <w:iCs/>
                <w:color w:val="FFFFFF"/>
                <w:sz w:val="20"/>
                <w:szCs w:val="22"/>
                <w:lang w:eastAsia="en-AU"/>
              </w:rPr>
              <w:t>Valuation technique</w:t>
            </w:r>
          </w:p>
        </w:tc>
        <w:tc>
          <w:tcPr>
            <w:tcW w:w="1611" w:type="pct"/>
            <w:tcBorders>
              <w:top w:val="nil"/>
              <w:left w:val="nil"/>
              <w:bottom w:val="nil"/>
              <w:right w:val="nil"/>
            </w:tcBorders>
            <w:shd w:val="solid" w:color="000000" w:fill="auto"/>
            <w:vAlign w:val="bottom"/>
          </w:tcPr>
          <w:p w:rsidR="00336793" w:rsidRPr="001B0BA9" w:rsidRDefault="00336793" w:rsidP="00DF0B96">
            <w:pPr>
              <w:autoSpaceDE w:val="0"/>
              <w:autoSpaceDN w:val="0"/>
              <w:adjustRightInd w:val="0"/>
              <w:spacing w:after="0"/>
              <w:rPr>
                <w:rFonts w:ascii="Calibri" w:eastAsiaTheme="minorEastAsia" w:hAnsi="Calibri" w:cs="Calibri"/>
                <w:i/>
                <w:iCs/>
                <w:color w:val="FFFFFF"/>
                <w:sz w:val="20"/>
                <w:szCs w:val="22"/>
                <w:lang w:eastAsia="en-AU"/>
              </w:rPr>
            </w:pPr>
            <w:r w:rsidRPr="001B0BA9">
              <w:rPr>
                <w:rFonts w:ascii="Calibri" w:eastAsiaTheme="minorEastAsia" w:hAnsi="Calibri" w:cs="Calibri"/>
                <w:i/>
                <w:iCs/>
                <w:color w:val="FFFFFF"/>
                <w:sz w:val="20"/>
                <w:szCs w:val="22"/>
                <w:lang w:eastAsia="en-AU"/>
              </w:rPr>
              <w:t>Significant unobservable input</w:t>
            </w:r>
          </w:p>
        </w:tc>
      </w:tr>
      <w:tr w:rsidR="00336793" w:rsidRPr="001B0BA9" w:rsidTr="00DF0B96">
        <w:trPr>
          <w:trHeight w:val="20"/>
          <w:tblHeader/>
        </w:trPr>
        <w:tc>
          <w:tcPr>
            <w:tcW w:w="1496" w:type="pct"/>
            <w:tcBorders>
              <w:top w:val="nil"/>
              <w:left w:val="nil"/>
              <w:bottom w:val="nil"/>
              <w:right w:val="nil"/>
            </w:tcBorders>
            <w:shd w:val="clear" w:color="auto" w:fill="D9D9D9" w:themeFill="background1" w:themeFillShade="D9"/>
            <w:vAlign w:val="bottom"/>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Buildings</w:t>
            </w:r>
          </w:p>
        </w:tc>
        <w:tc>
          <w:tcPr>
            <w:tcW w:w="1893" w:type="pct"/>
            <w:tcBorders>
              <w:top w:val="nil"/>
              <w:left w:val="nil"/>
              <w:bottom w:val="nil"/>
              <w:right w:val="nil"/>
            </w:tcBorders>
            <w:shd w:val="clear" w:color="auto" w:fill="D9D9D9" w:themeFill="background1" w:themeFillShade="D9"/>
            <w:vAlign w:val="bottom"/>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611" w:type="pct"/>
            <w:tcBorders>
              <w:top w:val="nil"/>
              <w:left w:val="nil"/>
              <w:bottom w:val="nil"/>
              <w:right w:val="nil"/>
            </w:tcBorders>
            <w:shd w:val="clear" w:color="auto" w:fill="D9D9D9" w:themeFill="background1" w:themeFillShade="D9"/>
            <w:vAlign w:val="bottom"/>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r>
      <w:tr w:rsidR="00336793" w:rsidRPr="001B0BA9" w:rsidTr="00DF0B96">
        <w:trPr>
          <w:trHeight w:val="20"/>
        </w:trPr>
        <w:tc>
          <w:tcPr>
            <w:tcW w:w="1496"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Non</w:t>
            </w:r>
            <w:r>
              <w:rPr>
                <w:rFonts w:ascii="Calibri" w:eastAsiaTheme="minorEastAsia" w:hAnsi="Calibri" w:cs="Calibri"/>
                <w:color w:val="000000"/>
                <w:sz w:val="20"/>
                <w:szCs w:val="22"/>
                <w:lang w:eastAsia="en-AU"/>
              </w:rPr>
              <w:noBreakHyphen/>
            </w:r>
            <w:r w:rsidRPr="001B0BA9">
              <w:rPr>
                <w:rFonts w:ascii="Calibri" w:eastAsiaTheme="minorEastAsia" w:hAnsi="Calibri" w:cs="Calibri"/>
                <w:color w:val="000000"/>
                <w:sz w:val="20"/>
                <w:szCs w:val="22"/>
                <w:lang w:eastAsia="en-AU"/>
              </w:rPr>
              <w:t>specialised buildings</w:t>
            </w:r>
          </w:p>
        </w:tc>
        <w:tc>
          <w:tcPr>
            <w:tcW w:w="18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Depreciated replacement cost</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p>
        </w:tc>
        <w:tc>
          <w:tcPr>
            <w:tcW w:w="1611"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Direct cost per square metre</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Useful life </w:t>
            </w:r>
          </w:p>
        </w:tc>
      </w:tr>
      <w:tr w:rsidR="00336793" w:rsidRPr="001B0BA9" w:rsidTr="00DF0B96">
        <w:trPr>
          <w:trHeight w:val="20"/>
        </w:trPr>
        <w:tc>
          <w:tcPr>
            <w:tcW w:w="1496"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Specialised buildings</w:t>
            </w:r>
          </w:p>
        </w:tc>
        <w:tc>
          <w:tcPr>
            <w:tcW w:w="18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Depreciated replacement cost</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p>
        </w:tc>
        <w:tc>
          <w:tcPr>
            <w:tcW w:w="1611"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Direct cost per square metre</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Useful life </w:t>
            </w:r>
          </w:p>
        </w:tc>
      </w:tr>
      <w:tr w:rsidR="00336793" w:rsidRPr="001B0BA9" w:rsidTr="00DF0B96">
        <w:trPr>
          <w:trHeight w:val="20"/>
        </w:trPr>
        <w:tc>
          <w:tcPr>
            <w:tcW w:w="1496"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Heritage </w:t>
            </w:r>
            <w:r>
              <w:rPr>
                <w:rFonts w:ascii="Calibri" w:eastAsiaTheme="minorEastAsia" w:hAnsi="Calibri" w:cs="Calibri"/>
                <w:color w:val="000000"/>
                <w:sz w:val="20"/>
                <w:szCs w:val="22"/>
                <w:lang w:eastAsia="en-AU"/>
              </w:rPr>
              <w:t>b</w:t>
            </w:r>
            <w:r w:rsidRPr="001B0BA9">
              <w:rPr>
                <w:rFonts w:ascii="Calibri" w:eastAsiaTheme="minorEastAsia" w:hAnsi="Calibri" w:cs="Calibri"/>
                <w:color w:val="000000"/>
                <w:sz w:val="20"/>
                <w:szCs w:val="22"/>
                <w:lang w:eastAsia="en-AU"/>
              </w:rPr>
              <w:t>uildings</w:t>
            </w:r>
          </w:p>
        </w:tc>
        <w:tc>
          <w:tcPr>
            <w:tcW w:w="18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Depreciated replacement cost</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p>
        </w:tc>
        <w:tc>
          <w:tcPr>
            <w:tcW w:w="1611"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Direct cost per square metre</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Useful life </w:t>
            </w:r>
          </w:p>
        </w:tc>
      </w:tr>
      <w:tr w:rsidR="00336793" w:rsidRPr="001B0BA9" w:rsidTr="00DF0B96">
        <w:trPr>
          <w:trHeight w:val="20"/>
        </w:trPr>
        <w:tc>
          <w:tcPr>
            <w:tcW w:w="1496"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Pr>
                <w:rFonts w:ascii="Calibri" w:eastAsiaTheme="minorEastAsia" w:hAnsi="Calibri" w:cs="Calibri"/>
                <w:color w:val="000000"/>
                <w:sz w:val="20"/>
                <w:szCs w:val="22"/>
                <w:lang w:eastAsia="en-AU"/>
              </w:rPr>
              <w:t>Land and n</w:t>
            </w:r>
            <w:r w:rsidRPr="001B0BA9">
              <w:rPr>
                <w:rFonts w:ascii="Calibri" w:eastAsiaTheme="minorEastAsia" w:hAnsi="Calibri" w:cs="Calibri"/>
                <w:color w:val="000000"/>
                <w:sz w:val="20"/>
                <w:szCs w:val="22"/>
                <w:lang w:eastAsia="en-AU"/>
              </w:rPr>
              <w:t xml:space="preserve">ational </w:t>
            </w:r>
            <w:r>
              <w:rPr>
                <w:rFonts w:ascii="Calibri" w:eastAsiaTheme="minorEastAsia" w:hAnsi="Calibri" w:cs="Calibri"/>
                <w:color w:val="000000"/>
                <w:sz w:val="20"/>
                <w:szCs w:val="22"/>
                <w:lang w:eastAsia="en-AU"/>
              </w:rPr>
              <w:t>p</w:t>
            </w:r>
            <w:r w:rsidRPr="001B0BA9">
              <w:rPr>
                <w:rFonts w:ascii="Calibri" w:eastAsiaTheme="minorEastAsia" w:hAnsi="Calibri" w:cs="Calibri"/>
                <w:color w:val="000000"/>
                <w:sz w:val="20"/>
                <w:szCs w:val="22"/>
                <w:lang w:eastAsia="en-AU"/>
              </w:rPr>
              <w:t>arks</w:t>
            </w:r>
          </w:p>
        </w:tc>
        <w:tc>
          <w:tcPr>
            <w:tcW w:w="1893"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611"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r>
      <w:tr w:rsidR="00336793" w:rsidRPr="001B0BA9" w:rsidTr="00DF0B96">
        <w:trPr>
          <w:trHeight w:val="20"/>
        </w:trPr>
        <w:tc>
          <w:tcPr>
            <w:tcW w:w="1496"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Specialised land</w:t>
            </w:r>
          </w:p>
        </w:tc>
        <w:tc>
          <w:tcPr>
            <w:tcW w:w="18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Market approach</w:t>
            </w:r>
          </w:p>
        </w:tc>
        <w:tc>
          <w:tcPr>
            <w:tcW w:w="1611"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CSO</w:t>
            </w:r>
            <w:r w:rsidRPr="001B0BA9">
              <w:rPr>
                <w:rFonts w:ascii="Calibri" w:eastAsiaTheme="minorEastAsia" w:hAnsi="Calibri" w:cs="Calibri"/>
                <w:color w:val="000000"/>
                <w:sz w:val="20"/>
                <w:szCs w:val="22"/>
                <w:vertAlign w:val="superscript"/>
                <w:lang w:eastAsia="en-AU"/>
              </w:rPr>
              <w:t xml:space="preserve"> (a)</w:t>
            </w:r>
            <w:r w:rsidRPr="001B0BA9">
              <w:rPr>
                <w:rFonts w:ascii="Calibri" w:eastAsiaTheme="minorEastAsia" w:hAnsi="Calibri" w:cs="Calibri"/>
                <w:color w:val="000000"/>
                <w:sz w:val="20"/>
                <w:szCs w:val="22"/>
                <w:lang w:eastAsia="en-AU"/>
              </w:rPr>
              <w:t xml:space="preserve"> adjustment</w:t>
            </w:r>
          </w:p>
        </w:tc>
      </w:tr>
      <w:tr w:rsidR="00336793" w:rsidRPr="001B0BA9" w:rsidTr="00DF0B96">
        <w:trPr>
          <w:trHeight w:val="20"/>
        </w:trPr>
        <w:tc>
          <w:tcPr>
            <w:tcW w:w="1496"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Land under roads</w:t>
            </w:r>
          </w:p>
        </w:tc>
        <w:tc>
          <w:tcPr>
            <w:tcW w:w="1893"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Market approach</w:t>
            </w:r>
          </w:p>
        </w:tc>
        <w:tc>
          <w:tcPr>
            <w:tcW w:w="1611"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CSO adjustment</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Direct cost per hectare</w:t>
            </w:r>
          </w:p>
        </w:tc>
      </w:tr>
      <w:tr w:rsidR="00336793" w:rsidRPr="001B0BA9" w:rsidTr="00DF0B96">
        <w:trPr>
          <w:trHeight w:val="20"/>
        </w:trPr>
        <w:tc>
          <w:tcPr>
            <w:tcW w:w="1496"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Pr>
                <w:rFonts w:ascii="Calibri" w:eastAsiaTheme="minorEastAsia" w:hAnsi="Calibri" w:cs="Calibri"/>
                <w:color w:val="000000"/>
                <w:sz w:val="20"/>
                <w:szCs w:val="22"/>
                <w:lang w:eastAsia="en-AU"/>
              </w:rPr>
              <w:t>National p</w:t>
            </w:r>
            <w:r w:rsidRPr="001B0BA9">
              <w:rPr>
                <w:rFonts w:ascii="Calibri" w:eastAsiaTheme="minorEastAsia" w:hAnsi="Calibri" w:cs="Calibri"/>
                <w:color w:val="000000"/>
                <w:sz w:val="20"/>
                <w:szCs w:val="22"/>
                <w:lang w:eastAsia="en-AU"/>
              </w:rPr>
              <w:t>arks</w:t>
            </w:r>
          </w:p>
        </w:tc>
        <w:tc>
          <w:tcPr>
            <w:tcW w:w="18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Market approach</w:t>
            </w:r>
          </w:p>
        </w:tc>
        <w:tc>
          <w:tcPr>
            <w:tcW w:w="1611"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CSO adjustment</w:t>
            </w:r>
          </w:p>
        </w:tc>
      </w:tr>
      <w:tr w:rsidR="00336793" w:rsidRPr="001B0BA9" w:rsidTr="00DF0B96">
        <w:trPr>
          <w:trHeight w:val="20"/>
        </w:trPr>
        <w:tc>
          <w:tcPr>
            <w:tcW w:w="1496"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Plant, equipment, vehicles and infrastructure systems</w:t>
            </w:r>
          </w:p>
        </w:tc>
        <w:tc>
          <w:tcPr>
            <w:tcW w:w="1893"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611"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r>
      <w:tr w:rsidR="00336793" w:rsidRPr="001B0BA9" w:rsidTr="00DF0B96">
        <w:trPr>
          <w:trHeight w:val="20"/>
        </w:trPr>
        <w:tc>
          <w:tcPr>
            <w:tcW w:w="1496"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Infrastructure systems and rolling stock</w:t>
            </w:r>
          </w:p>
        </w:tc>
        <w:tc>
          <w:tcPr>
            <w:tcW w:w="18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Depreciated replacement cost</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Income approach</w:t>
            </w:r>
          </w:p>
        </w:tc>
        <w:tc>
          <w:tcPr>
            <w:tcW w:w="1611"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Cost: </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per square metre</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per unit </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per asset</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Useful life</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Ancillary cost</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Inflation rate </w:t>
            </w:r>
            <w:r w:rsidRPr="001B0BA9">
              <w:rPr>
                <w:rFonts w:ascii="Calibri" w:eastAsiaTheme="minorEastAsia" w:hAnsi="Calibri" w:cs="Calibri"/>
                <w:color w:val="000000"/>
                <w:sz w:val="20"/>
                <w:szCs w:val="22"/>
                <w:vertAlign w:val="superscript"/>
                <w:lang w:eastAsia="en-AU"/>
              </w:rPr>
              <w:t>(b)</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vertAlign w:val="superscript"/>
                <w:lang w:eastAsia="en-AU"/>
              </w:rPr>
            </w:pPr>
            <w:r w:rsidRPr="001B0BA9">
              <w:rPr>
                <w:rFonts w:ascii="Calibri" w:eastAsiaTheme="minorEastAsia" w:hAnsi="Calibri" w:cs="Calibri"/>
                <w:color w:val="000000"/>
                <w:sz w:val="20"/>
                <w:szCs w:val="22"/>
                <w:lang w:eastAsia="en-AU"/>
              </w:rPr>
              <w:t xml:space="preserve">Qualitative attractiveness </w:t>
            </w:r>
            <w:r w:rsidRPr="001B0BA9">
              <w:rPr>
                <w:rFonts w:ascii="Calibri" w:eastAsiaTheme="minorEastAsia" w:hAnsi="Calibri" w:cs="Calibri"/>
                <w:color w:val="000000"/>
                <w:sz w:val="20"/>
                <w:szCs w:val="22"/>
                <w:vertAlign w:val="superscript"/>
                <w:lang w:eastAsia="en-AU"/>
              </w:rPr>
              <w:t>(c)</w:t>
            </w:r>
          </w:p>
        </w:tc>
      </w:tr>
      <w:tr w:rsidR="00336793" w:rsidRPr="001B0BA9" w:rsidTr="00DF0B96">
        <w:trPr>
          <w:trHeight w:val="20"/>
        </w:trPr>
        <w:tc>
          <w:tcPr>
            <w:tcW w:w="1496"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Plant, equipment and vehicles</w:t>
            </w:r>
          </w:p>
        </w:tc>
        <w:tc>
          <w:tcPr>
            <w:tcW w:w="18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Depreciated replacement cost</w:t>
            </w:r>
          </w:p>
        </w:tc>
        <w:tc>
          <w:tcPr>
            <w:tcW w:w="1611"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Cost per unit</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Useful life</w:t>
            </w:r>
          </w:p>
        </w:tc>
      </w:tr>
      <w:tr w:rsidR="00336793" w:rsidRPr="001B0BA9" w:rsidTr="00DF0B96">
        <w:trPr>
          <w:trHeight w:val="20"/>
        </w:trPr>
        <w:tc>
          <w:tcPr>
            <w:tcW w:w="1496"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Roads and roads infrastructure</w:t>
            </w:r>
          </w:p>
        </w:tc>
        <w:tc>
          <w:tcPr>
            <w:tcW w:w="1893"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611"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r>
      <w:tr w:rsidR="00336793" w:rsidRPr="001B0BA9" w:rsidTr="00DF0B96">
        <w:trPr>
          <w:trHeight w:val="20"/>
        </w:trPr>
        <w:tc>
          <w:tcPr>
            <w:tcW w:w="1496"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Roads and roads infrastructure</w:t>
            </w:r>
          </w:p>
        </w:tc>
        <w:tc>
          <w:tcPr>
            <w:tcW w:w="1893"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Depreciated replacement cost</w:t>
            </w:r>
          </w:p>
        </w:tc>
        <w:tc>
          <w:tcPr>
            <w:tcW w:w="1611"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Cost:</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per square metre</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per kilometre lane</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per unit</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Useful life</w:t>
            </w:r>
          </w:p>
        </w:tc>
      </w:tr>
      <w:tr w:rsidR="00336793" w:rsidRPr="001B0BA9" w:rsidTr="00DF0B96">
        <w:trPr>
          <w:trHeight w:val="20"/>
        </w:trPr>
        <w:tc>
          <w:tcPr>
            <w:tcW w:w="1496"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Earthworks</w:t>
            </w:r>
          </w:p>
        </w:tc>
        <w:tc>
          <w:tcPr>
            <w:tcW w:w="1893"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Depreciated replacement cost</w:t>
            </w:r>
          </w:p>
        </w:tc>
        <w:tc>
          <w:tcPr>
            <w:tcW w:w="1611"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Cost per kilometre</w:t>
            </w:r>
          </w:p>
        </w:tc>
      </w:tr>
      <w:tr w:rsidR="00336793" w:rsidRPr="001B0BA9" w:rsidTr="00DF0B96">
        <w:trPr>
          <w:trHeight w:val="20"/>
        </w:trPr>
        <w:tc>
          <w:tcPr>
            <w:tcW w:w="1496" w:type="pct"/>
            <w:tcBorders>
              <w:top w:val="nil"/>
              <w:left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Pr>
                <w:rFonts w:ascii="Calibri" w:eastAsiaTheme="minorEastAsia" w:hAnsi="Calibri" w:cs="Calibri"/>
                <w:color w:val="000000"/>
                <w:sz w:val="20"/>
                <w:szCs w:val="22"/>
                <w:lang w:eastAsia="en-AU"/>
              </w:rPr>
              <w:t>Cultural assets</w:t>
            </w:r>
          </w:p>
        </w:tc>
        <w:tc>
          <w:tcPr>
            <w:tcW w:w="1893" w:type="pct"/>
            <w:tcBorders>
              <w:top w:val="nil"/>
              <w:left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611" w:type="pct"/>
            <w:tcBorders>
              <w:top w:val="nil"/>
              <w:left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r>
      <w:tr w:rsidR="00336793" w:rsidRPr="001B0BA9" w:rsidTr="00DF0B96">
        <w:trPr>
          <w:trHeight w:val="20"/>
        </w:trPr>
        <w:tc>
          <w:tcPr>
            <w:tcW w:w="1496" w:type="pct"/>
            <w:tcBorders>
              <w:top w:val="nil"/>
              <w:left w:val="nil"/>
              <w:bottom w:val="single" w:sz="12" w:space="0" w:color="auto"/>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Cultural assets</w:t>
            </w:r>
          </w:p>
        </w:tc>
        <w:tc>
          <w:tcPr>
            <w:tcW w:w="1893" w:type="pct"/>
            <w:tcBorders>
              <w:top w:val="nil"/>
              <w:left w:val="nil"/>
              <w:bottom w:val="single" w:sz="12" w:space="0" w:color="auto"/>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Depreciated replacement cost</w:t>
            </w:r>
          </w:p>
        </w:tc>
        <w:tc>
          <w:tcPr>
            <w:tcW w:w="1611" w:type="pct"/>
            <w:tcBorders>
              <w:top w:val="nil"/>
              <w:left w:val="nil"/>
              <w:bottom w:val="single" w:sz="12" w:space="0" w:color="auto"/>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Useful life per item</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Direct cost per unit</w:t>
            </w:r>
          </w:p>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Sales/auction value per item</w:t>
            </w:r>
          </w:p>
        </w:tc>
      </w:tr>
    </w:tbl>
    <w:p w:rsidR="00336793" w:rsidRPr="006A75A2" w:rsidRDefault="00336793" w:rsidP="00DF0B96">
      <w:pPr>
        <w:pStyle w:val="Notes"/>
      </w:pPr>
      <w:r w:rsidRPr="006A75A2">
        <w:t>Note</w:t>
      </w:r>
      <w:r>
        <w:t>s</w:t>
      </w:r>
      <w:r w:rsidRPr="006A75A2">
        <w:t>:</w:t>
      </w:r>
    </w:p>
    <w:p w:rsidR="00336793" w:rsidRPr="006A75A2" w:rsidRDefault="00336793" w:rsidP="00DF0B96">
      <w:pPr>
        <w:pStyle w:val="Notes"/>
      </w:pPr>
      <w:r w:rsidRPr="006A75A2">
        <w:t xml:space="preserve">(a) </w:t>
      </w:r>
      <w:r w:rsidRPr="006A75A2">
        <w:tab/>
        <w:t xml:space="preserve">The community service obligation (CSO) adjustment reflects the specialised nature of the asset being valued through a market approach. </w:t>
      </w:r>
      <w:r>
        <w:t>The </w:t>
      </w:r>
      <w:r w:rsidRPr="006A75A2">
        <w:t>CSO adjustment is a reflection of the valuer</w:t>
      </w:r>
      <w:r>
        <w:t>’</w:t>
      </w:r>
      <w:r w:rsidRPr="006A75A2">
        <w:t>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336793" w:rsidRDefault="00336793" w:rsidP="00DF0B96">
      <w:pPr>
        <w:pStyle w:val="Notes"/>
      </w:pPr>
      <w:r w:rsidRPr="000E5AE1">
        <w:t>(b)</w:t>
      </w:r>
      <w:r>
        <w:tab/>
      </w:r>
      <w:r w:rsidRPr="000E5AE1">
        <w:t>Applicable to the valuation using the income approach.</w:t>
      </w:r>
    </w:p>
    <w:p w:rsidR="00336793" w:rsidRPr="00C53BB5" w:rsidRDefault="00336793" w:rsidP="00DF0B96">
      <w:pPr>
        <w:pStyle w:val="Notes"/>
      </w:pPr>
      <w:r w:rsidRPr="000E5AE1">
        <w:t>(c)</w:t>
      </w:r>
      <w:r>
        <w:t xml:space="preserve"> </w:t>
      </w:r>
      <w:r>
        <w:tab/>
      </w:r>
      <w:r w:rsidRPr="000E5AE1">
        <w:t>Applicable to the valuation of rolling stock.</w:t>
      </w:r>
    </w:p>
    <w:p w:rsidR="00336793" w:rsidRDefault="00336793">
      <w:pPr>
        <w:spacing w:after="0"/>
        <w:rPr>
          <w:rFonts w:ascii="Calibri" w:hAnsi="Calibri"/>
          <w:b/>
        </w:rPr>
      </w:pPr>
      <w:r>
        <w:br w:type="page"/>
      </w:r>
    </w:p>
    <w:p w:rsidR="00336793" w:rsidRDefault="00336793" w:rsidP="00DF0B96">
      <w:pPr>
        <w:pStyle w:val="Heading2NotesContd"/>
      </w:pPr>
      <w:r w:rsidRPr="006A75A2">
        <w:lastRenderedPageBreak/>
        <w:t>Note 22:</w:t>
      </w:r>
      <w:r w:rsidRPr="006A75A2">
        <w:tab/>
        <w:t>Land, buildings, infrastructure, plant and equipment</w:t>
      </w:r>
      <w:r w:rsidRPr="006A75A2">
        <w:rPr>
          <w:i/>
        </w:rPr>
        <w:t xml:space="preserve"> (continued)</w:t>
      </w:r>
    </w:p>
    <w:p w:rsidR="00336793" w:rsidRDefault="00336793" w:rsidP="00DF0B96">
      <w:pPr>
        <w:pStyle w:val="Heading5"/>
        <w:ind w:left="504" w:hanging="504"/>
      </w:pPr>
      <w:r w:rsidRPr="006A75A2">
        <w:t>(</w:t>
      </w:r>
      <w:r>
        <w:t>f)</w:t>
      </w:r>
      <w:r w:rsidRPr="006A75A2">
        <w:tab/>
      </w:r>
      <w:r w:rsidRPr="00562FFE">
        <w:t xml:space="preserve">Description of the valuation </w:t>
      </w:r>
      <w:r w:rsidRPr="00D5797D">
        <w:t>techniques</w:t>
      </w:r>
      <w:r w:rsidRPr="00562FFE">
        <w:t xml:space="preserve"> and </w:t>
      </w:r>
      <w:r>
        <w:t xml:space="preserve">significant unobservable </w:t>
      </w:r>
      <w:r w:rsidRPr="00562FFE">
        <w:t>input</w:t>
      </w:r>
      <w:r>
        <w:t>s</w:t>
      </w:r>
      <w:r w:rsidRPr="00562FFE">
        <w:t xml:space="preserve"> in the </w:t>
      </w:r>
      <w:r>
        <w:t xml:space="preserve">Level 3 </w:t>
      </w:r>
      <w:r w:rsidRPr="00562FFE">
        <w:t>fair value measurement</w:t>
      </w:r>
      <w:r>
        <w:t xml:space="preserve">s </w:t>
      </w:r>
      <w:r w:rsidRPr="00466479">
        <w:rPr>
          <w:i/>
        </w:rPr>
        <w:t>(continued)</w:t>
      </w:r>
    </w:p>
    <w:p w:rsidR="00336793" w:rsidRPr="00A10A3B" w:rsidRDefault="00336793" w:rsidP="00DF0B96">
      <w:pPr>
        <w:pStyle w:val="Tableheading"/>
        <w:rPr>
          <w:rFonts w:ascii="Times New Roman" w:hAnsi="Times New Roman"/>
          <w:b w:val="0"/>
          <w:sz w:val="20"/>
          <w:lang w:eastAsia="en-AU"/>
        </w:rPr>
      </w:pPr>
      <w:r w:rsidRPr="00562FFE">
        <w:t xml:space="preserve">Fair value disclosure for assets held primarily for </w:t>
      </w:r>
      <w:r>
        <w:t>generating net cash inflows</w:t>
      </w:r>
    </w:p>
    <w:tbl>
      <w:tblPr>
        <w:tblW w:w="5000" w:type="pct"/>
        <w:tblInd w:w="29" w:type="dxa"/>
        <w:tblLayout w:type="fixed"/>
        <w:tblCellMar>
          <w:left w:w="43" w:type="dxa"/>
          <w:right w:w="43" w:type="dxa"/>
        </w:tblCellMar>
        <w:tblLook w:val="0000" w:firstRow="0" w:lastRow="0" w:firstColumn="0" w:lastColumn="0" w:noHBand="0" w:noVBand="0"/>
      </w:tblPr>
      <w:tblGrid>
        <w:gridCol w:w="2895"/>
        <w:gridCol w:w="2699"/>
        <w:gridCol w:w="1800"/>
        <w:gridCol w:w="2294"/>
      </w:tblGrid>
      <w:tr w:rsidR="00336793" w:rsidRPr="001B0BA9" w:rsidTr="00DF0B96">
        <w:trPr>
          <w:trHeight w:val="20"/>
          <w:tblHeader/>
        </w:trPr>
        <w:tc>
          <w:tcPr>
            <w:tcW w:w="1494" w:type="pct"/>
            <w:tcBorders>
              <w:top w:val="single" w:sz="6" w:space="0" w:color="auto"/>
              <w:left w:val="nil"/>
              <w:bottom w:val="single" w:sz="6" w:space="0" w:color="auto"/>
              <w:right w:val="nil"/>
            </w:tcBorders>
            <w:shd w:val="solid" w:color="000000" w:fill="auto"/>
            <w:vAlign w:val="bottom"/>
          </w:tcPr>
          <w:p w:rsidR="00336793" w:rsidRPr="001B0BA9" w:rsidRDefault="00336793" w:rsidP="00DF0B96">
            <w:pPr>
              <w:autoSpaceDE w:val="0"/>
              <w:autoSpaceDN w:val="0"/>
              <w:adjustRightInd w:val="0"/>
              <w:spacing w:after="0"/>
              <w:rPr>
                <w:rFonts w:ascii="Calibri" w:eastAsiaTheme="minorEastAsia" w:hAnsi="Calibri" w:cs="Calibri"/>
                <w:i/>
                <w:iCs/>
                <w:color w:val="FFFFFF"/>
                <w:sz w:val="20"/>
                <w:szCs w:val="22"/>
                <w:lang w:eastAsia="en-AU"/>
              </w:rPr>
            </w:pPr>
            <w:r w:rsidRPr="001B0BA9">
              <w:rPr>
                <w:rFonts w:ascii="Calibri" w:eastAsiaTheme="minorEastAsia" w:hAnsi="Calibri" w:cs="Calibri"/>
                <w:i/>
                <w:iCs/>
                <w:color w:val="FFFFFF"/>
                <w:sz w:val="20"/>
                <w:szCs w:val="22"/>
                <w:lang w:eastAsia="en-AU"/>
              </w:rPr>
              <w:t>Asset Class</w:t>
            </w:r>
          </w:p>
        </w:tc>
        <w:tc>
          <w:tcPr>
            <w:tcW w:w="1393" w:type="pct"/>
            <w:tcBorders>
              <w:top w:val="nil"/>
              <w:left w:val="nil"/>
              <w:bottom w:val="single" w:sz="6" w:space="0" w:color="auto"/>
              <w:right w:val="nil"/>
            </w:tcBorders>
            <w:shd w:val="solid" w:color="000000" w:fill="auto"/>
            <w:vAlign w:val="bottom"/>
          </w:tcPr>
          <w:p w:rsidR="00336793" w:rsidRPr="001B0BA9" w:rsidRDefault="00336793" w:rsidP="00DF0B96">
            <w:pPr>
              <w:autoSpaceDE w:val="0"/>
              <w:autoSpaceDN w:val="0"/>
              <w:adjustRightInd w:val="0"/>
              <w:spacing w:after="0"/>
              <w:rPr>
                <w:rFonts w:ascii="Calibri" w:eastAsiaTheme="minorEastAsia" w:hAnsi="Calibri" w:cs="Calibri"/>
                <w:i/>
                <w:iCs/>
                <w:color w:val="FFFFFF"/>
                <w:sz w:val="20"/>
                <w:szCs w:val="22"/>
                <w:lang w:eastAsia="en-AU"/>
              </w:rPr>
            </w:pPr>
            <w:r w:rsidRPr="001B0BA9">
              <w:rPr>
                <w:rFonts w:ascii="Calibri" w:eastAsiaTheme="minorEastAsia" w:hAnsi="Calibri" w:cs="Calibri"/>
                <w:i/>
                <w:iCs/>
                <w:color w:val="FFFFFF"/>
                <w:sz w:val="20"/>
                <w:szCs w:val="22"/>
                <w:lang w:eastAsia="en-AU"/>
              </w:rPr>
              <w:t>Valuation technique</w:t>
            </w:r>
          </w:p>
        </w:tc>
        <w:tc>
          <w:tcPr>
            <w:tcW w:w="929" w:type="pct"/>
            <w:tcBorders>
              <w:top w:val="nil"/>
              <w:left w:val="nil"/>
              <w:bottom w:val="single" w:sz="6" w:space="0" w:color="auto"/>
              <w:right w:val="nil"/>
            </w:tcBorders>
            <w:shd w:val="solid" w:color="000000" w:fill="auto"/>
            <w:vAlign w:val="bottom"/>
          </w:tcPr>
          <w:p w:rsidR="00336793" w:rsidRPr="001B0BA9" w:rsidRDefault="00336793" w:rsidP="00DF0B96">
            <w:pPr>
              <w:autoSpaceDE w:val="0"/>
              <w:autoSpaceDN w:val="0"/>
              <w:adjustRightInd w:val="0"/>
              <w:spacing w:after="0"/>
              <w:rPr>
                <w:rFonts w:ascii="Calibri" w:eastAsiaTheme="minorEastAsia" w:hAnsi="Calibri" w:cs="Calibri"/>
                <w:i/>
                <w:iCs/>
                <w:color w:val="FFFFFF"/>
                <w:sz w:val="20"/>
                <w:szCs w:val="22"/>
                <w:lang w:eastAsia="en-AU"/>
              </w:rPr>
            </w:pPr>
            <w:r w:rsidRPr="001B0BA9">
              <w:rPr>
                <w:rFonts w:ascii="Calibri" w:eastAsiaTheme="minorEastAsia" w:hAnsi="Calibri" w:cs="Calibri"/>
                <w:i/>
                <w:iCs/>
                <w:color w:val="FFFFFF"/>
                <w:sz w:val="20"/>
                <w:szCs w:val="22"/>
                <w:lang w:eastAsia="en-AU"/>
              </w:rPr>
              <w:t xml:space="preserve">Significant </w:t>
            </w:r>
          </w:p>
          <w:p w:rsidR="00336793" w:rsidRPr="001B0BA9" w:rsidRDefault="00336793" w:rsidP="00DF0B96">
            <w:pPr>
              <w:autoSpaceDE w:val="0"/>
              <w:autoSpaceDN w:val="0"/>
              <w:adjustRightInd w:val="0"/>
              <w:spacing w:after="0"/>
              <w:rPr>
                <w:rFonts w:ascii="Calibri" w:eastAsiaTheme="minorEastAsia" w:hAnsi="Calibri" w:cs="Calibri"/>
                <w:i/>
                <w:iCs/>
                <w:color w:val="FFFFFF"/>
                <w:sz w:val="20"/>
                <w:szCs w:val="22"/>
                <w:lang w:eastAsia="en-AU"/>
              </w:rPr>
            </w:pPr>
            <w:r w:rsidRPr="001B0BA9">
              <w:rPr>
                <w:rFonts w:ascii="Calibri" w:eastAsiaTheme="minorEastAsia" w:hAnsi="Calibri" w:cs="Calibri"/>
                <w:i/>
                <w:iCs/>
                <w:color w:val="FFFFFF"/>
                <w:sz w:val="20"/>
                <w:szCs w:val="22"/>
                <w:lang w:eastAsia="en-AU"/>
              </w:rPr>
              <w:t>unobservable input</w:t>
            </w:r>
          </w:p>
        </w:tc>
        <w:tc>
          <w:tcPr>
            <w:tcW w:w="1184" w:type="pct"/>
            <w:tcBorders>
              <w:top w:val="single" w:sz="6" w:space="0" w:color="auto"/>
              <w:left w:val="nil"/>
              <w:bottom w:val="single" w:sz="6" w:space="0" w:color="auto"/>
              <w:right w:val="nil"/>
            </w:tcBorders>
            <w:shd w:val="solid" w:color="000000" w:fill="auto"/>
            <w:vAlign w:val="bottom"/>
          </w:tcPr>
          <w:p w:rsidR="00336793" w:rsidRPr="001B0BA9" w:rsidRDefault="00336793" w:rsidP="00DF0B96">
            <w:pPr>
              <w:autoSpaceDE w:val="0"/>
              <w:autoSpaceDN w:val="0"/>
              <w:adjustRightInd w:val="0"/>
              <w:spacing w:after="0"/>
              <w:rPr>
                <w:rFonts w:ascii="Calibri" w:eastAsiaTheme="minorEastAsia" w:hAnsi="Calibri" w:cs="Calibri"/>
                <w:i/>
                <w:iCs/>
                <w:color w:val="FFFFFF"/>
                <w:sz w:val="20"/>
                <w:szCs w:val="22"/>
                <w:lang w:eastAsia="en-AU"/>
              </w:rPr>
            </w:pPr>
            <w:r w:rsidRPr="001B0BA9">
              <w:rPr>
                <w:rFonts w:ascii="Calibri" w:eastAsiaTheme="minorEastAsia" w:hAnsi="Calibri" w:cs="Calibri"/>
                <w:i/>
                <w:iCs/>
                <w:color w:val="FFFFFF"/>
                <w:sz w:val="20"/>
                <w:szCs w:val="22"/>
                <w:lang w:eastAsia="en-AU"/>
              </w:rPr>
              <w:t>Range</w:t>
            </w:r>
          </w:p>
        </w:tc>
      </w:tr>
      <w:tr w:rsidR="00336793" w:rsidRPr="001B0BA9" w:rsidTr="00DF0B96">
        <w:trPr>
          <w:trHeight w:val="20"/>
          <w:tblHeader/>
        </w:trPr>
        <w:tc>
          <w:tcPr>
            <w:tcW w:w="1494" w:type="pct"/>
            <w:tcBorders>
              <w:top w:val="nil"/>
              <w:left w:val="nil"/>
              <w:bottom w:val="nil"/>
              <w:right w:val="nil"/>
            </w:tcBorders>
            <w:shd w:val="clear" w:color="auto" w:fill="D9D9D9" w:themeFill="background1" w:themeFillShade="D9"/>
            <w:vAlign w:val="bottom"/>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Buildings</w:t>
            </w:r>
          </w:p>
        </w:tc>
        <w:tc>
          <w:tcPr>
            <w:tcW w:w="1393" w:type="pct"/>
            <w:tcBorders>
              <w:top w:val="nil"/>
              <w:left w:val="nil"/>
              <w:bottom w:val="nil"/>
              <w:right w:val="nil"/>
            </w:tcBorders>
            <w:shd w:val="clear" w:color="auto" w:fill="D9D9D9" w:themeFill="background1" w:themeFillShade="D9"/>
            <w:vAlign w:val="bottom"/>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929" w:type="pct"/>
            <w:tcBorders>
              <w:top w:val="nil"/>
              <w:left w:val="nil"/>
              <w:bottom w:val="nil"/>
              <w:right w:val="nil"/>
            </w:tcBorders>
            <w:shd w:val="clear" w:color="auto" w:fill="D9D9D9" w:themeFill="background1" w:themeFillShade="D9"/>
            <w:vAlign w:val="bottom"/>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184" w:type="pct"/>
            <w:tcBorders>
              <w:top w:val="nil"/>
              <w:left w:val="nil"/>
              <w:bottom w:val="nil"/>
              <w:right w:val="nil"/>
            </w:tcBorders>
            <w:shd w:val="clear" w:color="auto" w:fill="D9D9D9" w:themeFill="background1" w:themeFillShade="D9"/>
            <w:vAlign w:val="bottom"/>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r>
      <w:tr w:rsidR="00336793" w:rsidRPr="001B0BA9" w:rsidTr="00DF0B96">
        <w:trPr>
          <w:trHeight w:val="20"/>
        </w:trPr>
        <w:tc>
          <w:tcPr>
            <w:tcW w:w="149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Non</w:t>
            </w:r>
            <w:r>
              <w:rPr>
                <w:rFonts w:ascii="Calibri" w:eastAsiaTheme="minorEastAsia" w:hAnsi="Calibri" w:cs="Calibri"/>
                <w:color w:val="000000"/>
                <w:sz w:val="20"/>
                <w:szCs w:val="22"/>
                <w:lang w:eastAsia="en-AU"/>
              </w:rPr>
              <w:noBreakHyphen/>
            </w:r>
            <w:r w:rsidRPr="001B0BA9">
              <w:rPr>
                <w:rFonts w:ascii="Calibri" w:eastAsiaTheme="minorEastAsia" w:hAnsi="Calibri" w:cs="Calibri"/>
                <w:color w:val="000000"/>
                <w:sz w:val="20"/>
                <w:szCs w:val="22"/>
                <w:lang w:eastAsia="en-AU"/>
              </w:rPr>
              <w:t>specialised buildings</w:t>
            </w:r>
          </w:p>
        </w:tc>
        <w:tc>
          <w:tcPr>
            <w:tcW w:w="13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Depreciation replacement cost</w:t>
            </w:r>
          </w:p>
        </w:tc>
        <w:tc>
          <w:tcPr>
            <w:tcW w:w="929"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Useful life</w:t>
            </w:r>
          </w:p>
        </w:tc>
        <w:tc>
          <w:tcPr>
            <w:tcW w:w="118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1</w:t>
            </w:r>
            <w:r>
              <w:rPr>
                <w:rFonts w:ascii="Calibri" w:eastAsiaTheme="minorEastAsia" w:hAnsi="Calibri" w:cs="Calibri"/>
                <w:color w:val="000000"/>
                <w:sz w:val="20"/>
                <w:szCs w:val="22"/>
                <w:lang w:eastAsia="en-AU"/>
              </w:rPr>
              <w:noBreakHyphen/>
            </w:r>
            <w:r w:rsidRPr="001B0BA9">
              <w:rPr>
                <w:rFonts w:ascii="Calibri" w:eastAsiaTheme="minorEastAsia" w:hAnsi="Calibri" w:cs="Calibri"/>
                <w:color w:val="000000"/>
                <w:sz w:val="20"/>
                <w:szCs w:val="22"/>
                <w:lang w:eastAsia="en-AU"/>
              </w:rPr>
              <w:t>50 years</w:t>
            </w:r>
          </w:p>
        </w:tc>
      </w:tr>
      <w:tr w:rsidR="00336793" w:rsidRPr="001B0BA9" w:rsidTr="00DF0B96">
        <w:trPr>
          <w:trHeight w:val="20"/>
        </w:trPr>
        <w:tc>
          <w:tcPr>
            <w:tcW w:w="1494"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Land</w:t>
            </w:r>
          </w:p>
        </w:tc>
        <w:tc>
          <w:tcPr>
            <w:tcW w:w="1393"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929"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184"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r>
      <w:tr w:rsidR="00336793" w:rsidRPr="001B0BA9" w:rsidTr="00DF0B96">
        <w:trPr>
          <w:trHeight w:val="20"/>
        </w:trPr>
        <w:tc>
          <w:tcPr>
            <w:tcW w:w="149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Ports</w:t>
            </w:r>
          </w:p>
        </w:tc>
        <w:tc>
          <w:tcPr>
            <w:tcW w:w="13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Capitalisation of net income approach</w:t>
            </w:r>
          </w:p>
        </w:tc>
        <w:tc>
          <w:tcPr>
            <w:tcW w:w="929"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Market rate</w:t>
            </w:r>
          </w:p>
        </w:tc>
        <w:tc>
          <w:tcPr>
            <w:tcW w:w="118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$10</w:t>
            </w:r>
            <w:r>
              <w:rPr>
                <w:rFonts w:ascii="Calibri" w:eastAsiaTheme="minorEastAsia" w:hAnsi="Calibri" w:cs="Calibri"/>
                <w:color w:val="000000"/>
                <w:sz w:val="20"/>
                <w:szCs w:val="22"/>
                <w:lang w:eastAsia="en-AU"/>
              </w:rPr>
              <w:noBreakHyphen/>
            </w:r>
            <w:r w:rsidRPr="001B0BA9">
              <w:rPr>
                <w:rFonts w:ascii="Calibri" w:eastAsiaTheme="minorEastAsia" w:hAnsi="Calibri" w:cs="Calibri"/>
                <w:color w:val="000000"/>
                <w:sz w:val="20"/>
                <w:szCs w:val="22"/>
                <w:lang w:eastAsia="en-AU"/>
              </w:rPr>
              <w:t xml:space="preserve">$125 per square metre across all </w:t>
            </w:r>
            <w:r>
              <w:rPr>
                <w:rFonts w:ascii="Calibri" w:eastAsiaTheme="minorEastAsia" w:hAnsi="Calibri" w:cs="Calibri"/>
                <w:color w:val="000000"/>
                <w:sz w:val="20"/>
                <w:szCs w:val="22"/>
                <w:lang w:eastAsia="en-AU"/>
              </w:rPr>
              <w:t>p</w:t>
            </w:r>
            <w:r w:rsidRPr="001B0BA9">
              <w:rPr>
                <w:rFonts w:ascii="Calibri" w:eastAsiaTheme="minorEastAsia" w:hAnsi="Calibri" w:cs="Calibri"/>
                <w:color w:val="000000"/>
                <w:sz w:val="20"/>
                <w:szCs w:val="22"/>
                <w:lang w:eastAsia="en-AU"/>
              </w:rPr>
              <w:t>ort land assets</w:t>
            </w:r>
          </w:p>
        </w:tc>
      </w:tr>
      <w:tr w:rsidR="00336793" w:rsidRPr="001B0BA9" w:rsidTr="00DF0B96">
        <w:trPr>
          <w:trHeight w:val="20"/>
        </w:trPr>
        <w:tc>
          <w:tcPr>
            <w:tcW w:w="149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3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929"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Capitalisation percentage</w:t>
            </w:r>
          </w:p>
        </w:tc>
        <w:tc>
          <w:tcPr>
            <w:tcW w:w="118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5.0%</w:t>
            </w:r>
            <w:r>
              <w:rPr>
                <w:rFonts w:ascii="Calibri" w:eastAsiaTheme="minorEastAsia" w:hAnsi="Calibri" w:cs="Calibri"/>
                <w:color w:val="000000"/>
                <w:sz w:val="20"/>
                <w:szCs w:val="22"/>
                <w:lang w:eastAsia="en-AU"/>
              </w:rPr>
              <w:noBreakHyphen/>
            </w:r>
            <w:r w:rsidRPr="001B0BA9">
              <w:rPr>
                <w:rFonts w:ascii="Calibri" w:eastAsiaTheme="minorEastAsia" w:hAnsi="Calibri" w:cs="Calibri"/>
                <w:color w:val="000000"/>
                <w:sz w:val="20"/>
                <w:szCs w:val="22"/>
                <w:lang w:eastAsia="en-AU"/>
              </w:rPr>
              <w:t>7.0%</w:t>
            </w:r>
          </w:p>
        </w:tc>
      </w:tr>
      <w:tr w:rsidR="00336793" w:rsidRPr="001B0BA9" w:rsidTr="00DF0B96">
        <w:trPr>
          <w:trHeight w:val="20"/>
        </w:trPr>
        <w:tc>
          <w:tcPr>
            <w:tcW w:w="149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3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929"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Capital expenditure forecast</w:t>
            </w:r>
          </w:p>
        </w:tc>
        <w:tc>
          <w:tcPr>
            <w:tcW w:w="118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variability in the forecast</w:t>
            </w:r>
          </w:p>
        </w:tc>
      </w:tr>
      <w:tr w:rsidR="00336793" w:rsidRPr="001B0BA9" w:rsidTr="00DF0B96">
        <w:trPr>
          <w:trHeight w:val="20"/>
        </w:trPr>
        <w:tc>
          <w:tcPr>
            <w:tcW w:w="149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Metropolitan water corporations</w:t>
            </w:r>
          </w:p>
        </w:tc>
        <w:tc>
          <w:tcPr>
            <w:tcW w:w="13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Market approach</w:t>
            </w:r>
          </w:p>
        </w:tc>
        <w:tc>
          <w:tcPr>
            <w:tcW w:w="929"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CSO adjustment</w:t>
            </w:r>
            <w:r w:rsidRPr="001B0BA9">
              <w:rPr>
                <w:rFonts w:ascii="Calibri" w:eastAsiaTheme="minorEastAsia" w:hAnsi="Calibri" w:cs="Calibri"/>
                <w:color w:val="000000"/>
                <w:sz w:val="20"/>
                <w:szCs w:val="22"/>
                <w:vertAlign w:val="superscript"/>
                <w:lang w:eastAsia="en-AU"/>
              </w:rPr>
              <w:t>(a)</w:t>
            </w:r>
          </w:p>
        </w:tc>
        <w:tc>
          <w:tcPr>
            <w:tcW w:w="118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7</w:t>
            </w:r>
            <w:r>
              <w:rPr>
                <w:rFonts w:ascii="Calibri" w:eastAsiaTheme="minorEastAsia" w:hAnsi="Calibri" w:cs="Calibri"/>
                <w:color w:val="000000"/>
                <w:sz w:val="20"/>
                <w:szCs w:val="22"/>
                <w:lang w:eastAsia="en-AU"/>
              </w:rPr>
              <w:noBreakHyphen/>
            </w:r>
            <w:r w:rsidRPr="001B0BA9">
              <w:rPr>
                <w:rFonts w:ascii="Calibri" w:eastAsiaTheme="minorEastAsia" w:hAnsi="Calibri" w:cs="Calibri"/>
                <w:color w:val="000000"/>
                <w:sz w:val="20"/>
                <w:szCs w:val="22"/>
                <w:lang w:eastAsia="en-AU"/>
              </w:rPr>
              <w:t>90%</w:t>
            </w:r>
          </w:p>
        </w:tc>
      </w:tr>
      <w:tr w:rsidR="00336793" w:rsidRPr="001B0BA9" w:rsidTr="00DF0B96">
        <w:trPr>
          <w:trHeight w:val="20"/>
        </w:trPr>
        <w:tc>
          <w:tcPr>
            <w:tcW w:w="1494"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Channels</w:t>
            </w:r>
          </w:p>
        </w:tc>
        <w:tc>
          <w:tcPr>
            <w:tcW w:w="1393"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929"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184"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r>
      <w:tr w:rsidR="00336793" w:rsidRPr="001B0BA9" w:rsidTr="00DF0B96">
        <w:trPr>
          <w:trHeight w:val="20"/>
        </w:trPr>
        <w:tc>
          <w:tcPr>
            <w:tcW w:w="149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Ports</w:t>
            </w:r>
          </w:p>
        </w:tc>
        <w:tc>
          <w:tcPr>
            <w:tcW w:w="1393"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Discounted cash flow method (income approach)</w:t>
            </w:r>
          </w:p>
        </w:tc>
        <w:tc>
          <w:tcPr>
            <w:tcW w:w="929"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Discount rates</w:t>
            </w:r>
          </w:p>
        </w:tc>
        <w:tc>
          <w:tcPr>
            <w:tcW w:w="118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6.6%</w:t>
            </w:r>
            <w:r>
              <w:rPr>
                <w:rFonts w:ascii="Calibri" w:eastAsiaTheme="minorEastAsia" w:hAnsi="Calibri" w:cs="Calibri"/>
                <w:color w:val="000000"/>
                <w:sz w:val="20"/>
                <w:szCs w:val="22"/>
                <w:lang w:eastAsia="en-AU"/>
              </w:rPr>
              <w:noBreakHyphen/>
            </w:r>
            <w:r w:rsidRPr="001B0BA9">
              <w:rPr>
                <w:rFonts w:ascii="Calibri" w:eastAsiaTheme="minorEastAsia" w:hAnsi="Calibri" w:cs="Calibri"/>
                <w:color w:val="000000"/>
                <w:sz w:val="20"/>
                <w:szCs w:val="22"/>
                <w:lang w:eastAsia="en-AU"/>
              </w:rPr>
              <w:t>8.6%</w:t>
            </w:r>
          </w:p>
        </w:tc>
      </w:tr>
      <w:tr w:rsidR="00336793" w:rsidRPr="001B0BA9" w:rsidTr="00DF0B96">
        <w:trPr>
          <w:trHeight w:val="20"/>
        </w:trPr>
        <w:tc>
          <w:tcPr>
            <w:tcW w:w="1494"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Infrastructure</w:t>
            </w:r>
          </w:p>
        </w:tc>
        <w:tc>
          <w:tcPr>
            <w:tcW w:w="1393"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929"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184" w:type="pct"/>
            <w:tcBorders>
              <w:top w:val="nil"/>
              <w:left w:val="nil"/>
              <w:bottom w:val="nil"/>
              <w:right w:val="nil"/>
            </w:tcBorders>
            <w:shd w:val="clear" w:color="auto" w:fill="D9D9D9" w:themeFill="background1" w:themeFillShade="D9"/>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r>
      <w:tr w:rsidR="00336793" w:rsidRPr="001B0BA9" w:rsidTr="00DF0B96">
        <w:trPr>
          <w:trHeight w:val="20"/>
        </w:trPr>
        <w:tc>
          <w:tcPr>
            <w:tcW w:w="149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Ports</w:t>
            </w:r>
          </w:p>
        </w:tc>
        <w:tc>
          <w:tcPr>
            <w:tcW w:w="1393"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Depreciation replacement cost</w:t>
            </w:r>
          </w:p>
        </w:tc>
        <w:tc>
          <w:tcPr>
            <w:tcW w:w="929"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Cost per unit</w:t>
            </w:r>
          </w:p>
        </w:tc>
        <w:tc>
          <w:tcPr>
            <w:tcW w:w="1184" w:type="pct"/>
            <w:tcBorders>
              <w:top w:val="nil"/>
              <w:left w:val="nil"/>
              <w:bottom w:val="nil"/>
              <w:right w:val="nil"/>
            </w:tcBorders>
          </w:tcPr>
          <w:p w:rsidR="00336793" w:rsidRPr="001B0BA9" w:rsidRDefault="00A32A40" w:rsidP="00A32A40">
            <w:pPr>
              <w:autoSpaceDE w:val="0"/>
              <w:autoSpaceDN w:val="0"/>
              <w:adjustRightInd w:val="0"/>
              <w:spacing w:after="0"/>
              <w:rPr>
                <w:rFonts w:ascii="Calibri" w:eastAsiaTheme="minorEastAsia" w:hAnsi="Calibri" w:cs="Calibri"/>
                <w:color w:val="000000"/>
                <w:sz w:val="20"/>
                <w:szCs w:val="22"/>
                <w:lang w:eastAsia="en-AU"/>
              </w:rPr>
            </w:pPr>
            <w:r>
              <w:rPr>
                <w:rFonts w:ascii="Calibri" w:eastAsiaTheme="minorEastAsia" w:hAnsi="Calibri" w:cs="Calibri"/>
                <w:color w:val="000000"/>
                <w:sz w:val="20"/>
                <w:szCs w:val="22"/>
                <w:lang w:eastAsia="en-AU"/>
              </w:rPr>
              <w:t>$2 </w:t>
            </w:r>
            <w:r w:rsidR="00336793" w:rsidRPr="001B0BA9">
              <w:rPr>
                <w:rFonts w:ascii="Calibri" w:eastAsiaTheme="minorEastAsia" w:hAnsi="Calibri" w:cs="Calibri"/>
                <w:color w:val="000000"/>
                <w:sz w:val="20"/>
                <w:szCs w:val="22"/>
                <w:lang w:eastAsia="en-AU"/>
              </w:rPr>
              <w:t>931</w:t>
            </w:r>
            <w:r>
              <w:rPr>
                <w:rFonts w:ascii="Calibri" w:eastAsiaTheme="minorEastAsia" w:hAnsi="Calibri" w:cs="Calibri"/>
                <w:color w:val="000000"/>
                <w:sz w:val="20"/>
                <w:szCs w:val="22"/>
                <w:lang w:eastAsia="en-AU"/>
              </w:rPr>
              <w:t> </w:t>
            </w:r>
            <w:r w:rsidR="00336793" w:rsidRPr="001B0BA9">
              <w:rPr>
                <w:rFonts w:ascii="Calibri" w:eastAsiaTheme="minorEastAsia" w:hAnsi="Calibri" w:cs="Calibri"/>
                <w:color w:val="000000"/>
                <w:sz w:val="20"/>
                <w:szCs w:val="22"/>
                <w:lang w:eastAsia="en-AU"/>
              </w:rPr>
              <w:t>200 per unit (</w:t>
            </w:r>
            <w:r w:rsidR="00336793">
              <w:rPr>
                <w:rFonts w:ascii="Calibri" w:eastAsiaTheme="minorEastAsia" w:hAnsi="Calibri" w:cs="Calibri"/>
                <w:color w:val="000000"/>
                <w:sz w:val="20"/>
                <w:szCs w:val="22"/>
                <w:lang w:eastAsia="en-AU"/>
              </w:rPr>
              <w:t xml:space="preserve">2014: </w:t>
            </w:r>
            <w:r>
              <w:rPr>
                <w:rFonts w:ascii="Calibri" w:eastAsiaTheme="minorEastAsia" w:hAnsi="Calibri" w:cs="Calibri"/>
                <w:color w:val="000000"/>
                <w:sz w:val="20"/>
                <w:szCs w:val="22"/>
                <w:lang w:eastAsia="en-AU"/>
              </w:rPr>
              <w:t>$1 537 </w:t>
            </w:r>
            <w:r w:rsidR="00336793" w:rsidRPr="001B0BA9">
              <w:rPr>
                <w:rFonts w:ascii="Calibri" w:eastAsiaTheme="minorEastAsia" w:hAnsi="Calibri" w:cs="Calibri"/>
                <w:color w:val="000000"/>
                <w:sz w:val="20"/>
                <w:szCs w:val="22"/>
                <w:lang w:eastAsia="en-AU"/>
              </w:rPr>
              <w:t>000 per unit)</w:t>
            </w:r>
          </w:p>
        </w:tc>
      </w:tr>
      <w:tr w:rsidR="00336793" w:rsidRPr="001B0BA9" w:rsidTr="00DF0B96">
        <w:trPr>
          <w:trHeight w:val="20"/>
        </w:trPr>
        <w:tc>
          <w:tcPr>
            <w:tcW w:w="1494"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393"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929"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Useful life</w:t>
            </w:r>
          </w:p>
        </w:tc>
        <w:tc>
          <w:tcPr>
            <w:tcW w:w="1184"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44 years (2014: 26 years)</w:t>
            </w:r>
          </w:p>
        </w:tc>
      </w:tr>
      <w:tr w:rsidR="00336793" w:rsidRPr="001B0BA9" w:rsidTr="00DF0B96">
        <w:trPr>
          <w:trHeight w:val="20"/>
        </w:trPr>
        <w:tc>
          <w:tcPr>
            <w:tcW w:w="1494" w:type="pct"/>
            <w:tcBorders>
              <w:top w:val="nil"/>
              <w:left w:val="nil"/>
              <w:bottom w:val="nil"/>
              <w:right w:val="nil"/>
            </w:tcBorders>
            <w:shd w:val="solid" w:color="FFFFFF" w:fill="auto"/>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Metropolitan water corporations</w:t>
            </w:r>
          </w:p>
        </w:tc>
        <w:tc>
          <w:tcPr>
            <w:tcW w:w="1393"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Discounted cash flow method (income approach)</w:t>
            </w:r>
          </w:p>
        </w:tc>
        <w:tc>
          <w:tcPr>
            <w:tcW w:w="929"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Discount rates</w:t>
            </w:r>
          </w:p>
        </w:tc>
        <w:tc>
          <w:tcPr>
            <w:tcW w:w="1184" w:type="pct"/>
            <w:tcBorders>
              <w:top w:val="nil"/>
              <w:left w:val="nil"/>
              <w:bottom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5.75</w:t>
            </w:r>
            <w:r>
              <w:rPr>
                <w:rFonts w:ascii="Calibri" w:eastAsiaTheme="minorEastAsia" w:hAnsi="Calibri" w:cs="Calibri"/>
                <w:color w:val="000000"/>
                <w:sz w:val="20"/>
                <w:szCs w:val="22"/>
                <w:lang w:eastAsia="en-AU"/>
              </w:rPr>
              <w:noBreakHyphen/>
            </w:r>
            <w:r w:rsidRPr="001B0BA9">
              <w:rPr>
                <w:rFonts w:ascii="Calibri" w:eastAsiaTheme="minorEastAsia" w:hAnsi="Calibri" w:cs="Calibri"/>
                <w:color w:val="000000"/>
                <w:sz w:val="20"/>
                <w:szCs w:val="22"/>
                <w:lang w:eastAsia="en-AU"/>
              </w:rPr>
              <w:t>6.50%</w:t>
            </w:r>
          </w:p>
        </w:tc>
      </w:tr>
      <w:tr w:rsidR="00336793" w:rsidRPr="001B0BA9" w:rsidTr="00DF0B96">
        <w:trPr>
          <w:trHeight w:val="20"/>
        </w:trPr>
        <w:tc>
          <w:tcPr>
            <w:tcW w:w="1494" w:type="pct"/>
            <w:tcBorders>
              <w:top w:val="nil"/>
              <w:left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393" w:type="pct"/>
            <w:tcBorders>
              <w:top w:val="nil"/>
              <w:left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929" w:type="pct"/>
            <w:tcBorders>
              <w:top w:val="nil"/>
              <w:left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Inflation</w:t>
            </w:r>
          </w:p>
        </w:tc>
        <w:tc>
          <w:tcPr>
            <w:tcW w:w="1184" w:type="pct"/>
            <w:tcBorders>
              <w:top w:val="nil"/>
              <w:left w:val="nil"/>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2.0</w:t>
            </w:r>
            <w:r>
              <w:rPr>
                <w:rFonts w:ascii="Calibri" w:eastAsiaTheme="minorEastAsia" w:hAnsi="Calibri" w:cs="Calibri"/>
                <w:color w:val="000000"/>
                <w:sz w:val="20"/>
                <w:szCs w:val="22"/>
                <w:lang w:eastAsia="en-AU"/>
              </w:rPr>
              <w:noBreakHyphen/>
            </w:r>
            <w:r w:rsidRPr="001B0BA9">
              <w:rPr>
                <w:rFonts w:ascii="Calibri" w:eastAsiaTheme="minorEastAsia" w:hAnsi="Calibri" w:cs="Calibri"/>
                <w:color w:val="000000"/>
                <w:sz w:val="20"/>
                <w:szCs w:val="22"/>
                <w:lang w:eastAsia="en-AU"/>
              </w:rPr>
              <w:t>3.0%</w:t>
            </w:r>
          </w:p>
        </w:tc>
      </w:tr>
      <w:tr w:rsidR="00336793" w:rsidRPr="001B0BA9" w:rsidTr="00DF0B96">
        <w:trPr>
          <w:trHeight w:val="20"/>
        </w:trPr>
        <w:tc>
          <w:tcPr>
            <w:tcW w:w="1494" w:type="pct"/>
            <w:tcBorders>
              <w:top w:val="nil"/>
              <w:left w:val="nil"/>
              <w:bottom w:val="single" w:sz="12" w:space="0" w:color="auto"/>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1393" w:type="pct"/>
            <w:tcBorders>
              <w:top w:val="nil"/>
              <w:left w:val="nil"/>
              <w:bottom w:val="single" w:sz="12" w:space="0" w:color="auto"/>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 xml:space="preserve"> </w:t>
            </w:r>
          </w:p>
        </w:tc>
        <w:tc>
          <w:tcPr>
            <w:tcW w:w="929" w:type="pct"/>
            <w:tcBorders>
              <w:top w:val="nil"/>
              <w:left w:val="nil"/>
              <w:bottom w:val="single" w:sz="12" w:space="0" w:color="auto"/>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Useful life</w:t>
            </w:r>
          </w:p>
        </w:tc>
        <w:tc>
          <w:tcPr>
            <w:tcW w:w="1184" w:type="pct"/>
            <w:tcBorders>
              <w:top w:val="nil"/>
              <w:left w:val="nil"/>
              <w:bottom w:val="single" w:sz="12" w:space="0" w:color="auto"/>
              <w:right w:val="nil"/>
            </w:tcBorders>
          </w:tcPr>
          <w:p w:rsidR="00336793" w:rsidRPr="001B0BA9" w:rsidRDefault="00336793" w:rsidP="00DF0B96">
            <w:pPr>
              <w:autoSpaceDE w:val="0"/>
              <w:autoSpaceDN w:val="0"/>
              <w:adjustRightInd w:val="0"/>
              <w:spacing w:after="0"/>
              <w:rPr>
                <w:rFonts w:ascii="Calibri" w:eastAsiaTheme="minorEastAsia" w:hAnsi="Calibri" w:cs="Calibri"/>
                <w:color w:val="000000"/>
                <w:sz w:val="20"/>
                <w:szCs w:val="22"/>
                <w:lang w:eastAsia="en-AU"/>
              </w:rPr>
            </w:pPr>
            <w:r w:rsidRPr="001B0BA9">
              <w:rPr>
                <w:rFonts w:ascii="Calibri" w:eastAsiaTheme="minorEastAsia" w:hAnsi="Calibri" w:cs="Calibri"/>
                <w:color w:val="000000"/>
                <w:sz w:val="20"/>
                <w:szCs w:val="22"/>
                <w:lang w:eastAsia="en-AU"/>
              </w:rPr>
              <w:t>3</w:t>
            </w:r>
            <w:r>
              <w:rPr>
                <w:rFonts w:ascii="Calibri" w:eastAsiaTheme="minorEastAsia" w:hAnsi="Calibri" w:cs="Calibri"/>
                <w:color w:val="000000"/>
                <w:sz w:val="20"/>
                <w:szCs w:val="22"/>
                <w:lang w:eastAsia="en-AU"/>
              </w:rPr>
              <w:noBreakHyphen/>
            </w:r>
            <w:r w:rsidRPr="001B0BA9">
              <w:rPr>
                <w:rFonts w:ascii="Calibri" w:eastAsiaTheme="minorEastAsia" w:hAnsi="Calibri" w:cs="Calibri"/>
                <w:color w:val="000000"/>
                <w:sz w:val="20"/>
                <w:szCs w:val="22"/>
                <w:lang w:eastAsia="en-AU"/>
              </w:rPr>
              <w:t>200 years</w:t>
            </w:r>
          </w:p>
        </w:tc>
      </w:tr>
    </w:tbl>
    <w:p w:rsidR="00336793" w:rsidRPr="006A75A2" w:rsidRDefault="00336793" w:rsidP="00DF0B96">
      <w:pPr>
        <w:pStyle w:val="Notes"/>
      </w:pPr>
      <w:r w:rsidRPr="006A75A2">
        <w:t>Note:</w:t>
      </w:r>
    </w:p>
    <w:p w:rsidR="00336793" w:rsidRDefault="00336793" w:rsidP="00DF0B96">
      <w:pPr>
        <w:pStyle w:val="Notes"/>
      </w:pPr>
      <w:r w:rsidRPr="006A75A2">
        <w:t xml:space="preserve">(a) </w:t>
      </w:r>
      <w:r w:rsidRPr="006A75A2">
        <w:tab/>
        <w:t xml:space="preserve">The community service obligation (CSO) adjustment reflects the specialised nature of the asset being valued through a market approach. </w:t>
      </w:r>
      <w:r w:rsidRPr="006A75A2">
        <w:br/>
        <w:t>The CSO adjustment is a reflection of the valuer</w:t>
      </w:r>
      <w:r>
        <w:t>’</w:t>
      </w:r>
      <w:r w:rsidRPr="006A75A2">
        <w:t>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336793" w:rsidRPr="006A75A2" w:rsidRDefault="00336793" w:rsidP="00DF0B96">
      <w:pPr>
        <w:pStyle w:val="Notes"/>
      </w:pPr>
    </w:p>
    <w:p w:rsidR="00336793" w:rsidRPr="00562FFE" w:rsidRDefault="00336793" w:rsidP="00DF0B96">
      <w:pPr>
        <w:pStyle w:val="Heading4"/>
      </w:pPr>
      <w:r w:rsidRPr="00562FFE">
        <w:t>Port of Melbourne non</w:t>
      </w:r>
      <w:r>
        <w:noBreakHyphen/>
      </w:r>
      <w:r w:rsidRPr="00562FFE">
        <w:t>financial assets</w:t>
      </w:r>
    </w:p>
    <w:p w:rsidR="00336793" w:rsidRDefault="00336793" w:rsidP="00DF0B96">
      <w:pPr>
        <w:autoSpaceDE w:val="0"/>
        <w:autoSpaceDN w:val="0"/>
        <w:adjustRightInd w:val="0"/>
        <w:rPr>
          <w:rFonts w:cs="Garamond"/>
          <w:color w:val="000000"/>
          <w:szCs w:val="24"/>
          <w:lang w:eastAsia="en-AU"/>
        </w:rPr>
      </w:pPr>
      <w:r>
        <w:rPr>
          <w:rFonts w:cs="Garamond"/>
          <w:color w:val="000000"/>
          <w:szCs w:val="24"/>
          <w:lang w:eastAsia="en-AU"/>
        </w:rPr>
        <w:t xml:space="preserve">During the financial period, the Victorian Government continued preparations to lease the Port of Melbourne’s commercial operations to a private operator as discussed in Note 38: </w:t>
      </w:r>
      <w:r>
        <w:rPr>
          <w:rFonts w:cs="Garamond"/>
          <w:i/>
          <w:iCs/>
          <w:color w:val="000000"/>
          <w:szCs w:val="24"/>
          <w:lang w:eastAsia="en-AU"/>
        </w:rPr>
        <w:t>Subsequent events</w:t>
      </w:r>
      <w:r>
        <w:rPr>
          <w:rFonts w:cs="Garamond"/>
          <w:color w:val="000000"/>
          <w:szCs w:val="24"/>
          <w:lang w:eastAsia="en-AU"/>
        </w:rPr>
        <w:t>.</w:t>
      </w:r>
    </w:p>
    <w:p w:rsidR="00336793" w:rsidRDefault="00336793" w:rsidP="00DF0B96">
      <w:pPr>
        <w:autoSpaceDE w:val="0"/>
        <w:autoSpaceDN w:val="0"/>
        <w:adjustRightInd w:val="0"/>
        <w:rPr>
          <w:rFonts w:cs="Garamond"/>
          <w:color w:val="000000"/>
          <w:szCs w:val="24"/>
          <w:lang w:eastAsia="en-AU"/>
        </w:rPr>
      </w:pPr>
      <w:r>
        <w:rPr>
          <w:rFonts w:cs="Garamond"/>
          <w:color w:val="000000"/>
          <w:szCs w:val="24"/>
          <w:lang w:eastAsia="en-AU"/>
        </w:rPr>
        <w:t>The Port of Melbourne Corporation contributes $4.1 billion of non</w:t>
      </w:r>
      <w:r>
        <w:rPr>
          <w:rFonts w:cs="Garamond"/>
          <w:color w:val="000000"/>
          <w:szCs w:val="24"/>
          <w:lang w:eastAsia="en-AU"/>
        </w:rPr>
        <w:noBreakHyphen/>
        <w:t xml:space="preserve">financial assets to the land, buildings, infrastructure, plant and equipment balances reported by the State. Independent valuations were undertaken on the land, channels and infrastructure with the effective date 30 June 2015 in line with the relevant reporting requirements (see Note 1(M) </w:t>
      </w:r>
      <w:r>
        <w:rPr>
          <w:rFonts w:cs="Garamond"/>
          <w:i/>
          <w:iCs/>
          <w:color w:val="000000"/>
          <w:szCs w:val="24"/>
          <w:lang w:eastAsia="en-AU"/>
        </w:rPr>
        <w:t>Revaluations of non</w:t>
      </w:r>
      <w:r>
        <w:rPr>
          <w:rFonts w:cs="Garamond"/>
          <w:i/>
          <w:iCs/>
          <w:color w:val="000000"/>
          <w:szCs w:val="24"/>
          <w:lang w:eastAsia="en-AU"/>
        </w:rPr>
        <w:noBreakHyphen/>
        <w:t>financial physical assets</w:t>
      </w:r>
      <w:r>
        <w:rPr>
          <w:rFonts w:cs="Garamond"/>
          <w:color w:val="000000"/>
          <w:szCs w:val="24"/>
          <w:lang w:eastAsia="en-AU"/>
        </w:rPr>
        <w:t>).</w:t>
      </w:r>
    </w:p>
    <w:p w:rsidR="00336793" w:rsidRDefault="00336793" w:rsidP="00DF0B96">
      <w:pPr>
        <w:autoSpaceDE w:val="0"/>
        <w:autoSpaceDN w:val="0"/>
        <w:adjustRightInd w:val="0"/>
        <w:rPr>
          <w:rFonts w:cs="Garamond"/>
          <w:color w:val="000000"/>
          <w:szCs w:val="24"/>
          <w:lang w:eastAsia="en-AU"/>
        </w:rPr>
      </w:pPr>
      <w:r>
        <w:rPr>
          <w:rFonts w:cs="Garamond"/>
          <w:color w:val="000000"/>
          <w:szCs w:val="24"/>
          <w:lang w:eastAsia="en-AU"/>
        </w:rPr>
        <w:t xml:space="preserve">The land assets have been transferred from Level 2 (as previously reported) to Level 3 in determining the fair value and valuation inputs used (in the capitalisation of net income approach) as at 30 June 2015. This is in accordance with the fair value hierarchy as per Note 1(J) </w:t>
      </w:r>
      <w:r>
        <w:rPr>
          <w:rFonts w:cs="Garamond"/>
          <w:i/>
          <w:iCs/>
          <w:color w:val="000000"/>
          <w:szCs w:val="24"/>
          <w:lang w:eastAsia="en-AU"/>
        </w:rPr>
        <w:t>Measurement of fair values</w:t>
      </w:r>
      <w:r>
        <w:rPr>
          <w:rFonts w:cs="Garamond"/>
          <w:color w:val="000000"/>
          <w:szCs w:val="24"/>
          <w:lang w:eastAsia="en-AU"/>
        </w:rPr>
        <w:t xml:space="preserve">. </w:t>
      </w:r>
    </w:p>
    <w:p w:rsidR="00336793" w:rsidRDefault="00336793" w:rsidP="00DF0B96">
      <w:pPr>
        <w:spacing w:after="0"/>
      </w:pPr>
      <w:r>
        <w:rPr>
          <w:rFonts w:cs="Garamond"/>
          <w:color w:val="000000"/>
          <w:szCs w:val="24"/>
          <w:lang w:eastAsia="en-AU"/>
        </w:rPr>
        <w:t>See the table above for the fair value disclosure relating the non</w:t>
      </w:r>
      <w:r>
        <w:rPr>
          <w:rFonts w:cs="Garamond"/>
          <w:color w:val="000000"/>
          <w:szCs w:val="24"/>
          <w:lang w:eastAsia="en-AU"/>
        </w:rPr>
        <w:noBreakHyphen/>
        <w:t>financial assets.</w:t>
      </w:r>
    </w:p>
    <w:p w:rsidR="00336793" w:rsidRPr="006A75A2" w:rsidRDefault="00336793" w:rsidP="00DF0B96">
      <w:pPr>
        <w:spacing w:after="0"/>
        <w:rPr>
          <w:rFonts w:ascii="Calibri" w:hAnsi="Calibri"/>
          <w:b/>
        </w:rPr>
      </w:pPr>
      <w:r w:rsidRPr="006A75A2">
        <w:br w:type="page"/>
      </w:r>
    </w:p>
    <w:p w:rsidR="00336793" w:rsidRPr="006A75A2" w:rsidRDefault="00336793" w:rsidP="00DF0B96">
      <w:pPr>
        <w:pStyle w:val="Heading2Notes"/>
        <w:rPr>
          <w:kern w:val="0"/>
        </w:rPr>
      </w:pPr>
      <w:bookmarkStart w:id="80" w:name="_Toc400040270"/>
      <w:bookmarkStart w:id="81" w:name="_Toc433984506"/>
      <w:r w:rsidRPr="006A75A2">
        <w:rPr>
          <w:kern w:val="0"/>
        </w:rPr>
        <w:lastRenderedPageBreak/>
        <w:t>Note 23:</w:t>
      </w:r>
      <w:r w:rsidRPr="006A75A2">
        <w:rPr>
          <w:kern w:val="0"/>
        </w:rPr>
        <w:tab/>
        <w:t>Other non</w:t>
      </w:r>
      <w:r>
        <w:rPr>
          <w:kern w:val="0"/>
        </w:rPr>
        <w:noBreakHyphen/>
      </w:r>
      <w:r w:rsidRPr="006A75A2">
        <w:rPr>
          <w:kern w:val="0"/>
        </w:rPr>
        <w:t>financial assets</w:t>
      </w:r>
      <w:bookmarkEnd w:id="80"/>
      <w:bookmarkEnd w:id="81"/>
    </w:p>
    <w:p w:rsidR="00336793" w:rsidRPr="006A75A2" w:rsidRDefault="00336793" w:rsidP="00DF0B96">
      <w:pPr>
        <w:pStyle w:val="Heading5"/>
      </w:pPr>
      <w:r>
        <w:t>(a)</w:t>
      </w:r>
      <w:r w:rsidRPr="006A75A2">
        <w:tab/>
      </w:r>
      <w:r w:rsidRPr="003E355B">
        <w:t xml:space="preserve">Total </w:t>
      </w:r>
      <w:r>
        <w:t>other non</w:t>
      </w:r>
      <w:r>
        <w:noBreakHyphen/>
        <w:t>financial assets</w:t>
      </w:r>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850"/>
        <w:gridCol w:w="270"/>
        <w:gridCol w:w="180"/>
        <w:gridCol w:w="940"/>
        <w:gridCol w:w="950"/>
        <w:gridCol w:w="17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97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State of Victoria</w:t>
            </w:r>
          </w:p>
        </w:tc>
        <w:tc>
          <w:tcPr>
            <w:tcW w:w="45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c>
          <w:tcPr>
            <w:tcW w:w="189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170"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4C3662" w:rsidRDefault="00336793" w:rsidP="00DF0B96">
            <w:pPr>
              <w:pStyle w:val="Tabletext"/>
              <w:rPr>
                <w:rFonts w:eastAsiaTheme="minorEastAsia"/>
                <w:vertAlign w:val="superscript"/>
                <w:lang w:eastAsia="en-AU"/>
              </w:rPr>
            </w:pPr>
            <w:r w:rsidRPr="00A10A3B">
              <w:rPr>
                <w:rFonts w:eastAsiaTheme="minorEastAsia"/>
                <w:lang w:eastAsia="en-AU"/>
              </w:rPr>
              <w:t>Intangible produced assets</w:t>
            </w:r>
            <w:r w:rsidRPr="00E96950">
              <w:rPr>
                <w:rFonts w:eastAsiaTheme="minorEastAsia"/>
                <w:vertAlign w:val="superscript"/>
                <w:lang w:eastAsia="en-AU"/>
              </w:rPr>
              <w:t xml:space="preserve"> </w:t>
            </w:r>
            <w:r>
              <w:rPr>
                <w:rFonts w:eastAsiaTheme="minorEastAsia"/>
                <w:vertAlign w:val="superscript"/>
                <w:lang w:eastAsia="en-AU"/>
              </w:rPr>
              <w:t>(a)</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2 294.4</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2 332.4</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1 286.8</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1 282.9</w:t>
            </w:r>
          </w:p>
        </w:tc>
      </w:tr>
      <w:tr w:rsidR="00336793" w:rsidRPr="00A10A3B" w:rsidTr="00DF0B96">
        <w:tc>
          <w:tcPr>
            <w:tcW w:w="5157" w:type="dxa"/>
            <w:tcBorders>
              <w:top w:val="nil"/>
              <w:left w:val="nil"/>
              <w:bottom w:val="nil"/>
              <w:right w:val="nil"/>
            </w:tcBorders>
            <w:shd w:val="solid" w:color="FFFFFF" w:fill="auto"/>
          </w:tcPr>
          <w:p w:rsidR="00336793" w:rsidRPr="004C3662" w:rsidRDefault="00336793" w:rsidP="00DF0B96">
            <w:pPr>
              <w:pStyle w:val="Tabletext"/>
              <w:rPr>
                <w:rFonts w:eastAsiaTheme="minorEastAsia"/>
                <w:vertAlign w:val="superscript"/>
                <w:lang w:eastAsia="en-AU"/>
              </w:rPr>
            </w:pPr>
            <w:r w:rsidRPr="00A10A3B">
              <w:rPr>
                <w:rFonts w:eastAsiaTheme="minorEastAsia"/>
                <w:lang w:eastAsia="en-AU"/>
              </w:rPr>
              <w:t>Accumulated depreciation</w:t>
            </w:r>
            <w:r w:rsidRPr="00E96950">
              <w:rPr>
                <w:rFonts w:eastAsiaTheme="minorEastAsia"/>
                <w:vertAlign w:val="superscript"/>
                <w:lang w:eastAsia="en-AU"/>
              </w:rPr>
              <w:t xml:space="preserve"> </w:t>
            </w:r>
            <w:r>
              <w:rPr>
                <w:rFonts w:eastAsiaTheme="minorEastAsia"/>
                <w:vertAlign w:val="superscript"/>
                <w:lang w:eastAsia="en-AU"/>
              </w:rPr>
              <w:t>(a)</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(1 149.2)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Pr>
                <w:rFonts w:eastAsiaTheme="minorEastAsia"/>
                <w:lang w:eastAsia="en-AU"/>
              </w:rPr>
              <w:t>(</w:t>
            </w:r>
            <w:r w:rsidRPr="00A10A3B">
              <w:rPr>
                <w:rFonts w:eastAsiaTheme="minorEastAsia"/>
                <w:lang w:eastAsia="en-AU"/>
              </w:rPr>
              <w:t>998.3)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701.1)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554.5)</w:t>
            </w:r>
          </w:p>
        </w:tc>
      </w:tr>
      <w:tr w:rsidR="00336793" w:rsidRPr="00A10A3B" w:rsidTr="00DF0B96">
        <w:tc>
          <w:tcPr>
            <w:tcW w:w="5157" w:type="dxa"/>
            <w:tcBorders>
              <w:top w:val="nil"/>
              <w:left w:val="nil"/>
              <w:bottom w:val="nil"/>
              <w:right w:val="nil"/>
            </w:tcBorders>
            <w:shd w:val="solid" w:color="FFFFFF" w:fill="auto"/>
          </w:tcPr>
          <w:p w:rsidR="00336793" w:rsidRPr="004C3662" w:rsidRDefault="00336793" w:rsidP="00DF0B96">
            <w:pPr>
              <w:pStyle w:val="Tabletext"/>
              <w:rPr>
                <w:rFonts w:eastAsiaTheme="minorEastAsia"/>
                <w:vertAlign w:val="superscript"/>
                <w:lang w:eastAsia="en-AU"/>
              </w:rPr>
            </w:pPr>
            <w:r w:rsidRPr="00A10A3B">
              <w:rPr>
                <w:rFonts w:eastAsiaTheme="minorEastAsia"/>
                <w:lang w:eastAsia="en-AU"/>
              </w:rPr>
              <w:t>Intangible non</w:t>
            </w:r>
            <w:r>
              <w:rPr>
                <w:rFonts w:eastAsiaTheme="minorEastAsia"/>
                <w:lang w:eastAsia="en-AU"/>
              </w:rPr>
              <w:noBreakHyphen/>
            </w:r>
            <w:r w:rsidRPr="00A10A3B">
              <w:rPr>
                <w:rFonts w:eastAsiaTheme="minorEastAsia"/>
                <w:lang w:eastAsia="en-AU"/>
              </w:rPr>
              <w:t>produced assets</w:t>
            </w:r>
            <w:r w:rsidRPr="00E96950">
              <w:rPr>
                <w:rFonts w:eastAsiaTheme="minorEastAsia"/>
                <w:vertAlign w:val="superscript"/>
                <w:lang w:eastAsia="en-AU"/>
              </w:rPr>
              <w:t xml:space="preserve"> </w:t>
            </w:r>
            <w:r>
              <w:rPr>
                <w:rFonts w:eastAsiaTheme="minorEastAsia"/>
                <w:vertAlign w:val="superscript"/>
                <w:lang w:eastAsia="en-AU"/>
              </w:rPr>
              <w:t>(a)</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853.1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767.7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153.8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92.8</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4C3662" w:rsidRDefault="00336793" w:rsidP="00DF0B96">
            <w:pPr>
              <w:pStyle w:val="Tabletext"/>
              <w:rPr>
                <w:rFonts w:eastAsiaTheme="minorEastAsia"/>
                <w:vertAlign w:val="superscript"/>
                <w:lang w:eastAsia="en-AU"/>
              </w:rPr>
            </w:pPr>
            <w:r w:rsidRPr="00A10A3B">
              <w:rPr>
                <w:rFonts w:eastAsiaTheme="minorEastAsia"/>
                <w:lang w:eastAsia="en-AU"/>
              </w:rPr>
              <w:t>Accumulated amortisation</w:t>
            </w:r>
            <w:r w:rsidRPr="00E96950">
              <w:rPr>
                <w:rFonts w:eastAsiaTheme="minorEastAsia"/>
                <w:vertAlign w:val="superscript"/>
                <w:lang w:eastAsia="en-AU"/>
              </w:rPr>
              <w:t xml:space="preserve"> </w:t>
            </w:r>
            <w:r>
              <w:rPr>
                <w:rFonts w:eastAsiaTheme="minorEastAsia"/>
                <w:vertAlign w:val="superscript"/>
                <w:lang w:eastAsia="en-AU"/>
              </w:rPr>
              <w:t>(a)</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210.8)</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164.4)</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69.0)</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49.2)</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Total intangibles </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1 787.6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1 937.3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670.5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772.0</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Investment properties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75.7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143.3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69.1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137.3</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Biological assets</w:t>
            </w:r>
            <w:r w:rsidRPr="00E96950">
              <w:rPr>
                <w:rFonts w:eastAsiaTheme="minorEastAsia"/>
                <w:vertAlign w:val="superscript"/>
                <w:lang w:eastAsia="en-AU"/>
              </w:rPr>
              <w:t xml:space="preserve"> (</w:t>
            </w:r>
            <w:r>
              <w:rPr>
                <w:rFonts w:eastAsiaTheme="minorEastAsia"/>
                <w:vertAlign w:val="superscript"/>
                <w:lang w:eastAsia="en-AU"/>
              </w:rPr>
              <w:t>b</w:t>
            </w:r>
            <w:r w:rsidRPr="00A10A3B">
              <w:rPr>
                <w:rFonts w:eastAsiaTheme="minorEastAsia"/>
                <w:vertAlign w:val="superscript"/>
                <w:lang w:eastAsia="en-AU"/>
              </w:rPr>
              <w:t>)</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63.6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38.1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4.9</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assets</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200.3</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339.3</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294.8</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290.6</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other non</w:t>
            </w:r>
            <w:r>
              <w:rPr>
                <w:rFonts w:eastAsiaTheme="minorEastAsia"/>
                <w:b/>
                <w:bCs/>
                <w:lang w:eastAsia="en-AU"/>
              </w:rPr>
              <w:noBreakHyphen/>
            </w:r>
            <w:r w:rsidRPr="00A10A3B">
              <w:rPr>
                <w:rFonts w:eastAsiaTheme="minorEastAsia"/>
                <w:b/>
                <w:bCs/>
                <w:lang w:eastAsia="en-AU"/>
              </w:rPr>
              <w:t>financial assets</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2 127.3</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2 458.1</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1 038.3</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1 204.8</w:t>
            </w:r>
          </w:p>
        </w:tc>
      </w:tr>
    </w:tbl>
    <w:p w:rsidR="00336793" w:rsidRPr="006A75A2" w:rsidRDefault="00336793" w:rsidP="00DF0B96">
      <w:pPr>
        <w:pStyle w:val="Notes"/>
      </w:pPr>
      <w:r w:rsidRPr="006A75A2">
        <w:t>Note</w:t>
      </w:r>
      <w:r>
        <w:t>s</w:t>
      </w:r>
      <w:r w:rsidRPr="006A75A2">
        <w:t>:</w:t>
      </w:r>
    </w:p>
    <w:p w:rsidR="00336793" w:rsidRPr="006A75A2" w:rsidRDefault="00336793" w:rsidP="00DF0B96">
      <w:pPr>
        <w:pStyle w:val="Notes"/>
      </w:pPr>
      <w:r>
        <w:t>(a)</w:t>
      </w:r>
      <w:r w:rsidRPr="006A75A2">
        <w:tab/>
      </w:r>
      <w:r>
        <w:t>June 2014 comparative figures have been reclassified to reflect more current information</w:t>
      </w:r>
      <w:r w:rsidRPr="006A75A2">
        <w:t>.</w:t>
      </w:r>
    </w:p>
    <w:p w:rsidR="00336793" w:rsidRPr="006A75A2" w:rsidRDefault="00336793" w:rsidP="001E4A6F">
      <w:pPr>
        <w:pStyle w:val="Notes"/>
      </w:pPr>
      <w:r>
        <w:t>(b)</w:t>
      </w:r>
      <w:r>
        <w:tab/>
      </w:r>
      <w:r w:rsidRPr="006A75A2">
        <w:t>The majority of biological assets comprises commercial forests and also includes any living animal, plant or agricultural produce which is the harvested product of biological assets.</w:t>
      </w:r>
    </w:p>
    <w:p w:rsidR="00336793" w:rsidRDefault="00336793" w:rsidP="00DF0B96">
      <w:pPr>
        <w:spacing w:after="0"/>
        <w:rPr>
          <w:rFonts w:ascii="Calibri" w:hAnsi="Calibri"/>
          <w:b/>
        </w:rPr>
      </w:pPr>
    </w:p>
    <w:p w:rsidR="00336793" w:rsidRPr="006A75A2" w:rsidRDefault="00336793" w:rsidP="00DF0B96">
      <w:pPr>
        <w:spacing w:after="0"/>
        <w:rPr>
          <w:rFonts w:ascii="Calibri" w:hAnsi="Calibri"/>
          <w:b/>
        </w:rPr>
      </w:pPr>
    </w:p>
    <w:p w:rsidR="00336793" w:rsidRPr="006A75A2" w:rsidRDefault="00336793" w:rsidP="00DF0B96">
      <w:pPr>
        <w:pStyle w:val="Heading5"/>
      </w:pPr>
      <w:r w:rsidRPr="006A75A2">
        <w:t xml:space="preserve">(b) </w:t>
      </w:r>
      <w:r w:rsidRPr="006A75A2">
        <w:tab/>
        <w:t>Reconciliation of movement in intangibles, investment properties and biological assets</w:t>
      </w:r>
      <w:r w:rsidRPr="00756249">
        <w:rPr>
          <w:vertAlign w:val="superscript"/>
        </w:rPr>
        <w:t>(a)</w:t>
      </w:r>
    </w:p>
    <w:p w:rsidR="00336793" w:rsidRPr="005F563F"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47"/>
        <w:gridCol w:w="873"/>
        <w:gridCol w:w="1120"/>
        <w:gridCol w:w="275"/>
        <w:gridCol w:w="845"/>
        <w:gridCol w:w="1120"/>
      </w:tblGrid>
      <w:tr w:rsidR="00336793" w:rsidRPr="005F563F" w:rsidTr="00DF0B96">
        <w:tc>
          <w:tcPr>
            <w:tcW w:w="5157" w:type="dxa"/>
            <w:tcBorders>
              <w:top w:val="single" w:sz="6" w:space="0" w:color="auto"/>
              <w:left w:val="single" w:sz="6" w:space="0" w:color="auto"/>
              <w:bottom w:val="nil"/>
              <w:right w:val="nil"/>
            </w:tcBorders>
            <w:shd w:val="clear" w:color="000000" w:fill="000000"/>
          </w:tcPr>
          <w:p w:rsidR="00336793" w:rsidRPr="005F563F" w:rsidRDefault="00336793" w:rsidP="00DF0B96">
            <w:pPr>
              <w:pStyle w:val="Tabletext"/>
              <w:rPr>
                <w:rFonts w:eastAsiaTheme="minorEastAsia"/>
                <w:lang w:eastAsia="en-AU"/>
              </w:rPr>
            </w:pPr>
            <w:r w:rsidRPr="005F563F">
              <w:rPr>
                <w:rFonts w:eastAsiaTheme="minorEastAsia"/>
                <w:lang w:eastAsia="en-AU"/>
              </w:rPr>
              <w:t xml:space="preserve">  </w:t>
            </w:r>
          </w:p>
        </w:tc>
        <w:tc>
          <w:tcPr>
            <w:tcW w:w="247" w:type="dxa"/>
            <w:tcBorders>
              <w:top w:val="single" w:sz="6" w:space="0" w:color="auto"/>
              <w:left w:val="nil"/>
              <w:bottom w:val="nil"/>
              <w:right w:val="nil"/>
            </w:tcBorders>
            <w:shd w:val="clear" w:color="000000" w:fill="000000"/>
          </w:tcPr>
          <w:p w:rsidR="00336793" w:rsidRPr="005F563F" w:rsidRDefault="00336793" w:rsidP="00DF0B96">
            <w:pPr>
              <w:pStyle w:val="Tabletextheading"/>
              <w:rPr>
                <w:rFonts w:eastAsiaTheme="minorEastAsia"/>
                <w:iCs/>
                <w:color w:val="FFFFFF"/>
                <w:lang w:eastAsia="en-AU"/>
              </w:rPr>
            </w:pPr>
            <w:r w:rsidRPr="005F563F">
              <w:rPr>
                <w:rFonts w:eastAsiaTheme="minorEastAsia"/>
                <w:iCs/>
                <w:color w:val="FFFFFF"/>
                <w:lang w:eastAsia="en-AU"/>
              </w:rPr>
              <w:t xml:space="preserve"> </w:t>
            </w:r>
          </w:p>
        </w:tc>
        <w:tc>
          <w:tcPr>
            <w:tcW w:w="1993" w:type="dxa"/>
            <w:gridSpan w:val="2"/>
            <w:tcBorders>
              <w:top w:val="single" w:sz="6" w:space="0" w:color="auto"/>
              <w:left w:val="nil"/>
              <w:bottom w:val="nil"/>
              <w:right w:val="nil"/>
            </w:tcBorders>
            <w:shd w:val="clear" w:color="000000" w:fill="000000"/>
          </w:tcPr>
          <w:p w:rsidR="00336793" w:rsidRPr="005F563F" w:rsidRDefault="00336793" w:rsidP="00DF0B96">
            <w:pPr>
              <w:pStyle w:val="Tabletextheading"/>
              <w:jc w:val="center"/>
              <w:rPr>
                <w:rFonts w:eastAsiaTheme="minorEastAsia"/>
                <w:iCs/>
                <w:color w:val="FFFFFF"/>
                <w:lang w:eastAsia="en-AU"/>
              </w:rPr>
            </w:pPr>
          </w:p>
          <w:p w:rsidR="00336793" w:rsidRPr="005F563F" w:rsidRDefault="00336793" w:rsidP="00DF0B96">
            <w:pPr>
              <w:pStyle w:val="Tabletextheading"/>
              <w:jc w:val="center"/>
              <w:rPr>
                <w:rFonts w:eastAsiaTheme="minorEastAsia"/>
                <w:iCs/>
                <w:color w:val="FFFFFF"/>
                <w:lang w:eastAsia="en-AU"/>
              </w:rPr>
            </w:pPr>
            <w:r w:rsidRPr="005F563F">
              <w:rPr>
                <w:rFonts w:eastAsiaTheme="minorEastAsia"/>
                <w:iCs/>
                <w:color w:val="FFFFFF"/>
                <w:lang w:eastAsia="en-AU"/>
              </w:rPr>
              <w:t>State of Victoria</w:t>
            </w:r>
          </w:p>
        </w:tc>
        <w:tc>
          <w:tcPr>
            <w:tcW w:w="275" w:type="dxa"/>
            <w:tcBorders>
              <w:top w:val="single" w:sz="6" w:space="0" w:color="auto"/>
              <w:left w:val="nil"/>
              <w:bottom w:val="nil"/>
              <w:right w:val="nil"/>
            </w:tcBorders>
            <w:shd w:val="clear" w:color="000000" w:fill="000000"/>
          </w:tcPr>
          <w:p w:rsidR="00336793" w:rsidRPr="005F563F" w:rsidRDefault="00336793" w:rsidP="00DF0B96">
            <w:pPr>
              <w:pStyle w:val="Tabletextheading"/>
              <w:jc w:val="center"/>
              <w:rPr>
                <w:rFonts w:eastAsiaTheme="minorEastAsia" w:cs="Calibri"/>
                <w:iCs/>
                <w:color w:val="FFFFFF"/>
                <w:szCs w:val="22"/>
                <w:lang w:eastAsia="en-AU"/>
              </w:rPr>
            </w:pPr>
            <w:r w:rsidRPr="005F563F">
              <w:rPr>
                <w:rFonts w:eastAsiaTheme="minorEastAsia"/>
                <w:iCs/>
                <w:color w:val="FFFFFF"/>
                <w:lang w:eastAsia="en-AU"/>
              </w:rPr>
              <w:t xml:space="preserve"> </w:t>
            </w:r>
          </w:p>
        </w:tc>
        <w:tc>
          <w:tcPr>
            <w:tcW w:w="1965" w:type="dxa"/>
            <w:gridSpan w:val="2"/>
            <w:tcBorders>
              <w:top w:val="single" w:sz="6" w:space="0" w:color="auto"/>
              <w:left w:val="nil"/>
              <w:bottom w:val="nil"/>
              <w:right w:val="single" w:sz="6" w:space="0" w:color="auto"/>
            </w:tcBorders>
            <w:shd w:val="clear" w:color="000000" w:fill="000000"/>
          </w:tcPr>
          <w:p w:rsidR="00336793" w:rsidRPr="005F563F" w:rsidRDefault="00336793" w:rsidP="00DF0B96">
            <w:pPr>
              <w:pStyle w:val="Tabletextheading"/>
              <w:jc w:val="center"/>
              <w:rPr>
                <w:rFonts w:eastAsiaTheme="minorEastAsia" w:cs="Calibri"/>
                <w:iCs/>
                <w:color w:val="FFFFFF"/>
                <w:szCs w:val="22"/>
                <w:lang w:eastAsia="en-AU"/>
              </w:rPr>
            </w:pPr>
            <w:r w:rsidRPr="005F563F">
              <w:rPr>
                <w:rFonts w:eastAsiaTheme="minorEastAsia"/>
                <w:iCs/>
                <w:color w:val="FFFFFF"/>
                <w:lang w:eastAsia="en-AU"/>
              </w:rPr>
              <w:t xml:space="preserve">General </w:t>
            </w:r>
          </w:p>
          <w:p w:rsidR="00336793" w:rsidRPr="005F563F" w:rsidRDefault="00336793" w:rsidP="00DF0B96">
            <w:pPr>
              <w:pStyle w:val="Tabletextheading"/>
              <w:jc w:val="center"/>
              <w:rPr>
                <w:rFonts w:eastAsiaTheme="minorEastAsia"/>
                <w:iCs/>
                <w:color w:val="FFFFFF"/>
                <w:lang w:eastAsia="en-AU"/>
              </w:rPr>
            </w:pPr>
            <w:r w:rsidRPr="005F563F">
              <w:rPr>
                <w:rFonts w:eastAsiaTheme="minorEastAsia"/>
                <w:iCs/>
                <w:color w:val="FFFFFF"/>
                <w:lang w:eastAsia="en-AU"/>
              </w:rPr>
              <w:t>government sector</w:t>
            </w:r>
          </w:p>
        </w:tc>
      </w:tr>
      <w:tr w:rsidR="00336793" w:rsidRPr="005F563F" w:rsidTr="00DF0B96">
        <w:tc>
          <w:tcPr>
            <w:tcW w:w="5157" w:type="dxa"/>
            <w:tcBorders>
              <w:top w:val="nil"/>
              <w:left w:val="single" w:sz="6" w:space="0" w:color="auto"/>
              <w:bottom w:val="single" w:sz="6" w:space="0" w:color="auto"/>
              <w:right w:val="nil"/>
            </w:tcBorders>
            <w:shd w:val="clear" w:color="000000" w:fill="000000"/>
          </w:tcPr>
          <w:p w:rsidR="00336793" w:rsidRPr="005F563F" w:rsidRDefault="00336793" w:rsidP="00DF0B96">
            <w:pPr>
              <w:pStyle w:val="Tabletext"/>
              <w:rPr>
                <w:rFonts w:eastAsiaTheme="minorEastAsia"/>
                <w:lang w:eastAsia="en-AU"/>
              </w:rPr>
            </w:pPr>
            <w:r w:rsidRPr="005F563F">
              <w:rPr>
                <w:rFonts w:eastAsiaTheme="minorEastAsia"/>
                <w:lang w:eastAsia="en-AU"/>
              </w:rPr>
              <w:t xml:space="preserve">  </w:t>
            </w:r>
          </w:p>
        </w:tc>
        <w:tc>
          <w:tcPr>
            <w:tcW w:w="1120" w:type="dxa"/>
            <w:gridSpan w:val="2"/>
            <w:tcBorders>
              <w:top w:val="nil"/>
              <w:left w:val="nil"/>
              <w:bottom w:val="single" w:sz="6" w:space="0" w:color="auto"/>
              <w:right w:val="nil"/>
            </w:tcBorders>
            <w:shd w:val="clear" w:color="000000" w:fill="000000"/>
          </w:tcPr>
          <w:p w:rsidR="00336793" w:rsidRPr="005F563F" w:rsidRDefault="00336793" w:rsidP="00DF0B96">
            <w:pPr>
              <w:pStyle w:val="Tabletextheading"/>
              <w:rPr>
                <w:rFonts w:eastAsiaTheme="minorEastAsia"/>
                <w:iCs/>
                <w:color w:val="FFFFFF"/>
                <w:lang w:eastAsia="en-AU"/>
              </w:rPr>
            </w:pPr>
            <w:r w:rsidRPr="005F563F">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tcPr>
          <w:p w:rsidR="00336793" w:rsidRPr="005F563F" w:rsidRDefault="00336793" w:rsidP="00DF0B96">
            <w:pPr>
              <w:pStyle w:val="Tabletextheading"/>
              <w:rPr>
                <w:rFonts w:eastAsiaTheme="minorEastAsia"/>
                <w:iCs/>
                <w:color w:val="FFFFFF"/>
                <w:lang w:eastAsia="en-AU"/>
              </w:rPr>
            </w:pPr>
            <w:r w:rsidRPr="005F563F">
              <w:rPr>
                <w:rFonts w:eastAsiaTheme="minorEastAsia"/>
                <w:iCs/>
                <w:color w:val="FFFFFF"/>
                <w:lang w:eastAsia="en-AU"/>
              </w:rPr>
              <w:t>2014</w:t>
            </w:r>
          </w:p>
        </w:tc>
        <w:tc>
          <w:tcPr>
            <w:tcW w:w="1120" w:type="dxa"/>
            <w:gridSpan w:val="2"/>
            <w:tcBorders>
              <w:top w:val="nil"/>
              <w:left w:val="nil"/>
              <w:bottom w:val="single" w:sz="6" w:space="0" w:color="auto"/>
              <w:right w:val="nil"/>
            </w:tcBorders>
            <w:shd w:val="clear" w:color="000000" w:fill="000000"/>
          </w:tcPr>
          <w:p w:rsidR="00336793" w:rsidRPr="005F563F" w:rsidRDefault="00336793" w:rsidP="00DF0B96">
            <w:pPr>
              <w:pStyle w:val="Tabletextheading"/>
              <w:rPr>
                <w:rFonts w:eastAsiaTheme="minorEastAsia"/>
                <w:iCs/>
                <w:color w:val="FFFFFF"/>
                <w:lang w:eastAsia="en-AU"/>
              </w:rPr>
            </w:pPr>
            <w:r w:rsidRPr="005F563F">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5F563F" w:rsidRDefault="00336793" w:rsidP="00DF0B96">
            <w:pPr>
              <w:pStyle w:val="Tabletextheading"/>
              <w:rPr>
                <w:rFonts w:eastAsiaTheme="minorEastAsia"/>
                <w:iCs/>
                <w:color w:val="FFFFFF"/>
                <w:lang w:eastAsia="en-AU"/>
              </w:rPr>
            </w:pPr>
            <w:r w:rsidRPr="005F563F">
              <w:rPr>
                <w:rFonts w:eastAsiaTheme="minorEastAsia"/>
                <w:iCs/>
                <w:color w:val="FFFFFF"/>
                <w:lang w:eastAsia="en-AU"/>
              </w:rPr>
              <w:t>2014</w:t>
            </w:r>
          </w:p>
        </w:tc>
      </w:tr>
      <w:tr w:rsidR="00336793" w:rsidRPr="005F563F" w:rsidTr="00DF0B96">
        <w:tc>
          <w:tcPr>
            <w:tcW w:w="5157" w:type="dxa"/>
            <w:tcBorders>
              <w:top w:val="single" w:sz="6" w:space="0" w:color="auto"/>
              <w:left w:val="nil"/>
              <w:bottom w:val="nil"/>
              <w:right w:val="nil"/>
            </w:tcBorders>
          </w:tcPr>
          <w:p w:rsidR="00336793" w:rsidRPr="005F563F" w:rsidRDefault="00336793" w:rsidP="00DF0B96">
            <w:pPr>
              <w:pStyle w:val="Tabletext"/>
              <w:rPr>
                <w:rFonts w:eastAsiaTheme="minorEastAsia"/>
                <w:lang w:eastAsia="en-AU"/>
              </w:rPr>
            </w:pPr>
            <w:r w:rsidRPr="005F563F">
              <w:rPr>
                <w:rFonts w:eastAsiaTheme="minorEastAsia"/>
                <w:lang w:eastAsia="en-AU"/>
              </w:rPr>
              <w:t>Opening balance</w:t>
            </w:r>
          </w:p>
        </w:tc>
        <w:tc>
          <w:tcPr>
            <w:tcW w:w="1120" w:type="dxa"/>
            <w:gridSpan w:val="2"/>
            <w:tcBorders>
              <w:top w:val="single" w:sz="6" w:space="0" w:color="auto"/>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2 118.7</w:t>
            </w:r>
          </w:p>
        </w:tc>
        <w:tc>
          <w:tcPr>
            <w:tcW w:w="1120" w:type="dxa"/>
            <w:tcBorders>
              <w:top w:val="single" w:sz="6" w:space="0" w:color="auto"/>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1 769.9</w:t>
            </w:r>
          </w:p>
        </w:tc>
        <w:tc>
          <w:tcPr>
            <w:tcW w:w="1120" w:type="dxa"/>
            <w:gridSpan w:val="2"/>
            <w:tcBorders>
              <w:top w:val="single" w:sz="6" w:space="0" w:color="auto"/>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914.3</w:t>
            </w:r>
          </w:p>
        </w:tc>
        <w:tc>
          <w:tcPr>
            <w:tcW w:w="1120" w:type="dxa"/>
            <w:tcBorders>
              <w:top w:val="single" w:sz="6" w:space="0" w:color="auto"/>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759.2</w:t>
            </w:r>
          </w:p>
        </w:tc>
      </w:tr>
      <w:tr w:rsidR="00336793" w:rsidRPr="005F563F" w:rsidTr="00DF0B96">
        <w:tc>
          <w:tcPr>
            <w:tcW w:w="5157" w:type="dxa"/>
            <w:tcBorders>
              <w:top w:val="nil"/>
              <w:left w:val="nil"/>
              <w:bottom w:val="nil"/>
              <w:right w:val="nil"/>
            </w:tcBorders>
          </w:tcPr>
          <w:p w:rsidR="00336793" w:rsidRPr="005F563F" w:rsidRDefault="00336793" w:rsidP="00DF0B96">
            <w:pPr>
              <w:pStyle w:val="Tabletext"/>
              <w:rPr>
                <w:rFonts w:eastAsiaTheme="minorEastAsia"/>
                <w:lang w:eastAsia="en-AU"/>
              </w:rPr>
            </w:pPr>
            <w:r w:rsidRPr="005F563F">
              <w:rPr>
                <w:rFonts w:eastAsiaTheme="minorEastAsia"/>
                <w:lang w:eastAsia="en-AU"/>
              </w:rPr>
              <w:t>Acquisitions</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245.7</w:t>
            </w:r>
          </w:p>
        </w:tc>
        <w:tc>
          <w:tcPr>
            <w:tcW w:w="1120" w:type="dxa"/>
            <w:tcBorders>
              <w:top w:val="nil"/>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438.2</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sidRPr="005F563F">
              <w:rPr>
                <w:rFonts w:eastAsiaTheme="minorEastAsia"/>
                <w:lang w:eastAsia="en-AU"/>
              </w:rPr>
              <w:t xml:space="preserve"> 135.8</w:t>
            </w:r>
          </w:p>
        </w:tc>
        <w:tc>
          <w:tcPr>
            <w:tcW w:w="1120" w:type="dxa"/>
            <w:tcBorders>
              <w:top w:val="nil"/>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295.2</w:t>
            </w:r>
          </w:p>
        </w:tc>
      </w:tr>
      <w:tr w:rsidR="00336793" w:rsidRPr="005F563F" w:rsidTr="00DF0B96">
        <w:tc>
          <w:tcPr>
            <w:tcW w:w="5157" w:type="dxa"/>
            <w:tcBorders>
              <w:top w:val="nil"/>
              <w:left w:val="nil"/>
              <w:bottom w:val="nil"/>
              <w:right w:val="nil"/>
            </w:tcBorders>
          </w:tcPr>
          <w:p w:rsidR="00336793" w:rsidRPr="005F563F" w:rsidRDefault="00336793" w:rsidP="00DF0B96">
            <w:pPr>
              <w:pStyle w:val="Tabletext"/>
              <w:rPr>
                <w:rFonts w:eastAsiaTheme="minorEastAsia" w:cs="Calibri"/>
                <w:color w:val="000000"/>
                <w:szCs w:val="22"/>
                <w:vertAlign w:val="superscript"/>
                <w:lang w:eastAsia="en-AU"/>
              </w:rPr>
            </w:pPr>
            <w:r w:rsidRPr="005F563F">
              <w:rPr>
                <w:rFonts w:eastAsiaTheme="minorEastAsia"/>
                <w:lang w:eastAsia="en-AU"/>
              </w:rPr>
              <w:t>Reclassification</w:t>
            </w:r>
            <w:r w:rsidRPr="005F563F">
              <w:rPr>
                <w:rFonts w:eastAsiaTheme="minorEastAsia"/>
                <w:vertAlign w:val="superscript"/>
                <w:lang w:eastAsia="en-AU"/>
              </w:rPr>
              <w:t xml:space="preserve"> (b)</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49.9)</w:t>
            </w:r>
          </w:p>
        </w:tc>
        <w:tc>
          <w:tcPr>
            <w:tcW w:w="1120" w:type="dxa"/>
            <w:tcBorders>
              <w:top w:val="nil"/>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324.3</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50.0)</w:t>
            </w:r>
          </w:p>
        </w:tc>
        <w:tc>
          <w:tcPr>
            <w:tcW w:w="1120" w:type="dxa"/>
            <w:tcBorders>
              <w:top w:val="nil"/>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112.5</w:t>
            </w:r>
          </w:p>
        </w:tc>
      </w:tr>
      <w:tr w:rsidR="00336793" w:rsidRPr="005F563F" w:rsidTr="00DF0B96">
        <w:tc>
          <w:tcPr>
            <w:tcW w:w="5157" w:type="dxa"/>
            <w:tcBorders>
              <w:top w:val="nil"/>
              <w:left w:val="nil"/>
              <w:bottom w:val="nil"/>
              <w:right w:val="nil"/>
            </w:tcBorders>
          </w:tcPr>
          <w:p w:rsidR="00336793" w:rsidRPr="005F563F" w:rsidRDefault="00336793" w:rsidP="00DF0B96">
            <w:pPr>
              <w:pStyle w:val="Tabletext"/>
              <w:rPr>
                <w:rFonts w:eastAsiaTheme="minorEastAsia"/>
                <w:lang w:eastAsia="en-AU"/>
              </w:rPr>
            </w:pPr>
            <w:r w:rsidRPr="005F563F">
              <w:rPr>
                <w:rFonts w:eastAsiaTheme="minorEastAsia"/>
                <w:lang w:eastAsia="en-AU"/>
              </w:rPr>
              <w:t>Revaluation</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15.0</w:t>
            </w:r>
          </w:p>
        </w:tc>
        <w:tc>
          <w:tcPr>
            <w:tcW w:w="1120" w:type="dxa"/>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60.0)</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17.2</w:t>
            </w:r>
          </w:p>
        </w:tc>
        <w:tc>
          <w:tcPr>
            <w:tcW w:w="1120" w:type="dxa"/>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59.1)</w:t>
            </w:r>
          </w:p>
        </w:tc>
      </w:tr>
      <w:tr w:rsidR="00336793" w:rsidRPr="005F563F" w:rsidTr="00DF0B96">
        <w:tc>
          <w:tcPr>
            <w:tcW w:w="5157" w:type="dxa"/>
            <w:tcBorders>
              <w:top w:val="nil"/>
              <w:left w:val="nil"/>
              <w:bottom w:val="nil"/>
              <w:right w:val="nil"/>
            </w:tcBorders>
          </w:tcPr>
          <w:p w:rsidR="00336793" w:rsidRPr="005F563F" w:rsidRDefault="00336793" w:rsidP="00DF0B96">
            <w:pPr>
              <w:pStyle w:val="Tabletext"/>
              <w:rPr>
                <w:rFonts w:eastAsiaTheme="minorEastAsia"/>
                <w:vertAlign w:val="superscript"/>
                <w:lang w:eastAsia="en-AU"/>
              </w:rPr>
            </w:pPr>
            <w:r w:rsidRPr="005F563F">
              <w:rPr>
                <w:rFonts w:eastAsiaTheme="minorEastAsia"/>
                <w:lang w:eastAsia="en-AU"/>
              </w:rPr>
              <w:t>Disposals</w:t>
            </w:r>
            <w:r w:rsidRPr="00E96950">
              <w:rPr>
                <w:rFonts w:eastAsiaTheme="minorEastAsia"/>
                <w:vertAlign w:val="superscript"/>
                <w:lang w:eastAsia="en-AU"/>
              </w:rPr>
              <w:t xml:space="preserve"> </w:t>
            </w:r>
            <w:r w:rsidRPr="005F563F">
              <w:rPr>
                <w:rFonts w:eastAsiaTheme="minorEastAsia"/>
                <w:vertAlign w:val="superscript"/>
                <w:lang w:eastAsia="en-AU"/>
              </w:rPr>
              <w:t>(b)</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98.1)</w:t>
            </w:r>
          </w:p>
        </w:tc>
        <w:tc>
          <w:tcPr>
            <w:tcW w:w="1120" w:type="dxa"/>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31.9)</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88.1)</w:t>
            </w:r>
          </w:p>
        </w:tc>
        <w:tc>
          <w:tcPr>
            <w:tcW w:w="1120" w:type="dxa"/>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9.7)</w:t>
            </w:r>
          </w:p>
        </w:tc>
      </w:tr>
      <w:tr w:rsidR="00336793" w:rsidRPr="005F563F" w:rsidTr="00DF0B96">
        <w:tc>
          <w:tcPr>
            <w:tcW w:w="5157" w:type="dxa"/>
            <w:tcBorders>
              <w:top w:val="nil"/>
              <w:left w:val="nil"/>
              <w:bottom w:val="nil"/>
              <w:right w:val="nil"/>
            </w:tcBorders>
          </w:tcPr>
          <w:p w:rsidR="00336793" w:rsidRPr="005F563F" w:rsidRDefault="00336793" w:rsidP="00DF0B96">
            <w:pPr>
              <w:pStyle w:val="Tabletext"/>
              <w:rPr>
                <w:rFonts w:eastAsiaTheme="minorEastAsia"/>
                <w:lang w:eastAsia="en-AU"/>
              </w:rPr>
            </w:pPr>
            <w:r w:rsidRPr="005F563F">
              <w:rPr>
                <w:rFonts w:eastAsiaTheme="minorEastAsia"/>
                <w:lang w:eastAsia="en-AU"/>
              </w:rPr>
              <w:t>Assets recognised for the first time</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11.0</w:t>
            </w:r>
          </w:p>
        </w:tc>
        <w:tc>
          <w:tcPr>
            <w:tcW w:w="1120" w:type="dxa"/>
            <w:tcBorders>
              <w:top w:val="nil"/>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22.4</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10.2</w:t>
            </w:r>
          </w:p>
        </w:tc>
        <w:tc>
          <w:tcPr>
            <w:tcW w:w="1120" w:type="dxa"/>
            <w:tcBorders>
              <w:top w:val="nil"/>
              <w:left w:val="nil"/>
              <w:bottom w:val="nil"/>
              <w:right w:val="nil"/>
            </w:tcBorders>
          </w:tcPr>
          <w:p w:rsidR="00336793" w:rsidRPr="005F563F" w:rsidRDefault="00336793" w:rsidP="00DF0B96">
            <w:pPr>
              <w:pStyle w:val="TableofFigures"/>
              <w:rPr>
                <w:rFonts w:eastAsiaTheme="minorEastAsia"/>
                <w:lang w:eastAsia="en-AU"/>
              </w:rPr>
            </w:pPr>
            <w:r w:rsidRPr="005F563F">
              <w:rPr>
                <w:rFonts w:eastAsiaTheme="minorEastAsia"/>
                <w:lang w:eastAsia="en-AU"/>
              </w:rPr>
              <w:t xml:space="preserve"> 19.2</w:t>
            </w:r>
          </w:p>
        </w:tc>
      </w:tr>
      <w:tr w:rsidR="00336793" w:rsidRPr="005F563F" w:rsidTr="00DF0B96">
        <w:tc>
          <w:tcPr>
            <w:tcW w:w="5157" w:type="dxa"/>
            <w:tcBorders>
              <w:top w:val="nil"/>
              <w:left w:val="nil"/>
              <w:bottom w:val="nil"/>
              <w:right w:val="nil"/>
            </w:tcBorders>
          </w:tcPr>
          <w:p w:rsidR="00336793" w:rsidRPr="005F563F" w:rsidRDefault="00336793" w:rsidP="00DF0B96">
            <w:pPr>
              <w:pStyle w:val="Tabletext"/>
              <w:rPr>
                <w:rFonts w:eastAsiaTheme="minorEastAsia"/>
                <w:lang w:eastAsia="en-AU"/>
              </w:rPr>
            </w:pPr>
            <w:r w:rsidRPr="005F563F">
              <w:rPr>
                <w:rFonts w:eastAsiaTheme="minorEastAsia"/>
                <w:lang w:eastAsia="en-AU"/>
              </w:rPr>
              <w:t>Impairment</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65.1)</w:t>
            </w:r>
          </w:p>
        </w:tc>
        <w:tc>
          <w:tcPr>
            <w:tcW w:w="1120" w:type="dxa"/>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5.7)</w:t>
            </w:r>
          </w:p>
        </w:tc>
        <w:tc>
          <w:tcPr>
            <w:tcW w:w="1120" w:type="dxa"/>
            <w:gridSpan w:val="2"/>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62.5)</w:t>
            </w:r>
          </w:p>
        </w:tc>
        <w:tc>
          <w:tcPr>
            <w:tcW w:w="1120" w:type="dxa"/>
            <w:tcBorders>
              <w:top w:val="nil"/>
              <w:left w:val="nil"/>
              <w:bottom w:val="nil"/>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2.7)</w:t>
            </w:r>
          </w:p>
        </w:tc>
      </w:tr>
      <w:tr w:rsidR="00336793" w:rsidRPr="005F563F" w:rsidTr="00DF0B96">
        <w:tc>
          <w:tcPr>
            <w:tcW w:w="5157" w:type="dxa"/>
            <w:tcBorders>
              <w:top w:val="nil"/>
              <w:left w:val="nil"/>
              <w:bottom w:val="single" w:sz="6" w:space="0" w:color="auto"/>
              <w:right w:val="nil"/>
            </w:tcBorders>
          </w:tcPr>
          <w:p w:rsidR="00336793" w:rsidRPr="005F563F" w:rsidRDefault="00336793" w:rsidP="00DF0B96">
            <w:pPr>
              <w:pStyle w:val="Tabletext"/>
              <w:rPr>
                <w:rFonts w:eastAsiaTheme="minorEastAsia"/>
                <w:vertAlign w:val="superscript"/>
                <w:lang w:eastAsia="en-AU"/>
              </w:rPr>
            </w:pPr>
            <w:r w:rsidRPr="005F563F">
              <w:rPr>
                <w:rFonts w:eastAsiaTheme="minorEastAsia"/>
                <w:lang w:eastAsia="en-AU"/>
              </w:rPr>
              <w:t>Amortisation and depreciation</w:t>
            </w:r>
            <w:r w:rsidRPr="00E96950">
              <w:rPr>
                <w:rFonts w:eastAsiaTheme="minorEastAsia"/>
                <w:vertAlign w:val="superscript"/>
                <w:lang w:eastAsia="en-AU"/>
              </w:rPr>
              <w:t xml:space="preserve"> </w:t>
            </w:r>
            <w:r w:rsidRPr="005F563F">
              <w:rPr>
                <w:rFonts w:eastAsiaTheme="minorEastAsia"/>
                <w:vertAlign w:val="superscript"/>
                <w:lang w:eastAsia="en-AU"/>
              </w:rPr>
              <w:t>(c)</w:t>
            </w:r>
          </w:p>
        </w:tc>
        <w:tc>
          <w:tcPr>
            <w:tcW w:w="1120" w:type="dxa"/>
            <w:gridSpan w:val="2"/>
            <w:tcBorders>
              <w:top w:val="nil"/>
              <w:left w:val="nil"/>
              <w:bottom w:val="single" w:sz="6" w:space="0" w:color="auto"/>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250.5)</w:t>
            </w:r>
          </w:p>
        </w:tc>
        <w:tc>
          <w:tcPr>
            <w:tcW w:w="1120" w:type="dxa"/>
            <w:tcBorders>
              <w:top w:val="nil"/>
              <w:left w:val="nil"/>
              <w:bottom w:val="single" w:sz="6" w:space="0" w:color="auto"/>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338.5)</w:t>
            </w:r>
          </w:p>
        </w:tc>
        <w:tc>
          <w:tcPr>
            <w:tcW w:w="1120" w:type="dxa"/>
            <w:gridSpan w:val="2"/>
            <w:tcBorders>
              <w:top w:val="nil"/>
              <w:left w:val="nil"/>
              <w:bottom w:val="single" w:sz="6" w:space="0" w:color="auto"/>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133.4)</w:t>
            </w:r>
          </w:p>
        </w:tc>
        <w:tc>
          <w:tcPr>
            <w:tcW w:w="1120" w:type="dxa"/>
            <w:tcBorders>
              <w:top w:val="nil"/>
              <w:left w:val="nil"/>
              <w:bottom w:val="single" w:sz="6" w:space="0" w:color="auto"/>
              <w:right w:val="nil"/>
            </w:tcBorders>
          </w:tcPr>
          <w:p w:rsidR="00336793" w:rsidRPr="005F563F" w:rsidRDefault="00336793" w:rsidP="00DF0B96">
            <w:pPr>
              <w:pStyle w:val="TableofFigures"/>
              <w:rPr>
                <w:rFonts w:eastAsiaTheme="minorEastAsia" w:cs="Calibri"/>
                <w:color w:val="000000"/>
                <w:szCs w:val="22"/>
                <w:lang w:eastAsia="en-AU"/>
              </w:rPr>
            </w:pPr>
            <w:r>
              <w:rPr>
                <w:rFonts w:eastAsiaTheme="minorEastAsia"/>
                <w:lang w:eastAsia="en-AU"/>
              </w:rPr>
              <w:t>(</w:t>
            </w:r>
            <w:r w:rsidRPr="005F563F">
              <w:rPr>
                <w:rFonts w:eastAsiaTheme="minorEastAsia" w:cs="Calibri"/>
                <w:color w:val="000000"/>
                <w:szCs w:val="22"/>
                <w:lang w:eastAsia="en-AU"/>
              </w:rPr>
              <w:t>200.3)</w:t>
            </w:r>
          </w:p>
        </w:tc>
      </w:tr>
      <w:tr w:rsidR="00336793" w:rsidRPr="005F563F" w:rsidTr="00DF0B96">
        <w:tc>
          <w:tcPr>
            <w:tcW w:w="5157" w:type="dxa"/>
            <w:tcBorders>
              <w:top w:val="single" w:sz="6" w:space="0" w:color="auto"/>
              <w:left w:val="nil"/>
              <w:bottom w:val="single" w:sz="12" w:space="0" w:color="000000"/>
              <w:right w:val="nil"/>
            </w:tcBorders>
            <w:shd w:val="clear" w:color="auto" w:fill="auto"/>
          </w:tcPr>
          <w:p w:rsidR="00336793" w:rsidRPr="005F563F" w:rsidRDefault="00336793" w:rsidP="00DF0B96">
            <w:pPr>
              <w:pStyle w:val="Tabletext"/>
              <w:rPr>
                <w:rFonts w:eastAsiaTheme="minorEastAsia"/>
                <w:b/>
                <w:bCs/>
                <w:vertAlign w:val="superscript"/>
                <w:lang w:eastAsia="en-AU"/>
              </w:rPr>
            </w:pPr>
            <w:r w:rsidRPr="005F563F">
              <w:rPr>
                <w:rFonts w:eastAsiaTheme="minorEastAsia"/>
                <w:b/>
                <w:bCs/>
                <w:lang w:eastAsia="en-AU"/>
              </w:rPr>
              <w:t>Closing balance</w:t>
            </w:r>
          </w:p>
        </w:tc>
        <w:tc>
          <w:tcPr>
            <w:tcW w:w="1120" w:type="dxa"/>
            <w:gridSpan w:val="2"/>
            <w:tcBorders>
              <w:top w:val="single" w:sz="6" w:space="0" w:color="auto"/>
              <w:left w:val="nil"/>
              <w:bottom w:val="single" w:sz="12" w:space="0" w:color="000000"/>
              <w:right w:val="nil"/>
            </w:tcBorders>
            <w:shd w:val="clear" w:color="auto" w:fill="auto"/>
          </w:tcPr>
          <w:p w:rsidR="00336793" w:rsidRPr="005F563F" w:rsidRDefault="00336793" w:rsidP="00DF0B96">
            <w:pPr>
              <w:pStyle w:val="TableofFigures"/>
              <w:rPr>
                <w:rFonts w:eastAsiaTheme="minorEastAsia"/>
                <w:b/>
                <w:bCs/>
                <w:szCs w:val="24"/>
                <w:lang w:eastAsia="en-AU"/>
              </w:rPr>
            </w:pPr>
            <w:r w:rsidRPr="005F563F">
              <w:rPr>
                <w:rFonts w:eastAsiaTheme="minorEastAsia"/>
                <w:b/>
                <w:bCs/>
                <w:szCs w:val="24"/>
                <w:lang w:eastAsia="en-AU"/>
              </w:rPr>
              <w:t>1 926.9</w:t>
            </w:r>
          </w:p>
        </w:tc>
        <w:tc>
          <w:tcPr>
            <w:tcW w:w="1120" w:type="dxa"/>
            <w:tcBorders>
              <w:top w:val="single" w:sz="6" w:space="0" w:color="auto"/>
              <w:left w:val="nil"/>
              <w:bottom w:val="single" w:sz="12" w:space="0" w:color="000000"/>
              <w:right w:val="nil"/>
            </w:tcBorders>
            <w:shd w:val="clear" w:color="auto" w:fill="auto"/>
          </w:tcPr>
          <w:p w:rsidR="00336793" w:rsidRPr="005F563F" w:rsidRDefault="00336793" w:rsidP="00DF0B96">
            <w:pPr>
              <w:pStyle w:val="TableofFigures"/>
              <w:rPr>
                <w:rFonts w:eastAsiaTheme="minorEastAsia"/>
                <w:b/>
                <w:bCs/>
                <w:szCs w:val="24"/>
                <w:lang w:eastAsia="en-AU"/>
              </w:rPr>
            </w:pPr>
            <w:r w:rsidRPr="005F563F">
              <w:rPr>
                <w:rFonts w:eastAsiaTheme="minorEastAsia"/>
                <w:b/>
                <w:bCs/>
                <w:szCs w:val="24"/>
                <w:lang w:eastAsia="en-AU"/>
              </w:rPr>
              <w:t>2 118.7</w:t>
            </w:r>
          </w:p>
        </w:tc>
        <w:tc>
          <w:tcPr>
            <w:tcW w:w="1120" w:type="dxa"/>
            <w:gridSpan w:val="2"/>
            <w:tcBorders>
              <w:top w:val="single" w:sz="6" w:space="0" w:color="auto"/>
              <w:left w:val="nil"/>
              <w:bottom w:val="single" w:sz="12" w:space="0" w:color="000000"/>
              <w:right w:val="nil"/>
            </w:tcBorders>
            <w:shd w:val="clear" w:color="auto" w:fill="auto"/>
          </w:tcPr>
          <w:p w:rsidR="00336793" w:rsidRPr="005F563F" w:rsidRDefault="00336793" w:rsidP="00DF0B96">
            <w:pPr>
              <w:pStyle w:val="TableofFigures"/>
              <w:rPr>
                <w:rFonts w:eastAsiaTheme="minorEastAsia"/>
                <w:b/>
                <w:bCs/>
                <w:szCs w:val="24"/>
                <w:lang w:eastAsia="en-AU"/>
              </w:rPr>
            </w:pPr>
            <w:r w:rsidRPr="005F563F">
              <w:rPr>
                <w:rFonts w:eastAsiaTheme="minorEastAsia"/>
                <w:b/>
                <w:bCs/>
                <w:szCs w:val="24"/>
                <w:lang w:eastAsia="en-AU"/>
              </w:rPr>
              <w:t xml:space="preserve"> 743.5</w:t>
            </w:r>
          </w:p>
        </w:tc>
        <w:tc>
          <w:tcPr>
            <w:tcW w:w="1120" w:type="dxa"/>
            <w:tcBorders>
              <w:top w:val="single" w:sz="6" w:space="0" w:color="auto"/>
              <w:left w:val="nil"/>
              <w:bottom w:val="single" w:sz="12" w:space="0" w:color="000000"/>
              <w:right w:val="nil"/>
            </w:tcBorders>
            <w:shd w:val="clear" w:color="auto" w:fill="auto"/>
          </w:tcPr>
          <w:p w:rsidR="00336793" w:rsidRPr="005F563F" w:rsidRDefault="00336793" w:rsidP="00DF0B96">
            <w:pPr>
              <w:pStyle w:val="TableofFigures"/>
              <w:rPr>
                <w:rFonts w:eastAsiaTheme="minorEastAsia"/>
                <w:b/>
                <w:bCs/>
                <w:szCs w:val="24"/>
                <w:lang w:eastAsia="en-AU"/>
              </w:rPr>
            </w:pPr>
            <w:r w:rsidRPr="005F563F">
              <w:rPr>
                <w:rFonts w:eastAsiaTheme="minorEastAsia"/>
                <w:b/>
                <w:bCs/>
                <w:szCs w:val="24"/>
                <w:lang w:eastAsia="en-AU"/>
              </w:rPr>
              <w:t xml:space="preserve"> 914.3</w:t>
            </w:r>
          </w:p>
        </w:tc>
      </w:tr>
    </w:tbl>
    <w:p w:rsidR="00336793" w:rsidRPr="006A75A2" w:rsidRDefault="00336793" w:rsidP="00DF0B96">
      <w:pPr>
        <w:pStyle w:val="Notes"/>
      </w:pPr>
      <w:r w:rsidRPr="006A75A2">
        <w:t>Notes:</w:t>
      </w:r>
    </w:p>
    <w:p w:rsidR="00336793" w:rsidRDefault="00336793" w:rsidP="00DF0B96">
      <w:pPr>
        <w:pStyle w:val="Notes"/>
      </w:pPr>
      <w:r w:rsidRPr="006A75A2">
        <w:t>(a)</w:t>
      </w:r>
      <w:r w:rsidRPr="006A75A2">
        <w:tab/>
      </w:r>
      <w:r>
        <w:t>R</w:t>
      </w:r>
      <w:r w:rsidRPr="006A75A2">
        <w:t xml:space="preserve">econciliation does not include movements of </w:t>
      </w:r>
      <w:r>
        <w:t>‘</w:t>
      </w:r>
      <w:r w:rsidRPr="006A75A2">
        <w:t>other assets</w:t>
      </w:r>
      <w:r>
        <w:t>’</w:t>
      </w:r>
      <w:r w:rsidRPr="006A75A2">
        <w:t>.</w:t>
      </w:r>
    </w:p>
    <w:p w:rsidR="00336793" w:rsidRPr="006A75A2" w:rsidRDefault="00336793" w:rsidP="00DF0B96">
      <w:pPr>
        <w:pStyle w:val="Notes"/>
      </w:pPr>
      <w:r w:rsidRPr="006A75A2">
        <w:t>(</w:t>
      </w:r>
      <w:r>
        <w:t>b)</w:t>
      </w:r>
      <w:r w:rsidRPr="006A75A2">
        <w:tab/>
      </w:r>
      <w:r>
        <w:t>June 2014 comparative figures have been reclassified to reflect more current information</w:t>
      </w:r>
      <w:r w:rsidRPr="006A75A2">
        <w:t>.</w:t>
      </w:r>
    </w:p>
    <w:p w:rsidR="00336793" w:rsidRPr="006A75A2" w:rsidRDefault="00336793" w:rsidP="00DF0B96">
      <w:pPr>
        <w:pStyle w:val="Notes"/>
      </w:pPr>
      <w:r>
        <w:t>(c)</w:t>
      </w:r>
      <w:r>
        <w:tab/>
      </w:r>
      <w:r w:rsidRPr="006A75A2">
        <w:t>For produced and non</w:t>
      </w:r>
      <w:r>
        <w:noBreakHyphen/>
      </w:r>
      <w:r w:rsidRPr="006A75A2">
        <w:t>produced intangible assets.</w:t>
      </w:r>
    </w:p>
    <w:p w:rsidR="00336793" w:rsidRPr="006A75A2" w:rsidRDefault="00336793" w:rsidP="00DF0B96"/>
    <w:p w:rsidR="00336793" w:rsidRDefault="00336793">
      <w:pPr>
        <w:spacing w:after="0"/>
        <w:rPr>
          <w:rFonts w:ascii="Calibri" w:hAnsi="Calibri"/>
          <w:b/>
        </w:rPr>
      </w:pPr>
      <w:r>
        <w:br w:type="page"/>
      </w:r>
    </w:p>
    <w:p w:rsidR="00336793" w:rsidRPr="0060273C" w:rsidRDefault="00336793" w:rsidP="00DF0B96">
      <w:pPr>
        <w:pStyle w:val="Heading2NotesContd"/>
        <w:rPr>
          <w:i/>
        </w:rPr>
      </w:pPr>
      <w:r w:rsidRPr="006A75A2">
        <w:lastRenderedPageBreak/>
        <w:t>Note 23:</w:t>
      </w:r>
      <w:r w:rsidRPr="006A75A2">
        <w:tab/>
        <w:t>Other non</w:t>
      </w:r>
      <w:r>
        <w:noBreakHyphen/>
      </w:r>
      <w:r w:rsidRPr="006A75A2">
        <w:t>financial assets</w:t>
      </w:r>
      <w:r>
        <w:t xml:space="preserve"> </w:t>
      </w:r>
      <w:r>
        <w:rPr>
          <w:i/>
        </w:rPr>
        <w:t>(continued)</w:t>
      </w:r>
    </w:p>
    <w:p w:rsidR="00336793" w:rsidRDefault="00336793" w:rsidP="00DF0B96">
      <w:pPr>
        <w:pStyle w:val="Heading5"/>
      </w:pPr>
      <w:r>
        <w:t>(c)</w:t>
      </w:r>
      <w:r>
        <w:tab/>
      </w:r>
      <w:r w:rsidRPr="006A75A2">
        <w:t>Fair value measurement of investment properties and biological assets</w:t>
      </w:r>
      <w:r>
        <w:t xml:space="preserve"> as at 30 June</w:t>
      </w:r>
    </w:p>
    <w:p w:rsidR="00336793" w:rsidRPr="0070797A"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2114"/>
        <w:gridCol w:w="936"/>
        <w:gridCol w:w="117"/>
        <w:gridCol w:w="823"/>
        <w:gridCol w:w="940"/>
        <w:gridCol w:w="832"/>
        <w:gridCol w:w="110"/>
        <w:gridCol w:w="940"/>
        <w:gridCol w:w="135"/>
        <w:gridCol w:w="805"/>
        <w:gridCol w:w="940"/>
        <w:gridCol w:w="835"/>
        <w:gridCol w:w="110"/>
      </w:tblGrid>
      <w:tr w:rsidR="00336793" w:rsidRPr="0070797A" w:rsidTr="00D96F49">
        <w:tc>
          <w:tcPr>
            <w:tcW w:w="2114" w:type="dxa"/>
            <w:tcBorders>
              <w:top w:val="single" w:sz="6" w:space="0" w:color="auto"/>
              <w:left w:val="single" w:sz="6" w:space="0" w:color="auto"/>
              <w:right w:val="nil"/>
            </w:tcBorders>
            <w:shd w:val="clear" w:color="000000" w:fill="000000"/>
          </w:tcPr>
          <w:p w:rsidR="00336793" w:rsidRPr="0070797A" w:rsidRDefault="00336793" w:rsidP="00DF0B96">
            <w:pPr>
              <w:pStyle w:val="Tabletextheading"/>
              <w:jc w:val="left"/>
              <w:rPr>
                <w:rFonts w:eastAsiaTheme="minorEastAsia"/>
                <w:color w:val="FFFFFF"/>
                <w:sz w:val="20"/>
                <w:lang w:eastAsia="en-AU"/>
              </w:rPr>
            </w:pPr>
            <w:r w:rsidRPr="0070797A">
              <w:rPr>
                <w:rFonts w:eastAsiaTheme="minorEastAsia"/>
                <w:color w:val="FFFFFF"/>
                <w:sz w:val="20"/>
                <w:lang w:eastAsia="en-AU"/>
              </w:rPr>
              <w:t xml:space="preserve"> </w:t>
            </w:r>
          </w:p>
        </w:tc>
        <w:tc>
          <w:tcPr>
            <w:tcW w:w="936" w:type="dxa"/>
            <w:tcBorders>
              <w:top w:val="single" w:sz="6" w:space="0" w:color="auto"/>
              <w:left w:val="nil"/>
              <w:right w:val="nil"/>
            </w:tcBorders>
            <w:shd w:val="clear" w:color="000000" w:fill="000000"/>
            <w:vAlign w:val="bottom"/>
          </w:tcPr>
          <w:p w:rsidR="00336793" w:rsidRPr="0070797A" w:rsidRDefault="00336793" w:rsidP="00D96F49">
            <w:pPr>
              <w:pStyle w:val="Tabletextheading"/>
              <w:rPr>
                <w:rFonts w:eastAsiaTheme="minorEastAsia" w:cs="Calibri"/>
                <w:iCs/>
                <w:color w:val="FFFFFF"/>
                <w:sz w:val="20"/>
                <w:szCs w:val="22"/>
                <w:lang w:eastAsia="en-AU"/>
              </w:rPr>
            </w:pPr>
            <w:r w:rsidRPr="0070797A">
              <w:rPr>
                <w:rFonts w:eastAsiaTheme="minorEastAsia"/>
                <w:sz w:val="20"/>
                <w:lang w:eastAsia="en-AU"/>
              </w:rPr>
              <w:t xml:space="preserve">Carrying </w:t>
            </w:r>
            <w:r w:rsidRPr="0070797A">
              <w:rPr>
                <w:rFonts w:eastAsiaTheme="minorEastAsia" w:cs="Calibri"/>
                <w:iCs/>
                <w:color w:val="FFFFFF"/>
                <w:sz w:val="20"/>
                <w:szCs w:val="22"/>
                <w:lang w:eastAsia="en-AU"/>
              </w:rPr>
              <w:t>amount</w:t>
            </w:r>
          </w:p>
        </w:tc>
        <w:tc>
          <w:tcPr>
            <w:tcW w:w="117" w:type="dxa"/>
            <w:tcBorders>
              <w:top w:val="single" w:sz="6" w:space="0" w:color="auto"/>
              <w:left w:val="nil"/>
              <w:right w:val="nil"/>
            </w:tcBorders>
            <w:shd w:val="clear" w:color="000000" w:fill="000000"/>
          </w:tcPr>
          <w:p w:rsidR="00336793" w:rsidRPr="0070797A" w:rsidRDefault="00336793" w:rsidP="00DF0B96">
            <w:pPr>
              <w:pStyle w:val="TabletextheadingCentred"/>
              <w:rPr>
                <w:rFonts w:eastAsiaTheme="minorEastAsia"/>
                <w:sz w:val="20"/>
                <w:lang w:eastAsia="en-AU"/>
              </w:rPr>
            </w:pPr>
            <w:r w:rsidRPr="0070797A">
              <w:rPr>
                <w:rFonts w:eastAsiaTheme="minorEastAsia"/>
                <w:sz w:val="20"/>
                <w:lang w:eastAsia="en-AU"/>
              </w:rPr>
              <w:t xml:space="preserve"> </w:t>
            </w:r>
          </w:p>
        </w:tc>
        <w:tc>
          <w:tcPr>
            <w:tcW w:w="2595" w:type="dxa"/>
            <w:gridSpan w:val="3"/>
            <w:tcBorders>
              <w:top w:val="single" w:sz="6" w:space="0" w:color="auto"/>
              <w:left w:val="nil"/>
              <w:bottom w:val="single" w:sz="6" w:space="0" w:color="FFFFFF" w:themeColor="background1"/>
              <w:right w:val="nil"/>
            </w:tcBorders>
            <w:shd w:val="clear" w:color="000000" w:fill="000000"/>
          </w:tcPr>
          <w:p w:rsidR="00336793" w:rsidRPr="0070797A" w:rsidRDefault="00336793" w:rsidP="00DF0B96">
            <w:pPr>
              <w:pStyle w:val="TabletextheadingCentred"/>
              <w:rPr>
                <w:rFonts w:eastAsiaTheme="minorEastAsia" w:cs="Calibri"/>
                <w:iCs/>
                <w:color w:val="FFFFFF"/>
                <w:sz w:val="20"/>
                <w:szCs w:val="22"/>
                <w:lang w:eastAsia="en-AU"/>
              </w:rPr>
            </w:pPr>
            <w:r w:rsidRPr="0070797A">
              <w:rPr>
                <w:rFonts w:eastAsiaTheme="minorEastAsia"/>
                <w:sz w:val="20"/>
                <w:lang w:eastAsia="en-AU"/>
              </w:rPr>
              <w:t>Fair value measurement at the end of the 2015 reporting period</w:t>
            </w:r>
            <w:r w:rsidRPr="0070797A">
              <w:rPr>
                <w:rFonts w:eastAsiaTheme="minorEastAsia" w:cs="Calibri"/>
                <w:iCs/>
                <w:color w:val="FFFFFF"/>
                <w:sz w:val="20"/>
                <w:szCs w:val="22"/>
                <w:lang w:eastAsia="en-AU"/>
              </w:rPr>
              <w:t xml:space="preserve"> using:</w:t>
            </w:r>
          </w:p>
        </w:tc>
        <w:tc>
          <w:tcPr>
            <w:tcW w:w="110" w:type="dxa"/>
            <w:tcBorders>
              <w:top w:val="single" w:sz="6" w:space="0" w:color="auto"/>
              <w:left w:val="nil"/>
              <w:bottom w:val="single" w:sz="6" w:space="0" w:color="FFFFFF" w:themeColor="background1"/>
              <w:right w:val="nil"/>
            </w:tcBorders>
            <w:shd w:val="clear" w:color="000000" w:fill="000000"/>
          </w:tcPr>
          <w:p w:rsidR="00336793" w:rsidRPr="0070797A" w:rsidRDefault="00336793" w:rsidP="00DF0B96">
            <w:pPr>
              <w:pStyle w:val="TabletextheadingCentred"/>
              <w:rPr>
                <w:rFonts w:eastAsiaTheme="minorEastAsia"/>
                <w:sz w:val="20"/>
                <w:lang w:eastAsia="en-AU"/>
              </w:rPr>
            </w:pPr>
            <w:r w:rsidRPr="0070797A">
              <w:rPr>
                <w:rFonts w:eastAsiaTheme="minorEastAsia"/>
                <w:sz w:val="20"/>
                <w:lang w:eastAsia="en-AU"/>
              </w:rPr>
              <w:t xml:space="preserve"> </w:t>
            </w:r>
          </w:p>
        </w:tc>
        <w:tc>
          <w:tcPr>
            <w:tcW w:w="940" w:type="dxa"/>
            <w:tcBorders>
              <w:top w:val="single" w:sz="6" w:space="0" w:color="auto"/>
              <w:left w:val="nil"/>
              <w:right w:val="nil"/>
            </w:tcBorders>
            <w:shd w:val="clear" w:color="000000" w:fill="000000"/>
            <w:vAlign w:val="bottom"/>
          </w:tcPr>
          <w:p w:rsidR="00336793" w:rsidRPr="0070797A" w:rsidRDefault="00336793" w:rsidP="00D96F49">
            <w:pPr>
              <w:pStyle w:val="Tabletextheading"/>
              <w:rPr>
                <w:rFonts w:eastAsiaTheme="minorEastAsia" w:cs="Calibri"/>
                <w:iCs/>
                <w:color w:val="FFFFFF"/>
                <w:sz w:val="20"/>
                <w:szCs w:val="22"/>
                <w:lang w:eastAsia="en-AU"/>
              </w:rPr>
            </w:pPr>
            <w:r w:rsidRPr="0070797A">
              <w:rPr>
                <w:rFonts w:eastAsiaTheme="minorEastAsia"/>
                <w:sz w:val="20"/>
                <w:lang w:eastAsia="en-AU"/>
              </w:rPr>
              <w:t xml:space="preserve">Carrying </w:t>
            </w:r>
            <w:r w:rsidRPr="0070797A">
              <w:rPr>
                <w:rFonts w:eastAsiaTheme="minorEastAsia" w:cs="Calibri"/>
                <w:iCs/>
                <w:color w:val="FFFFFF"/>
                <w:sz w:val="20"/>
                <w:szCs w:val="22"/>
                <w:lang w:eastAsia="en-AU"/>
              </w:rPr>
              <w:t>amount</w:t>
            </w:r>
          </w:p>
        </w:tc>
        <w:tc>
          <w:tcPr>
            <w:tcW w:w="135" w:type="dxa"/>
            <w:tcBorders>
              <w:top w:val="single" w:sz="6" w:space="0" w:color="auto"/>
              <w:left w:val="nil"/>
              <w:right w:val="nil"/>
            </w:tcBorders>
            <w:shd w:val="clear" w:color="000000" w:fill="000000"/>
          </w:tcPr>
          <w:p w:rsidR="00336793" w:rsidRPr="0070797A" w:rsidRDefault="00336793" w:rsidP="00DF0B96">
            <w:pPr>
              <w:pStyle w:val="TabletextheadingCentred"/>
              <w:rPr>
                <w:rFonts w:eastAsiaTheme="minorEastAsia"/>
                <w:sz w:val="20"/>
                <w:lang w:eastAsia="en-AU"/>
              </w:rPr>
            </w:pPr>
            <w:r w:rsidRPr="0070797A">
              <w:rPr>
                <w:rFonts w:eastAsiaTheme="minorEastAsia"/>
                <w:sz w:val="20"/>
                <w:lang w:eastAsia="en-AU"/>
              </w:rPr>
              <w:t xml:space="preserve"> </w:t>
            </w:r>
          </w:p>
        </w:tc>
        <w:tc>
          <w:tcPr>
            <w:tcW w:w="2580" w:type="dxa"/>
            <w:gridSpan w:val="3"/>
            <w:tcBorders>
              <w:top w:val="single" w:sz="6" w:space="0" w:color="auto"/>
              <w:left w:val="nil"/>
              <w:bottom w:val="single" w:sz="6" w:space="0" w:color="FFFFFF" w:themeColor="background1"/>
              <w:right w:val="nil"/>
            </w:tcBorders>
            <w:shd w:val="clear" w:color="000000" w:fill="000000"/>
          </w:tcPr>
          <w:p w:rsidR="00336793" w:rsidRPr="0070797A" w:rsidRDefault="00336793" w:rsidP="00DF0B96">
            <w:pPr>
              <w:pStyle w:val="TabletextheadingCentred"/>
              <w:rPr>
                <w:rFonts w:eastAsiaTheme="minorEastAsia" w:cs="Calibri"/>
                <w:iCs/>
                <w:color w:val="FFFFFF"/>
                <w:sz w:val="20"/>
                <w:szCs w:val="22"/>
                <w:lang w:eastAsia="en-AU"/>
              </w:rPr>
            </w:pPr>
            <w:r w:rsidRPr="0070797A">
              <w:rPr>
                <w:rFonts w:eastAsiaTheme="minorEastAsia"/>
                <w:sz w:val="20"/>
                <w:lang w:eastAsia="en-AU"/>
              </w:rPr>
              <w:t>Fair value measurement at the end of the 2014 reporting period</w:t>
            </w:r>
            <w:r w:rsidRPr="0070797A">
              <w:rPr>
                <w:rFonts w:eastAsiaTheme="minorEastAsia" w:cs="Calibri"/>
                <w:iCs/>
                <w:color w:val="FFFFFF"/>
                <w:sz w:val="20"/>
                <w:szCs w:val="22"/>
                <w:lang w:eastAsia="en-AU"/>
              </w:rPr>
              <w:t xml:space="preserve"> using:</w:t>
            </w:r>
          </w:p>
        </w:tc>
        <w:tc>
          <w:tcPr>
            <w:tcW w:w="110" w:type="dxa"/>
            <w:tcBorders>
              <w:top w:val="single" w:sz="6" w:space="0" w:color="auto"/>
              <w:left w:val="nil"/>
              <w:bottom w:val="single" w:sz="6" w:space="0" w:color="FFFFFF" w:themeColor="background1"/>
            </w:tcBorders>
            <w:shd w:val="clear" w:color="000000" w:fill="000000"/>
          </w:tcPr>
          <w:p w:rsidR="00336793" w:rsidRPr="0070797A" w:rsidRDefault="00336793" w:rsidP="00DF0B96">
            <w:pPr>
              <w:pStyle w:val="TabletextheadingCentred"/>
              <w:rPr>
                <w:rFonts w:eastAsiaTheme="minorEastAsia"/>
                <w:sz w:val="20"/>
                <w:lang w:eastAsia="en-AU"/>
              </w:rPr>
            </w:pPr>
            <w:r w:rsidRPr="0070797A">
              <w:rPr>
                <w:rFonts w:eastAsiaTheme="minorEastAsia"/>
                <w:sz w:val="20"/>
                <w:lang w:eastAsia="en-AU"/>
              </w:rPr>
              <w:t xml:space="preserve"> </w:t>
            </w:r>
          </w:p>
        </w:tc>
      </w:tr>
      <w:tr w:rsidR="00336793" w:rsidRPr="0070797A" w:rsidTr="00DF0B96">
        <w:tc>
          <w:tcPr>
            <w:tcW w:w="2114" w:type="dxa"/>
            <w:tcBorders>
              <w:left w:val="single" w:sz="6" w:space="0" w:color="auto"/>
              <w:right w:val="nil"/>
            </w:tcBorders>
            <w:shd w:val="clear" w:color="000000" w:fill="000000"/>
          </w:tcPr>
          <w:p w:rsidR="00336793" w:rsidRPr="0070797A" w:rsidRDefault="00336793" w:rsidP="00DF0B96">
            <w:pPr>
              <w:pStyle w:val="Tabletextheading"/>
              <w:jc w:val="left"/>
              <w:rPr>
                <w:rFonts w:eastAsiaTheme="minorEastAsia"/>
                <w:color w:val="FFFFFF"/>
                <w:sz w:val="20"/>
                <w:lang w:eastAsia="en-AU"/>
              </w:rPr>
            </w:pPr>
            <w:r w:rsidRPr="0070797A">
              <w:rPr>
                <w:rFonts w:eastAsiaTheme="minorEastAsia"/>
                <w:color w:val="FFFFFF"/>
                <w:sz w:val="20"/>
                <w:lang w:eastAsia="en-AU"/>
              </w:rPr>
              <w:t>State of Victoria</w:t>
            </w:r>
          </w:p>
        </w:tc>
        <w:tc>
          <w:tcPr>
            <w:tcW w:w="936" w:type="dxa"/>
            <w:tcBorders>
              <w:left w:val="nil"/>
              <w:right w:val="nil"/>
            </w:tcBorders>
            <w:shd w:val="clear" w:color="000000" w:fill="000000"/>
          </w:tcPr>
          <w:p w:rsidR="00336793" w:rsidRPr="0070797A" w:rsidRDefault="00336793" w:rsidP="00DF0B96">
            <w:pPr>
              <w:pStyle w:val="Tabletextheading"/>
              <w:rPr>
                <w:rFonts w:eastAsiaTheme="minorEastAsia"/>
                <w:color w:val="FFFFFF"/>
                <w:sz w:val="20"/>
                <w:lang w:eastAsia="en-AU"/>
              </w:rPr>
            </w:pPr>
            <w:r w:rsidRPr="0070797A">
              <w:rPr>
                <w:rFonts w:eastAsiaTheme="minorEastAsia"/>
                <w:color w:val="FFFFFF"/>
                <w:sz w:val="20"/>
                <w:lang w:eastAsia="en-AU"/>
              </w:rPr>
              <w:t>2015</w:t>
            </w:r>
          </w:p>
        </w:tc>
        <w:tc>
          <w:tcPr>
            <w:tcW w:w="940" w:type="dxa"/>
            <w:gridSpan w:val="2"/>
            <w:tcBorders>
              <w:left w:val="nil"/>
              <w:right w:val="nil"/>
            </w:tcBorders>
            <w:shd w:val="clear" w:color="000000" w:fill="000000"/>
          </w:tcPr>
          <w:p w:rsidR="00336793" w:rsidRPr="0070797A" w:rsidRDefault="00336793" w:rsidP="00DF0B96">
            <w:pPr>
              <w:pStyle w:val="Tabletextheading"/>
              <w:rPr>
                <w:rFonts w:eastAsiaTheme="minorEastAsia"/>
                <w:color w:val="FFFFFF"/>
                <w:sz w:val="20"/>
                <w:vertAlign w:val="superscript"/>
                <w:lang w:eastAsia="en-AU"/>
              </w:rPr>
            </w:pPr>
            <w:r w:rsidRPr="0070797A">
              <w:rPr>
                <w:rFonts w:eastAsiaTheme="minorEastAsia"/>
                <w:color w:val="FFFFFF"/>
                <w:sz w:val="20"/>
                <w:lang w:eastAsia="en-AU"/>
              </w:rPr>
              <w:t>Level 1</w:t>
            </w:r>
            <w:r w:rsidRPr="0070797A">
              <w:rPr>
                <w:rFonts w:eastAsiaTheme="minorEastAsia"/>
                <w:color w:val="FFFFFF"/>
                <w:sz w:val="20"/>
                <w:vertAlign w:val="superscript"/>
                <w:lang w:eastAsia="en-AU"/>
              </w:rPr>
              <w:t>(a)</w:t>
            </w:r>
          </w:p>
        </w:tc>
        <w:tc>
          <w:tcPr>
            <w:tcW w:w="940" w:type="dxa"/>
            <w:tcBorders>
              <w:left w:val="nil"/>
              <w:right w:val="nil"/>
            </w:tcBorders>
            <w:shd w:val="clear" w:color="000000" w:fill="000000"/>
          </w:tcPr>
          <w:p w:rsidR="00336793" w:rsidRPr="0070797A" w:rsidRDefault="00336793" w:rsidP="00DF0B96">
            <w:pPr>
              <w:pStyle w:val="Tabletextheading"/>
              <w:rPr>
                <w:rFonts w:eastAsiaTheme="minorEastAsia"/>
                <w:color w:val="FFFFFF"/>
                <w:sz w:val="20"/>
                <w:vertAlign w:val="superscript"/>
                <w:lang w:eastAsia="en-AU"/>
              </w:rPr>
            </w:pPr>
            <w:r w:rsidRPr="0070797A">
              <w:rPr>
                <w:rFonts w:eastAsiaTheme="minorEastAsia"/>
                <w:color w:val="FFFFFF"/>
                <w:sz w:val="20"/>
                <w:lang w:eastAsia="en-AU"/>
              </w:rPr>
              <w:t xml:space="preserve">Level 2 </w:t>
            </w:r>
            <w:r w:rsidRPr="0070797A">
              <w:rPr>
                <w:rFonts w:eastAsiaTheme="minorEastAsia"/>
                <w:color w:val="FFFFFF"/>
                <w:sz w:val="20"/>
                <w:vertAlign w:val="superscript"/>
                <w:lang w:eastAsia="en-AU"/>
              </w:rPr>
              <w:t>(b)</w:t>
            </w:r>
          </w:p>
        </w:tc>
        <w:tc>
          <w:tcPr>
            <w:tcW w:w="942" w:type="dxa"/>
            <w:gridSpan w:val="2"/>
            <w:tcBorders>
              <w:left w:val="nil"/>
              <w:right w:val="nil"/>
            </w:tcBorders>
            <w:shd w:val="clear" w:color="000000" w:fill="000000"/>
          </w:tcPr>
          <w:p w:rsidR="00336793" w:rsidRPr="0070797A" w:rsidRDefault="00336793" w:rsidP="00DF0B96">
            <w:pPr>
              <w:pStyle w:val="Tabletextheading"/>
              <w:rPr>
                <w:rFonts w:eastAsiaTheme="minorEastAsia"/>
                <w:color w:val="FFFFFF"/>
                <w:sz w:val="20"/>
                <w:vertAlign w:val="superscript"/>
                <w:lang w:eastAsia="en-AU"/>
              </w:rPr>
            </w:pPr>
            <w:r w:rsidRPr="0070797A">
              <w:rPr>
                <w:rFonts w:eastAsiaTheme="minorEastAsia"/>
                <w:color w:val="FFFFFF"/>
                <w:sz w:val="20"/>
                <w:lang w:eastAsia="en-AU"/>
              </w:rPr>
              <w:t xml:space="preserve">Level 3 </w:t>
            </w:r>
            <w:r w:rsidRPr="0070797A">
              <w:rPr>
                <w:rFonts w:eastAsiaTheme="minorEastAsia"/>
                <w:color w:val="FFFFFF"/>
                <w:sz w:val="20"/>
                <w:vertAlign w:val="superscript"/>
                <w:lang w:eastAsia="en-AU"/>
              </w:rPr>
              <w:t>(c)</w:t>
            </w:r>
          </w:p>
        </w:tc>
        <w:tc>
          <w:tcPr>
            <w:tcW w:w="940" w:type="dxa"/>
            <w:tcBorders>
              <w:left w:val="nil"/>
              <w:right w:val="nil"/>
            </w:tcBorders>
            <w:shd w:val="clear" w:color="000000" w:fill="000000"/>
          </w:tcPr>
          <w:p w:rsidR="00336793" w:rsidRPr="0070797A" w:rsidRDefault="00336793" w:rsidP="00DF0B96">
            <w:pPr>
              <w:pStyle w:val="Tabletextheading"/>
              <w:rPr>
                <w:rFonts w:eastAsiaTheme="minorEastAsia"/>
                <w:color w:val="FFFFFF"/>
                <w:sz w:val="20"/>
                <w:lang w:eastAsia="en-AU"/>
              </w:rPr>
            </w:pPr>
            <w:r w:rsidRPr="0070797A">
              <w:rPr>
                <w:rFonts w:eastAsiaTheme="minorEastAsia"/>
                <w:color w:val="FFFFFF"/>
                <w:sz w:val="20"/>
                <w:lang w:eastAsia="en-AU"/>
              </w:rPr>
              <w:t>2014</w:t>
            </w:r>
          </w:p>
        </w:tc>
        <w:tc>
          <w:tcPr>
            <w:tcW w:w="940" w:type="dxa"/>
            <w:gridSpan w:val="2"/>
            <w:tcBorders>
              <w:left w:val="nil"/>
              <w:right w:val="nil"/>
            </w:tcBorders>
            <w:shd w:val="clear" w:color="000000" w:fill="000000"/>
          </w:tcPr>
          <w:p w:rsidR="00336793" w:rsidRPr="0070797A" w:rsidRDefault="00336793" w:rsidP="00DF0B96">
            <w:pPr>
              <w:pStyle w:val="Tabletextheading"/>
              <w:rPr>
                <w:rFonts w:eastAsiaTheme="minorEastAsia"/>
                <w:color w:val="FFFFFF"/>
                <w:sz w:val="20"/>
                <w:vertAlign w:val="superscript"/>
                <w:lang w:eastAsia="en-AU"/>
              </w:rPr>
            </w:pPr>
            <w:r w:rsidRPr="0070797A">
              <w:rPr>
                <w:rFonts w:eastAsiaTheme="minorEastAsia"/>
                <w:color w:val="FFFFFF"/>
                <w:sz w:val="20"/>
                <w:lang w:eastAsia="en-AU"/>
              </w:rPr>
              <w:t>Level 1</w:t>
            </w:r>
            <w:r w:rsidRPr="0070797A">
              <w:rPr>
                <w:rFonts w:eastAsiaTheme="minorEastAsia"/>
                <w:color w:val="FFFFFF"/>
                <w:sz w:val="20"/>
                <w:vertAlign w:val="superscript"/>
                <w:lang w:eastAsia="en-AU"/>
              </w:rPr>
              <w:t>(a)</w:t>
            </w:r>
          </w:p>
        </w:tc>
        <w:tc>
          <w:tcPr>
            <w:tcW w:w="940" w:type="dxa"/>
            <w:tcBorders>
              <w:left w:val="nil"/>
              <w:right w:val="nil"/>
            </w:tcBorders>
            <w:shd w:val="clear" w:color="000000" w:fill="000000"/>
          </w:tcPr>
          <w:p w:rsidR="00336793" w:rsidRPr="0070797A" w:rsidRDefault="00336793" w:rsidP="00DF0B96">
            <w:pPr>
              <w:pStyle w:val="Tabletextheading"/>
              <w:rPr>
                <w:rFonts w:eastAsiaTheme="minorEastAsia"/>
                <w:color w:val="FFFFFF"/>
                <w:sz w:val="20"/>
                <w:vertAlign w:val="superscript"/>
                <w:lang w:eastAsia="en-AU"/>
              </w:rPr>
            </w:pPr>
            <w:r w:rsidRPr="0070797A">
              <w:rPr>
                <w:rFonts w:eastAsiaTheme="minorEastAsia"/>
                <w:color w:val="FFFFFF"/>
                <w:sz w:val="20"/>
                <w:lang w:eastAsia="en-AU"/>
              </w:rPr>
              <w:t xml:space="preserve">Level 2 </w:t>
            </w:r>
            <w:r w:rsidRPr="0070797A">
              <w:rPr>
                <w:rFonts w:eastAsiaTheme="minorEastAsia"/>
                <w:color w:val="FFFFFF"/>
                <w:sz w:val="20"/>
                <w:vertAlign w:val="superscript"/>
                <w:lang w:eastAsia="en-AU"/>
              </w:rPr>
              <w:t>(b)</w:t>
            </w:r>
          </w:p>
        </w:tc>
        <w:tc>
          <w:tcPr>
            <w:tcW w:w="945" w:type="dxa"/>
            <w:gridSpan w:val="2"/>
            <w:tcBorders>
              <w:left w:val="nil"/>
              <w:right w:val="single" w:sz="6" w:space="0" w:color="auto"/>
            </w:tcBorders>
            <w:shd w:val="clear" w:color="000000" w:fill="000000"/>
          </w:tcPr>
          <w:p w:rsidR="00336793" w:rsidRPr="0070797A" w:rsidRDefault="00336793" w:rsidP="00DF0B96">
            <w:pPr>
              <w:pStyle w:val="Tabletextheading"/>
              <w:rPr>
                <w:rFonts w:eastAsiaTheme="minorEastAsia"/>
                <w:color w:val="FFFFFF"/>
                <w:sz w:val="20"/>
                <w:vertAlign w:val="superscript"/>
                <w:lang w:eastAsia="en-AU"/>
              </w:rPr>
            </w:pPr>
            <w:r w:rsidRPr="0070797A">
              <w:rPr>
                <w:rFonts w:eastAsiaTheme="minorEastAsia"/>
                <w:color w:val="FFFFFF"/>
                <w:sz w:val="20"/>
                <w:lang w:eastAsia="en-AU"/>
              </w:rPr>
              <w:t xml:space="preserve">Level 3 </w:t>
            </w:r>
            <w:r w:rsidRPr="0070797A">
              <w:rPr>
                <w:rFonts w:eastAsiaTheme="minorEastAsia"/>
                <w:color w:val="FFFFFF"/>
                <w:sz w:val="20"/>
                <w:vertAlign w:val="superscript"/>
                <w:lang w:eastAsia="en-AU"/>
              </w:rPr>
              <w:t>(c)</w:t>
            </w:r>
          </w:p>
        </w:tc>
      </w:tr>
      <w:tr w:rsidR="00336793" w:rsidRPr="0070797A" w:rsidTr="00DF0B96">
        <w:tc>
          <w:tcPr>
            <w:tcW w:w="2114" w:type="dxa"/>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Investment properties</w:t>
            </w:r>
          </w:p>
        </w:tc>
        <w:tc>
          <w:tcPr>
            <w:tcW w:w="936" w:type="dxa"/>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75.7</w:t>
            </w:r>
          </w:p>
        </w:tc>
        <w:tc>
          <w:tcPr>
            <w:tcW w:w="940" w:type="dxa"/>
            <w:gridSpan w:val="2"/>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w:t>
            </w:r>
          </w:p>
        </w:tc>
        <w:tc>
          <w:tcPr>
            <w:tcW w:w="940" w:type="dxa"/>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70.3</w:t>
            </w:r>
          </w:p>
        </w:tc>
        <w:tc>
          <w:tcPr>
            <w:tcW w:w="942" w:type="dxa"/>
            <w:gridSpan w:val="2"/>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5.5</w:t>
            </w:r>
          </w:p>
        </w:tc>
        <w:tc>
          <w:tcPr>
            <w:tcW w:w="940" w:type="dxa"/>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143.3</w:t>
            </w:r>
          </w:p>
        </w:tc>
        <w:tc>
          <w:tcPr>
            <w:tcW w:w="940" w:type="dxa"/>
            <w:gridSpan w:val="2"/>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9.1</w:t>
            </w:r>
          </w:p>
        </w:tc>
        <w:tc>
          <w:tcPr>
            <w:tcW w:w="940" w:type="dxa"/>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65.7</w:t>
            </w:r>
          </w:p>
        </w:tc>
        <w:tc>
          <w:tcPr>
            <w:tcW w:w="945" w:type="dxa"/>
            <w:gridSpan w:val="2"/>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68.4</w:t>
            </w:r>
          </w:p>
        </w:tc>
      </w:tr>
      <w:tr w:rsidR="00336793" w:rsidRPr="0070797A" w:rsidTr="00DF0B96">
        <w:tc>
          <w:tcPr>
            <w:tcW w:w="2114" w:type="dxa"/>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Biological assets</w:t>
            </w:r>
          </w:p>
        </w:tc>
        <w:tc>
          <w:tcPr>
            <w:tcW w:w="936" w:type="dxa"/>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63.6</w:t>
            </w:r>
          </w:p>
        </w:tc>
        <w:tc>
          <w:tcPr>
            <w:tcW w:w="940" w:type="dxa"/>
            <w:gridSpan w:val="2"/>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w:t>
            </w:r>
          </w:p>
        </w:tc>
        <w:tc>
          <w:tcPr>
            <w:tcW w:w="940" w:type="dxa"/>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14.9</w:t>
            </w:r>
          </w:p>
        </w:tc>
        <w:tc>
          <w:tcPr>
            <w:tcW w:w="942" w:type="dxa"/>
            <w:gridSpan w:val="2"/>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48.7</w:t>
            </w:r>
          </w:p>
        </w:tc>
        <w:tc>
          <w:tcPr>
            <w:tcW w:w="940" w:type="dxa"/>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38.1</w:t>
            </w:r>
          </w:p>
        </w:tc>
        <w:tc>
          <w:tcPr>
            <w:tcW w:w="940" w:type="dxa"/>
            <w:gridSpan w:val="2"/>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w:t>
            </w:r>
          </w:p>
        </w:tc>
        <w:tc>
          <w:tcPr>
            <w:tcW w:w="940" w:type="dxa"/>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 xml:space="preserve"> 38.1</w:t>
            </w:r>
          </w:p>
        </w:tc>
        <w:tc>
          <w:tcPr>
            <w:tcW w:w="945" w:type="dxa"/>
            <w:gridSpan w:val="2"/>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70797A">
              <w:rPr>
                <w:rFonts w:ascii="Calibri" w:eastAsiaTheme="minorEastAsia" w:hAnsi="Calibri" w:cs="Calibri"/>
                <w:sz w:val="20"/>
                <w:szCs w:val="22"/>
                <w:lang w:eastAsia="en-AU"/>
              </w:rPr>
              <w:t>..</w:t>
            </w:r>
          </w:p>
        </w:tc>
      </w:tr>
      <w:tr w:rsidR="00336793" w:rsidRPr="0070797A" w:rsidTr="00DF0B96">
        <w:tc>
          <w:tcPr>
            <w:tcW w:w="2114" w:type="dxa"/>
            <w:tcBorders>
              <w:top w:val="single" w:sz="6" w:space="0" w:color="auto"/>
              <w:left w:val="nil"/>
              <w:bottom w:val="single" w:sz="12" w:space="0" w:color="000000"/>
              <w:right w:val="nil"/>
            </w:tcBorders>
          </w:tcPr>
          <w:p w:rsidR="00336793" w:rsidRPr="0070797A" w:rsidRDefault="00336793" w:rsidP="00DF0B96">
            <w:pPr>
              <w:autoSpaceDE w:val="0"/>
              <w:autoSpaceDN w:val="0"/>
              <w:adjustRightInd w:val="0"/>
              <w:spacing w:after="0"/>
              <w:rPr>
                <w:rFonts w:ascii="Calibri" w:eastAsiaTheme="minorEastAsia" w:hAnsi="Calibri" w:cs="Calibri"/>
                <w:b/>
                <w:bCs/>
                <w:sz w:val="20"/>
                <w:szCs w:val="22"/>
                <w:lang w:eastAsia="en-AU"/>
              </w:rPr>
            </w:pPr>
            <w:r w:rsidRPr="0070797A">
              <w:rPr>
                <w:rFonts w:ascii="Calibri" w:eastAsiaTheme="minorEastAsia" w:hAnsi="Calibri" w:cs="Calibri"/>
                <w:b/>
                <w:bCs/>
                <w:sz w:val="20"/>
                <w:szCs w:val="22"/>
                <w:lang w:eastAsia="en-AU"/>
              </w:rPr>
              <w:t>Total investment properties and biological assets</w:t>
            </w:r>
          </w:p>
        </w:tc>
        <w:tc>
          <w:tcPr>
            <w:tcW w:w="936" w:type="dxa"/>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70797A">
              <w:rPr>
                <w:rFonts w:ascii="Calibri" w:eastAsiaTheme="minorEastAsia" w:hAnsi="Calibri" w:cs="Calibri"/>
                <w:b/>
                <w:bCs/>
                <w:sz w:val="20"/>
                <w:szCs w:val="22"/>
                <w:lang w:eastAsia="en-AU"/>
              </w:rPr>
              <w:t xml:space="preserve"> 139.3</w:t>
            </w:r>
          </w:p>
        </w:tc>
        <w:tc>
          <w:tcPr>
            <w:tcW w:w="940" w:type="dxa"/>
            <w:gridSpan w:val="2"/>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70797A">
              <w:rPr>
                <w:rFonts w:ascii="Calibri" w:eastAsiaTheme="minorEastAsia" w:hAnsi="Calibri" w:cs="Calibri"/>
                <w:b/>
                <w:bCs/>
                <w:sz w:val="20"/>
                <w:szCs w:val="22"/>
                <w:lang w:eastAsia="en-AU"/>
              </w:rPr>
              <w:t>..</w:t>
            </w:r>
          </w:p>
        </w:tc>
        <w:tc>
          <w:tcPr>
            <w:tcW w:w="940" w:type="dxa"/>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70797A">
              <w:rPr>
                <w:rFonts w:ascii="Calibri" w:eastAsiaTheme="minorEastAsia" w:hAnsi="Calibri" w:cs="Calibri"/>
                <w:b/>
                <w:bCs/>
                <w:sz w:val="20"/>
                <w:szCs w:val="22"/>
                <w:lang w:eastAsia="en-AU"/>
              </w:rPr>
              <w:t xml:space="preserve"> 85.2</w:t>
            </w:r>
          </w:p>
        </w:tc>
        <w:tc>
          <w:tcPr>
            <w:tcW w:w="942" w:type="dxa"/>
            <w:gridSpan w:val="2"/>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70797A">
              <w:rPr>
                <w:rFonts w:ascii="Calibri" w:eastAsiaTheme="minorEastAsia" w:hAnsi="Calibri" w:cs="Calibri"/>
                <w:b/>
                <w:bCs/>
                <w:sz w:val="20"/>
                <w:szCs w:val="22"/>
                <w:lang w:eastAsia="en-AU"/>
              </w:rPr>
              <w:t xml:space="preserve"> 54.1</w:t>
            </w:r>
          </w:p>
        </w:tc>
        <w:tc>
          <w:tcPr>
            <w:tcW w:w="940" w:type="dxa"/>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70797A">
              <w:rPr>
                <w:rFonts w:ascii="Calibri" w:eastAsiaTheme="minorEastAsia" w:hAnsi="Calibri" w:cs="Calibri"/>
                <w:b/>
                <w:bCs/>
                <w:sz w:val="20"/>
                <w:szCs w:val="22"/>
                <w:lang w:eastAsia="en-AU"/>
              </w:rPr>
              <w:t xml:space="preserve"> 181.4</w:t>
            </w:r>
          </w:p>
        </w:tc>
        <w:tc>
          <w:tcPr>
            <w:tcW w:w="940" w:type="dxa"/>
            <w:gridSpan w:val="2"/>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70797A">
              <w:rPr>
                <w:rFonts w:ascii="Calibri" w:eastAsiaTheme="minorEastAsia" w:hAnsi="Calibri" w:cs="Calibri"/>
                <w:b/>
                <w:bCs/>
                <w:sz w:val="20"/>
                <w:szCs w:val="22"/>
                <w:lang w:eastAsia="en-AU"/>
              </w:rPr>
              <w:t xml:space="preserve"> 9.1</w:t>
            </w:r>
          </w:p>
        </w:tc>
        <w:tc>
          <w:tcPr>
            <w:tcW w:w="940" w:type="dxa"/>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70797A">
              <w:rPr>
                <w:rFonts w:ascii="Calibri" w:eastAsiaTheme="minorEastAsia" w:hAnsi="Calibri" w:cs="Calibri"/>
                <w:b/>
                <w:bCs/>
                <w:sz w:val="20"/>
                <w:szCs w:val="22"/>
                <w:lang w:eastAsia="en-AU"/>
              </w:rPr>
              <w:t xml:space="preserve"> 103.9</w:t>
            </w:r>
          </w:p>
        </w:tc>
        <w:tc>
          <w:tcPr>
            <w:tcW w:w="945" w:type="dxa"/>
            <w:gridSpan w:val="2"/>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70797A">
              <w:rPr>
                <w:rFonts w:ascii="Calibri" w:eastAsiaTheme="minorEastAsia" w:hAnsi="Calibri" w:cs="Calibri"/>
                <w:b/>
                <w:bCs/>
                <w:sz w:val="20"/>
                <w:szCs w:val="22"/>
                <w:lang w:eastAsia="en-AU"/>
              </w:rPr>
              <w:t xml:space="preserve"> 68.4</w:t>
            </w:r>
          </w:p>
        </w:tc>
      </w:tr>
    </w:tbl>
    <w:p w:rsidR="00336793" w:rsidRPr="00A10A3B"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2117"/>
        <w:gridCol w:w="330"/>
        <w:gridCol w:w="610"/>
        <w:gridCol w:w="940"/>
        <w:gridCol w:w="940"/>
        <w:gridCol w:w="940"/>
        <w:gridCol w:w="940"/>
        <w:gridCol w:w="940"/>
        <w:gridCol w:w="940"/>
        <w:gridCol w:w="940"/>
      </w:tblGrid>
      <w:tr w:rsidR="00336793" w:rsidRPr="00A10A3B" w:rsidTr="00DF0B96">
        <w:trPr>
          <w:tblHeader/>
        </w:trPr>
        <w:tc>
          <w:tcPr>
            <w:tcW w:w="2447" w:type="dxa"/>
            <w:gridSpan w:val="2"/>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sz w:val="20"/>
                <w:lang w:eastAsia="en-AU"/>
              </w:rPr>
            </w:pPr>
            <w:r w:rsidRPr="00A10A3B">
              <w:rPr>
                <w:rFonts w:eastAsiaTheme="minorEastAsia"/>
                <w:color w:val="FFFFFF"/>
                <w:sz w:val="20"/>
                <w:lang w:eastAsia="en-AU"/>
              </w:rPr>
              <w:t>General government sector</w:t>
            </w:r>
          </w:p>
        </w:tc>
        <w:tc>
          <w:tcPr>
            <w:tcW w:w="61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p>
        </w:tc>
        <w:tc>
          <w:tcPr>
            <w:tcW w:w="94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p>
        </w:tc>
        <w:tc>
          <w:tcPr>
            <w:tcW w:w="94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p>
        </w:tc>
        <w:tc>
          <w:tcPr>
            <w:tcW w:w="94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p>
        </w:tc>
        <w:tc>
          <w:tcPr>
            <w:tcW w:w="94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p>
        </w:tc>
        <w:tc>
          <w:tcPr>
            <w:tcW w:w="94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p>
        </w:tc>
        <w:tc>
          <w:tcPr>
            <w:tcW w:w="94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p>
        </w:tc>
        <w:tc>
          <w:tcPr>
            <w:tcW w:w="940"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sz w:val="20"/>
                <w:lang w:eastAsia="en-AU"/>
              </w:rPr>
            </w:pPr>
          </w:p>
        </w:tc>
      </w:tr>
      <w:tr w:rsidR="00336793" w:rsidRPr="00A10A3B" w:rsidTr="00DF0B96">
        <w:tc>
          <w:tcPr>
            <w:tcW w:w="2117"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Investment properties</w:t>
            </w:r>
          </w:p>
        </w:tc>
        <w:tc>
          <w:tcPr>
            <w:tcW w:w="940" w:type="dxa"/>
            <w:gridSpan w:val="2"/>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69.1</w:t>
            </w:r>
          </w:p>
        </w:tc>
        <w:tc>
          <w:tcPr>
            <w:tcW w:w="940"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w:t>
            </w:r>
          </w:p>
        </w:tc>
        <w:tc>
          <w:tcPr>
            <w:tcW w:w="940"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63.7</w:t>
            </w:r>
          </w:p>
        </w:tc>
        <w:tc>
          <w:tcPr>
            <w:tcW w:w="940"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5.3</w:t>
            </w:r>
          </w:p>
        </w:tc>
        <w:tc>
          <w:tcPr>
            <w:tcW w:w="940"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137.3</w:t>
            </w:r>
          </w:p>
        </w:tc>
        <w:tc>
          <w:tcPr>
            <w:tcW w:w="940"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9.1</w:t>
            </w:r>
          </w:p>
        </w:tc>
        <w:tc>
          <w:tcPr>
            <w:tcW w:w="940"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60.5</w:t>
            </w:r>
          </w:p>
        </w:tc>
        <w:tc>
          <w:tcPr>
            <w:tcW w:w="940"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67.7</w:t>
            </w:r>
          </w:p>
        </w:tc>
      </w:tr>
      <w:tr w:rsidR="00336793" w:rsidRPr="00A10A3B" w:rsidTr="00DF0B96">
        <w:tc>
          <w:tcPr>
            <w:tcW w:w="2117"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Biological assets</w:t>
            </w:r>
          </w:p>
        </w:tc>
        <w:tc>
          <w:tcPr>
            <w:tcW w:w="940" w:type="dxa"/>
            <w:gridSpan w:val="2"/>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3.9</w:t>
            </w:r>
          </w:p>
        </w:tc>
        <w:tc>
          <w:tcPr>
            <w:tcW w:w="94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w:t>
            </w:r>
          </w:p>
        </w:tc>
        <w:tc>
          <w:tcPr>
            <w:tcW w:w="94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3.9</w:t>
            </w:r>
          </w:p>
        </w:tc>
        <w:tc>
          <w:tcPr>
            <w:tcW w:w="94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w:t>
            </w:r>
          </w:p>
        </w:tc>
        <w:tc>
          <w:tcPr>
            <w:tcW w:w="94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4.9</w:t>
            </w:r>
          </w:p>
        </w:tc>
        <w:tc>
          <w:tcPr>
            <w:tcW w:w="94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Pr>
                <w:rFonts w:ascii="Calibri" w:eastAsiaTheme="minorEastAsia" w:hAnsi="Calibri" w:cs="Calibri"/>
                <w:sz w:val="20"/>
                <w:szCs w:val="22"/>
                <w:lang w:eastAsia="en-AU"/>
              </w:rPr>
              <w:t>..</w:t>
            </w:r>
          </w:p>
        </w:tc>
        <w:tc>
          <w:tcPr>
            <w:tcW w:w="94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 xml:space="preserve"> 4.9</w:t>
            </w:r>
          </w:p>
        </w:tc>
        <w:tc>
          <w:tcPr>
            <w:tcW w:w="94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A10A3B">
              <w:rPr>
                <w:rFonts w:ascii="Calibri" w:eastAsiaTheme="minorEastAsia" w:hAnsi="Calibri" w:cs="Calibri"/>
                <w:sz w:val="20"/>
                <w:szCs w:val="22"/>
                <w:lang w:eastAsia="en-AU"/>
              </w:rPr>
              <w:t>..</w:t>
            </w:r>
          </w:p>
        </w:tc>
      </w:tr>
      <w:tr w:rsidR="00336793" w:rsidRPr="00A10A3B" w:rsidTr="00DF0B96">
        <w:tc>
          <w:tcPr>
            <w:tcW w:w="2117" w:type="dxa"/>
            <w:tcBorders>
              <w:top w:val="single" w:sz="6" w:space="0" w:color="auto"/>
              <w:left w:val="nil"/>
              <w:bottom w:val="single" w:sz="12" w:space="0" w:color="000000"/>
              <w:right w:val="nil"/>
            </w:tcBorders>
          </w:tcPr>
          <w:p w:rsidR="00336793" w:rsidRPr="00A10A3B" w:rsidRDefault="00336793" w:rsidP="00DF0B96">
            <w:pPr>
              <w:autoSpaceDE w:val="0"/>
              <w:autoSpaceDN w:val="0"/>
              <w:adjustRightInd w:val="0"/>
              <w:spacing w:after="0"/>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Total investment properties and biological assets</w:t>
            </w:r>
          </w:p>
        </w:tc>
        <w:tc>
          <w:tcPr>
            <w:tcW w:w="940"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73.0</w:t>
            </w:r>
          </w:p>
        </w:tc>
        <w:tc>
          <w:tcPr>
            <w:tcW w:w="94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w:t>
            </w:r>
          </w:p>
        </w:tc>
        <w:tc>
          <w:tcPr>
            <w:tcW w:w="94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67.6</w:t>
            </w:r>
          </w:p>
        </w:tc>
        <w:tc>
          <w:tcPr>
            <w:tcW w:w="94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5.3</w:t>
            </w:r>
          </w:p>
        </w:tc>
        <w:tc>
          <w:tcPr>
            <w:tcW w:w="94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142.3</w:t>
            </w:r>
          </w:p>
        </w:tc>
        <w:tc>
          <w:tcPr>
            <w:tcW w:w="94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9.1</w:t>
            </w:r>
          </w:p>
        </w:tc>
        <w:tc>
          <w:tcPr>
            <w:tcW w:w="94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65.4</w:t>
            </w:r>
          </w:p>
        </w:tc>
        <w:tc>
          <w:tcPr>
            <w:tcW w:w="94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A10A3B">
              <w:rPr>
                <w:rFonts w:ascii="Calibri" w:eastAsiaTheme="minorEastAsia" w:hAnsi="Calibri" w:cs="Calibri"/>
                <w:b/>
                <w:bCs/>
                <w:sz w:val="20"/>
                <w:szCs w:val="22"/>
                <w:lang w:eastAsia="en-AU"/>
              </w:rPr>
              <w:t xml:space="preserve"> 67.7</w:t>
            </w:r>
          </w:p>
        </w:tc>
      </w:tr>
    </w:tbl>
    <w:p w:rsidR="00336793" w:rsidRPr="006A75A2" w:rsidRDefault="00336793" w:rsidP="00DF0B96">
      <w:pPr>
        <w:pStyle w:val="Notes"/>
      </w:pPr>
      <w:r w:rsidRPr="006A75A2">
        <w:t>Notes:</w:t>
      </w:r>
    </w:p>
    <w:p w:rsidR="00336793" w:rsidRPr="006A75A2" w:rsidRDefault="00336793" w:rsidP="00DF0B96">
      <w:pPr>
        <w:pStyle w:val="Notes"/>
      </w:pPr>
      <w:r w:rsidRPr="006A75A2">
        <w:t>(a)</w:t>
      </w:r>
      <w:r w:rsidRPr="006A75A2">
        <w:tab/>
        <w:t>Quoted prices (unadjusted) in active markets for identical assets or liabilities.</w:t>
      </w:r>
    </w:p>
    <w:p w:rsidR="00336793" w:rsidRPr="006A75A2" w:rsidRDefault="00336793" w:rsidP="00DF0B96">
      <w:pPr>
        <w:pStyle w:val="Notes"/>
      </w:pPr>
      <w:r w:rsidRPr="006A75A2">
        <w:t>(b)</w:t>
      </w:r>
      <w:r w:rsidRPr="006A75A2">
        <w:tab/>
        <w:t xml:space="preserve">Inputs based on observable market data (either directly using prices or indirectly derived from prices). </w:t>
      </w:r>
    </w:p>
    <w:p w:rsidR="00336793" w:rsidRDefault="00336793" w:rsidP="00DF0B96">
      <w:pPr>
        <w:pStyle w:val="Notes"/>
      </w:pPr>
      <w:r w:rsidRPr="006A75A2">
        <w:t>(c)</w:t>
      </w:r>
      <w:r w:rsidRPr="006A75A2">
        <w:tab/>
        <w:t>Inputs not based on observable market data.</w:t>
      </w:r>
    </w:p>
    <w:p w:rsidR="00336793" w:rsidRPr="009F3991" w:rsidRDefault="00336793" w:rsidP="00DF0B96">
      <w:pPr>
        <w:pStyle w:val="Notes"/>
        <w:rPr>
          <w:sz w:val="8"/>
          <w:szCs w:val="8"/>
          <w:highlight w:val="yellow"/>
        </w:rPr>
      </w:pPr>
    </w:p>
    <w:p w:rsidR="00336793" w:rsidRDefault="00336793">
      <w:pPr>
        <w:spacing w:after="0"/>
      </w:pPr>
    </w:p>
    <w:p w:rsidR="00336793" w:rsidRPr="006A75A2" w:rsidRDefault="00336793" w:rsidP="00DF0B96">
      <w:pPr>
        <w:pStyle w:val="Heading5"/>
      </w:pPr>
      <w:r w:rsidRPr="006A75A2">
        <w:t>(d)</w:t>
      </w:r>
      <w:r w:rsidRPr="006A75A2">
        <w:tab/>
        <w:t>Reconciliation of Level 3 fair value movements</w:t>
      </w:r>
    </w:p>
    <w:p w:rsidR="00336793" w:rsidRPr="0070797A"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70797A" w:rsidTr="00DF0B96">
        <w:tc>
          <w:tcPr>
            <w:tcW w:w="5157" w:type="dxa"/>
            <w:tcBorders>
              <w:top w:val="single" w:sz="6" w:space="0" w:color="auto"/>
              <w:left w:val="single" w:sz="6" w:space="0" w:color="auto"/>
              <w:right w:val="nil"/>
            </w:tcBorders>
            <w:shd w:val="clear" w:color="000000" w:fill="000000"/>
          </w:tcPr>
          <w:p w:rsidR="00336793" w:rsidRPr="0070797A" w:rsidRDefault="00336793" w:rsidP="00DF0B96">
            <w:pPr>
              <w:pStyle w:val="Tabletextheading"/>
              <w:jc w:val="left"/>
              <w:rPr>
                <w:rFonts w:eastAsiaTheme="minorEastAsia"/>
                <w:color w:val="FFFFFF"/>
                <w:lang w:eastAsia="en-AU"/>
              </w:rPr>
            </w:pPr>
          </w:p>
        </w:tc>
        <w:tc>
          <w:tcPr>
            <w:tcW w:w="260" w:type="dxa"/>
            <w:tcBorders>
              <w:top w:val="single" w:sz="6" w:space="0" w:color="auto"/>
              <w:left w:val="nil"/>
              <w:right w:val="nil"/>
            </w:tcBorders>
            <w:shd w:val="clear" w:color="000000" w:fill="000000"/>
          </w:tcPr>
          <w:p w:rsidR="00336793" w:rsidRPr="0070797A" w:rsidRDefault="00336793" w:rsidP="00DF0B96">
            <w:pPr>
              <w:pStyle w:val="TabletextheadingCentred"/>
              <w:rPr>
                <w:rFonts w:eastAsiaTheme="minorEastAsia"/>
                <w:lang w:eastAsia="en-AU"/>
              </w:rPr>
            </w:pPr>
          </w:p>
        </w:tc>
        <w:tc>
          <w:tcPr>
            <w:tcW w:w="1980" w:type="dxa"/>
            <w:gridSpan w:val="2"/>
            <w:tcBorders>
              <w:top w:val="single" w:sz="6" w:space="0" w:color="auto"/>
              <w:left w:val="nil"/>
              <w:right w:val="nil"/>
            </w:tcBorders>
            <w:shd w:val="clear" w:color="000000" w:fill="000000"/>
          </w:tcPr>
          <w:p w:rsidR="00336793" w:rsidRPr="0070797A" w:rsidRDefault="00336793" w:rsidP="00DF0B96">
            <w:pPr>
              <w:pStyle w:val="TabletextheadingCentred"/>
              <w:rPr>
                <w:rFonts w:eastAsiaTheme="minorEastAsia"/>
                <w:lang w:eastAsia="en-AU"/>
              </w:rPr>
            </w:pPr>
          </w:p>
          <w:p w:rsidR="00336793" w:rsidRPr="0070797A" w:rsidRDefault="00336793" w:rsidP="00DF0B96">
            <w:pPr>
              <w:pStyle w:val="TabletextheadingCentred"/>
              <w:rPr>
                <w:rFonts w:eastAsiaTheme="minorEastAsia"/>
                <w:lang w:eastAsia="en-AU"/>
              </w:rPr>
            </w:pPr>
            <w:r w:rsidRPr="0070797A">
              <w:rPr>
                <w:rFonts w:eastAsiaTheme="minorEastAsia"/>
                <w:lang w:eastAsia="en-AU"/>
              </w:rPr>
              <w:t>State of Victoria</w:t>
            </w:r>
          </w:p>
        </w:tc>
        <w:tc>
          <w:tcPr>
            <w:tcW w:w="270" w:type="dxa"/>
            <w:tcBorders>
              <w:top w:val="single" w:sz="6" w:space="0" w:color="auto"/>
              <w:left w:val="nil"/>
              <w:right w:val="nil"/>
            </w:tcBorders>
            <w:shd w:val="clear" w:color="000000" w:fill="000000"/>
          </w:tcPr>
          <w:p w:rsidR="00336793" w:rsidRPr="0070797A" w:rsidRDefault="00336793" w:rsidP="00DF0B96">
            <w:pPr>
              <w:pStyle w:val="TabletextheadingCentred"/>
              <w:rPr>
                <w:rFonts w:eastAsiaTheme="minorEastAsia"/>
                <w:lang w:eastAsia="en-AU"/>
              </w:rPr>
            </w:pPr>
            <w:r w:rsidRPr="0070797A">
              <w:rPr>
                <w:rFonts w:eastAsiaTheme="minorEastAsia"/>
                <w:lang w:eastAsia="en-AU"/>
              </w:rPr>
              <w:t xml:space="preserve"> </w:t>
            </w:r>
          </w:p>
        </w:tc>
        <w:tc>
          <w:tcPr>
            <w:tcW w:w="1970" w:type="dxa"/>
            <w:gridSpan w:val="2"/>
            <w:tcBorders>
              <w:top w:val="single" w:sz="6" w:space="0" w:color="auto"/>
              <w:left w:val="nil"/>
              <w:right w:val="single" w:sz="6" w:space="0" w:color="auto"/>
            </w:tcBorders>
            <w:shd w:val="clear" w:color="000000" w:fill="000000"/>
          </w:tcPr>
          <w:p w:rsidR="00336793" w:rsidRPr="0070797A" w:rsidRDefault="00336793" w:rsidP="00DF0B96">
            <w:pPr>
              <w:pStyle w:val="TabletextheadingCentred"/>
              <w:rPr>
                <w:rFonts w:eastAsiaTheme="minorEastAsia"/>
                <w:lang w:eastAsia="en-AU"/>
              </w:rPr>
            </w:pPr>
            <w:r w:rsidRPr="0070797A">
              <w:rPr>
                <w:rFonts w:eastAsiaTheme="minorEastAsia"/>
                <w:lang w:eastAsia="en-AU"/>
              </w:rPr>
              <w:t xml:space="preserve">General </w:t>
            </w:r>
          </w:p>
          <w:p w:rsidR="00336793" w:rsidRPr="0070797A" w:rsidRDefault="00336793" w:rsidP="00DF0B96">
            <w:pPr>
              <w:pStyle w:val="TabletextheadingCentred"/>
              <w:rPr>
                <w:rFonts w:eastAsiaTheme="minorEastAsia"/>
                <w:lang w:eastAsia="en-AU"/>
              </w:rPr>
            </w:pPr>
            <w:r w:rsidRPr="0070797A">
              <w:rPr>
                <w:rFonts w:eastAsiaTheme="minorEastAsia"/>
                <w:lang w:eastAsia="en-AU"/>
              </w:rPr>
              <w:t>government sector</w:t>
            </w:r>
          </w:p>
        </w:tc>
      </w:tr>
      <w:tr w:rsidR="00336793" w:rsidRPr="0070797A" w:rsidTr="00DF0B96">
        <w:tc>
          <w:tcPr>
            <w:tcW w:w="5157" w:type="dxa"/>
            <w:tcBorders>
              <w:top w:val="nil"/>
              <w:left w:val="single" w:sz="6" w:space="0" w:color="auto"/>
              <w:bottom w:val="single" w:sz="6" w:space="0" w:color="auto"/>
              <w:right w:val="nil"/>
            </w:tcBorders>
            <w:shd w:val="clear" w:color="000000" w:fill="000000"/>
          </w:tcPr>
          <w:p w:rsidR="00336793" w:rsidRPr="0070797A" w:rsidRDefault="00336793" w:rsidP="00DF0B96">
            <w:pPr>
              <w:pStyle w:val="Tabletextheading"/>
              <w:jc w:val="left"/>
              <w:rPr>
                <w:rFonts w:eastAsiaTheme="minorEastAsia"/>
                <w:color w:val="FFFFFF"/>
                <w:lang w:eastAsia="en-AU"/>
              </w:rPr>
            </w:pPr>
          </w:p>
        </w:tc>
        <w:tc>
          <w:tcPr>
            <w:tcW w:w="1120" w:type="dxa"/>
            <w:gridSpan w:val="2"/>
            <w:tcBorders>
              <w:top w:val="nil"/>
              <w:left w:val="nil"/>
              <w:bottom w:val="single" w:sz="6" w:space="0" w:color="auto"/>
              <w:right w:val="nil"/>
            </w:tcBorders>
            <w:shd w:val="clear" w:color="000000" w:fill="000000"/>
          </w:tcPr>
          <w:p w:rsidR="00336793" w:rsidRPr="0070797A" w:rsidRDefault="00336793" w:rsidP="00DF0B96">
            <w:pPr>
              <w:pStyle w:val="Tabletextheading"/>
              <w:rPr>
                <w:rFonts w:eastAsiaTheme="minorEastAsia"/>
                <w:color w:val="FFFFFF"/>
                <w:lang w:eastAsia="en-AU"/>
              </w:rPr>
            </w:pPr>
            <w:r w:rsidRPr="0070797A">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tcPr>
          <w:p w:rsidR="00336793" w:rsidRPr="0070797A" w:rsidRDefault="00336793" w:rsidP="00DF0B96">
            <w:pPr>
              <w:pStyle w:val="Tabletextheading"/>
              <w:rPr>
                <w:rFonts w:eastAsiaTheme="minorEastAsia"/>
                <w:color w:val="FFFFFF"/>
                <w:lang w:eastAsia="en-AU"/>
              </w:rPr>
            </w:pPr>
            <w:r w:rsidRPr="0070797A">
              <w:rPr>
                <w:rFonts w:eastAsiaTheme="minorEastAsia"/>
                <w:color w:val="FFFFFF"/>
                <w:lang w:eastAsia="en-AU"/>
              </w:rPr>
              <w:t>2014</w:t>
            </w:r>
          </w:p>
        </w:tc>
        <w:tc>
          <w:tcPr>
            <w:tcW w:w="1120" w:type="dxa"/>
            <w:gridSpan w:val="2"/>
            <w:tcBorders>
              <w:top w:val="nil"/>
              <w:left w:val="nil"/>
              <w:bottom w:val="single" w:sz="6" w:space="0" w:color="auto"/>
              <w:right w:val="nil"/>
            </w:tcBorders>
            <w:shd w:val="clear" w:color="000000" w:fill="000000"/>
          </w:tcPr>
          <w:p w:rsidR="00336793" w:rsidRPr="0070797A" w:rsidRDefault="00336793" w:rsidP="00DF0B96">
            <w:pPr>
              <w:pStyle w:val="Tabletextheading"/>
              <w:rPr>
                <w:rFonts w:eastAsiaTheme="minorEastAsia"/>
                <w:color w:val="FFFFFF"/>
                <w:lang w:eastAsia="en-AU"/>
              </w:rPr>
            </w:pPr>
            <w:r w:rsidRPr="0070797A">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70797A" w:rsidRDefault="00336793" w:rsidP="00DF0B96">
            <w:pPr>
              <w:pStyle w:val="Tabletextheading"/>
              <w:rPr>
                <w:rFonts w:eastAsiaTheme="minorEastAsia"/>
                <w:color w:val="FFFFFF"/>
                <w:lang w:eastAsia="en-AU"/>
              </w:rPr>
            </w:pPr>
            <w:r w:rsidRPr="0070797A">
              <w:rPr>
                <w:rFonts w:eastAsiaTheme="minorEastAsia"/>
                <w:color w:val="FFFFFF"/>
                <w:lang w:eastAsia="en-AU"/>
              </w:rPr>
              <w:t>2014</w:t>
            </w:r>
          </w:p>
        </w:tc>
      </w:tr>
      <w:tr w:rsidR="00336793" w:rsidRPr="0070797A" w:rsidTr="00DF0B96">
        <w:tc>
          <w:tcPr>
            <w:tcW w:w="5157" w:type="dxa"/>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rPr>
                <w:rFonts w:ascii="Calibri" w:eastAsiaTheme="minorEastAsia" w:hAnsi="Calibri" w:cs="Calibri"/>
                <w:bCs/>
                <w:sz w:val="22"/>
                <w:szCs w:val="22"/>
                <w:lang w:eastAsia="en-AU"/>
              </w:rPr>
            </w:pPr>
            <w:r w:rsidRPr="0070797A">
              <w:rPr>
                <w:rFonts w:ascii="Calibri" w:eastAsiaTheme="minorEastAsia" w:hAnsi="Calibri" w:cs="Calibri"/>
                <w:bCs/>
                <w:sz w:val="22"/>
                <w:szCs w:val="22"/>
                <w:lang w:eastAsia="en-AU"/>
              </w:rPr>
              <w:t>Opening balance</w:t>
            </w:r>
          </w:p>
        </w:tc>
        <w:tc>
          <w:tcPr>
            <w:tcW w:w="1120" w:type="dxa"/>
            <w:gridSpan w:val="2"/>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Cs/>
                <w:sz w:val="22"/>
                <w:szCs w:val="22"/>
                <w:lang w:eastAsia="en-AU"/>
              </w:rPr>
            </w:pPr>
            <w:r w:rsidRPr="0070797A">
              <w:rPr>
                <w:rFonts w:ascii="Calibri" w:eastAsiaTheme="minorEastAsia" w:hAnsi="Calibri" w:cs="Calibri"/>
                <w:bCs/>
                <w:sz w:val="22"/>
                <w:szCs w:val="22"/>
                <w:lang w:eastAsia="en-AU"/>
              </w:rPr>
              <w:t xml:space="preserve"> 68.4</w:t>
            </w:r>
          </w:p>
        </w:tc>
        <w:tc>
          <w:tcPr>
            <w:tcW w:w="1120" w:type="dxa"/>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Cs/>
                <w:sz w:val="22"/>
                <w:szCs w:val="22"/>
                <w:lang w:eastAsia="en-AU"/>
              </w:rPr>
            </w:pPr>
            <w:r w:rsidRPr="0070797A">
              <w:rPr>
                <w:rFonts w:ascii="Calibri" w:eastAsiaTheme="minorEastAsia" w:hAnsi="Calibri" w:cs="Calibri"/>
                <w:bCs/>
                <w:sz w:val="22"/>
                <w:szCs w:val="22"/>
                <w:lang w:eastAsia="en-AU"/>
              </w:rPr>
              <w:t xml:space="preserve"> 0.9</w:t>
            </w:r>
          </w:p>
        </w:tc>
        <w:tc>
          <w:tcPr>
            <w:tcW w:w="1120" w:type="dxa"/>
            <w:gridSpan w:val="2"/>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Cs/>
                <w:sz w:val="22"/>
                <w:szCs w:val="22"/>
                <w:lang w:eastAsia="en-AU"/>
              </w:rPr>
            </w:pPr>
            <w:r w:rsidRPr="0070797A">
              <w:rPr>
                <w:rFonts w:ascii="Calibri" w:eastAsiaTheme="minorEastAsia" w:hAnsi="Calibri" w:cs="Calibri"/>
                <w:bCs/>
                <w:sz w:val="22"/>
                <w:szCs w:val="22"/>
                <w:lang w:eastAsia="en-AU"/>
              </w:rPr>
              <w:t xml:space="preserve"> 67.7</w:t>
            </w:r>
          </w:p>
        </w:tc>
        <w:tc>
          <w:tcPr>
            <w:tcW w:w="1120" w:type="dxa"/>
            <w:tcBorders>
              <w:top w:val="single" w:sz="6" w:space="0" w:color="auto"/>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Cs/>
                <w:sz w:val="22"/>
                <w:szCs w:val="22"/>
                <w:lang w:eastAsia="en-AU"/>
              </w:rPr>
            </w:pPr>
            <w:r w:rsidRPr="0070797A">
              <w:rPr>
                <w:rFonts w:ascii="Calibri" w:eastAsiaTheme="minorEastAsia" w:hAnsi="Calibri" w:cs="Calibri"/>
                <w:bCs/>
                <w:sz w:val="22"/>
                <w:szCs w:val="22"/>
                <w:lang w:eastAsia="en-AU"/>
              </w:rPr>
              <w:t>..</w:t>
            </w:r>
          </w:p>
        </w:tc>
      </w:tr>
      <w:tr w:rsidR="00336793" w:rsidRPr="0070797A" w:rsidTr="00DF0B96">
        <w:tc>
          <w:tcPr>
            <w:tcW w:w="5157" w:type="dxa"/>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Assets reclassified/(sales)</w:t>
            </w:r>
          </w:p>
        </w:tc>
        <w:tc>
          <w:tcPr>
            <w:tcW w:w="1120" w:type="dxa"/>
            <w:gridSpan w:val="2"/>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70797A">
              <w:rPr>
                <w:rFonts w:ascii="Calibri" w:eastAsiaTheme="minorEastAsia" w:hAnsi="Calibri" w:cs="Calibri"/>
                <w:color w:val="000000"/>
                <w:sz w:val="22"/>
                <w:szCs w:val="22"/>
                <w:lang w:eastAsia="en-AU"/>
              </w:rPr>
              <w:t>62.4)</w:t>
            </w:r>
          </w:p>
        </w:tc>
        <w:tc>
          <w:tcPr>
            <w:tcW w:w="1120" w:type="dxa"/>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 xml:space="preserve"> 96.0</w:t>
            </w:r>
          </w:p>
        </w:tc>
        <w:tc>
          <w:tcPr>
            <w:tcW w:w="1120" w:type="dxa"/>
            <w:gridSpan w:val="2"/>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70797A">
              <w:rPr>
                <w:rFonts w:ascii="Calibri" w:eastAsiaTheme="minorEastAsia" w:hAnsi="Calibri" w:cs="Calibri"/>
                <w:color w:val="000000"/>
                <w:sz w:val="22"/>
                <w:szCs w:val="22"/>
                <w:lang w:eastAsia="en-AU"/>
              </w:rPr>
              <w:t>62.4)</w:t>
            </w:r>
          </w:p>
        </w:tc>
        <w:tc>
          <w:tcPr>
            <w:tcW w:w="1120" w:type="dxa"/>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 xml:space="preserve"> 96.0</w:t>
            </w:r>
          </w:p>
        </w:tc>
      </w:tr>
      <w:tr w:rsidR="00336793" w:rsidRPr="0070797A" w:rsidTr="00DF0B96">
        <w:tc>
          <w:tcPr>
            <w:tcW w:w="5157" w:type="dxa"/>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Transfers in (out) of Level 3</w:t>
            </w:r>
          </w:p>
        </w:tc>
        <w:tc>
          <w:tcPr>
            <w:tcW w:w="1120" w:type="dxa"/>
            <w:gridSpan w:val="2"/>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 xml:space="preserve"> 48.7</w:t>
            </w:r>
          </w:p>
        </w:tc>
        <w:tc>
          <w:tcPr>
            <w:tcW w:w="1120" w:type="dxa"/>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w:t>
            </w:r>
          </w:p>
        </w:tc>
        <w:tc>
          <w:tcPr>
            <w:tcW w:w="1120" w:type="dxa"/>
            <w:gridSpan w:val="2"/>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w:t>
            </w:r>
          </w:p>
        </w:tc>
        <w:tc>
          <w:tcPr>
            <w:tcW w:w="1120" w:type="dxa"/>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w:t>
            </w:r>
          </w:p>
        </w:tc>
      </w:tr>
      <w:tr w:rsidR="00336793" w:rsidRPr="0070797A" w:rsidTr="00DF0B96">
        <w:tc>
          <w:tcPr>
            <w:tcW w:w="5157" w:type="dxa"/>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Revaluation</w:t>
            </w:r>
          </w:p>
        </w:tc>
        <w:tc>
          <w:tcPr>
            <w:tcW w:w="1120" w:type="dxa"/>
            <w:gridSpan w:val="2"/>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p>
        </w:tc>
        <w:tc>
          <w:tcPr>
            <w:tcW w:w="1120" w:type="dxa"/>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70797A">
              <w:rPr>
                <w:rFonts w:ascii="Calibri" w:eastAsiaTheme="minorEastAsia" w:hAnsi="Calibri" w:cs="Calibri"/>
                <w:sz w:val="22"/>
                <w:szCs w:val="22"/>
                <w:lang w:eastAsia="en-AU"/>
              </w:rPr>
              <w:t>28.3</w:t>
            </w:r>
            <w:r w:rsidRPr="0070797A">
              <w:rPr>
                <w:rFonts w:ascii="Calibri" w:eastAsiaTheme="minorEastAsia" w:hAnsi="Calibri" w:cs="Calibri"/>
                <w:color w:val="000000"/>
                <w:sz w:val="22"/>
                <w:szCs w:val="22"/>
                <w:lang w:eastAsia="en-AU"/>
              </w:rPr>
              <w:t>)</w:t>
            </w:r>
          </w:p>
        </w:tc>
        <w:tc>
          <w:tcPr>
            <w:tcW w:w="1120" w:type="dxa"/>
            <w:gridSpan w:val="2"/>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w:t>
            </w:r>
          </w:p>
        </w:tc>
        <w:tc>
          <w:tcPr>
            <w:tcW w:w="1120" w:type="dxa"/>
            <w:tcBorders>
              <w:top w:val="nil"/>
              <w:left w:val="nil"/>
              <w:bottom w:val="nil"/>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70797A">
              <w:rPr>
                <w:rFonts w:ascii="Calibri" w:eastAsiaTheme="minorEastAsia" w:hAnsi="Calibri" w:cs="Calibri"/>
                <w:sz w:val="22"/>
                <w:szCs w:val="22"/>
                <w:lang w:eastAsia="en-AU"/>
              </w:rPr>
              <w:t>28.3</w:t>
            </w:r>
            <w:r w:rsidRPr="0070797A">
              <w:rPr>
                <w:rFonts w:ascii="Calibri" w:eastAsiaTheme="minorEastAsia" w:hAnsi="Calibri" w:cs="Calibri"/>
                <w:color w:val="000000"/>
                <w:sz w:val="22"/>
                <w:szCs w:val="22"/>
                <w:lang w:eastAsia="en-AU"/>
              </w:rPr>
              <w:t>)</w:t>
            </w:r>
          </w:p>
        </w:tc>
      </w:tr>
      <w:tr w:rsidR="00336793" w:rsidRPr="0070797A" w:rsidTr="00DF0B96">
        <w:tc>
          <w:tcPr>
            <w:tcW w:w="5157" w:type="dxa"/>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Reclassification</w:t>
            </w:r>
          </w:p>
        </w:tc>
        <w:tc>
          <w:tcPr>
            <w:tcW w:w="1120" w:type="dxa"/>
            <w:gridSpan w:val="2"/>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70797A">
              <w:rPr>
                <w:rFonts w:ascii="Calibri" w:eastAsiaTheme="minorEastAsia" w:hAnsi="Calibri" w:cs="Calibri"/>
                <w:sz w:val="22"/>
                <w:szCs w:val="22"/>
                <w:lang w:eastAsia="en-AU"/>
              </w:rPr>
              <w:t>0.6</w:t>
            </w:r>
            <w:r w:rsidRPr="0070797A">
              <w:rPr>
                <w:rFonts w:ascii="Calibri" w:eastAsiaTheme="minorEastAsia" w:hAnsi="Calibri" w:cs="Calibri"/>
                <w:color w:val="000000"/>
                <w:sz w:val="22"/>
                <w:szCs w:val="22"/>
                <w:lang w:eastAsia="en-AU"/>
              </w:rPr>
              <w:t>)</w:t>
            </w:r>
          </w:p>
        </w:tc>
        <w:tc>
          <w:tcPr>
            <w:tcW w:w="1120" w:type="dxa"/>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70797A">
              <w:rPr>
                <w:rFonts w:ascii="Calibri" w:eastAsiaTheme="minorEastAsia" w:hAnsi="Calibri" w:cs="Calibri"/>
                <w:sz w:val="22"/>
                <w:szCs w:val="22"/>
                <w:lang w:eastAsia="en-AU"/>
              </w:rPr>
              <w:t>0.1</w:t>
            </w:r>
            <w:r w:rsidRPr="0070797A">
              <w:rPr>
                <w:rFonts w:ascii="Calibri" w:eastAsiaTheme="minorEastAsia" w:hAnsi="Calibri" w:cs="Calibri"/>
                <w:color w:val="000000"/>
                <w:sz w:val="22"/>
                <w:szCs w:val="22"/>
                <w:lang w:eastAsia="en-AU"/>
              </w:rPr>
              <w:t>)</w:t>
            </w:r>
          </w:p>
        </w:tc>
        <w:tc>
          <w:tcPr>
            <w:tcW w:w="1120" w:type="dxa"/>
            <w:gridSpan w:val="2"/>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70797A">
              <w:rPr>
                <w:rFonts w:ascii="Calibri" w:eastAsiaTheme="minorEastAsia" w:hAnsi="Calibri" w:cs="Calibri"/>
                <w:sz w:val="22"/>
                <w:szCs w:val="22"/>
                <w:lang w:eastAsia="en-AU"/>
              </w:rPr>
              <w:t>..</w:t>
            </w:r>
          </w:p>
        </w:tc>
      </w:tr>
      <w:tr w:rsidR="00336793" w:rsidRPr="0070797A" w:rsidTr="00DF0B96">
        <w:tc>
          <w:tcPr>
            <w:tcW w:w="5157" w:type="dxa"/>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rPr>
                <w:rFonts w:ascii="Calibri" w:eastAsiaTheme="minorEastAsia" w:hAnsi="Calibri" w:cs="Calibri"/>
                <w:b/>
                <w:bCs/>
                <w:sz w:val="22"/>
                <w:szCs w:val="22"/>
                <w:lang w:eastAsia="en-AU"/>
              </w:rPr>
            </w:pPr>
            <w:r w:rsidRPr="0070797A">
              <w:rPr>
                <w:rFonts w:ascii="Calibri" w:eastAsiaTheme="minorEastAsia" w:hAnsi="Calibri" w:cs="Calibri"/>
                <w:b/>
                <w:bCs/>
                <w:sz w:val="22"/>
                <w:szCs w:val="22"/>
                <w:lang w:eastAsia="en-AU"/>
              </w:rPr>
              <w:t xml:space="preserve">Closing balance </w:t>
            </w:r>
          </w:p>
        </w:tc>
        <w:tc>
          <w:tcPr>
            <w:tcW w:w="1120" w:type="dxa"/>
            <w:gridSpan w:val="2"/>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70797A">
              <w:rPr>
                <w:rFonts w:ascii="Calibri" w:eastAsiaTheme="minorEastAsia" w:hAnsi="Calibri" w:cs="Calibri"/>
                <w:b/>
                <w:bCs/>
                <w:sz w:val="22"/>
                <w:szCs w:val="22"/>
                <w:lang w:eastAsia="en-AU"/>
              </w:rPr>
              <w:t xml:space="preserve"> 54.1</w:t>
            </w:r>
          </w:p>
        </w:tc>
        <w:tc>
          <w:tcPr>
            <w:tcW w:w="1120" w:type="dxa"/>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70797A">
              <w:rPr>
                <w:rFonts w:ascii="Calibri" w:eastAsiaTheme="minorEastAsia" w:hAnsi="Calibri" w:cs="Calibri"/>
                <w:b/>
                <w:bCs/>
                <w:sz w:val="22"/>
                <w:szCs w:val="22"/>
                <w:lang w:eastAsia="en-AU"/>
              </w:rPr>
              <w:t xml:space="preserve"> 68.4</w:t>
            </w:r>
          </w:p>
        </w:tc>
        <w:tc>
          <w:tcPr>
            <w:tcW w:w="1120" w:type="dxa"/>
            <w:gridSpan w:val="2"/>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70797A">
              <w:rPr>
                <w:rFonts w:ascii="Calibri" w:eastAsiaTheme="minorEastAsia" w:hAnsi="Calibri" w:cs="Calibri"/>
                <w:b/>
                <w:bCs/>
                <w:sz w:val="22"/>
                <w:szCs w:val="22"/>
                <w:lang w:eastAsia="en-AU"/>
              </w:rPr>
              <w:t xml:space="preserve"> 5.3</w:t>
            </w:r>
          </w:p>
        </w:tc>
        <w:tc>
          <w:tcPr>
            <w:tcW w:w="1120" w:type="dxa"/>
            <w:tcBorders>
              <w:top w:val="single" w:sz="6" w:space="0" w:color="auto"/>
              <w:left w:val="nil"/>
              <w:bottom w:val="single" w:sz="12" w:space="0" w:color="000000"/>
              <w:right w:val="nil"/>
            </w:tcBorders>
            <w:shd w:val="solid" w:color="FFFFFF" w:fill="auto"/>
          </w:tcPr>
          <w:p w:rsidR="00336793" w:rsidRPr="0070797A"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70797A">
              <w:rPr>
                <w:rFonts w:ascii="Calibri" w:eastAsiaTheme="minorEastAsia" w:hAnsi="Calibri" w:cs="Calibri"/>
                <w:b/>
                <w:bCs/>
                <w:sz w:val="22"/>
                <w:szCs w:val="22"/>
                <w:lang w:eastAsia="en-AU"/>
              </w:rPr>
              <w:t xml:space="preserve"> 67.7</w:t>
            </w:r>
          </w:p>
        </w:tc>
      </w:tr>
    </w:tbl>
    <w:p w:rsidR="00336793" w:rsidRDefault="00336793" w:rsidP="00DF0B96">
      <w:pPr>
        <w:pStyle w:val="Notes"/>
      </w:pPr>
    </w:p>
    <w:p w:rsidR="00336793" w:rsidRPr="00A56A82" w:rsidRDefault="00336793" w:rsidP="00DF0B96">
      <w:pPr>
        <w:pStyle w:val="Heading5a"/>
      </w:pPr>
      <w:r>
        <w:t>Transfers between Level 1</w:t>
      </w:r>
      <w:r w:rsidRPr="00A56A82">
        <w:t xml:space="preserve"> and Level 2.</w:t>
      </w:r>
    </w:p>
    <w:p w:rsidR="00336793" w:rsidRDefault="00336793" w:rsidP="00DF0B96">
      <w:pPr>
        <w:spacing w:after="0"/>
      </w:pPr>
      <w:r w:rsidRPr="00A56A82">
        <w:t>There were no transfers identified between Levels 1 and 2.</w:t>
      </w:r>
    </w:p>
    <w:p w:rsidR="00336793" w:rsidRPr="009F3991" w:rsidRDefault="00336793" w:rsidP="00DF0B96">
      <w:pPr>
        <w:pStyle w:val="Notes"/>
        <w:ind w:left="0" w:firstLine="0"/>
        <w:rPr>
          <w:sz w:val="8"/>
          <w:szCs w:val="8"/>
        </w:rPr>
      </w:pPr>
    </w:p>
    <w:p w:rsidR="00336793" w:rsidRDefault="00336793" w:rsidP="00DF0B96">
      <w:pPr>
        <w:rPr>
          <w:lang w:eastAsia="en-AU"/>
        </w:rPr>
      </w:pPr>
    </w:p>
    <w:p w:rsidR="00336793" w:rsidRPr="006A75A2" w:rsidRDefault="00336793" w:rsidP="00DF0B96">
      <w:pPr>
        <w:pStyle w:val="Heading5"/>
      </w:pPr>
      <w:r w:rsidRPr="006A75A2">
        <w:t>(e)</w:t>
      </w:r>
      <w:r w:rsidRPr="006A75A2">
        <w:tab/>
        <w:t xml:space="preserve">Description of </w:t>
      </w:r>
      <w:r w:rsidRPr="009F3991">
        <w:t>significant</w:t>
      </w:r>
      <w:r w:rsidRPr="006A75A2">
        <w:t xml:space="preserve"> unobservable inputs to Level 3 valuations </w:t>
      </w:r>
    </w:p>
    <w:p w:rsidR="00336793" w:rsidRPr="00A10A3B" w:rsidRDefault="00336793" w:rsidP="00DF0B96">
      <w:r w:rsidRPr="006A75A2">
        <w:rPr>
          <w:rFonts w:cs="Garamond"/>
          <w:szCs w:val="24"/>
          <w:lang w:eastAsia="en-AU"/>
        </w:rPr>
        <w:t>The description of the significant unobservable inputs to Level 3 assets measured at fair value can be seen below</w:t>
      </w:r>
      <w:r>
        <w:rPr>
          <w:rFonts w:cs="Garamond"/>
          <w:szCs w:val="24"/>
          <w:lang w:eastAsia="en-AU"/>
        </w:rPr>
        <w:t xml:space="preserve">. </w:t>
      </w:r>
      <w:r w:rsidRPr="006A75A2">
        <w:rPr>
          <w:rFonts w:cs="Garamond"/>
          <w:szCs w:val="24"/>
          <w:lang w:eastAsia="en-AU"/>
        </w:rPr>
        <w:t>The disclosure is based on the description associated with the significant asset balances within each of the different Level 3 asset classes as per Note 23(c)</w:t>
      </w:r>
      <w:r>
        <w:rPr>
          <w:rFonts w:cs="Garamond"/>
          <w:szCs w:val="24"/>
          <w:lang w:eastAsia="en-AU"/>
        </w:rPr>
        <w:t xml:space="preserve">. </w:t>
      </w:r>
      <w:r w:rsidRPr="006A75A2">
        <w:rPr>
          <w:rFonts w:cs="Garamond"/>
          <w:szCs w:val="24"/>
          <w:lang w:eastAsia="en-AU"/>
        </w:rPr>
        <w:t>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r>
        <w:t xml:space="preserve"> </w:t>
      </w:r>
    </w:p>
    <w:tbl>
      <w:tblPr>
        <w:tblW w:w="9637" w:type="dxa"/>
        <w:tblInd w:w="28" w:type="dxa"/>
        <w:tblLayout w:type="fixed"/>
        <w:tblCellMar>
          <w:left w:w="45" w:type="dxa"/>
          <w:right w:w="45" w:type="dxa"/>
        </w:tblCellMar>
        <w:tblLook w:val="0000" w:firstRow="0" w:lastRow="0" w:firstColumn="0" w:lastColumn="0" w:noHBand="0" w:noVBand="0"/>
      </w:tblPr>
      <w:tblGrid>
        <w:gridCol w:w="2357"/>
        <w:gridCol w:w="2070"/>
        <w:gridCol w:w="3150"/>
        <w:gridCol w:w="2060"/>
      </w:tblGrid>
      <w:tr w:rsidR="00336793" w:rsidRPr="00A10A3B" w:rsidTr="00FE3D87">
        <w:trPr>
          <w:tblHeader/>
        </w:trPr>
        <w:tc>
          <w:tcPr>
            <w:tcW w:w="2357" w:type="dxa"/>
            <w:tcBorders>
              <w:top w:val="single" w:sz="4" w:space="0" w:color="auto"/>
              <w:left w:val="single" w:sz="4" w:space="0" w:color="auto"/>
              <w:bottom w:val="single" w:sz="4" w:space="0" w:color="auto"/>
              <w:right w:val="nil"/>
            </w:tcBorders>
            <w:shd w:val="clear" w:color="000000" w:fill="000000"/>
            <w:vAlign w:val="bottom"/>
          </w:tcPr>
          <w:p w:rsidR="00336793" w:rsidRPr="00A10A3B" w:rsidRDefault="00336793" w:rsidP="00FE3D87">
            <w:pPr>
              <w:pStyle w:val="TabletextheadingLeft"/>
              <w:rPr>
                <w:rFonts w:eastAsiaTheme="minorEastAsia"/>
                <w:lang w:eastAsia="en-AU"/>
              </w:rPr>
            </w:pPr>
            <w:r w:rsidRPr="00A10A3B">
              <w:rPr>
                <w:rFonts w:eastAsiaTheme="minorEastAsia"/>
                <w:lang w:eastAsia="en-AU"/>
              </w:rPr>
              <w:t>Asset class</w:t>
            </w:r>
          </w:p>
        </w:tc>
        <w:tc>
          <w:tcPr>
            <w:tcW w:w="2070" w:type="dxa"/>
            <w:tcBorders>
              <w:top w:val="single" w:sz="4" w:space="0" w:color="auto"/>
              <w:left w:val="nil"/>
              <w:bottom w:val="single" w:sz="4" w:space="0" w:color="auto"/>
              <w:right w:val="nil"/>
            </w:tcBorders>
            <w:shd w:val="clear" w:color="000000" w:fill="000000"/>
            <w:vAlign w:val="bottom"/>
          </w:tcPr>
          <w:p w:rsidR="00336793" w:rsidRPr="00A10A3B" w:rsidRDefault="00336793" w:rsidP="00FE3D87">
            <w:pPr>
              <w:pStyle w:val="TabletextheadingLeft"/>
              <w:rPr>
                <w:rFonts w:eastAsiaTheme="minorEastAsia"/>
                <w:lang w:eastAsia="en-AU"/>
              </w:rPr>
            </w:pPr>
            <w:r w:rsidRPr="00A10A3B">
              <w:rPr>
                <w:rFonts w:eastAsiaTheme="minorEastAsia"/>
                <w:lang w:eastAsia="en-AU"/>
              </w:rPr>
              <w:t>Valuation technique</w:t>
            </w:r>
          </w:p>
        </w:tc>
        <w:tc>
          <w:tcPr>
            <w:tcW w:w="3150" w:type="dxa"/>
            <w:tcBorders>
              <w:top w:val="single" w:sz="4" w:space="0" w:color="auto"/>
              <w:left w:val="nil"/>
              <w:bottom w:val="single" w:sz="4" w:space="0" w:color="auto"/>
              <w:right w:val="nil"/>
            </w:tcBorders>
            <w:shd w:val="clear" w:color="000000" w:fill="000000"/>
            <w:vAlign w:val="bottom"/>
          </w:tcPr>
          <w:p w:rsidR="00336793" w:rsidRPr="00A10A3B" w:rsidRDefault="00336793" w:rsidP="00FE3D87">
            <w:pPr>
              <w:pStyle w:val="TabletextheadingLeft"/>
              <w:rPr>
                <w:rFonts w:eastAsiaTheme="minorEastAsia"/>
                <w:lang w:eastAsia="en-AU"/>
              </w:rPr>
            </w:pPr>
            <w:r w:rsidRPr="00A10A3B">
              <w:rPr>
                <w:rFonts w:eastAsiaTheme="minorEastAsia"/>
                <w:lang w:eastAsia="en-AU"/>
              </w:rPr>
              <w:t>Significant unobservable input</w:t>
            </w:r>
          </w:p>
        </w:tc>
        <w:tc>
          <w:tcPr>
            <w:tcW w:w="2060" w:type="dxa"/>
            <w:tcBorders>
              <w:top w:val="single" w:sz="4" w:space="0" w:color="auto"/>
              <w:left w:val="nil"/>
              <w:bottom w:val="single" w:sz="4" w:space="0" w:color="auto"/>
              <w:right w:val="single" w:sz="4" w:space="0" w:color="auto"/>
            </w:tcBorders>
            <w:shd w:val="clear" w:color="000000" w:fill="000000"/>
            <w:vAlign w:val="bottom"/>
          </w:tcPr>
          <w:p w:rsidR="00336793" w:rsidRPr="00A10A3B" w:rsidRDefault="00336793" w:rsidP="00FE3D87">
            <w:pPr>
              <w:pStyle w:val="TabletextheadingLeft"/>
              <w:rPr>
                <w:rFonts w:eastAsiaTheme="minorEastAsia"/>
                <w:lang w:eastAsia="en-AU"/>
              </w:rPr>
            </w:pPr>
            <w:r w:rsidRPr="00A10A3B">
              <w:rPr>
                <w:rFonts w:eastAsiaTheme="minorEastAsia"/>
                <w:lang w:eastAsia="en-AU"/>
              </w:rPr>
              <w:t>Range</w:t>
            </w:r>
          </w:p>
        </w:tc>
      </w:tr>
      <w:tr w:rsidR="00336793" w:rsidRPr="00A10A3B" w:rsidTr="00FE3D87">
        <w:tc>
          <w:tcPr>
            <w:tcW w:w="2357" w:type="dxa"/>
            <w:tcBorders>
              <w:top w:val="single" w:sz="4" w:space="0" w:color="auto"/>
              <w:left w:val="nil"/>
              <w:right w:val="nil"/>
            </w:tcBorders>
            <w:shd w:val="clear" w:color="auto" w:fill="auto"/>
          </w:tcPr>
          <w:p w:rsidR="00336793" w:rsidRPr="00A10A3B" w:rsidRDefault="00336793" w:rsidP="00DF0B96">
            <w:pPr>
              <w:autoSpaceDE w:val="0"/>
              <w:autoSpaceDN w:val="0"/>
              <w:adjustRightInd w:val="0"/>
              <w:spacing w:after="0"/>
              <w:rPr>
                <w:rFonts w:ascii="Calibri" w:eastAsiaTheme="minorEastAsia" w:hAnsi="Calibri" w:cs="Calibri"/>
                <w:b/>
                <w:bCs/>
                <w:sz w:val="21"/>
                <w:lang w:eastAsia="en-AU"/>
              </w:rPr>
            </w:pPr>
            <w:r>
              <w:rPr>
                <w:rFonts w:ascii="Calibri" w:eastAsiaTheme="minorEastAsia" w:hAnsi="Calibri" w:cs="Calibri"/>
                <w:b/>
                <w:bCs/>
                <w:sz w:val="21"/>
                <w:lang w:eastAsia="en-AU"/>
              </w:rPr>
              <w:t>Investment p</w:t>
            </w:r>
            <w:r w:rsidRPr="00A10A3B">
              <w:rPr>
                <w:rFonts w:ascii="Calibri" w:eastAsiaTheme="minorEastAsia" w:hAnsi="Calibri" w:cs="Calibri"/>
                <w:b/>
                <w:bCs/>
                <w:sz w:val="21"/>
                <w:lang w:eastAsia="en-AU"/>
              </w:rPr>
              <w:t>roperties</w:t>
            </w:r>
          </w:p>
        </w:tc>
        <w:tc>
          <w:tcPr>
            <w:tcW w:w="2070" w:type="dxa"/>
            <w:tcBorders>
              <w:top w:val="single" w:sz="4" w:space="0" w:color="auto"/>
              <w:left w:val="nil"/>
              <w:right w:val="nil"/>
            </w:tcBorders>
            <w:shd w:val="clear" w:color="auto" w:fill="auto"/>
          </w:tcPr>
          <w:p w:rsidR="00336793" w:rsidRPr="00A10A3B" w:rsidRDefault="00336793" w:rsidP="00FE3D87">
            <w:pPr>
              <w:pStyle w:val="Tabletext"/>
              <w:rPr>
                <w:rFonts w:eastAsiaTheme="minorEastAsia"/>
                <w:lang w:eastAsia="en-AU"/>
              </w:rPr>
            </w:pPr>
            <w:r>
              <w:rPr>
                <w:rFonts w:eastAsiaTheme="minorEastAsia"/>
                <w:lang w:eastAsia="en-AU"/>
              </w:rPr>
              <w:t>Income a</w:t>
            </w:r>
            <w:r w:rsidRPr="00A10A3B">
              <w:rPr>
                <w:rFonts w:eastAsiaTheme="minorEastAsia"/>
                <w:lang w:eastAsia="en-AU"/>
              </w:rPr>
              <w:t>pproach</w:t>
            </w:r>
          </w:p>
        </w:tc>
        <w:tc>
          <w:tcPr>
            <w:tcW w:w="3150" w:type="dxa"/>
            <w:tcBorders>
              <w:top w:val="single" w:sz="4" w:space="0" w:color="auto"/>
              <w:left w:val="nil"/>
              <w:right w:val="nil"/>
            </w:tcBorders>
            <w:shd w:val="clear" w:color="auto" w:fill="auto"/>
          </w:tcPr>
          <w:p w:rsidR="00336793" w:rsidRPr="00A10A3B" w:rsidRDefault="00336793" w:rsidP="00FE3D87">
            <w:pPr>
              <w:pStyle w:val="Tabletext"/>
              <w:rPr>
                <w:rFonts w:eastAsiaTheme="minorEastAsia"/>
                <w:lang w:eastAsia="en-AU"/>
              </w:rPr>
            </w:pPr>
            <w:r w:rsidRPr="00A10A3B">
              <w:rPr>
                <w:rFonts w:eastAsiaTheme="minorEastAsia"/>
                <w:lang w:eastAsia="en-AU"/>
              </w:rPr>
              <w:t>Applied value per square metre</w:t>
            </w:r>
          </w:p>
        </w:tc>
        <w:tc>
          <w:tcPr>
            <w:tcW w:w="2060" w:type="dxa"/>
            <w:tcBorders>
              <w:top w:val="single" w:sz="4" w:space="0" w:color="auto"/>
              <w:left w:val="nil"/>
              <w:right w:val="nil"/>
            </w:tcBorders>
            <w:shd w:val="clear" w:color="auto" w:fill="auto"/>
          </w:tcPr>
          <w:p w:rsidR="00336793" w:rsidRPr="00A10A3B" w:rsidRDefault="00336793" w:rsidP="00FE3D87">
            <w:pPr>
              <w:pStyle w:val="Tabletext"/>
              <w:rPr>
                <w:rFonts w:eastAsiaTheme="minorEastAsia"/>
                <w:lang w:eastAsia="en-AU"/>
              </w:rPr>
            </w:pPr>
            <w:r w:rsidRPr="00A10A3B">
              <w:rPr>
                <w:rFonts w:eastAsiaTheme="minorEastAsia"/>
                <w:lang w:eastAsia="en-AU"/>
              </w:rPr>
              <w:t>13</w:t>
            </w:r>
            <w:r>
              <w:rPr>
                <w:rFonts w:eastAsiaTheme="minorEastAsia"/>
                <w:lang w:eastAsia="en-AU"/>
              </w:rPr>
              <w:noBreakHyphen/>
            </w:r>
            <w:r w:rsidRPr="00A10A3B">
              <w:rPr>
                <w:rFonts w:eastAsiaTheme="minorEastAsia"/>
                <w:lang w:eastAsia="en-AU"/>
              </w:rPr>
              <w:t xml:space="preserve">38% discount rate </w:t>
            </w:r>
          </w:p>
        </w:tc>
      </w:tr>
      <w:tr w:rsidR="00336793" w:rsidRPr="00A10A3B" w:rsidTr="00FE3D87">
        <w:tc>
          <w:tcPr>
            <w:tcW w:w="2357" w:type="dxa"/>
            <w:tcBorders>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1"/>
                <w:lang w:eastAsia="en-AU"/>
              </w:rPr>
            </w:pPr>
            <w:r>
              <w:rPr>
                <w:rFonts w:ascii="Calibri" w:eastAsiaTheme="minorEastAsia" w:hAnsi="Calibri" w:cs="Calibri"/>
                <w:b/>
                <w:bCs/>
                <w:sz w:val="21"/>
                <w:lang w:eastAsia="en-AU"/>
              </w:rPr>
              <w:t>Biological assets</w:t>
            </w:r>
          </w:p>
        </w:tc>
        <w:tc>
          <w:tcPr>
            <w:tcW w:w="2070" w:type="dxa"/>
            <w:tcBorders>
              <w:left w:val="nil"/>
              <w:bottom w:val="single" w:sz="12" w:space="0" w:color="000000"/>
              <w:right w:val="nil"/>
            </w:tcBorders>
            <w:shd w:val="solid" w:color="FFFFFF" w:fill="auto"/>
          </w:tcPr>
          <w:p w:rsidR="00336793" w:rsidRPr="00A10A3B" w:rsidRDefault="00336793" w:rsidP="00FE3D87">
            <w:pPr>
              <w:pStyle w:val="Tabletext"/>
              <w:rPr>
                <w:rFonts w:eastAsiaTheme="minorEastAsia"/>
                <w:lang w:eastAsia="en-AU"/>
              </w:rPr>
            </w:pPr>
            <w:r>
              <w:rPr>
                <w:rFonts w:eastAsiaTheme="minorEastAsia"/>
                <w:lang w:eastAsia="en-AU"/>
              </w:rPr>
              <w:t>Income a</w:t>
            </w:r>
            <w:r w:rsidRPr="00A10A3B">
              <w:rPr>
                <w:rFonts w:eastAsiaTheme="minorEastAsia"/>
                <w:lang w:eastAsia="en-AU"/>
              </w:rPr>
              <w:t>pproach</w:t>
            </w:r>
          </w:p>
        </w:tc>
        <w:tc>
          <w:tcPr>
            <w:tcW w:w="3150" w:type="dxa"/>
            <w:tcBorders>
              <w:left w:val="nil"/>
              <w:bottom w:val="single" w:sz="12" w:space="0" w:color="000000"/>
              <w:right w:val="nil"/>
            </w:tcBorders>
            <w:shd w:val="solid" w:color="FFFFFF" w:fill="auto"/>
          </w:tcPr>
          <w:p w:rsidR="00336793" w:rsidRPr="00A10A3B" w:rsidRDefault="00336793" w:rsidP="00FE3D87">
            <w:pPr>
              <w:pStyle w:val="Tabletext"/>
              <w:rPr>
                <w:rFonts w:eastAsiaTheme="minorEastAsia"/>
                <w:lang w:eastAsia="en-AU"/>
              </w:rPr>
            </w:pPr>
            <w:r>
              <w:rPr>
                <w:rFonts w:eastAsiaTheme="minorEastAsia"/>
                <w:lang w:eastAsia="en-AU"/>
              </w:rPr>
              <w:t>Discount rate</w:t>
            </w:r>
          </w:p>
        </w:tc>
        <w:tc>
          <w:tcPr>
            <w:tcW w:w="2060" w:type="dxa"/>
            <w:tcBorders>
              <w:left w:val="nil"/>
              <w:bottom w:val="single" w:sz="12" w:space="0" w:color="000000"/>
              <w:right w:val="nil"/>
            </w:tcBorders>
            <w:shd w:val="solid" w:color="FFFFFF" w:fill="auto"/>
          </w:tcPr>
          <w:p w:rsidR="00336793" w:rsidRPr="00A10A3B" w:rsidRDefault="00336793" w:rsidP="00FE3D87">
            <w:pPr>
              <w:pStyle w:val="Tabletext"/>
              <w:rPr>
                <w:rFonts w:eastAsiaTheme="minorEastAsia"/>
                <w:lang w:eastAsia="en-AU"/>
              </w:rPr>
            </w:pPr>
            <w:r>
              <w:rPr>
                <w:rFonts w:eastAsiaTheme="minorEastAsia"/>
                <w:lang w:eastAsia="en-AU"/>
              </w:rPr>
              <w:t>7.98</w:t>
            </w:r>
            <w:r w:rsidRPr="00A10A3B">
              <w:rPr>
                <w:rFonts w:eastAsiaTheme="minorEastAsia"/>
                <w:lang w:eastAsia="en-AU"/>
              </w:rPr>
              <w:t xml:space="preserve">% discount rate </w:t>
            </w:r>
          </w:p>
        </w:tc>
      </w:tr>
    </w:tbl>
    <w:p w:rsidR="00336793" w:rsidRPr="006A75A2" w:rsidRDefault="00336793" w:rsidP="00DF0B96">
      <w:pPr>
        <w:pStyle w:val="Notes"/>
      </w:pPr>
      <w:r w:rsidRPr="006A75A2">
        <w:br w:type="page"/>
      </w:r>
    </w:p>
    <w:p w:rsidR="00336793" w:rsidRPr="006A75A2" w:rsidRDefault="00336793" w:rsidP="00DF0B96">
      <w:pPr>
        <w:pStyle w:val="Heading2Notes"/>
        <w:rPr>
          <w:kern w:val="0"/>
        </w:rPr>
      </w:pPr>
      <w:bookmarkStart w:id="82" w:name="_Toc400040271"/>
      <w:bookmarkStart w:id="83" w:name="_Toc433984507"/>
      <w:r w:rsidRPr="006A75A2">
        <w:rPr>
          <w:kern w:val="0"/>
        </w:rPr>
        <w:lastRenderedPageBreak/>
        <w:t>Note 24:</w:t>
      </w:r>
      <w:r w:rsidRPr="006A75A2">
        <w:rPr>
          <w:kern w:val="0"/>
        </w:rPr>
        <w:tab/>
        <w:t>Assets classified by government purpose classification and department</w:t>
      </w:r>
      <w:bookmarkEnd w:id="82"/>
      <w:bookmarkEnd w:id="83"/>
    </w:p>
    <w:p w:rsidR="00336793" w:rsidRPr="006A75A2" w:rsidRDefault="00336793" w:rsidP="00DF0B96">
      <w:pPr>
        <w:pStyle w:val="Heading5"/>
        <w:rPr>
          <w:vertAlign w:val="superscript"/>
        </w:rPr>
      </w:pPr>
      <w:r w:rsidRPr="006A75A2">
        <w:t>(</w:t>
      </w:r>
      <w:r>
        <w:t>a</w:t>
      </w:r>
      <w:r w:rsidRPr="006A75A2">
        <w:t>)</w:t>
      </w:r>
      <w:r w:rsidRPr="006A75A2">
        <w:tab/>
        <w:t>Total assets by government purpose classification</w:t>
      </w:r>
      <w:r w:rsidRPr="006A75A2">
        <w:rPr>
          <w:vertAlign w:val="superscript"/>
        </w:rPr>
        <w:t>(a)</w:t>
      </w:r>
    </w:p>
    <w:p w:rsidR="00336793" w:rsidRPr="00941F2A" w:rsidRDefault="00336793" w:rsidP="00DF0B96">
      <w:pPr>
        <w:pStyle w:val="million"/>
        <w:rPr>
          <w:rFonts w:ascii="Times New Roman" w:hAnsi="Times New Roman"/>
        </w:rPr>
      </w:pPr>
      <w:r w:rsidRPr="006A75A2">
        <w:t>($</w:t>
      </w:r>
      <w:r>
        <w:t> million)</w:t>
      </w:r>
    </w:p>
    <w:tbl>
      <w:tblPr>
        <w:tblW w:w="9656" w:type="dxa"/>
        <w:tblInd w:w="28" w:type="dxa"/>
        <w:tblLayout w:type="fixed"/>
        <w:tblCellMar>
          <w:left w:w="45" w:type="dxa"/>
          <w:right w:w="45" w:type="dxa"/>
        </w:tblCellMar>
        <w:tblLook w:val="0000" w:firstRow="0" w:lastRow="0" w:firstColumn="0" w:lastColumn="0" w:noHBand="0" w:noVBand="0"/>
      </w:tblPr>
      <w:tblGrid>
        <w:gridCol w:w="3553"/>
        <w:gridCol w:w="292"/>
        <w:gridCol w:w="105"/>
        <w:gridCol w:w="1128"/>
        <w:gridCol w:w="1526"/>
        <w:gridCol w:w="236"/>
        <w:gridCol w:w="1290"/>
        <w:gridCol w:w="1526"/>
      </w:tblGrid>
      <w:tr w:rsidR="00336793" w:rsidRPr="00E96950" w:rsidTr="00DF0B96">
        <w:tc>
          <w:tcPr>
            <w:tcW w:w="3553" w:type="dxa"/>
            <w:tcBorders>
              <w:top w:val="single" w:sz="6" w:space="0" w:color="auto"/>
              <w:left w:val="single" w:sz="6" w:space="0" w:color="auto"/>
              <w:bottom w:val="nil"/>
              <w:right w:val="nil"/>
            </w:tcBorders>
            <w:shd w:val="clear" w:color="000000" w:fill="000000"/>
          </w:tcPr>
          <w:p w:rsidR="00336793" w:rsidRPr="00E96950" w:rsidRDefault="00336793" w:rsidP="00DF0B96">
            <w:pPr>
              <w:pStyle w:val="Tabletext"/>
              <w:rPr>
                <w:rFonts w:eastAsiaTheme="minorEastAsia"/>
                <w:lang w:eastAsia="en-AU"/>
              </w:rPr>
            </w:pPr>
            <w:r w:rsidRPr="00E96950">
              <w:rPr>
                <w:rFonts w:eastAsiaTheme="minorEastAsia"/>
                <w:lang w:eastAsia="en-AU"/>
              </w:rPr>
              <w:t xml:space="preserve"> </w:t>
            </w:r>
          </w:p>
        </w:tc>
        <w:tc>
          <w:tcPr>
            <w:tcW w:w="292" w:type="dxa"/>
            <w:tcBorders>
              <w:top w:val="single" w:sz="6" w:space="0" w:color="auto"/>
              <w:left w:val="nil"/>
              <w:bottom w:val="nil"/>
              <w:right w:val="nil"/>
            </w:tcBorders>
            <w:shd w:val="clear" w:color="000000" w:fill="000000"/>
          </w:tcPr>
          <w:p w:rsidR="00336793" w:rsidRPr="00E96950" w:rsidRDefault="00336793" w:rsidP="00DF0B96">
            <w:pPr>
              <w:pStyle w:val="TabletextheadingCentred"/>
              <w:rPr>
                <w:rFonts w:eastAsiaTheme="minorEastAsia"/>
                <w:lang w:eastAsia="en-AU"/>
              </w:rPr>
            </w:pPr>
            <w:r w:rsidRPr="00E96950">
              <w:rPr>
                <w:rFonts w:eastAsiaTheme="minorEastAsia"/>
                <w:lang w:eastAsia="en-AU"/>
              </w:rPr>
              <w:t xml:space="preserve"> </w:t>
            </w:r>
          </w:p>
        </w:tc>
        <w:tc>
          <w:tcPr>
            <w:tcW w:w="2759" w:type="dxa"/>
            <w:gridSpan w:val="3"/>
            <w:tcBorders>
              <w:top w:val="single" w:sz="6" w:space="0" w:color="auto"/>
              <w:left w:val="nil"/>
              <w:bottom w:val="nil"/>
              <w:right w:val="nil"/>
            </w:tcBorders>
            <w:shd w:val="clear" w:color="000000" w:fill="000000"/>
          </w:tcPr>
          <w:p w:rsidR="00336793" w:rsidRPr="00E96950" w:rsidRDefault="00336793" w:rsidP="00DF0B96">
            <w:pPr>
              <w:pStyle w:val="TabletextheadingCentred"/>
              <w:rPr>
                <w:rFonts w:eastAsiaTheme="minorEastAsia"/>
                <w:lang w:eastAsia="en-AU"/>
              </w:rPr>
            </w:pPr>
          </w:p>
          <w:p w:rsidR="00336793" w:rsidRPr="00E96950" w:rsidRDefault="00336793" w:rsidP="00DF0B96">
            <w:pPr>
              <w:pStyle w:val="TabletextheadingCentred"/>
              <w:rPr>
                <w:rFonts w:eastAsiaTheme="minorEastAsia"/>
                <w:lang w:eastAsia="en-AU"/>
              </w:rPr>
            </w:pPr>
            <w:r w:rsidRPr="00E96950">
              <w:rPr>
                <w:rFonts w:eastAsiaTheme="minorEastAsia"/>
                <w:lang w:eastAsia="en-AU"/>
              </w:rPr>
              <w:t>State of Victoria</w:t>
            </w:r>
          </w:p>
        </w:tc>
        <w:tc>
          <w:tcPr>
            <w:tcW w:w="236" w:type="dxa"/>
            <w:tcBorders>
              <w:top w:val="single" w:sz="6" w:space="0" w:color="auto"/>
              <w:left w:val="nil"/>
              <w:bottom w:val="nil"/>
              <w:right w:val="nil"/>
            </w:tcBorders>
            <w:shd w:val="clear" w:color="000000" w:fill="000000"/>
          </w:tcPr>
          <w:p w:rsidR="00336793" w:rsidRPr="00E96950" w:rsidRDefault="00336793" w:rsidP="00DF0B96">
            <w:pPr>
              <w:pStyle w:val="TabletextheadingCentred"/>
              <w:rPr>
                <w:rFonts w:eastAsiaTheme="minorEastAsia"/>
                <w:lang w:eastAsia="en-AU"/>
              </w:rPr>
            </w:pPr>
            <w:r w:rsidRPr="00E96950">
              <w:rPr>
                <w:rFonts w:eastAsiaTheme="minorEastAsia"/>
                <w:lang w:eastAsia="en-AU"/>
              </w:rPr>
              <w:t xml:space="preserve"> </w:t>
            </w:r>
          </w:p>
        </w:tc>
        <w:tc>
          <w:tcPr>
            <w:tcW w:w="2816" w:type="dxa"/>
            <w:gridSpan w:val="2"/>
            <w:tcBorders>
              <w:top w:val="single" w:sz="6" w:space="0" w:color="auto"/>
              <w:left w:val="nil"/>
              <w:bottom w:val="nil"/>
              <w:right w:val="single" w:sz="6" w:space="0" w:color="auto"/>
            </w:tcBorders>
            <w:shd w:val="clear" w:color="000000" w:fill="000000"/>
          </w:tcPr>
          <w:p w:rsidR="00336793" w:rsidRPr="00E96950" w:rsidRDefault="00336793" w:rsidP="00DF0B96">
            <w:pPr>
              <w:pStyle w:val="TabletextheadingCentred"/>
              <w:rPr>
                <w:rFonts w:eastAsiaTheme="minorEastAsia"/>
                <w:lang w:eastAsia="en-AU"/>
              </w:rPr>
            </w:pPr>
            <w:r w:rsidRPr="00E96950">
              <w:rPr>
                <w:rFonts w:eastAsiaTheme="minorEastAsia"/>
                <w:lang w:eastAsia="en-AU"/>
              </w:rPr>
              <w:t xml:space="preserve">General </w:t>
            </w:r>
          </w:p>
          <w:p w:rsidR="00336793" w:rsidRPr="00E96950" w:rsidRDefault="00336793" w:rsidP="00DF0B96">
            <w:pPr>
              <w:pStyle w:val="TabletextheadingCentred"/>
              <w:rPr>
                <w:rFonts w:eastAsiaTheme="minorEastAsia"/>
                <w:lang w:eastAsia="en-AU"/>
              </w:rPr>
            </w:pPr>
            <w:r w:rsidRPr="00E96950">
              <w:rPr>
                <w:rFonts w:eastAsiaTheme="minorEastAsia"/>
                <w:lang w:eastAsia="en-AU"/>
              </w:rPr>
              <w:t>government sector</w:t>
            </w:r>
          </w:p>
        </w:tc>
      </w:tr>
      <w:tr w:rsidR="00336793" w:rsidRPr="00E96950" w:rsidTr="00DF0B96">
        <w:tc>
          <w:tcPr>
            <w:tcW w:w="3553" w:type="dxa"/>
            <w:tcBorders>
              <w:top w:val="nil"/>
              <w:left w:val="single" w:sz="6" w:space="0" w:color="auto"/>
              <w:bottom w:val="single" w:sz="6" w:space="0" w:color="auto"/>
              <w:right w:val="nil"/>
            </w:tcBorders>
            <w:shd w:val="clear" w:color="000000" w:fill="000000"/>
          </w:tcPr>
          <w:p w:rsidR="00336793" w:rsidRPr="00E96950" w:rsidRDefault="00336793" w:rsidP="00DF0B96">
            <w:pPr>
              <w:pStyle w:val="Tabletext"/>
              <w:rPr>
                <w:rFonts w:eastAsiaTheme="minorEastAsia"/>
                <w:lang w:eastAsia="en-AU"/>
              </w:rPr>
            </w:pPr>
            <w:r w:rsidRPr="00E96950">
              <w:rPr>
                <w:rFonts w:eastAsiaTheme="minorEastAsia"/>
                <w:lang w:eastAsia="en-AU"/>
              </w:rPr>
              <w:t xml:space="preserve"> </w:t>
            </w:r>
          </w:p>
        </w:tc>
        <w:tc>
          <w:tcPr>
            <w:tcW w:w="1525" w:type="dxa"/>
            <w:gridSpan w:val="3"/>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color w:val="FFFFFF"/>
                <w:lang w:eastAsia="en-AU"/>
              </w:rPr>
            </w:pPr>
            <w:r w:rsidRPr="00E96950">
              <w:rPr>
                <w:rFonts w:eastAsiaTheme="minorEastAsia"/>
                <w:color w:val="FFFFFF"/>
                <w:lang w:eastAsia="en-AU"/>
              </w:rPr>
              <w:t>2015</w:t>
            </w:r>
          </w:p>
        </w:tc>
        <w:tc>
          <w:tcPr>
            <w:tcW w:w="1526" w:type="dxa"/>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color w:val="FFFFFF"/>
                <w:lang w:eastAsia="en-AU"/>
              </w:rPr>
            </w:pPr>
            <w:r w:rsidRPr="00E96950">
              <w:rPr>
                <w:rFonts w:eastAsiaTheme="minorEastAsia"/>
                <w:color w:val="FFFFFF"/>
                <w:lang w:eastAsia="en-AU"/>
              </w:rPr>
              <w:t>2014</w:t>
            </w:r>
          </w:p>
        </w:tc>
        <w:tc>
          <w:tcPr>
            <w:tcW w:w="1526" w:type="dxa"/>
            <w:gridSpan w:val="2"/>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color w:val="FFFFFF"/>
                <w:lang w:eastAsia="en-AU"/>
              </w:rPr>
            </w:pPr>
            <w:r w:rsidRPr="00E96950">
              <w:rPr>
                <w:rFonts w:eastAsiaTheme="minorEastAsia"/>
                <w:color w:val="FFFFFF"/>
                <w:lang w:eastAsia="en-AU"/>
              </w:rPr>
              <w:t>2015</w:t>
            </w:r>
          </w:p>
        </w:tc>
        <w:tc>
          <w:tcPr>
            <w:tcW w:w="1526" w:type="dxa"/>
            <w:tcBorders>
              <w:top w:val="nil"/>
              <w:left w:val="nil"/>
              <w:bottom w:val="single" w:sz="6" w:space="0" w:color="auto"/>
              <w:right w:val="single" w:sz="6" w:space="0" w:color="auto"/>
            </w:tcBorders>
            <w:shd w:val="clear" w:color="000000" w:fill="000000"/>
          </w:tcPr>
          <w:p w:rsidR="00336793" w:rsidRPr="00E96950" w:rsidRDefault="00336793" w:rsidP="00DF0B96">
            <w:pPr>
              <w:pStyle w:val="Tabletextheading"/>
              <w:rPr>
                <w:rFonts w:eastAsiaTheme="minorEastAsia"/>
                <w:color w:val="FFFFFF"/>
                <w:lang w:eastAsia="en-AU"/>
              </w:rPr>
            </w:pPr>
            <w:r w:rsidRPr="00E96950">
              <w:rPr>
                <w:rFonts w:eastAsiaTheme="minorEastAsia"/>
                <w:color w:val="FFFFFF"/>
                <w:lang w:eastAsia="en-AU"/>
              </w:rPr>
              <w:t>2014</w:t>
            </w:r>
          </w:p>
        </w:tc>
      </w:tr>
      <w:tr w:rsidR="00336793" w:rsidRPr="00E96950" w:rsidTr="00DF0B96">
        <w:tc>
          <w:tcPr>
            <w:tcW w:w="3553" w:type="dxa"/>
            <w:tcBorders>
              <w:top w:val="single" w:sz="6" w:space="0" w:color="auto"/>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General public services</w:t>
            </w:r>
          </w:p>
        </w:tc>
        <w:tc>
          <w:tcPr>
            <w:tcW w:w="1525" w:type="dxa"/>
            <w:gridSpan w:val="3"/>
            <w:tcBorders>
              <w:top w:val="single" w:sz="6" w:space="0" w:color="auto"/>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944.9</w:t>
            </w:r>
          </w:p>
        </w:tc>
        <w:tc>
          <w:tcPr>
            <w:tcW w:w="1526" w:type="dxa"/>
            <w:tcBorders>
              <w:top w:val="single" w:sz="6" w:space="0" w:color="auto"/>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1 262.6</w:t>
            </w:r>
          </w:p>
        </w:tc>
        <w:tc>
          <w:tcPr>
            <w:tcW w:w="1526" w:type="dxa"/>
            <w:gridSpan w:val="2"/>
            <w:tcBorders>
              <w:top w:val="single" w:sz="6" w:space="0" w:color="auto"/>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1 024.8</w:t>
            </w:r>
          </w:p>
        </w:tc>
        <w:tc>
          <w:tcPr>
            <w:tcW w:w="1526" w:type="dxa"/>
            <w:tcBorders>
              <w:top w:val="single" w:sz="6" w:space="0" w:color="auto"/>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1 168.4</w:t>
            </w:r>
          </w:p>
        </w:tc>
      </w:tr>
      <w:tr w:rsidR="00336793" w:rsidRPr="00E96950" w:rsidTr="00DF0B96">
        <w:tc>
          <w:tcPr>
            <w:tcW w:w="3553" w:type="dxa"/>
            <w:tcBorders>
              <w:top w:val="nil"/>
              <w:left w:val="nil"/>
              <w:bottom w:val="nil"/>
              <w:right w:val="nil"/>
            </w:tcBorders>
          </w:tcPr>
          <w:p w:rsidR="00336793" w:rsidRPr="00E96950" w:rsidRDefault="00336793" w:rsidP="00DF0B96">
            <w:pPr>
              <w:pStyle w:val="Tabletext"/>
              <w:rPr>
                <w:rFonts w:eastAsiaTheme="minorEastAsia" w:cs="Calibri"/>
                <w:color w:val="000000"/>
                <w:vertAlign w:val="superscript"/>
                <w:lang w:eastAsia="en-AU"/>
              </w:rPr>
            </w:pPr>
            <w:r w:rsidRPr="00E96950">
              <w:rPr>
                <w:rFonts w:eastAsiaTheme="minorEastAsia"/>
                <w:lang w:eastAsia="en-AU"/>
              </w:rPr>
              <w:t>Public order and safety</w:t>
            </w:r>
            <w:r w:rsidRPr="00E96950">
              <w:rPr>
                <w:rFonts w:eastAsiaTheme="minorEastAsia"/>
                <w:vertAlign w:val="superscript"/>
                <w:lang w:eastAsia="en-AU"/>
              </w:rPr>
              <w:t xml:space="preserve"> (b</w:t>
            </w:r>
            <w:r w:rsidRPr="00E96950">
              <w:rPr>
                <w:rFonts w:eastAsiaTheme="minorEastAsia" w:cs="Calibri"/>
                <w:color w:val="000000"/>
                <w:vertAlign w:val="superscript"/>
                <w:lang w:eastAsia="en-AU"/>
              </w:rPr>
              <w:t>)</w:t>
            </w:r>
          </w:p>
        </w:tc>
        <w:tc>
          <w:tcPr>
            <w:tcW w:w="1525" w:type="dxa"/>
            <w:gridSpan w:val="3"/>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8 606.1</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8 375.1</w:t>
            </w:r>
          </w:p>
        </w:tc>
        <w:tc>
          <w:tcPr>
            <w:tcW w:w="1526"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8 606.1</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8 375.1</w:t>
            </w:r>
          </w:p>
        </w:tc>
      </w:tr>
      <w:tr w:rsidR="00336793" w:rsidRPr="00E96950" w:rsidTr="00DF0B96">
        <w:tc>
          <w:tcPr>
            <w:tcW w:w="3553" w:type="dxa"/>
            <w:tcBorders>
              <w:top w:val="nil"/>
              <w:left w:val="nil"/>
              <w:bottom w:val="nil"/>
              <w:right w:val="nil"/>
            </w:tcBorders>
          </w:tcPr>
          <w:p w:rsidR="00336793" w:rsidRPr="00E96950" w:rsidRDefault="00336793" w:rsidP="00DF0B96">
            <w:pPr>
              <w:pStyle w:val="Tabletext"/>
              <w:rPr>
                <w:rFonts w:eastAsiaTheme="minorEastAsia"/>
                <w:vertAlign w:val="superscript"/>
                <w:lang w:eastAsia="en-AU"/>
              </w:rPr>
            </w:pPr>
            <w:r w:rsidRPr="00E96950">
              <w:rPr>
                <w:rFonts w:eastAsiaTheme="minorEastAsia"/>
                <w:lang w:eastAsia="en-AU"/>
              </w:rPr>
              <w:t>Education</w:t>
            </w:r>
            <w:r w:rsidRPr="00E96950">
              <w:rPr>
                <w:rFonts w:eastAsiaTheme="minorEastAsia"/>
                <w:vertAlign w:val="superscript"/>
                <w:lang w:eastAsia="en-AU"/>
              </w:rPr>
              <w:t xml:space="preserve"> (b)</w:t>
            </w:r>
          </w:p>
        </w:tc>
        <w:tc>
          <w:tcPr>
            <w:tcW w:w="1525" w:type="dxa"/>
            <w:gridSpan w:val="3"/>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19 040.8</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18 366.7</w:t>
            </w:r>
          </w:p>
        </w:tc>
        <w:tc>
          <w:tcPr>
            <w:tcW w:w="1526"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19 040.8</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18 366.7</w:t>
            </w:r>
          </w:p>
        </w:tc>
      </w:tr>
      <w:tr w:rsidR="00336793" w:rsidRPr="00E96950" w:rsidTr="00DF0B96">
        <w:tc>
          <w:tcPr>
            <w:tcW w:w="3553"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Health</w:t>
            </w:r>
          </w:p>
        </w:tc>
        <w:tc>
          <w:tcPr>
            <w:tcW w:w="1525" w:type="dxa"/>
            <w:gridSpan w:val="3"/>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12 477.3</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12 865.5</w:t>
            </w:r>
          </w:p>
        </w:tc>
        <w:tc>
          <w:tcPr>
            <w:tcW w:w="1526"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12 457.4</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12 845.2</w:t>
            </w:r>
          </w:p>
        </w:tc>
      </w:tr>
      <w:tr w:rsidR="00336793" w:rsidRPr="00E96950" w:rsidTr="00DF0B96">
        <w:tc>
          <w:tcPr>
            <w:tcW w:w="3553"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 xml:space="preserve">Social security and welfare </w:t>
            </w:r>
          </w:p>
        </w:tc>
        <w:tc>
          <w:tcPr>
            <w:tcW w:w="1525" w:type="dxa"/>
            <w:gridSpan w:val="3"/>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1 838.9</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1 058.0</w:t>
            </w:r>
          </w:p>
        </w:tc>
        <w:tc>
          <w:tcPr>
            <w:tcW w:w="1526"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1 838.9</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1 058.0</w:t>
            </w:r>
          </w:p>
        </w:tc>
      </w:tr>
      <w:tr w:rsidR="00336793" w:rsidRPr="00E96950" w:rsidTr="00DF0B96">
        <w:tc>
          <w:tcPr>
            <w:tcW w:w="3553" w:type="dxa"/>
            <w:tcBorders>
              <w:top w:val="nil"/>
              <w:left w:val="nil"/>
              <w:bottom w:val="nil"/>
              <w:right w:val="nil"/>
            </w:tcBorders>
          </w:tcPr>
          <w:p w:rsidR="00336793" w:rsidRPr="00E96950" w:rsidRDefault="00336793" w:rsidP="00DF0B96">
            <w:pPr>
              <w:pStyle w:val="Tabletext"/>
              <w:rPr>
                <w:rFonts w:eastAsiaTheme="minorEastAsia" w:cs="Calibri"/>
                <w:color w:val="000000"/>
                <w:vertAlign w:val="superscript"/>
                <w:lang w:eastAsia="en-AU"/>
              </w:rPr>
            </w:pPr>
            <w:r w:rsidRPr="00E96950">
              <w:rPr>
                <w:rFonts w:eastAsiaTheme="minorEastAsia"/>
                <w:lang w:eastAsia="en-AU"/>
              </w:rPr>
              <w:t>Housing and community amenities</w:t>
            </w:r>
            <w:r w:rsidRPr="00E96950">
              <w:rPr>
                <w:rFonts w:eastAsiaTheme="minorEastAsia"/>
                <w:vertAlign w:val="superscript"/>
                <w:lang w:eastAsia="en-AU"/>
              </w:rPr>
              <w:t xml:space="preserve"> (b</w:t>
            </w:r>
            <w:r w:rsidRPr="00E96950">
              <w:rPr>
                <w:rFonts w:eastAsiaTheme="minorEastAsia" w:cs="Calibri"/>
                <w:color w:val="000000"/>
                <w:vertAlign w:val="superscript"/>
                <w:lang w:eastAsia="en-AU"/>
              </w:rPr>
              <w:t>)</w:t>
            </w:r>
          </w:p>
        </w:tc>
        <w:tc>
          <w:tcPr>
            <w:tcW w:w="1525" w:type="dxa"/>
            <w:gridSpan w:val="3"/>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70 559.2</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69 637.1</w:t>
            </w:r>
          </w:p>
        </w:tc>
        <w:tc>
          <w:tcPr>
            <w:tcW w:w="1526"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7 159.9</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7 100.0</w:t>
            </w:r>
          </w:p>
        </w:tc>
      </w:tr>
      <w:tr w:rsidR="00336793" w:rsidRPr="00E96950" w:rsidTr="00DF0B96">
        <w:tc>
          <w:tcPr>
            <w:tcW w:w="3553"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Recreation and culture</w:t>
            </w:r>
          </w:p>
        </w:tc>
        <w:tc>
          <w:tcPr>
            <w:tcW w:w="1525" w:type="dxa"/>
            <w:gridSpan w:val="3"/>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13 072.5</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12 878.7</w:t>
            </w:r>
          </w:p>
        </w:tc>
        <w:tc>
          <w:tcPr>
            <w:tcW w:w="1526"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8 328.1</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8 543.0</w:t>
            </w:r>
          </w:p>
        </w:tc>
      </w:tr>
      <w:tr w:rsidR="00336793" w:rsidRPr="00E96950" w:rsidTr="00DF0B96">
        <w:tc>
          <w:tcPr>
            <w:tcW w:w="3553" w:type="dxa"/>
            <w:tcBorders>
              <w:top w:val="nil"/>
              <w:left w:val="nil"/>
              <w:bottom w:val="nil"/>
              <w:right w:val="nil"/>
            </w:tcBorders>
            <w:shd w:val="clear" w:color="auto" w:fill="auto"/>
          </w:tcPr>
          <w:p w:rsidR="00336793" w:rsidRPr="00E96950" w:rsidRDefault="00336793" w:rsidP="00DF0B96">
            <w:pPr>
              <w:pStyle w:val="Tabletext"/>
              <w:rPr>
                <w:rFonts w:eastAsiaTheme="minorEastAsia"/>
                <w:lang w:eastAsia="en-AU"/>
              </w:rPr>
            </w:pPr>
            <w:r w:rsidRPr="00E96950">
              <w:rPr>
                <w:rFonts w:eastAsiaTheme="minorEastAsia"/>
                <w:lang w:eastAsia="en-AU"/>
              </w:rPr>
              <w:t>Fuel and energy</w:t>
            </w:r>
          </w:p>
        </w:tc>
        <w:tc>
          <w:tcPr>
            <w:tcW w:w="1525" w:type="dxa"/>
            <w:gridSpan w:val="3"/>
            <w:tcBorders>
              <w:top w:val="nil"/>
              <w:left w:val="nil"/>
              <w:bottom w:val="nil"/>
              <w:right w:val="nil"/>
            </w:tcBorders>
            <w:shd w:val="clear" w:color="auto" w:fill="auto"/>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18.7</w:t>
            </w:r>
          </w:p>
        </w:tc>
        <w:tc>
          <w:tcPr>
            <w:tcW w:w="1526" w:type="dxa"/>
            <w:tcBorders>
              <w:top w:val="nil"/>
              <w:left w:val="nil"/>
              <w:bottom w:val="nil"/>
              <w:right w:val="nil"/>
            </w:tcBorders>
            <w:shd w:val="clear" w:color="auto" w:fill="auto"/>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25.4</w:t>
            </w:r>
          </w:p>
        </w:tc>
        <w:tc>
          <w:tcPr>
            <w:tcW w:w="1526" w:type="dxa"/>
            <w:gridSpan w:val="2"/>
            <w:tcBorders>
              <w:top w:val="nil"/>
              <w:left w:val="nil"/>
              <w:bottom w:val="nil"/>
              <w:right w:val="nil"/>
            </w:tcBorders>
            <w:shd w:val="clear" w:color="auto" w:fill="auto"/>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10.6</w:t>
            </w:r>
          </w:p>
        </w:tc>
        <w:tc>
          <w:tcPr>
            <w:tcW w:w="1526" w:type="dxa"/>
            <w:tcBorders>
              <w:top w:val="nil"/>
              <w:left w:val="nil"/>
              <w:bottom w:val="nil"/>
              <w:right w:val="nil"/>
            </w:tcBorders>
            <w:shd w:val="clear" w:color="auto" w:fill="auto"/>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15.3</w:t>
            </w:r>
          </w:p>
        </w:tc>
      </w:tr>
      <w:tr w:rsidR="00336793" w:rsidRPr="00E96950" w:rsidTr="00DF0B96">
        <w:tc>
          <w:tcPr>
            <w:tcW w:w="3950" w:type="dxa"/>
            <w:gridSpan w:val="3"/>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Agriculture, forestry, fishing, and hunting</w:t>
            </w:r>
          </w:p>
        </w:tc>
        <w:tc>
          <w:tcPr>
            <w:tcW w:w="1128"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767.8</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671.1</w:t>
            </w:r>
          </w:p>
        </w:tc>
        <w:tc>
          <w:tcPr>
            <w:tcW w:w="1526"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701.0</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604.4</w:t>
            </w:r>
          </w:p>
        </w:tc>
      </w:tr>
      <w:tr w:rsidR="00336793" w:rsidRPr="00E96950" w:rsidTr="00DF0B96">
        <w:tc>
          <w:tcPr>
            <w:tcW w:w="3553" w:type="dxa"/>
            <w:tcBorders>
              <w:top w:val="nil"/>
              <w:left w:val="nil"/>
              <w:bottom w:val="nil"/>
              <w:right w:val="nil"/>
            </w:tcBorders>
          </w:tcPr>
          <w:p w:rsidR="00336793" w:rsidRPr="00E96950" w:rsidRDefault="00336793" w:rsidP="00DF0B96">
            <w:pPr>
              <w:pStyle w:val="Tabletext"/>
              <w:rPr>
                <w:rFonts w:eastAsiaTheme="minorEastAsia"/>
                <w:vertAlign w:val="superscript"/>
                <w:lang w:eastAsia="en-AU"/>
              </w:rPr>
            </w:pPr>
            <w:r w:rsidRPr="00E96950">
              <w:rPr>
                <w:rFonts w:eastAsiaTheme="minorEastAsia"/>
                <w:lang w:eastAsia="en-AU"/>
              </w:rPr>
              <w:t>Transport and communications</w:t>
            </w:r>
            <w:r w:rsidRPr="00E96950">
              <w:rPr>
                <w:rFonts w:eastAsiaTheme="minorEastAsia"/>
                <w:vertAlign w:val="superscript"/>
                <w:lang w:eastAsia="en-AU"/>
              </w:rPr>
              <w:t xml:space="preserve"> </w:t>
            </w:r>
          </w:p>
        </w:tc>
        <w:tc>
          <w:tcPr>
            <w:tcW w:w="1525" w:type="dxa"/>
            <w:gridSpan w:val="3"/>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82 057.6</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75 824.7</w:t>
            </w:r>
          </w:p>
        </w:tc>
        <w:tc>
          <w:tcPr>
            <w:tcW w:w="1526"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49 149.5</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47 497.0</w:t>
            </w:r>
          </w:p>
        </w:tc>
      </w:tr>
      <w:tr w:rsidR="00336793" w:rsidRPr="00E96950" w:rsidTr="00DF0B96">
        <w:tc>
          <w:tcPr>
            <w:tcW w:w="3553"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Other economic affairs</w:t>
            </w:r>
          </w:p>
        </w:tc>
        <w:tc>
          <w:tcPr>
            <w:tcW w:w="1525" w:type="dxa"/>
            <w:gridSpan w:val="3"/>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625.6</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925.8</w:t>
            </w:r>
          </w:p>
        </w:tc>
        <w:tc>
          <w:tcPr>
            <w:tcW w:w="1526"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625.6</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925.8</w:t>
            </w:r>
          </w:p>
        </w:tc>
      </w:tr>
      <w:tr w:rsidR="00336793" w:rsidRPr="00E96950" w:rsidTr="00DF0B96">
        <w:tc>
          <w:tcPr>
            <w:tcW w:w="3553" w:type="dxa"/>
            <w:tcBorders>
              <w:top w:val="nil"/>
              <w:left w:val="nil"/>
              <w:bottom w:val="nil"/>
              <w:right w:val="nil"/>
            </w:tcBorders>
          </w:tcPr>
          <w:p w:rsidR="00336793" w:rsidRPr="00E96950" w:rsidRDefault="00336793" w:rsidP="00DF0B96">
            <w:pPr>
              <w:pStyle w:val="Tabletext"/>
              <w:rPr>
                <w:rFonts w:eastAsiaTheme="minorEastAsia"/>
                <w:vertAlign w:val="superscript"/>
                <w:lang w:eastAsia="en-AU"/>
              </w:rPr>
            </w:pPr>
            <w:r w:rsidRPr="00E96950">
              <w:rPr>
                <w:rFonts w:eastAsiaTheme="minorEastAsia"/>
                <w:lang w:eastAsia="en-AU"/>
              </w:rPr>
              <w:t>Other purposes</w:t>
            </w:r>
            <w:r w:rsidRPr="00E96950">
              <w:rPr>
                <w:rFonts w:eastAsiaTheme="minorEastAsia"/>
                <w:vertAlign w:val="superscript"/>
                <w:lang w:eastAsia="en-AU"/>
              </w:rPr>
              <w:t xml:space="preserve"> </w:t>
            </w:r>
          </w:p>
        </w:tc>
        <w:tc>
          <w:tcPr>
            <w:tcW w:w="1525" w:type="dxa"/>
            <w:gridSpan w:val="3"/>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5.9</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6.4</w:t>
            </w:r>
          </w:p>
        </w:tc>
        <w:tc>
          <w:tcPr>
            <w:tcW w:w="1526"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1.8</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2.4</w:t>
            </w:r>
          </w:p>
        </w:tc>
      </w:tr>
      <w:tr w:rsidR="00336793" w:rsidRPr="00E96950" w:rsidTr="00DF0B96">
        <w:tc>
          <w:tcPr>
            <w:tcW w:w="3553" w:type="dxa"/>
            <w:tcBorders>
              <w:top w:val="nil"/>
              <w:left w:val="nil"/>
              <w:bottom w:val="nil"/>
              <w:right w:val="nil"/>
            </w:tcBorders>
          </w:tcPr>
          <w:p w:rsidR="00336793" w:rsidRPr="00E96950" w:rsidRDefault="00336793" w:rsidP="00DF0B96">
            <w:pPr>
              <w:pStyle w:val="Tabletext"/>
              <w:rPr>
                <w:rFonts w:eastAsiaTheme="minorEastAsia" w:cs="Calibri"/>
                <w:color w:val="000000"/>
                <w:vertAlign w:val="superscript"/>
                <w:lang w:eastAsia="en-AU"/>
              </w:rPr>
            </w:pPr>
            <w:r w:rsidRPr="00E96950">
              <w:rPr>
                <w:rFonts w:eastAsiaTheme="minorEastAsia"/>
                <w:lang w:eastAsia="en-AU"/>
              </w:rPr>
              <w:t>Not allocated by purpose</w:t>
            </w:r>
            <w:r w:rsidRPr="00E96950">
              <w:rPr>
                <w:rFonts w:eastAsiaTheme="minorEastAsia"/>
                <w:vertAlign w:val="superscript"/>
                <w:lang w:eastAsia="en-AU"/>
              </w:rPr>
              <w:t xml:space="preserve"> (b)(c</w:t>
            </w:r>
            <w:r w:rsidRPr="00E96950">
              <w:rPr>
                <w:rFonts w:eastAsiaTheme="minorEastAsia" w:cs="Calibri"/>
                <w:color w:val="000000"/>
                <w:vertAlign w:val="superscript"/>
                <w:lang w:eastAsia="en-AU"/>
              </w:rPr>
              <w:t>)</w:t>
            </w:r>
          </w:p>
        </w:tc>
        <w:tc>
          <w:tcPr>
            <w:tcW w:w="1525" w:type="dxa"/>
            <w:gridSpan w:val="3"/>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49 769.6</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47 784.1</w:t>
            </w:r>
          </w:p>
        </w:tc>
        <w:tc>
          <w:tcPr>
            <w:tcW w:w="1526"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100 040.3</w:t>
            </w:r>
          </w:p>
        </w:tc>
        <w:tc>
          <w:tcPr>
            <w:tcW w:w="1526"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93 059.4</w:t>
            </w:r>
          </w:p>
        </w:tc>
      </w:tr>
      <w:tr w:rsidR="00336793" w:rsidRPr="00E96950" w:rsidTr="00DF0B96">
        <w:tc>
          <w:tcPr>
            <w:tcW w:w="3553" w:type="dxa"/>
            <w:tcBorders>
              <w:top w:val="single" w:sz="6" w:space="0" w:color="auto"/>
              <w:left w:val="nil"/>
              <w:bottom w:val="single" w:sz="12" w:space="0" w:color="auto"/>
              <w:right w:val="nil"/>
            </w:tcBorders>
          </w:tcPr>
          <w:p w:rsidR="00336793" w:rsidRPr="00E96950" w:rsidRDefault="00336793" w:rsidP="00DF0B96">
            <w:pPr>
              <w:pStyle w:val="Tabletext"/>
              <w:rPr>
                <w:rFonts w:eastAsiaTheme="minorEastAsia"/>
                <w:b/>
                <w:vertAlign w:val="superscript"/>
                <w:lang w:eastAsia="en-AU"/>
              </w:rPr>
            </w:pPr>
            <w:r w:rsidRPr="00E96950">
              <w:rPr>
                <w:rFonts w:eastAsiaTheme="minorEastAsia"/>
                <w:b/>
                <w:bCs/>
                <w:lang w:eastAsia="en-AU"/>
              </w:rPr>
              <w:t>Total assets</w:t>
            </w:r>
            <w:r w:rsidRPr="00E96950">
              <w:rPr>
                <w:rFonts w:eastAsiaTheme="minorEastAsia"/>
                <w:b/>
                <w:bCs/>
                <w:vertAlign w:val="superscript"/>
                <w:lang w:eastAsia="en-AU"/>
              </w:rPr>
              <w:t xml:space="preserve"> (</w:t>
            </w:r>
            <w:r w:rsidRPr="00E96950">
              <w:rPr>
                <w:rFonts w:eastAsiaTheme="minorEastAsia"/>
                <w:b/>
                <w:vertAlign w:val="superscript"/>
                <w:lang w:eastAsia="en-AU"/>
              </w:rPr>
              <w:t>b)</w:t>
            </w:r>
          </w:p>
        </w:tc>
        <w:tc>
          <w:tcPr>
            <w:tcW w:w="1525" w:type="dxa"/>
            <w:gridSpan w:val="3"/>
            <w:tcBorders>
              <w:top w:val="single" w:sz="6" w:space="0" w:color="auto"/>
              <w:left w:val="nil"/>
              <w:bottom w:val="single" w:sz="12" w:space="0" w:color="auto"/>
              <w:right w:val="nil"/>
            </w:tcBorders>
          </w:tcPr>
          <w:p w:rsidR="00336793" w:rsidRPr="00E96950" w:rsidRDefault="00336793" w:rsidP="00DF0B96">
            <w:pPr>
              <w:pStyle w:val="TableofFigures"/>
              <w:rPr>
                <w:rFonts w:eastAsiaTheme="minorEastAsia"/>
                <w:b/>
                <w:bCs/>
                <w:lang w:eastAsia="en-AU"/>
              </w:rPr>
            </w:pPr>
            <w:r w:rsidRPr="00E96950">
              <w:rPr>
                <w:rFonts w:eastAsiaTheme="minorEastAsia"/>
                <w:b/>
                <w:bCs/>
                <w:lang w:eastAsia="en-AU"/>
              </w:rPr>
              <w:t>259 784.9</w:t>
            </w:r>
          </w:p>
        </w:tc>
        <w:tc>
          <w:tcPr>
            <w:tcW w:w="1526" w:type="dxa"/>
            <w:tcBorders>
              <w:top w:val="single" w:sz="6" w:space="0" w:color="auto"/>
              <w:left w:val="nil"/>
              <w:bottom w:val="single" w:sz="12" w:space="0" w:color="auto"/>
              <w:right w:val="nil"/>
            </w:tcBorders>
            <w:shd w:val="solid" w:color="FFFFFF" w:fill="auto"/>
          </w:tcPr>
          <w:p w:rsidR="00336793" w:rsidRPr="00E96950" w:rsidRDefault="00336793" w:rsidP="00DF0B96">
            <w:pPr>
              <w:pStyle w:val="TableofFigures"/>
              <w:rPr>
                <w:rFonts w:eastAsiaTheme="minorEastAsia"/>
                <w:b/>
                <w:bCs/>
                <w:lang w:eastAsia="en-AU"/>
              </w:rPr>
            </w:pPr>
            <w:r w:rsidRPr="00E96950">
              <w:rPr>
                <w:rFonts w:eastAsiaTheme="minorEastAsia"/>
                <w:b/>
                <w:bCs/>
                <w:lang w:eastAsia="en-AU"/>
              </w:rPr>
              <w:t>249 681.2</w:t>
            </w:r>
          </w:p>
        </w:tc>
        <w:tc>
          <w:tcPr>
            <w:tcW w:w="1526" w:type="dxa"/>
            <w:gridSpan w:val="2"/>
            <w:tcBorders>
              <w:top w:val="single" w:sz="6" w:space="0" w:color="auto"/>
              <w:left w:val="nil"/>
              <w:bottom w:val="single" w:sz="12" w:space="0" w:color="auto"/>
              <w:right w:val="nil"/>
            </w:tcBorders>
            <w:shd w:val="solid" w:color="FFFFFF" w:fill="auto"/>
          </w:tcPr>
          <w:p w:rsidR="00336793" w:rsidRPr="00E96950" w:rsidRDefault="00336793" w:rsidP="00DF0B96">
            <w:pPr>
              <w:pStyle w:val="TableofFigures"/>
              <w:rPr>
                <w:rFonts w:eastAsiaTheme="minorEastAsia"/>
                <w:b/>
                <w:bCs/>
                <w:lang w:eastAsia="en-AU"/>
              </w:rPr>
            </w:pPr>
            <w:r w:rsidRPr="00E96950">
              <w:rPr>
                <w:rFonts w:eastAsiaTheme="minorEastAsia"/>
                <w:b/>
                <w:bCs/>
                <w:lang w:eastAsia="en-AU"/>
              </w:rPr>
              <w:t>208 984.7</w:t>
            </w:r>
          </w:p>
        </w:tc>
        <w:tc>
          <w:tcPr>
            <w:tcW w:w="1526" w:type="dxa"/>
            <w:tcBorders>
              <w:top w:val="single" w:sz="6" w:space="0" w:color="auto"/>
              <w:left w:val="nil"/>
              <w:bottom w:val="single" w:sz="12" w:space="0" w:color="auto"/>
              <w:right w:val="nil"/>
            </w:tcBorders>
            <w:shd w:val="solid" w:color="FFFFFF" w:fill="auto"/>
          </w:tcPr>
          <w:p w:rsidR="00336793" w:rsidRPr="00E96950" w:rsidRDefault="00336793" w:rsidP="00DF0B96">
            <w:pPr>
              <w:pStyle w:val="TableofFigures"/>
              <w:rPr>
                <w:rFonts w:eastAsiaTheme="minorEastAsia"/>
                <w:b/>
                <w:bCs/>
                <w:lang w:eastAsia="en-AU"/>
              </w:rPr>
            </w:pPr>
            <w:r w:rsidRPr="00E96950">
              <w:rPr>
                <w:rFonts w:eastAsiaTheme="minorEastAsia"/>
                <w:b/>
                <w:bCs/>
                <w:lang w:eastAsia="en-AU"/>
              </w:rPr>
              <w:t>199 560.6</w:t>
            </w:r>
          </w:p>
        </w:tc>
      </w:tr>
    </w:tbl>
    <w:p w:rsidR="00336793" w:rsidRPr="006A75A2" w:rsidRDefault="00336793" w:rsidP="00DF0B96">
      <w:pPr>
        <w:pStyle w:val="Notes"/>
      </w:pPr>
      <w:r>
        <w:t>N</w:t>
      </w:r>
      <w:r w:rsidRPr="006A75A2">
        <w:t>otes:</w:t>
      </w:r>
    </w:p>
    <w:p w:rsidR="00336793" w:rsidRPr="00C55A44" w:rsidRDefault="00336793" w:rsidP="00DF0B96">
      <w:pPr>
        <w:pStyle w:val="Notes"/>
      </w:pPr>
      <w:r w:rsidRPr="00C55A44">
        <w:t>(a)</w:t>
      </w:r>
      <w:r w:rsidRPr="00C55A44">
        <w:tab/>
        <w:t>Note 41 provides definitions and descriptions of government purpose classifications.</w:t>
      </w:r>
    </w:p>
    <w:p w:rsidR="00336793" w:rsidRPr="00C55A44" w:rsidRDefault="00336793" w:rsidP="00DF0B96">
      <w:pPr>
        <w:pStyle w:val="Notes"/>
      </w:pPr>
      <w:r w:rsidRPr="00C55A44">
        <w:t>(b)</w:t>
      </w:r>
      <w:r w:rsidRPr="00C55A44">
        <w:tab/>
      </w:r>
      <w:r>
        <w:t>June 2014</w:t>
      </w:r>
      <w:r w:rsidRPr="00C55A44">
        <w:t xml:space="preserve"> comparative figures have been restated. See Note 37.</w:t>
      </w:r>
    </w:p>
    <w:p w:rsidR="00336793" w:rsidRDefault="00336793" w:rsidP="00DF0B96">
      <w:pPr>
        <w:pStyle w:val="Notes"/>
      </w:pPr>
      <w:r w:rsidRPr="00C55A44">
        <w:t>(c)</w:t>
      </w:r>
      <w:r w:rsidRPr="00C55A44">
        <w:tab/>
        <w:t>Represents financial assets which are not able to be allocated by purpose.</w:t>
      </w:r>
    </w:p>
    <w:p w:rsidR="00336793" w:rsidRDefault="00336793" w:rsidP="00DF0B96">
      <w:pPr>
        <w:pStyle w:val="Heading5"/>
      </w:pPr>
    </w:p>
    <w:p w:rsidR="00336793" w:rsidRPr="006A75A2" w:rsidRDefault="00336793" w:rsidP="00DF0B96">
      <w:pPr>
        <w:pStyle w:val="Heading5"/>
        <w:rPr>
          <w:vertAlign w:val="superscript"/>
        </w:rPr>
      </w:pPr>
      <w:r w:rsidRPr="006A75A2">
        <w:t>(</w:t>
      </w:r>
      <w:r>
        <w:t>b</w:t>
      </w:r>
      <w:r w:rsidRPr="006A75A2">
        <w:t>)</w:t>
      </w:r>
      <w:r w:rsidRPr="006A75A2">
        <w:tab/>
        <w:t>Purchases of non</w:t>
      </w:r>
      <w:r>
        <w:noBreakHyphen/>
      </w:r>
      <w:r w:rsidRPr="006A75A2">
        <w:t>financial assets by government purpose classification</w:t>
      </w:r>
      <w:r w:rsidRPr="006A75A2">
        <w:rPr>
          <w:vertAlign w:val="superscript"/>
        </w:rPr>
        <w:t>(a)</w:t>
      </w:r>
    </w:p>
    <w:p w:rsidR="00336793" w:rsidRPr="00941F2A" w:rsidRDefault="00336793" w:rsidP="00DF0B96">
      <w:pPr>
        <w:pStyle w:val="million"/>
        <w:rPr>
          <w:rFonts w:ascii="Times New Roman" w:hAnsi="Times New Roman"/>
          <w:i w:val="0"/>
          <w:szCs w:val="20"/>
          <w:lang w:eastAsia="en-AU"/>
        </w:rPr>
      </w:pPr>
      <w:r w:rsidRPr="006A75A2">
        <w:t>($</w:t>
      </w: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941F2A" w:rsidTr="00DF0B96">
        <w:tc>
          <w:tcPr>
            <w:tcW w:w="5157" w:type="dxa"/>
            <w:tcBorders>
              <w:top w:val="single" w:sz="6" w:space="0" w:color="auto"/>
              <w:left w:val="single" w:sz="6" w:space="0" w:color="auto"/>
              <w:bottom w:val="nil"/>
              <w:right w:val="nil"/>
            </w:tcBorders>
            <w:shd w:val="clear" w:color="000000" w:fill="000000"/>
          </w:tcPr>
          <w:p w:rsidR="00336793" w:rsidRPr="00941F2A" w:rsidRDefault="00336793" w:rsidP="00DF0B96">
            <w:pPr>
              <w:pStyle w:val="Tabletextheading"/>
              <w:jc w:val="left"/>
              <w:rPr>
                <w:rFonts w:eastAsiaTheme="minorEastAsia"/>
                <w:color w:val="FFFFFF"/>
                <w:lang w:eastAsia="en-AU"/>
              </w:rPr>
            </w:pPr>
            <w:r w:rsidRPr="00941F2A">
              <w:rPr>
                <w:rFonts w:eastAsiaTheme="minorEastAsia"/>
                <w:color w:val="FFFFFF"/>
                <w:lang w:eastAsia="en-AU"/>
              </w:rPr>
              <w:t xml:space="preserve"> </w:t>
            </w:r>
          </w:p>
        </w:tc>
        <w:tc>
          <w:tcPr>
            <w:tcW w:w="260" w:type="dxa"/>
            <w:tcBorders>
              <w:top w:val="single" w:sz="6" w:space="0" w:color="auto"/>
              <w:left w:val="nil"/>
              <w:bottom w:val="nil"/>
              <w:right w:val="nil"/>
            </w:tcBorders>
            <w:shd w:val="clear" w:color="000000" w:fill="000000"/>
          </w:tcPr>
          <w:p w:rsidR="00336793" w:rsidRPr="00941F2A" w:rsidRDefault="00336793" w:rsidP="00DF0B96">
            <w:pPr>
              <w:pStyle w:val="TabletextheadingCentred"/>
              <w:rPr>
                <w:rFonts w:eastAsiaTheme="minorEastAsia"/>
                <w:lang w:eastAsia="en-AU"/>
              </w:rPr>
            </w:pPr>
            <w:r w:rsidRPr="00941F2A">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tcPr>
          <w:p w:rsidR="00336793" w:rsidRPr="00941F2A" w:rsidRDefault="00336793" w:rsidP="00DF0B96">
            <w:pPr>
              <w:pStyle w:val="TabletextheadingCentred"/>
              <w:rPr>
                <w:rFonts w:eastAsiaTheme="minorEastAsia"/>
                <w:lang w:eastAsia="en-AU"/>
              </w:rPr>
            </w:pPr>
          </w:p>
          <w:p w:rsidR="00336793" w:rsidRPr="00941F2A" w:rsidRDefault="00336793" w:rsidP="00DF0B96">
            <w:pPr>
              <w:pStyle w:val="TabletextheadingCentred"/>
              <w:rPr>
                <w:rFonts w:eastAsiaTheme="minorEastAsia"/>
                <w:lang w:eastAsia="en-AU"/>
              </w:rPr>
            </w:pPr>
            <w:r w:rsidRPr="00941F2A">
              <w:rPr>
                <w:rFonts w:eastAsiaTheme="minorEastAsia"/>
                <w:lang w:eastAsia="en-AU"/>
              </w:rPr>
              <w:t>State of Victoria</w:t>
            </w:r>
          </w:p>
        </w:tc>
        <w:tc>
          <w:tcPr>
            <w:tcW w:w="270" w:type="dxa"/>
            <w:tcBorders>
              <w:top w:val="single" w:sz="6" w:space="0" w:color="auto"/>
              <w:left w:val="nil"/>
              <w:bottom w:val="nil"/>
              <w:right w:val="nil"/>
            </w:tcBorders>
            <w:shd w:val="clear" w:color="000000" w:fill="000000"/>
          </w:tcPr>
          <w:p w:rsidR="00336793" w:rsidRPr="00941F2A" w:rsidRDefault="00336793" w:rsidP="00DF0B96">
            <w:pPr>
              <w:pStyle w:val="TabletextheadingCentred"/>
              <w:rPr>
                <w:rFonts w:eastAsiaTheme="minorEastAsia"/>
                <w:lang w:eastAsia="en-AU"/>
              </w:rPr>
            </w:pPr>
            <w:r w:rsidRPr="00941F2A">
              <w:rPr>
                <w:rFonts w:eastAsiaTheme="minorEastAsia"/>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tcPr>
          <w:p w:rsidR="00336793" w:rsidRPr="00941F2A" w:rsidRDefault="00336793" w:rsidP="00DF0B96">
            <w:pPr>
              <w:pStyle w:val="TabletextheadingCentred"/>
              <w:rPr>
                <w:rFonts w:eastAsiaTheme="minorEastAsia"/>
                <w:lang w:eastAsia="en-AU"/>
              </w:rPr>
            </w:pPr>
            <w:r w:rsidRPr="00941F2A">
              <w:rPr>
                <w:rFonts w:eastAsiaTheme="minorEastAsia"/>
                <w:lang w:eastAsia="en-AU"/>
              </w:rPr>
              <w:t xml:space="preserve">General </w:t>
            </w:r>
          </w:p>
          <w:p w:rsidR="00336793" w:rsidRPr="00941F2A" w:rsidRDefault="00336793" w:rsidP="00DF0B96">
            <w:pPr>
              <w:pStyle w:val="TabletextheadingCentred"/>
              <w:rPr>
                <w:rFonts w:eastAsiaTheme="minorEastAsia"/>
                <w:lang w:eastAsia="en-AU"/>
              </w:rPr>
            </w:pPr>
            <w:r w:rsidRPr="00941F2A">
              <w:rPr>
                <w:rFonts w:eastAsiaTheme="minorEastAsia"/>
                <w:lang w:eastAsia="en-AU"/>
              </w:rPr>
              <w:t>government sector</w:t>
            </w:r>
          </w:p>
        </w:tc>
      </w:tr>
      <w:tr w:rsidR="00336793" w:rsidRPr="00941F2A" w:rsidTr="00DF0B96">
        <w:tc>
          <w:tcPr>
            <w:tcW w:w="5157" w:type="dxa"/>
            <w:tcBorders>
              <w:top w:val="nil"/>
              <w:left w:val="single" w:sz="6" w:space="0" w:color="auto"/>
              <w:bottom w:val="single" w:sz="6" w:space="0" w:color="auto"/>
              <w:right w:val="nil"/>
            </w:tcBorders>
            <w:shd w:val="clear" w:color="000000" w:fill="000000"/>
          </w:tcPr>
          <w:p w:rsidR="00336793" w:rsidRPr="00941F2A" w:rsidRDefault="00336793" w:rsidP="00DF0B96">
            <w:pPr>
              <w:pStyle w:val="Tabletextheading"/>
              <w:jc w:val="left"/>
              <w:rPr>
                <w:rFonts w:eastAsiaTheme="minorEastAsia"/>
                <w:color w:val="FFFFFF"/>
                <w:lang w:eastAsia="en-AU"/>
              </w:rPr>
            </w:pPr>
            <w:r w:rsidRPr="00941F2A">
              <w:rPr>
                <w:rFonts w:eastAsiaTheme="minorEastAsia"/>
                <w:color w:val="FFFFFF"/>
                <w:lang w:eastAsia="en-AU"/>
              </w:rPr>
              <w:t xml:space="preserve"> </w:t>
            </w:r>
          </w:p>
        </w:tc>
        <w:tc>
          <w:tcPr>
            <w:tcW w:w="1120" w:type="dxa"/>
            <w:gridSpan w:val="2"/>
            <w:tcBorders>
              <w:top w:val="nil"/>
              <w:left w:val="nil"/>
              <w:bottom w:val="single" w:sz="6" w:space="0" w:color="auto"/>
              <w:right w:val="nil"/>
            </w:tcBorders>
            <w:shd w:val="clear" w:color="000000" w:fill="000000"/>
          </w:tcPr>
          <w:p w:rsidR="00336793" w:rsidRPr="00941F2A" w:rsidRDefault="00336793" w:rsidP="00DF0B96">
            <w:pPr>
              <w:pStyle w:val="Tabletextheading"/>
              <w:rPr>
                <w:rFonts w:eastAsiaTheme="minorEastAsia"/>
                <w:color w:val="FFFFFF"/>
                <w:lang w:eastAsia="en-AU"/>
              </w:rPr>
            </w:pPr>
            <w:r w:rsidRPr="00941F2A">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tcPr>
          <w:p w:rsidR="00336793" w:rsidRPr="00941F2A" w:rsidRDefault="00336793" w:rsidP="00DF0B96">
            <w:pPr>
              <w:pStyle w:val="Tabletextheading"/>
              <w:rPr>
                <w:rFonts w:eastAsiaTheme="minorEastAsia"/>
                <w:color w:val="FFFFFF"/>
                <w:lang w:eastAsia="en-AU"/>
              </w:rPr>
            </w:pPr>
            <w:r w:rsidRPr="00941F2A">
              <w:rPr>
                <w:rFonts w:eastAsiaTheme="minorEastAsia"/>
                <w:color w:val="FFFFFF"/>
                <w:lang w:eastAsia="en-AU"/>
              </w:rPr>
              <w:t>2014</w:t>
            </w:r>
          </w:p>
        </w:tc>
        <w:tc>
          <w:tcPr>
            <w:tcW w:w="1120" w:type="dxa"/>
            <w:gridSpan w:val="2"/>
            <w:tcBorders>
              <w:top w:val="nil"/>
              <w:left w:val="nil"/>
              <w:bottom w:val="single" w:sz="6" w:space="0" w:color="auto"/>
              <w:right w:val="nil"/>
            </w:tcBorders>
            <w:shd w:val="clear" w:color="000000" w:fill="000000"/>
          </w:tcPr>
          <w:p w:rsidR="00336793" w:rsidRPr="00941F2A" w:rsidRDefault="00336793" w:rsidP="00DF0B96">
            <w:pPr>
              <w:pStyle w:val="Tabletextheading"/>
              <w:rPr>
                <w:rFonts w:eastAsiaTheme="minorEastAsia"/>
                <w:color w:val="FFFFFF"/>
                <w:lang w:eastAsia="en-AU"/>
              </w:rPr>
            </w:pPr>
            <w:r w:rsidRPr="00941F2A">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941F2A" w:rsidRDefault="00336793" w:rsidP="00DF0B96">
            <w:pPr>
              <w:pStyle w:val="Tabletextheading"/>
              <w:rPr>
                <w:rFonts w:eastAsiaTheme="minorEastAsia"/>
                <w:color w:val="FFFFFF"/>
                <w:lang w:eastAsia="en-AU"/>
              </w:rPr>
            </w:pPr>
            <w:r w:rsidRPr="00941F2A">
              <w:rPr>
                <w:rFonts w:eastAsiaTheme="minorEastAsia"/>
                <w:color w:val="FFFFFF"/>
                <w:lang w:eastAsia="en-AU"/>
              </w:rPr>
              <w:t>2014</w:t>
            </w:r>
          </w:p>
        </w:tc>
      </w:tr>
      <w:tr w:rsidR="00336793" w:rsidRPr="00941F2A" w:rsidTr="00DF0B96">
        <w:tc>
          <w:tcPr>
            <w:tcW w:w="5157" w:type="dxa"/>
            <w:tcBorders>
              <w:top w:val="single" w:sz="6" w:space="0" w:color="auto"/>
              <w:left w:val="nil"/>
              <w:bottom w:val="nil"/>
              <w:right w:val="nil"/>
            </w:tcBorders>
          </w:tcPr>
          <w:p w:rsidR="00336793" w:rsidRPr="00941F2A" w:rsidRDefault="00336793" w:rsidP="00DF0B96">
            <w:pPr>
              <w:autoSpaceDE w:val="0"/>
              <w:autoSpaceDN w:val="0"/>
              <w:adjustRightInd w:val="0"/>
              <w:spacing w:after="0"/>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General public services</w:t>
            </w:r>
          </w:p>
        </w:tc>
        <w:tc>
          <w:tcPr>
            <w:tcW w:w="1120" w:type="dxa"/>
            <w:gridSpan w:val="2"/>
            <w:tcBorders>
              <w:top w:val="single" w:sz="6" w:space="0" w:color="auto"/>
              <w:left w:val="nil"/>
              <w:bottom w:val="nil"/>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147.2</w:t>
            </w:r>
          </w:p>
        </w:tc>
        <w:tc>
          <w:tcPr>
            <w:tcW w:w="1120" w:type="dxa"/>
            <w:tcBorders>
              <w:top w:val="single" w:sz="6" w:space="0" w:color="auto"/>
              <w:left w:val="nil"/>
              <w:bottom w:val="nil"/>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112.8</w:t>
            </w:r>
          </w:p>
        </w:tc>
        <w:tc>
          <w:tcPr>
            <w:tcW w:w="1120" w:type="dxa"/>
            <w:gridSpan w:val="2"/>
            <w:tcBorders>
              <w:top w:val="single" w:sz="6" w:space="0" w:color="auto"/>
              <w:left w:val="nil"/>
              <w:bottom w:val="nil"/>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95.7</w:t>
            </w:r>
          </w:p>
        </w:tc>
        <w:tc>
          <w:tcPr>
            <w:tcW w:w="1120" w:type="dxa"/>
            <w:tcBorders>
              <w:top w:val="single" w:sz="6" w:space="0" w:color="auto"/>
              <w:left w:val="nil"/>
              <w:bottom w:val="nil"/>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79.3</w:t>
            </w:r>
          </w:p>
        </w:tc>
      </w:tr>
      <w:tr w:rsidR="00336793" w:rsidRPr="00941F2A" w:rsidTr="00DF0B96">
        <w:tc>
          <w:tcPr>
            <w:tcW w:w="5157" w:type="dxa"/>
            <w:tcBorders>
              <w:top w:val="nil"/>
              <w:left w:val="nil"/>
              <w:bottom w:val="nil"/>
              <w:right w:val="nil"/>
            </w:tcBorders>
          </w:tcPr>
          <w:p w:rsidR="00336793" w:rsidRPr="00941F2A" w:rsidRDefault="00336793" w:rsidP="00DF0B96">
            <w:pPr>
              <w:autoSpaceDE w:val="0"/>
              <w:autoSpaceDN w:val="0"/>
              <w:adjustRightInd w:val="0"/>
              <w:spacing w:after="0"/>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Public order and safety</w:t>
            </w:r>
          </w:p>
        </w:tc>
        <w:tc>
          <w:tcPr>
            <w:tcW w:w="1120" w:type="dxa"/>
            <w:gridSpan w:val="2"/>
            <w:tcBorders>
              <w:top w:val="nil"/>
              <w:left w:val="nil"/>
              <w:bottom w:val="nil"/>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494.5</w:t>
            </w:r>
          </w:p>
        </w:tc>
        <w:tc>
          <w:tcPr>
            <w:tcW w:w="1120" w:type="dxa"/>
            <w:tcBorders>
              <w:top w:val="nil"/>
              <w:left w:val="nil"/>
              <w:bottom w:val="nil"/>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618.0</w:t>
            </w:r>
          </w:p>
        </w:tc>
        <w:tc>
          <w:tcPr>
            <w:tcW w:w="1120" w:type="dxa"/>
            <w:gridSpan w:val="2"/>
            <w:tcBorders>
              <w:top w:val="nil"/>
              <w:left w:val="nil"/>
              <w:bottom w:val="nil"/>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494.5</w:t>
            </w:r>
          </w:p>
        </w:tc>
        <w:tc>
          <w:tcPr>
            <w:tcW w:w="1120" w:type="dxa"/>
            <w:tcBorders>
              <w:top w:val="nil"/>
              <w:left w:val="nil"/>
              <w:bottom w:val="nil"/>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618.0</w:t>
            </w:r>
          </w:p>
        </w:tc>
      </w:tr>
      <w:tr w:rsidR="00336793" w:rsidRPr="00941F2A" w:rsidTr="00DF0B96">
        <w:tc>
          <w:tcPr>
            <w:tcW w:w="5157"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Education</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374.1</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720.1</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374.1</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720.1</w:t>
            </w:r>
          </w:p>
        </w:tc>
      </w:tr>
      <w:tr w:rsidR="00336793" w:rsidRPr="00941F2A" w:rsidTr="00DF0B96">
        <w:tc>
          <w:tcPr>
            <w:tcW w:w="5157"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Health</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897.8</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899.5</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898.8</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899.3</w:t>
            </w:r>
          </w:p>
        </w:tc>
      </w:tr>
      <w:tr w:rsidR="00336793" w:rsidRPr="00941F2A" w:rsidTr="00DF0B96">
        <w:tc>
          <w:tcPr>
            <w:tcW w:w="5157"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Social security and welfare</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56.1</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36.4</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56.1</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36.4</w:t>
            </w:r>
          </w:p>
        </w:tc>
      </w:tr>
      <w:tr w:rsidR="00336793" w:rsidRPr="00941F2A" w:rsidTr="00DF0B96">
        <w:tc>
          <w:tcPr>
            <w:tcW w:w="5157"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rPr>
                <w:rFonts w:ascii="Calibri" w:eastAsiaTheme="minorEastAsia" w:hAnsi="Calibri" w:cs="Calibri"/>
                <w:color w:val="000000"/>
                <w:sz w:val="22"/>
                <w:szCs w:val="18"/>
                <w:vertAlign w:val="superscript"/>
                <w:lang w:eastAsia="en-AU"/>
              </w:rPr>
            </w:pPr>
            <w:r w:rsidRPr="00941F2A">
              <w:rPr>
                <w:rFonts w:ascii="Calibri" w:eastAsiaTheme="minorEastAsia" w:hAnsi="Calibri" w:cs="Calibri"/>
                <w:sz w:val="22"/>
                <w:szCs w:val="18"/>
                <w:lang w:eastAsia="en-AU"/>
              </w:rPr>
              <w:t>Housing and community amenities</w:t>
            </w:r>
            <w:r w:rsidRPr="00941F2A">
              <w:rPr>
                <w:rFonts w:ascii="Calibri" w:eastAsiaTheme="minorEastAsia" w:hAnsi="Calibri" w:cs="Calibri"/>
                <w:sz w:val="22"/>
                <w:szCs w:val="18"/>
                <w:vertAlign w:val="superscript"/>
                <w:lang w:eastAsia="en-AU"/>
              </w:rPr>
              <w:t>(</w:t>
            </w:r>
            <w:r w:rsidRPr="00941F2A">
              <w:rPr>
                <w:rFonts w:ascii="Calibri" w:eastAsiaTheme="minorEastAsia" w:hAnsi="Calibri" w:cs="Calibri"/>
                <w:color w:val="000000"/>
                <w:sz w:val="22"/>
                <w:szCs w:val="18"/>
                <w:vertAlign w:val="superscript"/>
                <w:lang w:eastAsia="en-AU"/>
              </w:rPr>
              <w:t>b)</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1 692.8</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1 658.9</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262.8</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140.5</w:t>
            </w:r>
          </w:p>
        </w:tc>
      </w:tr>
      <w:tr w:rsidR="00336793" w:rsidRPr="00941F2A" w:rsidTr="00DF0B96">
        <w:tc>
          <w:tcPr>
            <w:tcW w:w="5157"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Recreation and culture</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222.1</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290.1</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109.9</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151.6</w:t>
            </w:r>
          </w:p>
        </w:tc>
      </w:tr>
      <w:tr w:rsidR="00336793" w:rsidRPr="00941F2A" w:rsidTr="00DF0B96">
        <w:tc>
          <w:tcPr>
            <w:tcW w:w="5157"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Fuel and energy</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1.1</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8.5</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4.7</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8.5</w:t>
            </w:r>
          </w:p>
        </w:tc>
      </w:tr>
      <w:tr w:rsidR="00336793" w:rsidRPr="00941F2A" w:rsidTr="00DF0B96">
        <w:tc>
          <w:tcPr>
            <w:tcW w:w="5157"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Agriculture, forestry, fishing, and hunting</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30.0</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33.1</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24.5</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20.3</w:t>
            </w:r>
          </w:p>
        </w:tc>
      </w:tr>
      <w:tr w:rsidR="00336793" w:rsidRPr="00941F2A" w:rsidTr="00DF0B96">
        <w:tc>
          <w:tcPr>
            <w:tcW w:w="5157"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Transport and communications</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2 619.1</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2 922.4</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1 993.0</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1 288.9</w:t>
            </w:r>
          </w:p>
        </w:tc>
      </w:tr>
      <w:tr w:rsidR="00336793" w:rsidRPr="00941F2A" w:rsidTr="00DF0B96">
        <w:tc>
          <w:tcPr>
            <w:tcW w:w="5157"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Other economic affairs</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79.4</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33.8</w:t>
            </w:r>
          </w:p>
        </w:tc>
        <w:tc>
          <w:tcPr>
            <w:tcW w:w="1120" w:type="dxa"/>
            <w:gridSpan w:val="2"/>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79.4</w:t>
            </w:r>
          </w:p>
        </w:tc>
        <w:tc>
          <w:tcPr>
            <w:tcW w:w="1120" w:type="dxa"/>
            <w:tcBorders>
              <w:top w:val="nil"/>
              <w:left w:val="nil"/>
              <w:bottom w:val="nil"/>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33.8</w:t>
            </w:r>
          </w:p>
        </w:tc>
      </w:tr>
      <w:tr w:rsidR="00336793" w:rsidRPr="00941F2A" w:rsidTr="00DF0B96">
        <w:tc>
          <w:tcPr>
            <w:tcW w:w="5157" w:type="dxa"/>
            <w:tcBorders>
              <w:top w:val="nil"/>
              <w:left w:val="nil"/>
              <w:bottom w:val="single" w:sz="6" w:space="0" w:color="auto"/>
              <w:right w:val="nil"/>
            </w:tcBorders>
          </w:tcPr>
          <w:p w:rsidR="00336793" w:rsidRPr="00941F2A" w:rsidRDefault="00336793" w:rsidP="00DF0B96">
            <w:pPr>
              <w:autoSpaceDE w:val="0"/>
              <w:autoSpaceDN w:val="0"/>
              <w:adjustRightInd w:val="0"/>
              <w:spacing w:after="0"/>
              <w:rPr>
                <w:rFonts w:ascii="Calibri" w:eastAsiaTheme="minorEastAsia" w:hAnsi="Calibri" w:cs="Calibri"/>
                <w:sz w:val="22"/>
                <w:szCs w:val="18"/>
                <w:vertAlign w:val="superscript"/>
                <w:lang w:eastAsia="en-AU"/>
              </w:rPr>
            </w:pPr>
            <w:r w:rsidRPr="00941F2A">
              <w:rPr>
                <w:rFonts w:ascii="Calibri" w:eastAsiaTheme="minorEastAsia" w:hAnsi="Calibri" w:cs="Calibri"/>
                <w:sz w:val="22"/>
                <w:szCs w:val="18"/>
                <w:lang w:eastAsia="en-AU"/>
              </w:rPr>
              <w:t>Other purposes</w:t>
            </w:r>
            <w:r w:rsidRPr="00941F2A">
              <w:rPr>
                <w:rFonts w:ascii="Calibri" w:eastAsiaTheme="minorEastAsia" w:hAnsi="Calibri" w:cs="Calibri"/>
                <w:sz w:val="22"/>
                <w:szCs w:val="18"/>
                <w:vertAlign w:val="superscript"/>
                <w:lang w:eastAsia="en-AU"/>
              </w:rPr>
              <w:t xml:space="preserve"> </w:t>
            </w:r>
          </w:p>
        </w:tc>
        <w:tc>
          <w:tcPr>
            <w:tcW w:w="1120" w:type="dxa"/>
            <w:gridSpan w:val="2"/>
            <w:tcBorders>
              <w:top w:val="nil"/>
              <w:left w:val="nil"/>
              <w:bottom w:val="single" w:sz="6" w:space="0" w:color="auto"/>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1.3</w:t>
            </w:r>
          </w:p>
        </w:tc>
        <w:tc>
          <w:tcPr>
            <w:tcW w:w="1120" w:type="dxa"/>
            <w:tcBorders>
              <w:top w:val="nil"/>
              <w:left w:val="nil"/>
              <w:bottom w:val="single" w:sz="6" w:space="0" w:color="auto"/>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1.2</w:t>
            </w:r>
          </w:p>
        </w:tc>
        <w:tc>
          <w:tcPr>
            <w:tcW w:w="1120" w:type="dxa"/>
            <w:gridSpan w:val="2"/>
            <w:tcBorders>
              <w:top w:val="nil"/>
              <w:left w:val="nil"/>
              <w:bottom w:val="single" w:sz="6" w:space="0" w:color="auto"/>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0.1</w:t>
            </w:r>
          </w:p>
        </w:tc>
        <w:tc>
          <w:tcPr>
            <w:tcW w:w="1120" w:type="dxa"/>
            <w:tcBorders>
              <w:top w:val="nil"/>
              <w:left w:val="nil"/>
              <w:bottom w:val="single" w:sz="6" w:space="0" w:color="auto"/>
              <w:right w:val="nil"/>
            </w:tcBorders>
          </w:tcPr>
          <w:p w:rsidR="00336793" w:rsidRPr="00941F2A" w:rsidRDefault="00336793" w:rsidP="00DF0B96">
            <w:pPr>
              <w:autoSpaceDE w:val="0"/>
              <w:autoSpaceDN w:val="0"/>
              <w:adjustRightInd w:val="0"/>
              <w:spacing w:after="0"/>
              <w:jc w:val="right"/>
              <w:rPr>
                <w:rFonts w:ascii="Calibri" w:eastAsiaTheme="minorEastAsia" w:hAnsi="Calibri" w:cs="Calibri"/>
                <w:sz w:val="22"/>
                <w:szCs w:val="18"/>
                <w:lang w:eastAsia="en-AU"/>
              </w:rPr>
            </w:pPr>
            <w:r w:rsidRPr="00941F2A">
              <w:rPr>
                <w:rFonts w:ascii="Calibri" w:eastAsiaTheme="minorEastAsia" w:hAnsi="Calibri" w:cs="Calibri"/>
                <w:sz w:val="22"/>
                <w:szCs w:val="18"/>
                <w:lang w:eastAsia="en-AU"/>
              </w:rPr>
              <w:t xml:space="preserve"> 0.5</w:t>
            </w:r>
          </w:p>
        </w:tc>
      </w:tr>
      <w:tr w:rsidR="00336793" w:rsidRPr="00941F2A" w:rsidTr="00DF0B96">
        <w:tc>
          <w:tcPr>
            <w:tcW w:w="5157" w:type="dxa"/>
            <w:tcBorders>
              <w:top w:val="single" w:sz="6" w:space="0" w:color="auto"/>
              <w:left w:val="nil"/>
              <w:bottom w:val="single" w:sz="12" w:space="0" w:color="000000"/>
              <w:right w:val="nil"/>
            </w:tcBorders>
            <w:shd w:val="clear" w:color="auto" w:fill="auto"/>
          </w:tcPr>
          <w:p w:rsidR="00336793" w:rsidRPr="00941F2A" w:rsidRDefault="00336793" w:rsidP="00DF0B96">
            <w:pPr>
              <w:autoSpaceDE w:val="0"/>
              <w:autoSpaceDN w:val="0"/>
              <w:adjustRightInd w:val="0"/>
              <w:spacing w:after="0"/>
              <w:rPr>
                <w:rFonts w:ascii="Calibri" w:eastAsiaTheme="minorEastAsia" w:hAnsi="Calibri" w:cs="Calibri"/>
                <w:b/>
                <w:bCs/>
                <w:color w:val="000000"/>
                <w:sz w:val="18"/>
                <w:szCs w:val="18"/>
                <w:vertAlign w:val="superscript"/>
                <w:lang w:eastAsia="en-AU"/>
              </w:rPr>
            </w:pPr>
            <w:r w:rsidRPr="00941F2A">
              <w:rPr>
                <w:rFonts w:ascii="Calibri" w:eastAsiaTheme="minorEastAsia" w:hAnsi="Calibri" w:cs="Calibri"/>
                <w:b/>
                <w:bCs/>
                <w:sz w:val="22"/>
                <w:szCs w:val="18"/>
                <w:lang w:eastAsia="en-AU"/>
              </w:rPr>
              <w:t>Total purchases of non</w:t>
            </w:r>
            <w:r>
              <w:rPr>
                <w:rFonts w:ascii="Calibri" w:eastAsiaTheme="minorEastAsia" w:hAnsi="Calibri" w:cs="Calibri"/>
                <w:b/>
                <w:bCs/>
                <w:sz w:val="22"/>
                <w:szCs w:val="18"/>
                <w:lang w:eastAsia="en-AU"/>
              </w:rPr>
              <w:noBreakHyphen/>
            </w:r>
            <w:r w:rsidRPr="00941F2A">
              <w:rPr>
                <w:rFonts w:ascii="Calibri" w:eastAsiaTheme="minorEastAsia" w:hAnsi="Calibri" w:cs="Calibri"/>
                <w:b/>
                <w:bCs/>
                <w:sz w:val="22"/>
                <w:szCs w:val="18"/>
                <w:lang w:eastAsia="en-AU"/>
              </w:rPr>
              <w:t>financial assets</w:t>
            </w:r>
            <w:r w:rsidRPr="00941F2A">
              <w:rPr>
                <w:rFonts w:ascii="Calibri" w:eastAsiaTheme="minorEastAsia" w:hAnsi="Calibri" w:cs="Calibri"/>
                <w:b/>
                <w:sz w:val="22"/>
                <w:szCs w:val="18"/>
                <w:vertAlign w:val="superscript"/>
                <w:lang w:eastAsia="en-AU"/>
              </w:rPr>
              <w:t>(</w:t>
            </w:r>
            <w:r w:rsidRPr="00941F2A">
              <w:rPr>
                <w:rFonts w:ascii="Calibri" w:eastAsiaTheme="minorEastAsia" w:hAnsi="Calibri" w:cs="Calibri"/>
                <w:b/>
                <w:color w:val="000000"/>
                <w:sz w:val="22"/>
                <w:szCs w:val="18"/>
                <w:vertAlign w:val="superscript"/>
                <w:lang w:eastAsia="en-AU"/>
              </w:rPr>
              <w:t>b)</w:t>
            </w:r>
          </w:p>
        </w:tc>
        <w:tc>
          <w:tcPr>
            <w:tcW w:w="1120" w:type="dxa"/>
            <w:gridSpan w:val="2"/>
            <w:tcBorders>
              <w:top w:val="single" w:sz="6" w:space="0" w:color="auto"/>
              <w:left w:val="nil"/>
              <w:bottom w:val="single" w:sz="12" w:space="0" w:color="000000"/>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b/>
                <w:bCs/>
                <w:sz w:val="22"/>
                <w:szCs w:val="18"/>
                <w:lang w:eastAsia="en-AU"/>
              </w:rPr>
            </w:pPr>
            <w:r w:rsidRPr="00941F2A">
              <w:rPr>
                <w:rFonts w:ascii="Calibri" w:eastAsiaTheme="minorEastAsia" w:hAnsi="Calibri" w:cs="Calibri"/>
                <w:b/>
                <w:bCs/>
                <w:sz w:val="22"/>
                <w:szCs w:val="18"/>
                <w:lang w:eastAsia="en-AU"/>
              </w:rPr>
              <w:t>6 615.6</w:t>
            </w:r>
          </w:p>
        </w:tc>
        <w:tc>
          <w:tcPr>
            <w:tcW w:w="1120" w:type="dxa"/>
            <w:tcBorders>
              <w:top w:val="single" w:sz="6" w:space="0" w:color="auto"/>
              <w:left w:val="nil"/>
              <w:bottom w:val="single" w:sz="12" w:space="0" w:color="000000"/>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b/>
                <w:bCs/>
                <w:sz w:val="22"/>
                <w:szCs w:val="18"/>
                <w:lang w:eastAsia="en-AU"/>
              </w:rPr>
            </w:pPr>
            <w:r w:rsidRPr="00941F2A">
              <w:rPr>
                <w:rFonts w:ascii="Calibri" w:eastAsiaTheme="minorEastAsia" w:hAnsi="Calibri" w:cs="Calibri"/>
                <w:b/>
                <w:bCs/>
                <w:sz w:val="22"/>
                <w:szCs w:val="18"/>
                <w:lang w:eastAsia="en-AU"/>
              </w:rPr>
              <w:t>7 334.7</w:t>
            </w:r>
          </w:p>
        </w:tc>
        <w:tc>
          <w:tcPr>
            <w:tcW w:w="1120" w:type="dxa"/>
            <w:gridSpan w:val="2"/>
            <w:tcBorders>
              <w:top w:val="single" w:sz="6" w:space="0" w:color="auto"/>
              <w:left w:val="nil"/>
              <w:bottom w:val="single" w:sz="12" w:space="0" w:color="000000"/>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b/>
                <w:bCs/>
                <w:sz w:val="22"/>
                <w:szCs w:val="18"/>
                <w:lang w:eastAsia="en-AU"/>
              </w:rPr>
            </w:pPr>
            <w:r w:rsidRPr="00941F2A">
              <w:rPr>
                <w:rFonts w:ascii="Calibri" w:eastAsiaTheme="minorEastAsia" w:hAnsi="Calibri" w:cs="Calibri"/>
                <w:b/>
                <w:bCs/>
                <w:sz w:val="22"/>
                <w:szCs w:val="18"/>
                <w:lang w:eastAsia="en-AU"/>
              </w:rPr>
              <w:t>4 393.7</w:t>
            </w:r>
          </w:p>
        </w:tc>
        <w:tc>
          <w:tcPr>
            <w:tcW w:w="1120" w:type="dxa"/>
            <w:tcBorders>
              <w:top w:val="single" w:sz="6" w:space="0" w:color="auto"/>
              <w:left w:val="nil"/>
              <w:bottom w:val="single" w:sz="12" w:space="0" w:color="000000"/>
              <w:right w:val="nil"/>
            </w:tcBorders>
            <w:shd w:val="clear" w:color="auto" w:fill="auto"/>
          </w:tcPr>
          <w:p w:rsidR="00336793" w:rsidRPr="00941F2A" w:rsidRDefault="00336793" w:rsidP="00DF0B96">
            <w:pPr>
              <w:autoSpaceDE w:val="0"/>
              <w:autoSpaceDN w:val="0"/>
              <w:adjustRightInd w:val="0"/>
              <w:spacing w:after="0"/>
              <w:jc w:val="right"/>
              <w:rPr>
                <w:rFonts w:ascii="Calibri" w:eastAsiaTheme="minorEastAsia" w:hAnsi="Calibri" w:cs="Calibri"/>
                <w:b/>
                <w:bCs/>
                <w:sz w:val="22"/>
                <w:szCs w:val="18"/>
                <w:lang w:eastAsia="en-AU"/>
              </w:rPr>
            </w:pPr>
            <w:r w:rsidRPr="00941F2A">
              <w:rPr>
                <w:rFonts w:ascii="Calibri" w:eastAsiaTheme="minorEastAsia" w:hAnsi="Calibri" w:cs="Calibri"/>
                <w:b/>
                <w:bCs/>
                <w:sz w:val="22"/>
                <w:szCs w:val="18"/>
                <w:lang w:eastAsia="en-AU"/>
              </w:rPr>
              <w:t>3 997.3</w:t>
            </w:r>
          </w:p>
        </w:tc>
      </w:tr>
    </w:tbl>
    <w:p w:rsidR="00336793" w:rsidRPr="003C6E8C" w:rsidRDefault="00336793" w:rsidP="00DF0B96">
      <w:pPr>
        <w:pStyle w:val="Notes"/>
        <w:rPr>
          <w:rFonts w:ascii="Times New Roman" w:hAnsi="Times New Roman"/>
          <w:sz w:val="20"/>
        </w:rPr>
      </w:pPr>
      <w:r w:rsidRPr="006A75A2">
        <w:t>Note</w:t>
      </w:r>
      <w:r>
        <w:t>s</w:t>
      </w:r>
      <w:r w:rsidRPr="006A75A2">
        <w:t>:</w:t>
      </w:r>
    </w:p>
    <w:p w:rsidR="00336793" w:rsidRPr="006A75A2" w:rsidRDefault="00336793" w:rsidP="00DF0B96">
      <w:pPr>
        <w:pStyle w:val="Notes"/>
      </w:pPr>
      <w:r w:rsidRPr="006A75A2">
        <w:t>(a)</w:t>
      </w:r>
      <w:r w:rsidRPr="006A75A2">
        <w:tab/>
        <w:t>Note 41 provides definitions and descriptions of government purpose classifications.</w:t>
      </w:r>
    </w:p>
    <w:p w:rsidR="00336793" w:rsidRPr="00C55A44" w:rsidRDefault="00336793" w:rsidP="00DF0B96">
      <w:pPr>
        <w:pStyle w:val="Notes"/>
      </w:pPr>
      <w:r w:rsidRPr="00C55A44">
        <w:t>(b)</w:t>
      </w:r>
      <w:r w:rsidRPr="00C55A44">
        <w:tab/>
      </w:r>
      <w:r>
        <w:t>June 2014</w:t>
      </w:r>
      <w:r w:rsidRPr="00C55A44">
        <w:t xml:space="preserve"> comparative figures have been restated</w:t>
      </w:r>
      <w:r>
        <w:t xml:space="preserve"> to reflect more current information.</w:t>
      </w:r>
    </w:p>
    <w:p w:rsidR="00336793" w:rsidRPr="006A75A2" w:rsidRDefault="00336793" w:rsidP="00DF0B96"/>
    <w:p w:rsidR="00336793" w:rsidRDefault="00336793">
      <w:pPr>
        <w:spacing w:after="0"/>
        <w:rPr>
          <w:rFonts w:ascii="Calibri" w:hAnsi="Calibri"/>
          <w:b/>
        </w:rPr>
      </w:pPr>
      <w:r>
        <w:br w:type="page"/>
      </w:r>
    </w:p>
    <w:p w:rsidR="00336793" w:rsidRPr="006A75A2" w:rsidRDefault="00336793" w:rsidP="00DF0B96">
      <w:pPr>
        <w:pStyle w:val="Heading2NotesContd"/>
        <w:rPr>
          <w:kern w:val="0"/>
        </w:rPr>
      </w:pPr>
      <w:r w:rsidRPr="006A75A2">
        <w:rPr>
          <w:kern w:val="0"/>
        </w:rPr>
        <w:lastRenderedPageBreak/>
        <w:t>Note 24:</w:t>
      </w:r>
      <w:r w:rsidRPr="006A75A2">
        <w:rPr>
          <w:kern w:val="0"/>
        </w:rPr>
        <w:tab/>
        <w:t xml:space="preserve">Assets classified by government purpose classification and by department </w:t>
      </w:r>
      <w:r w:rsidRPr="006A75A2">
        <w:rPr>
          <w:i/>
          <w:kern w:val="0"/>
        </w:rPr>
        <w:t>(continued)</w:t>
      </w:r>
    </w:p>
    <w:p w:rsidR="00336793" w:rsidRPr="006A75A2" w:rsidRDefault="00336793" w:rsidP="00DF0B96">
      <w:pPr>
        <w:pStyle w:val="Heading5"/>
      </w:pPr>
      <w:r w:rsidRPr="006A75A2">
        <w:t>(</w:t>
      </w:r>
      <w:r>
        <w:t>c</w:t>
      </w:r>
      <w:r w:rsidRPr="006A75A2">
        <w:t>)</w:t>
      </w:r>
      <w:r w:rsidRPr="006A75A2">
        <w:tab/>
        <w:t>Purchase of non</w:t>
      </w:r>
      <w:r>
        <w:noBreakHyphen/>
      </w:r>
      <w:r w:rsidRPr="006A75A2">
        <w:t>financial assets by department</w:t>
      </w:r>
      <w:r w:rsidRPr="006A75A2">
        <w:rPr>
          <w:vertAlign w:val="superscript"/>
        </w:rPr>
        <w:t>(a)</w:t>
      </w:r>
    </w:p>
    <w:p w:rsidR="00336793" w:rsidRPr="00141546" w:rsidRDefault="00336793" w:rsidP="00DF0B96">
      <w:pPr>
        <w:pStyle w:val="million"/>
        <w:rPr>
          <w:rFonts w:ascii="Times New Roman" w:hAnsi="Times New Roman"/>
        </w:rPr>
      </w:pPr>
      <w:r w:rsidRPr="006A75A2">
        <w:t>($</w:t>
      </w:r>
      <w:r>
        <w:t> million)</w:t>
      </w:r>
    </w:p>
    <w:tbl>
      <w:tblPr>
        <w:tblW w:w="9647" w:type="dxa"/>
        <w:tblInd w:w="28" w:type="dxa"/>
        <w:tblLayout w:type="fixed"/>
        <w:tblCellMar>
          <w:left w:w="45" w:type="dxa"/>
          <w:right w:w="45" w:type="dxa"/>
        </w:tblCellMar>
        <w:tblLook w:val="0000" w:firstRow="0" w:lastRow="0" w:firstColumn="0" w:lastColumn="0" w:noHBand="0" w:noVBand="0"/>
      </w:tblPr>
      <w:tblGrid>
        <w:gridCol w:w="5757"/>
        <w:gridCol w:w="110"/>
        <w:gridCol w:w="810"/>
        <w:gridCol w:w="970"/>
        <w:gridCol w:w="110"/>
        <w:gridCol w:w="900"/>
        <w:gridCol w:w="990"/>
      </w:tblGrid>
      <w:tr w:rsidR="00336793" w:rsidRPr="00E96950" w:rsidTr="00DF0B96">
        <w:tc>
          <w:tcPr>
            <w:tcW w:w="5757" w:type="dxa"/>
            <w:tcBorders>
              <w:top w:val="single" w:sz="6" w:space="0" w:color="auto"/>
              <w:left w:val="single" w:sz="6" w:space="0" w:color="auto"/>
              <w:bottom w:val="nil"/>
              <w:right w:val="nil"/>
            </w:tcBorders>
            <w:shd w:val="clear" w:color="000000" w:fill="000000"/>
          </w:tcPr>
          <w:p w:rsidR="00336793" w:rsidRPr="00E96950" w:rsidRDefault="00336793" w:rsidP="00DF0B96">
            <w:pPr>
              <w:pStyle w:val="Tabletext"/>
              <w:rPr>
                <w:rFonts w:eastAsiaTheme="minorEastAsia"/>
                <w:i/>
                <w:lang w:eastAsia="en-AU"/>
              </w:rPr>
            </w:pPr>
            <w:r w:rsidRPr="00E96950">
              <w:rPr>
                <w:rFonts w:eastAsiaTheme="minorEastAsia"/>
                <w:i/>
                <w:lang w:eastAsia="en-AU"/>
              </w:rPr>
              <w:t xml:space="preserve"> </w:t>
            </w:r>
          </w:p>
        </w:tc>
        <w:tc>
          <w:tcPr>
            <w:tcW w:w="110" w:type="dxa"/>
            <w:tcBorders>
              <w:top w:val="single" w:sz="6" w:space="0" w:color="auto"/>
              <w:left w:val="nil"/>
              <w:bottom w:val="nil"/>
              <w:right w:val="nil"/>
            </w:tcBorders>
            <w:shd w:val="clear" w:color="000000" w:fill="000000"/>
          </w:tcPr>
          <w:p w:rsidR="00336793" w:rsidRPr="00E96950" w:rsidRDefault="00336793" w:rsidP="00DF0B96">
            <w:pPr>
              <w:pStyle w:val="TabletextheadingCentred"/>
              <w:rPr>
                <w:rFonts w:eastAsiaTheme="minorEastAsia"/>
                <w:lang w:eastAsia="en-AU"/>
              </w:rPr>
            </w:pPr>
            <w:r w:rsidRPr="00E96950">
              <w:rPr>
                <w:rFonts w:eastAsiaTheme="minorEastAsia"/>
                <w:lang w:eastAsia="en-AU"/>
              </w:rPr>
              <w:t xml:space="preserve"> </w:t>
            </w:r>
          </w:p>
        </w:tc>
        <w:tc>
          <w:tcPr>
            <w:tcW w:w="1780" w:type="dxa"/>
            <w:gridSpan w:val="2"/>
            <w:tcBorders>
              <w:top w:val="single" w:sz="6" w:space="0" w:color="auto"/>
              <w:left w:val="nil"/>
              <w:bottom w:val="nil"/>
              <w:right w:val="nil"/>
            </w:tcBorders>
            <w:shd w:val="clear" w:color="000000" w:fill="000000"/>
          </w:tcPr>
          <w:p w:rsidR="00336793" w:rsidRPr="00E96950" w:rsidRDefault="00336793" w:rsidP="00DF0B96">
            <w:pPr>
              <w:pStyle w:val="TabletextheadingCentred"/>
              <w:rPr>
                <w:rFonts w:eastAsiaTheme="minorEastAsia"/>
                <w:lang w:eastAsia="en-AU"/>
              </w:rPr>
            </w:pPr>
          </w:p>
          <w:p w:rsidR="00336793" w:rsidRPr="00E96950" w:rsidRDefault="00336793" w:rsidP="00DF0B96">
            <w:pPr>
              <w:pStyle w:val="TabletextheadingCentred"/>
              <w:rPr>
                <w:rFonts w:eastAsiaTheme="minorEastAsia"/>
                <w:lang w:eastAsia="en-AU"/>
              </w:rPr>
            </w:pPr>
            <w:r w:rsidRPr="00E96950">
              <w:rPr>
                <w:rFonts w:eastAsiaTheme="minorEastAsia"/>
                <w:lang w:eastAsia="en-AU"/>
              </w:rPr>
              <w:t>State of Victoria</w:t>
            </w:r>
          </w:p>
        </w:tc>
        <w:tc>
          <w:tcPr>
            <w:tcW w:w="110" w:type="dxa"/>
            <w:tcBorders>
              <w:top w:val="single" w:sz="6" w:space="0" w:color="auto"/>
              <w:left w:val="nil"/>
              <w:bottom w:val="nil"/>
              <w:right w:val="nil"/>
            </w:tcBorders>
            <w:shd w:val="clear" w:color="000000" w:fill="000000"/>
          </w:tcPr>
          <w:p w:rsidR="00336793" w:rsidRPr="00E96950" w:rsidRDefault="00336793" w:rsidP="00DF0B96">
            <w:pPr>
              <w:pStyle w:val="TabletextheadingCentred"/>
              <w:rPr>
                <w:rFonts w:eastAsiaTheme="minorEastAsia"/>
                <w:lang w:eastAsia="en-AU"/>
              </w:rPr>
            </w:pPr>
            <w:r w:rsidRPr="00E96950">
              <w:rPr>
                <w:rFonts w:eastAsiaTheme="minorEastAsia"/>
                <w:lang w:eastAsia="en-AU"/>
              </w:rPr>
              <w:t xml:space="preserve"> </w:t>
            </w:r>
          </w:p>
        </w:tc>
        <w:tc>
          <w:tcPr>
            <w:tcW w:w="1890" w:type="dxa"/>
            <w:gridSpan w:val="2"/>
            <w:tcBorders>
              <w:top w:val="single" w:sz="6" w:space="0" w:color="auto"/>
              <w:left w:val="nil"/>
              <w:bottom w:val="nil"/>
              <w:right w:val="single" w:sz="6" w:space="0" w:color="auto"/>
            </w:tcBorders>
            <w:shd w:val="clear" w:color="000000" w:fill="000000"/>
          </w:tcPr>
          <w:p w:rsidR="00336793" w:rsidRPr="00E96950" w:rsidRDefault="00336793" w:rsidP="00DF0B96">
            <w:pPr>
              <w:pStyle w:val="TabletextheadingCentred"/>
              <w:rPr>
                <w:rFonts w:eastAsiaTheme="minorEastAsia"/>
                <w:lang w:eastAsia="en-AU"/>
              </w:rPr>
            </w:pPr>
            <w:r w:rsidRPr="00E96950">
              <w:rPr>
                <w:rFonts w:eastAsiaTheme="minorEastAsia"/>
                <w:lang w:eastAsia="en-AU"/>
              </w:rPr>
              <w:t xml:space="preserve">General </w:t>
            </w:r>
          </w:p>
          <w:p w:rsidR="00336793" w:rsidRPr="00E96950" w:rsidRDefault="00336793" w:rsidP="00DF0B96">
            <w:pPr>
              <w:pStyle w:val="TabletextheadingCentred"/>
              <w:rPr>
                <w:rFonts w:eastAsiaTheme="minorEastAsia"/>
                <w:lang w:eastAsia="en-AU"/>
              </w:rPr>
            </w:pPr>
            <w:r w:rsidRPr="00E96950">
              <w:rPr>
                <w:rFonts w:eastAsiaTheme="minorEastAsia"/>
                <w:lang w:eastAsia="en-AU"/>
              </w:rPr>
              <w:t>government sector</w:t>
            </w:r>
          </w:p>
        </w:tc>
      </w:tr>
      <w:tr w:rsidR="00336793" w:rsidRPr="00E96950" w:rsidTr="00DF0B96">
        <w:tc>
          <w:tcPr>
            <w:tcW w:w="5757" w:type="dxa"/>
            <w:tcBorders>
              <w:top w:val="nil"/>
              <w:left w:val="single" w:sz="6" w:space="0" w:color="auto"/>
              <w:bottom w:val="single" w:sz="6" w:space="0" w:color="auto"/>
              <w:right w:val="nil"/>
            </w:tcBorders>
            <w:shd w:val="clear" w:color="000000" w:fill="000000"/>
          </w:tcPr>
          <w:p w:rsidR="00336793" w:rsidRPr="00E96950" w:rsidRDefault="00336793" w:rsidP="00DF0B96">
            <w:pPr>
              <w:pStyle w:val="Tabletext"/>
              <w:rPr>
                <w:rFonts w:eastAsiaTheme="minorEastAsia"/>
                <w:i/>
                <w:lang w:eastAsia="en-AU"/>
              </w:rPr>
            </w:pPr>
            <w:r w:rsidRPr="00E96950">
              <w:rPr>
                <w:rFonts w:eastAsiaTheme="minorEastAsia"/>
                <w:i/>
                <w:lang w:eastAsia="en-AU"/>
              </w:rPr>
              <w:t xml:space="preserve"> </w:t>
            </w:r>
          </w:p>
        </w:tc>
        <w:tc>
          <w:tcPr>
            <w:tcW w:w="920" w:type="dxa"/>
            <w:gridSpan w:val="2"/>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color w:val="FFFFFF"/>
                <w:lang w:eastAsia="en-AU"/>
              </w:rPr>
            </w:pPr>
            <w:r w:rsidRPr="00E96950">
              <w:rPr>
                <w:rFonts w:eastAsiaTheme="minorEastAsia"/>
                <w:color w:val="FFFFFF"/>
                <w:lang w:eastAsia="en-AU"/>
              </w:rPr>
              <w:t>2015</w:t>
            </w:r>
          </w:p>
        </w:tc>
        <w:tc>
          <w:tcPr>
            <w:tcW w:w="970" w:type="dxa"/>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color w:val="FFFFFF"/>
                <w:lang w:eastAsia="en-AU"/>
              </w:rPr>
            </w:pPr>
            <w:r w:rsidRPr="00E96950">
              <w:rPr>
                <w:rFonts w:eastAsiaTheme="minorEastAsia"/>
                <w:color w:val="FFFFFF"/>
                <w:lang w:eastAsia="en-AU"/>
              </w:rPr>
              <w:t>2014</w:t>
            </w:r>
          </w:p>
        </w:tc>
        <w:tc>
          <w:tcPr>
            <w:tcW w:w="1010" w:type="dxa"/>
            <w:gridSpan w:val="2"/>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color w:val="FFFFFF"/>
                <w:lang w:eastAsia="en-AU"/>
              </w:rPr>
            </w:pPr>
            <w:r w:rsidRPr="00E96950">
              <w:rPr>
                <w:rFonts w:eastAsiaTheme="minorEastAsia"/>
                <w:color w:val="FFFFFF"/>
                <w:lang w:eastAsia="en-AU"/>
              </w:rPr>
              <w:t>2015</w:t>
            </w:r>
          </w:p>
        </w:tc>
        <w:tc>
          <w:tcPr>
            <w:tcW w:w="990" w:type="dxa"/>
            <w:tcBorders>
              <w:top w:val="nil"/>
              <w:left w:val="nil"/>
              <w:bottom w:val="single" w:sz="6" w:space="0" w:color="auto"/>
              <w:right w:val="single" w:sz="6" w:space="0" w:color="auto"/>
            </w:tcBorders>
            <w:shd w:val="clear" w:color="000000" w:fill="000000"/>
          </w:tcPr>
          <w:p w:rsidR="00336793" w:rsidRPr="00E96950" w:rsidRDefault="00336793" w:rsidP="00DF0B96">
            <w:pPr>
              <w:pStyle w:val="Tabletextheading"/>
              <w:rPr>
                <w:rFonts w:eastAsiaTheme="minorEastAsia"/>
                <w:color w:val="FFFFFF"/>
                <w:lang w:eastAsia="en-AU"/>
              </w:rPr>
            </w:pPr>
            <w:r w:rsidRPr="00E96950">
              <w:rPr>
                <w:rFonts w:eastAsiaTheme="minorEastAsia"/>
                <w:color w:val="FFFFFF"/>
                <w:lang w:eastAsia="en-AU"/>
              </w:rPr>
              <w:t>2014</w:t>
            </w:r>
          </w:p>
        </w:tc>
      </w:tr>
      <w:tr w:rsidR="00336793" w:rsidRPr="00E96950" w:rsidTr="00DF0B96">
        <w:tc>
          <w:tcPr>
            <w:tcW w:w="5757" w:type="dxa"/>
            <w:tcBorders>
              <w:top w:val="single" w:sz="6" w:space="0" w:color="auto"/>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Economic Development, Jobs, Transport and Resources</w:t>
            </w:r>
          </w:p>
        </w:tc>
        <w:tc>
          <w:tcPr>
            <w:tcW w:w="920" w:type="dxa"/>
            <w:gridSpan w:val="2"/>
            <w:tcBorders>
              <w:top w:val="single" w:sz="6" w:space="0" w:color="auto"/>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1 486.1</w:t>
            </w:r>
          </w:p>
        </w:tc>
        <w:tc>
          <w:tcPr>
            <w:tcW w:w="970" w:type="dxa"/>
            <w:tcBorders>
              <w:top w:val="single" w:sz="6" w:space="0" w:color="auto"/>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66.6</w:t>
            </w:r>
          </w:p>
        </w:tc>
        <w:tc>
          <w:tcPr>
            <w:tcW w:w="1010" w:type="dxa"/>
            <w:gridSpan w:val="2"/>
            <w:tcBorders>
              <w:top w:val="single" w:sz="6" w:space="0" w:color="auto"/>
              <w:left w:val="nil"/>
              <w:bottom w:val="nil"/>
              <w:right w:val="nil"/>
            </w:tcBorders>
          </w:tcPr>
          <w:p w:rsidR="00336793" w:rsidRPr="00E96950" w:rsidRDefault="00336793" w:rsidP="00DF0B96">
            <w:pPr>
              <w:pStyle w:val="TableofFigures"/>
              <w:rPr>
                <w:rFonts w:eastAsiaTheme="minorEastAsia" w:cs="Calibri"/>
                <w:color w:val="000000"/>
                <w:lang w:eastAsia="en-AU"/>
              </w:rPr>
            </w:pPr>
            <w:r w:rsidRPr="00E96950">
              <w:rPr>
                <w:rFonts w:eastAsiaTheme="minorEastAsia"/>
                <w:lang w:eastAsia="en-AU"/>
              </w:rPr>
              <w:t>1 175.2</w:t>
            </w:r>
          </w:p>
        </w:tc>
        <w:tc>
          <w:tcPr>
            <w:tcW w:w="990" w:type="dxa"/>
            <w:tcBorders>
              <w:top w:val="single" w:sz="6" w:space="0" w:color="auto"/>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50.1</w:t>
            </w:r>
          </w:p>
        </w:tc>
      </w:tr>
      <w:tr w:rsidR="00336793" w:rsidRPr="00E96950" w:rsidTr="00DF0B96">
        <w:tc>
          <w:tcPr>
            <w:tcW w:w="5757"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Education and Training</w:t>
            </w:r>
          </w:p>
        </w:tc>
        <w:tc>
          <w:tcPr>
            <w:tcW w:w="92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363.1</w:t>
            </w:r>
          </w:p>
        </w:tc>
        <w:tc>
          <w:tcPr>
            <w:tcW w:w="97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521.9</w:t>
            </w:r>
          </w:p>
        </w:tc>
        <w:tc>
          <w:tcPr>
            <w:tcW w:w="101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363.1</w:t>
            </w:r>
          </w:p>
        </w:tc>
        <w:tc>
          <w:tcPr>
            <w:tcW w:w="99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521.9</w:t>
            </w:r>
          </w:p>
        </w:tc>
      </w:tr>
      <w:tr w:rsidR="00336793" w:rsidRPr="00E96950" w:rsidTr="00DF0B96">
        <w:tc>
          <w:tcPr>
            <w:tcW w:w="5757" w:type="dxa"/>
            <w:tcBorders>
              <w:top w:val="nil"/>
              <w:left w:val="nil"/>
              <w:bottom w:val="nil"/>
              <w:right w:val="nil"/>
            </w:tcBorders>
          </w:tcPr>
          <w:p w:rsidR="00336793" w:rsidRPr="00E96950" w:rsidRDefault="00336793" w:rsidP="00DF0B96">
            <w:pPr>
              <w:pStyle w:val="Tabletext"/>
              <w:rPr>
                <w:rFonts w:eastAsiaTheme="minorEastAsia" w:cs="Calibri"/>
                <w:color w:val="000000"/>
                <w:vertAlign w:val="superscript"/>
                <w:lang w:eastAsia="en-AU"/>
              </w:rPr>
            </w:pPr>
            <w:r w:rsidRPr="00E96950">
              <w:rPr>
                <w:rFonts w:eastAsiaTheme="minorEastAsia"/>
                <w:lang w:eastAsia="en-AU"/>
              </w:rPr>
              <w:t>Environment, Land, Water and Planning</w:t>
            </w:r>
            <w:r w:rsidRPr="00E96950">
              <w:rPr>
                <w:rFonts w:eastAsiaTheme="minorEastAsia"/>
                <w:vertAlign w:val="superscript"/>
                <w:lang w:eastAsia="en-AU"/>
              </w:rPr>
              <w:t xml:space="preserve"> (b</w:t>
            </w:r>
            <w:r w:rsidRPr="00E96950">
              <w:rPr>
                <w:rFonts w:eastAsiaTheme="minorEastAsia" w:cs="Calibri"/>
                <w:color w:val="000000"/>
                <w:vertAlign w:val="superscript"/>
                <w:lang w:eastAsia="en-AU"/>
              </w:rPr>
              <w:t>)</w:t>
            </w:r>
          </w:p>
        </w:tc>
        <w:tc>
          <w:tcPr>
            <w:tcW w:w="92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1 353.6</w:t>
            </w:r>
          </w:p>
        </w:tc>
        <w:tc>
          <w:tcPr>
            <w:tcW w:w="97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1 368.5</w:t>
            </w:r>
          </w:p>
        </w:tc>
        <w:tc>
          <w:tcPr>
            <w:tcW w:w="101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143.5</w:t>
            </w:r>
          </w:p>
        </w:tc>
        <w:tc>
          <w:tcPr>
            <w:tcW w:w="99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135.1</w:t>
            </w:r>
          </w:p>
        </w:tc>
      </w:tr>
      <w:tr w:rsidR="00336793" w:rsidRPr="00E96950" w:rsidTr="00DF0B96">
        <w:tc>
          <w:tcPr>
            <w:tcW w:w="5757"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Health and Human Services</w:t>
            </w:r>
          </w:p>
        </w:tc>
        <w:tc>
          <w:tcPr>
            <w:tcW w:w="920" w:type="dxa"/>
            <w:gridSpan w:val="2"/>
            <w:tcBorders>
              <w:top w:val="nil"/>
              <w:left w:val="nil"/>
              <w:bottom w:val="nil"/>
              <w:right w:val="nil"/>
            </w:tcBorders>
          </w:tcPr>
          <w:p w:rsidR="00336793" w:rsidRPr="00E96950" w:rsidRDefault="00336793" w:rsidP="00DF0B96">
            <w:pPr>
              <w:pStyle w:val="TableofFigures"/>
              <w:rPr>
                <w:rFonts w:eastAsiaTheme="minorEastAsia" w:cs="Calibri"/>
                <w:color w:val="000000"/>
                <w:lang w:eastAsia="en-AU"/>
              </w:rPr>
            </w:pPr>
            <w:r w:rsidRPr="00E96950">
              <w:rPr>
                <w:rFonts w:eastAsiaTheme="minorEastAsia"/>
                <w:lang w:eastAsia="en-AU"/>
              </w:rPr>
              <w:t>1 071.2</w:t>
            </w:r>
          </w:p>
        </w:tc>
        <w:tc>
          <w:tcPr>
            <w:tcW w:w="97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1 032.1</w:t>
            </w:r>
          </w:p>
        </w:tc>
        <w:tc>
          <w:tcPr>
            <w:tcW w:w="101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948.9</w:t>
            </w:r>
          </w:p>
        </w:tc>
        <w:tc>
          <w:tcPr>
            <w:tcW w:w="99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1 004.6</w:t>
            </w:r>
          </w:p>
        </w:tc>
      </w:tr>
      <w:tr w:rsidR="00336793" w:rsidRPr="00E96950" w:rsidTr="00DF0B96">
        <w:tc>
          <w:tcPr>
            <w:tcW w:w="5757"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Human Services</w:t>
            </w:r>
          </w:p>
        </w:tc>
        <w:tc>
          <w:tcPr>
            <w:tcW w:w="92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103.4</w:t>
            </w:r>
          </w:p>
        </w:tc>
        <w:tc>
          <w:tcPr>
            <w:tcW w:w="97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336.2</w:t>
            </w:r>
          </w:p>
        </w:tc>
        <w:tc>
          <w:tcPr>
            <w:tcW w:w="101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19.0</w:t>
            </w:r>
          </w:p>
        </w:tc>
        <w:tc>
          <w:tcPr>
            <w:tcW w:w="99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44.6</w:t>
            </w:r>
          </w:p>
        </w:tc>
      </w:tr>
      <w:tr w:rsidR="00336793" w:rsidRPr="00E96950" w:rsidTr="00DF0B96">
        <w:tc>
          <w:tcPr>
            <w:tcW w:w="5757"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Justice and Regulation</w:t>
            </w:r>
          </w:p>
        </w:tc>
        <w:tc>
          <w:tcPr>
            <w:tcW w:w="92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637.6</w:t>
            </w:r>
          </w:p>
        </w:tc>
        <w:tc>
          <w:tcPr>
            <w:tcW w:w="97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436.8</w:t>
            </w:r>
          </w:p>
        </w:tc>
        <w:tc>
          <w:tcPr>
            <w:tcW w:w="101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636.4</w:t>
            </w:r>
          </w:p>
        </w:tc>
        <w:tc>
          <w:tcPr>
            <w:tcW w:w="99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436.0</w:t>
            </w:r>
          </w:p>
        </w:tc>
      </w:tr>
      <w:tr w:rsidR="00336793" w:rsidRPr="00E96950" w:rsidTr="00DF0B96">
        <w:tc>
          <w:tcPr>
            <w:tcW w:w="5757"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Premier and Cabinet</w:t>
            </w:r>
          </w:p>
        </w:tc>
        <w:tc>
          <w:tcPr>
            <w:tcW w:w="92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25.0</w:t>
            </w:r>
          </w:p>
        </w:tc>
        <w:tc>
          <w:tcPr>
            <w:tcW w:w="97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72.3</w:t>
            </w:r>
          </w:p>
        </w:tc>
        <w:tc>
          <w:tcPr>
            <w:tcW w:w="101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22.5</w:t>
            </w:r>
          </w:p>
        </w:tc>
        <w:tc>
          <w:tcPr>
            <w:tcW w:w="99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67.5</w:t>
            </w:r>
          </w:p>
        </w:tc>
      </w:tr>
      <w:tr w:rsidR="00336793" w:rsidRPr="00E96950" w:rsidTr="00DF0B96">
        <w:tc>
          <w:tcPr>
            <w:tcW w:w="5757"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 xml:space="preserve">Transport, Planning and Local Infrastructure </w:t>
            </w:r>
          </w:p>
        </w:tc>
        <w:tc>
          <w:tcPr>
            <w:tcW w:w="920" w:type="dxa"/>
            <w:gridSpan w:val="2"/>
            <w:tcBorders>
              <w:top w:val="nil"/>
              <w:left w:val="nil"/>
              <w:bottom w:val="nil"/>
              <w:right w:val="nil"/>
            </w:tcBorders>
          </w:tcPr>
          <w:p w:rsidR="00336793" w:rsidRPr="00E96950" w:rsidRDefault="00336793" w:rsidP="00DF0B96">
            <w:pPr>
              <w:pStyle w:val="TableofFigures"/>
              <w:rPr>
                <w:rFonts w:eastAsiaTheme="minorEastAsia" w:cs="Calibri"/>
                <w:color w:val="000000"/>
                <w:lang w:eastAsia="en-AU"/>
              </w:rPr>
            </w:pPr>
            <w:r w:rsidRPr="00E96950">
              <w:rPr>
                <w:rFonts w:eastAsiaTheme="minorEastAsia"/>
                <w:lang w:eastAsia="en-AU"/>
              </w:rPr>
              <w:t>1 309.1</w:t>
            </w:r>
          </w:p>
        </w:tc>
        <w:tc>
          <w:tcPr>
            <w:tcW w:w="97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3 304.3</w:t>
            </w:r>
          </w:p>
        </w:tc>
        <w:tc>
          <w:tcPr>
            <w:tcW w:w="101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892.9</w:t>
            </w:r>
          </w:p>
        </w:tc>
        <w:tc>
          <w:tcPr>
            <w:tcW w:w="99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1 571.2</w:t>
            </w:r>
          </w:p>
        </w:tc>
      </w:tr>
      <w:tr w:rsidR="00336793" w:rsidRPr="00E96950" w:rsidTr="00DF0B96">
        <w:tc>
          <w:tcPr>
            <w:tcW w:w="5757"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 xml:space="preserve">Treasury and Finance </w:t>
            </w:r>
          </w:p>
        </w:tc>
        <w:tc>
          <w:tcPr>
            <w:tcW w:w="92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101.8</w:t>
            </w:r>
          </w:p>
        </w:tc>
        <w:tc>
          <w:tcPr>
            <w:tcW w:w="97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95.5</w:t>
            </w:r>
          </w:p>
        </w:tc>
        <w:tc>
          <w:tcPr>
            <w:tcW w:w="101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30.5</w:t>
            </w:r>
          </w:p>
        </w:tc>
        <w:tc>
          <w:tcPr>
            <w:tcW w:w="99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62.6</w:t>
            </w:r>
          </w:p>
        </w:tc>
      </w:tr>
      <w:tr w:rsidR="00336793" w:rsidRPr="00E96950" w:rsidTr="00DF0B96">
        <w:tc>
          <w:tcPr>
            <w:tcW w:w="5757" w:type="dxa"/>
            <w:tcBorders>
              <w:top w:val="nil"/>
              <w:left w:val="nil"/>
              <w:bottom w:val="nil"/>
              <w:right w:val="nil"/>
            </w:tcBorders>
          </w:tcPr>
          <w:p w:rsidR="00336793" w:rsidRPr="00E96950" w:rsidRDefault="00336793" w:rsidP="00DF0B96">
            <w:pPr>
              <w:pStyle w:val="Tabletext"/>
              <w:rPr>
                <w:rFonts w:eastAsiaTheme="minorEastAsia"/>
                <w:lang w:eastAsia="en-AU"/>
              </w:rPr>
            </w:pPr>
            <w:r w:rsidRPr="00E96950">
              <w:rPr>
                <w:rFonts w:eastAsiaTheme="minorEastAsia"/>
                <w:lang w:eastAsia="en-AU"/>
              </w:rPr>
              <w:t>Parliament</w:t>
            </w:r>
          </w:p>
        </w:tc>
        <w:tc>
          <w:tcPr>
            <w:tcW w:w="92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21.8</w:t>
            </w:r>
          </w:p>
        </w:tc>
        <w:tc>
          <w:tcPr>
            <w:tcW w:w="97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13.3</w:t>
            </w:r>
          </w:p>
        </w:tc>
        <w:tc>
          <w:tcPr>
            <w:tcW w:w="101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21.8</w:t>
            </w:r>
          </w:p>
        </w:tc>
        <w:tc>
          <w:tcPr>
            <w:tcW w:w="99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13.3</w:t>
            </w:r>
          </w:p>
        </w:tc>
      </w:tr>
      <w:tr w:rsidR="00336793" w:rsidRPr="00E96950" w:rsidTr="00DF0B96">
        <w:tc>
          <w:tcPr>
            <w:tcW w:w="5757" w:type="dxa"/>
            <w:tcBorders>
              <w:top w:val="nil"/>
              <w:left w:val="nil"/>
              <w:bottom w:val="nil"/>
              <w:right w:val="nil"/>
            </w:tcBorders>
          </w:tcPr>
          <w:p w:rsidR="00336793" w:rsidRPr="00E96950" w:rsidRDefault="00336793" w:rsidP="00DF0B96">
            <w:pPr>
              <w:pStyle w:val="Tabletext"/>
              <w:rPr>
                <w:rFonts w:eastAsiaTheme="minorEastAsia" w:cs="Calibri"/>
                <w:color w:val="000000"/>
                <w:vertAlign w:val="superscript"/>
                <w:lang w:eastAsia="en-AU"/>
              </w:rPr>
            </w:pPr>
            <w:r w:rsidRPr="00E96950">
              <w:rPr>
                <w:rFonts w:eastAsiaTheme="minorEastAsia"/>
                <w:lang w:eastAsia="en-AU"/>
              </w:rPr>
              <w:t>Courts</w:t>
            </w:r>
            <w:r w:rsidRPr="00E96950">
              <w:rPr>
                <w:rFonts w:eastAsiaTheme="minorEastAsia"/>
                <w:vertAlign w:val="superscript"/>
                <w:lang w:eastAsia="en-AU"/>
              </w:rPr>
              <w:t xml:space="preserve"> (</w:t>
            </w:r>
            <w:r w:rsidRPr="00E96950">
              <w:rPr>
                <w:rFonts w:eastAsiaTheme="minorEastAsia" w:cs="Calibri"/>
                <w:color w:val="000000"/>
                <w:vertAlign w:val="superscript"/>
                <w:lang w:eastAsia="en-AU"/>
              </w:rPr>
              <w:t>c)</w:t>
            </w:r>
          </w:p>
        </w:tc>
        <w:tc>
          <w:tcPr>
            <w:tcW w:w="92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19.4</w:t>
            </w:r>
          </w:p>
        </w:tc>
        <w:tc>
          <w:tcPr>
            <w:tcW w:w="97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w:t>
            </w:r>
          </w:p>
        </w:tc>
        <w:tc>
          <w:tcPr>
            <w:tcW w:w="101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19.4</w:t>
            </w:r>
          </w:p>
        </w:tc>
        <w:tc>
          <w:tcPr>
            <w:tcW w:w="99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w:t>
            </w:r>
          </w:p>
        </w:tc>
      </w:tr>
      <w:tr w:rsidR="00336793" w:rsidRPr="00E96950" w:rsidTr="00DF0B96">
        <w:tc>
          <w:tcPr>
            <w:tcW w:w="5757" w:type="dxa"/>
            <w:tcBorders>
              <w:top w:val="nil"/>
              <w:left w:val="nil"/>
              <w:bottom w:val="nil"/>
              <w:right w:val="nil"/>
            </w:tcBorders>
          </w:tcPr>
          <w:p w:rsidR="00336793" w:rsidRPr="00E96950" w:rsidRDefault="00336793" w:rsidP="00DF0B96">
            <w:pPr>
              <w:pStyle w:val="Tabletext"/>
              <w:rPr>
                <w:rFonts w:eastAsiaTheme="minorEastAsia"/>
                <w:vertAlign w:val="superscript"/>
                <w:lang w:eastAsia="en-AU"/>
              </w:rPr>
            </w:pPr>
            <w:r w:rsidRPr="00E96950">
              <w:rPr>
                <w:rFonts w:eastAsiaTheme="minorEastAsia"/>
                <w:lang w:eastAsia="en-AU"/>
              </w:rPr>
              <w:t>Regulatory bodies and other part budget funded agencies</w:t>
            </w:r>
            <w:r w:rsidRPr="00E96950">
              <w:rPr>
                <w:rFonts w:eastAsiaTheme="minorEastAsia"/>
                <w:vertAlign w:val="superscript"/>
                <w:lang w:eastAsia="en-AU"/>
              </w:rPr>
              <w:t xml:space="preserve"> (d)</w:t>
            </w:r>
          </w:p>
        </w:tc>
        <w:tc>
          <w:tcPr>
            <w:tcW w:w="92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200.4</w:t>
            </w:r>
          </w:p>
        </w:tc>
        <w:tc>
          <w:tcPr>
            <w:tcW w:w="97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172.9</w:t>
            </w:r>
          </w:p>
        </w:tc>
        <w:tc>
          <w:tcPr>
            <w:tcW w:w="1010" w:type="dxa"/>
            <w:gridSpan w:val="2"/>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200.4</w:t>
            </w:r>
          </w:p>
        </w:tc>
        <w:tc>
          <w:tcPr>
            <w:tcW w:w="990" w:type="dxa"/>
            <w:tcBorders>
              <w:top w:val="nil"/>
              <w:left w:val="nil"/>
              <w:bottom w:val="nil"/>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 xml:space="preserve"> 172.9</w:t>
            </w:r>
          </w:p>
        </w:tc>
      </w:tr>
      <w:tr w:rsidR="00336793" w:rsidRPr="00E96950" w:rsidTr="00DF0B96">
        <w:tc>
          <w:tcPr>
            <w:tcW w:w="5757" w:type="dxa"/>
            <w:tcBorders>
              <w:top w:val="nil"/>
              <w:left w:val="nil"/>
              <w:bottom w:val="single" w:sz="6" w:space="0" w:color="auto"/>
              <w:right w:val="nil"/>
            </w:tcBorders>
          </w:tcPr>
          <w:p w:rsidR="00336793" w:rsidRPr="00E96950" w:rsidRDefault="00336793" w:rsidP="00DF0B96">
            <w:pPr>
              <w:pStyle w:val="Tabletext"/>
              <w:rPr>
                <w:rFonts w:eastAsiaTheme="minorEastAsia"/>
                <w:vertAlign w:val="superscript"/>
                <w:lang w:eastAsia="en-AU"/>
              </w:rPr>
            </w:pPr>
            <w:r w:rsidRPr="00E96950">
              <w:rPr>
                <w:rFonts w:eastAsiaTheme="minorEastAsia"/>
                <w:lang w:eastAsia="en-AU"/>
              </w:rPr>
              <w:t>Adjustments</w:t>
            </w:r>
            <w:r w:rsidRPr="00E96950">
              <w:rPr>
                <w:rFonts w:eastAsiaTheme="minorEastAsia"/>
                <w:vertAlign w:val="superscript"/>
                <w:lang w:eastAsia="en-AU"/>
              </w:rPr>
              <w:t xml:space="preserve"> (e)</w:t>
            </w:r>
          </w:p>
        </w:tc>
        <w:tc>
          <w:tcPr>
            <w:tcW w:w="920" w:type="dxa"/>
            <w:gridSpan w:val="2"/>
            <w:tcBorders>
              <w:top w:val="nil"/>
              <w:left w:val="nil"/>
              <w:bottom w:val="single" w:sz="6" w:space="0" w:color="auto"/>
              <w:right w:val="nil"/>
            </w:tcBorders>
          </w:tcPr>
          <w:p w:rsidR="00336793" w:rsidRPr="00E96950" w:rsidRDefault="00336793" w:rsidP="00DF0B96">
            <w:pPr>
              <w:pStyle w:val="TableofFigures"/>
              <w:rPr>
                <w:rFonts w:eastAsiaTheme="minorEastAsia" w:cs="Calibri"/>
                <w:color w:val="000000"/>
                <w:lang w:eastAsia="en-AU"/>
              </w:rPr>
            </w:pPr>
            <w:r w:rsidRPr="00E96950">
              <w:rPr>
                <w:rFonts w:eastAsiaTheme="minorEastAsia"/>
                <w:lang w:eastAsia="en-AU"/>
              </w:rPr>
              <w:t>(76.9)</w:t>
            </w:r>
          </w:p>
        </w:tc>
        <w:tc>
          <w:tcPr>
            <w:tcW w:w="970" w:type="dxa"/>
            <w:tcBorders>
              <w:top w:val="nil"/>
              <w:left w:val="nil"/>
              <w:bottom w:val="single" w:sz="6" w:space="0" w:color="auto"/>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(85.6)</w:t>
            </w:r>
          </w:p>
        </w:tc>
        <w:tc>
          <w:tcPr>
            <w:tcW w:w="1010" w:type="dxa"/>
            <w:gridSpan w:val="2"/>
            <w:tcBorders>
              <w:top w:val="nil"/>
              <w:left w:val="nil"/>
              <w:bottom w:val="single" w:sz="6" w:space="0" w:color="auto"/>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(80.0)</w:t>
            </w:r>
          </w:p>
        </w:tc>
        <w:tc>
          <w:tcPr>
            <w:tcW w:w="990" w:type="dxa"/>
            <w:tcBorders>
              <w:top w:val="nil"/>
              <w:left w:val="nil"/>
              <w:bottom w:val="single" w:sz="6" w:space="0" w:color="auto"/>
              <w:right w:val="nil"/>
            </w:tcBorders>
          </w:tcPr>
          <w:p w:rsidR="00336793" w:rsidRPr="00E96950" w:rsidRDefault="00336793" w:rsidP="00DF0B96">
            <w:pPr>
              <w:pStyle w:val="TableofFigures"/>
              <w:rPr>
                <w:rFonts w:eastAsiaTheme="minorEastAsia"/>
                <w:lang w:eastAsia="en-AU"/>
              </w:rPr>
            </w:pPr>
            <w:r w:rsidRPr="00E96950">
              <w:rPr>
                <w:rFonts w:eastAsiaTheme="minorEastAsia"/>
                <w:lang w:eastAsia="en-AU"/>
              </w:rPr>
              <w:t>(82.5)</w:t>
            </w:r>
          </w:p>
        </w:tc>
      </w:tr>
      <w:tr w:rsidR="00336793" w:rsidRPr="00E96950" w:rsidTr="00DF0B96">
        <w:tc>
          <w:tcPr>
            <w:tcW w:w="5757"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text"/>
              <w:rPr>
                <w:rFonts w:eastAsiaTheme="minorEastAsia" w:cs="Calibri"/>
                <w:b/>
                <w:bCs/>
                <w:color w:val="000000"/>
                <w:vertAlign w:val="superscript"/>
                <w:lang w:eastAsia="en-AU"/>
              </w:rPr>
            </w:pPr>
            <w:r w:rsidRPr="00E96950">
              <w:rPr>
                <w:rFonts w:eastAsiaTheme="minorEastAsia"/>
                <w:b/>
                <w:bCs/>
                <w:lang w:eastAsia="en-AU"/>
              </w:rPr>
              <w:t>Total</w:t>
            </w:r>
            <w:r w:rsidRPr="00E96950">
              <w:rPr>
                <w:rFonts w:eastAsiaTheme="minorEastAsia"/>
                <w:b/>
                <w:bCs/>
                <w:vertAlign w:val="superscript"/>
                <w:lang w:eastAsia="en-AU"/>
              </w:rPr>
              <w:t xml:space="preserve"> (</w:t>
            </w:r>
            <w:r w:rsidRPr="00E96950">
              <w:rPr>
                <w:rFonts w:eastAsiaTheme="minorEastAsia" w:cs="Calibri"/>
                <w:b/>
                <w:bCs/>
                <w:color w:val="000000"/>
                <w:vertAlign w:val="superscript"/>
                <w:lang w:eastAsia="en-AU"/>
              </w:rPr>
              <w:t>b)</w:t>
            </w:r>
          </w:p>
        </w:tc>
        <w:tc>
          <w:tcPr>
            <w:tcW w:w="920" w:type="dxa"/>
            <w:gridSpan w:val="2"/>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lang w:eastAsia="en-AU"/>
              </w:rPr>
            </w:pPr>
            <w:r w:rsidRPr="00E96950">
              <w:rPr>
                <w:rFonts w:eastAsiaTheme="minorEastAsia"/>
                <w:b/>
                <w:bCs/>
                <w:lang w:eastAsia="en-AU"/>
              </w:rPr>
              <w:t>6 615.6</w:t>
            </w:r>
          </w:p>
        </w:tc>
        <w:tc>
          <w:tcPr>
            <w:tcW w:w="970"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lang w:eastAsia="en-AU"/>
              </w:rPr>
            </w:pPr>
            <w:r w:rsidRPr="00E96950">
              <w:rPr>
                <w:rFonts w:eastAsiaTheme="minorEastAsia"/>
                <w:b/>
                <w:bCs/>
                <w:lang w:eastAsia="en-AU"/>
              </w:rPr>
              <w:t>7 334.7</w:t>
            </w:r>
          </w:p>
        </w:tc>
        <w:tc>
          <w:tcPr>
            <w:tcW w:w="1010" w:type="dxa"/>
            <w:gridSpan w:val="2"/>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lang w:eastAsia="en-AU"/>
              </w:rPr>
            </w:pPr>
            <w:r w:rsidRPr="00E96950">
              <w:rPr>
                <w:rFonts w:eastAsiaTheme="minorEastAsia"/>
                <w:b/>
                <w:bCs/>
                <w:lang w:eastAsia="en-AU"/>
              </w:rPr>
              <w:t>4 393.7</w:t>
            </w:r>
          </w:p>
        </w:tc>
        <w:tc>
          <w:tcPr>
            <w:tcW w:w="990"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lang w:eastAsia="en-AU"/>
              </w:rPr>
            </w:pPr>
            <w:r w:rsidRPr="00E96950">
              <w:rPr>
                <w:rFonts w:eastAsiaTheme="minorEastAsia"/>
                <w:b/>
                <w:bCs/>
                <w:lang w:eastAsia="en-AU"/>
              </w:rPr>
              <w:t>3 997.3</w:t>
            </w:r>
          </w:p>
        </w:tc>
      </w:tr>
    </w:tbl>
    <w:p w:rsidR="00336793" w:rsidRPr="006A75A2" w:rsidRDefault="00336793" w:rsidP="00DF0B96">
      <w:pPr>
        <w:pStyle w:val="Notes"/>
      </w:pPr>
      <w:r w:rsidRPr="006A75A2">
        <w:t>Notes:</w:t>
      </w:r>
    </w:p>
    <w:p w:rsidR="00336793" w:rsidRDefault="00336793" w:rsidP="00DF0B96">
      <w:pPr>
        <w:pStyle w:val="Notes"/>
      </w:pPr>
      <w:r w:rsidRPr="006A75A2">
        <w:t>(a)</w:t>
      </w:r>
      <w:r w:rsidRPr="006A75A2">
        <w:tab/>
      </w:r>
      <w:r>
        <w:t>Effective 1 January 2015 several departments were renamed due to machinery of government changes:</w:t>
      </w:r>
    </w:p>
    <w:p w:rsidR="00336793" w:rsidRDefault="00336793" w:rsidP="00DF0B96">
      <w:pPr>
        <w:pStyle w:val="NotesDash"/>
      </w:pPr>
      <w:r>
        <w:t>the Department of Education and Early Childhood Development was renamed the Department of Education and Training;</w:t>
      </w:r>
    </w:p>
    <w:p w:rsidR="00336793" w:rsidRDefault="00336793" w:rsidP="00DF0B96">
      <w:pPr>
        <w:pStyle w:val="NotesDash"/>
      </w:pPr>
      <w:r>
        <w:t>the Department of Environment and Primary Industries was renamed the Department of Environment, Land, Water and Planning;</w:t>
      </w:r>
    </w:p>
    <w:p w:rsidR="00336793" w:rsidRDefault="00336793" w:rsidP="00DF0B96">
      <w:pPr>
        <w:pStyle w:val="NotesDash"/>
      </w:pPr>
      <w:r>
        <w:t>the Department of Health was renamed the Department of Health and Human Services;</w:t>
      </w:r>
    </w:p>
    <w:p w:rsidR="00336793" w:rsidRDefault="00336793" w:rsidP="00DF0B96">
      <w:pPr>
        <w:pStyle w:val="NotesDash"/>
      </w:pPr>
      <w:r>
        <w:t xml:space="preserve">the Department of Justice was renamed the Department of Justice and Regulation; </w:t>
      </w:r>
    </w:p>
    <w:p w:rsidR="00336793" w:rsidRDefault="00336793" w:rsidP="00DF0B96">
      <w:pPr>
        <w:pStyle w:val="NotesDash"/>
      </w:pPr>
      <w:r>
        <w:t xml:space="preserve">the Department of State Development, Business and Innovation was renamed the Department of Economic Development, Jobs, Transport and Resources; </w:t>
      </w:r>
    </w:p>
    <w:p w:rsidR="00336793" w:rsidRDefault="00336793" w:rsidP="00DF0B96">
      <w:pPr>
        <w:pStyle w:val="NotesDash"/>
      </w:pPr>
      <w:r>
        <w:t xml:space="preserve">the Department of Human Services was abolished; and </w:t>
      </w:r>
    </w:p>
    <w:p w:rsidR="00336793" w:rsidRDefault="00336793" w:rsidP="00DF0B96">
      <w:pPr>
        <w:pStyle w:val="NotesDash"/>
      </w:pPr>
      <w:r>
        <w:t xml:space="preserve">the Department of Transport, Planning and Local Infrastructure was abolished. </w:t>
      </w:r>
    </w:p>
    <w:p w:rsidR="00336793" w:rsidRDefault="00336793" w:rsidP="00DF0B96">
      <w:pPr>
        <w:pStyle w:val="Notes"/>
      </w:pPr>
      <w:r>
        <w:tab/>
        <w:t xml:space="preserve">The two abolished departments had their functions and operations transferred to other Victorian government departments. Functions and operations of the Department of Human Services were transferred to the Department of Health and Human Services and to the Department of Premier and Cabinet. Functions and operating of the Department of Transport, Planning and local Infrastructure were transferred to the Department of Environment, Land, Water and Planning, the Department of Health and Humans Services and to the Department of Economic Development, Jobs, Transport and Resource. Certain functions and operations of continuing Victorian government departments were also transferred amongst departments as part of the machinery of government changes. Controlled entities which have been transferred as part of the machinery of government changes are listed under their new portfolio departments. </w:t>
      </w:r>
    </w:p>
    <w:p w:rsidR="00336793" w:rsidRPr="00C55A44" w:rsidRDefault="00336793" w:rsidP="00DF0B96">
      <w:pPr>
        <w:pStyle w:val="Notes"/>
      </w:pPr>
      <w:r w:rsidRPr="00C55A44">
        <w:t>(b)</w:t>
      </w:r>
      <w:r w:rsidRPr="00C55A44">
        <w:tab/>
      </w:r>
      <w:r>
        <w:t>June 2014</w:t>
      </w:r>
      <w:r w:rsidRPr="00C55A44">
        <w:t xml:space="preserve"> comparative figures have been restated. See Note 37.</w:t>
      </w:r>
    </w:p>
    <w:p w:rsidR="00336793" w:rsidRDefault="00336793" w:rsidP="00DF0B96">
      <w:pPr>
        <w:pStyle w:val="Notes"/>
      </w:pPr>
      <w:r w:rsidRPr="006A75A2">
        <w:t>(</w:t>
      </w:r>
      <w:r>
        <w:t>c</w:t>
      </w:r>
      <w:r w:rsidRPr="006A75A2">
        <w:t>)</w:t>
      </w:r>
      <w:r w:rsidRPr="006A75A2">
        <w:tab/>
      </w:r>
      <w:r>
        <w:t>Courts, which was formerl</w:t>
      </w:r>
      <w:r w:rsidRPr="008A207B">
        <w:t xml:space="preserve">y part of the Department of Justice, came into operation from 1 July 2014. </w:t>
      </w:r>
    </w:p>
    <w:p w:rsidR="00336793" w:rsidRDefault="00336793" w:rsidP="00DF0B96">
      <w:pPr>
        <w:pStyle w:val="Notes"/>
      </w:pPr>
      <w:r>
        <w:t>(d</w:t>
      </w:r>
      <w:r w:rsidRPr="006A75A2">
        <w:t>)</w:t>
      </w:r>
      <w:r w:rsidRPr="006A75A2">
        <w:tab/>
      </w:r>
      <w:r w:rsidRPr="006C1234">
        <w:t>Other general government sector agencies not allocated to departmental portfolios</w:t>
      </w:r>
      <w:r>
        <w:t>.</w:t>
      </w:r>
      <w:r w:rsidRPr="006C1234">
        <w:t xml:space="preserve"> </w:t>
      </w:r>
    </w:p>
    <w:p w:rsidR="00336793" w:rsidRDefault="00336793" w:rsidP="00DF0B96">
      <w:pPr>
        <w:pStyle w:val="Notes"/>
      </w:pPr>
      <w:r>
        <w:t>(e</w:t>
      </w:r>
      <w:r w:rsidRPr="006A75A2">
        <w:t>)</w:t>
      </w:r>
      <w:r w:rsidRPr="006A75A2">
        <w:tab/>
      </w:r>
      <w:r w:rsidRPr="00F244BB">
        <w:t>Represents</w:t>
      </w:r>
      <w:r w:rsidRPr="006A75A2">
        <w:t xml:space="preserve"> adjustments for transfers between portfolio departments.</w:t>
      </w:r>
    </w:p>
    <w:p w:rsidR="00336793" w:rsidRPr="006A75A2" w:rsidRDefault="00336793" w:rsidP="00DF0B96">
      <w:pPr>
        <w:pStyle w:val="Notes"/>
      </w:pPr>
    </w:p>
    <w:p w:rsidR="00336793" w:rsidRDefault="00336793" w:rsidP="00DF0B96">
      <w:r>
        <w:br w:type="page"/>
      </w:r>
    </w:p>
    <w:p w:rsidR="00336793" w:rsidRPr="006A75A2" w:rsidRDefault="00336793" w:rsidP="00DF0B96">
      <w:pPr>
        <w:pStyle w:val="Heading2Notes"/>
        <w:rPr>
          <w:kern w:val="0"/>
        </w:rPr>
      </w:pPr>
      <w:bookmarkStart w:id="84" w:name="_Toc400040272"/>
      <w:bookmarkStart w:id="85" w:name="_Toc433984508"/>
      <w:r w:rsidRPr="006A75A2">
        <w:rPr>
          <w:kern w:val="0"/>
        </w:rPr>
        <w:lastRenderedPageBreak/>
        <w:t>Note 25:</w:t>
      </w:r>
      <w:r w:rsidRPr="006A75A2">
        <w:rPr>
          <w:kern w:val="0"/>
        </w:rPr>
        <w:tab/>
        <w:t>Payables</w:t>
      </w:r>
      <w:bookmarkEnd w:id="84"/>
      <w:bookmarkEnd w:id="85"/>
      <w:r>
        <w:rPr>
          <w:kern w:val="0"/>
        </w:rPr>
        <w:t xml:space="preserve"> </w:t>
      </w:r>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1102"/>
        <w:gridCol w:w="18"/>
        <w:gridCol w:w="207"/>
        <w:gridCol w:w="913"/>
        <w:gridCol w:w="977"/>
        <w:gridCol w:w="143"/>
      </w:tblGrid>
      <w:tr w:rsidR="00336793" w:rsidRPr="00A10A3B" w:rsidTr="00545B6B">
        <w:trPr>
          <w:tblHeader/>
        </w:trPr>
        <w:tc>
          <w:tcPr>
            <w:tcW w:w="5157" w:type="dxa"/>
            <w:tcBorders>
              <w:top w:val="single" w:sz="6" w:space="0" w:color="000000"/>
              <w:left w:val="single" w:sz="6" w:space="0" w:color="000000"/>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2222" w:type="dxa"/>
            <w:gridSpan w:val="2"/>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State of Victoria</w:t>
            </w:r>
          </w:p>
        </w:tc>
        <w:tc>
          <w:tcPr>
            <w:tcW w:w="225" w:type="dxa"/>
            <w:gridSpan w:val="2"/>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c>
          <w:tcPr>
            <w:tcW w:w="1890" w:type="dxa"/>
            <w:gridSpan w:val="2"/>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143" w:type="dxa"/>
            <w:tcBorders>
              <w:top w:val="single" w:sz="6" w:space="0" w:color="000000"/>
              <w:left w:val="nil"/>
              <w:bottom w:val="nil"/>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 </w:t>
            </w:r>
          </w:p>
        </w:tc>
      </w:tr>
      <w:tr w:rsidR="00336793" w:rsidRPr="00A10A3B" w:rsidTr="00DF0B96">
        <w:trPr>
          <w:tblHeader/>
        </w:trPr>
        <w:tc>
          <w:tcPr>
            <w:tcW w:w="5157" w:type="dxa"/>
            <w:tcBorders>
              <w:left w:val="single" w:sz="6" w:space="0" w:color="000000"/>
              <w:bottom w:val="single" w:sz="6" w:space="0" w:color="000000"/>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000000"/>
              <w:right w:val="nil"/>
            </w:tcBorders>
            <w:shd w:val="clear" w:color="000000" w:fill="000000"/>
            <w:vAlign w:val="bottom"/>
          </w:tcPr>
          <w:p w:rsidR="00336793" w:rsidRPr="00D45BA6" w:rsidRDefault="00336793" w:rsidP="00DF0B96">
            <w:pPr>
              <w:pStyle w:val="Tabletextheading"/>
              <w:rPr>
                <w:rFonts w:eastAsiaTheme="minorEastAsia"/>
                <w:color w:val="FFFFFF"/>
                <w:vertAlign w:val="superscript"/>
                <w:lang w:eastAsia="en-AU"/>
              </w:rPr>
            </w:pPr>
            <w:r w:rsidRPr="00A10A3B">
              <w:rPr>
                <w:rFonts w:eastAsiaTheme="minorEastAsia"/>
                <w:color w:val="FFFFFF"/>
                <w:lang w:eastAsia="en-AU"/>
              </w:rPr>
              <w:t>2014</w:t>
            </w:r>
            <w:r>
              <w:rPr>
                <w:rFonts w:eastAsiaTheme="minorEastAsia"/>
                <w:color w:val="FFFFFF"/>
                <w:vertAlign w:val="superscript"/>
                <w:lang w:eastAsia="en-AU"/>
              </w:rPr>
              <w:t>(a)</w:t>
            </w:r>
          </w:p>
        </w:tc>
        <w:tc>
          <w:tcPr>
            <w:tcW w:w="1120" w:type="dxa"/>
            <w:gridSpan w:val="2"/>
            <w:tcBorders>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000000"/>
              <w:right w:val="single" w:sz="6" w:space="0" w:color="000000"/>
            </w:tcBorders>
            <w:shd w:val="clear" w:color="000000" w:fill="000000"/>
            <w:vAlign w:val="bottom"/>
          </w:tcPr>
          <w:p w:rsidR="00336793" w:rsidRPr="00D45BA6" w:rsidRDefault="00336793" w:rsidP="00DF0B96">
            <w:pPr>
              <w:pStyle w:val="Tabletextheading"/>
              <w:rPr>
                <w:rFonts w:eastAsiaTheme="minorEastAsia"/>
                <w:color w:val="FFFFFF"/>
                <w:vertAlign w:val="superscript"/>
                <w:lang w:eastAsia="en-AU"/>
              </w:rPr>
            </w:pPr>
            <w:r w:rsidRPr="00A10A3B">
              <w:rPr>
                <w:rFonts w:eastAsiaTheme="minorEastAsia"/>
                <w:color w:val="FFFFFF"/>
                <w:lang w:eastAsia="en-AU"/>
              </w:rPr>
              <w:t>2014</w:t>
            </w:r>
            <w:r>
              <w:rPr>
                <w:rFonts w:eastAsiaTheme="minorEastAsia"/>
                <w:color w:val="FFFFFF"/>
                <w:vertAlign w:val="superscript"/>
                <w:lang w:eastAsia="en-AU"/>
              </w:rPr>
              <w:t>(a)</w:t>
            </w:r>
          </w:p>
        </w:tc>
      </w:tr>
      <w:tr w:rsidR="00336793" w:rsidRPr="00A10A3B" w:rsidTr="00DF0B96">
        <w:tc>
          <w:tcPr>
            <w:tcW w:w="5157" w:type="dxa"/>
            <w:tcBorders>
              <w:top w:val="single" w:sz="6" w:space="0" w:color="000000"/>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Contractual</w:t>
            </w:r>
          </w:p>
        </w:tc>
        <w:tc>
          <w:tcPr>
            <w:tcW w:w="1120" w:type="dxa"/>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Accounts payable</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2 012.8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1 931.5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1 157.8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1 123.8</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Accrued expenses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2 257.9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2 469.8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2 172.2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2 333.2</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Unearned income</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3 221.9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3 054.0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2 331.6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2 064.1</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Statutory</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Accrued taxes payable</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98.3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85.3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42.7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33.6</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payables</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7 590.9</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7 540.5</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5 704.3</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5 554.8</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Represented by:</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157" w:type="dxa"/>
            <w:tcBorders>
              <w:top w:val="nil"/>
              <w:left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Current payables</w:t>
            </w:r>
          </w:p>
        </w:tc>
        <w:tc>
          <w:tcPr>
            <w:tcW w:w="1120" w:type="dxa"/>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5 587.0</w:t>
            </w:r>
          </w:p>
        </w:tc>
        <w:tc>
          <w:tcPr>
            <w:tcW w:w="1120" w:type="dxa"/>
            <w:gridSpan w:val="2"/>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5 863.0</w:t>
            </w:r>
          </w:p>
        </w:tc>
        <w:tc>
          <w:tcPr>
            <w:tcW w:w="1120" w:type="dxa"/>
            <w:gridSpan w:val="2"/>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3 776.2</w:t>
            </w:r>
          </w:p>
        </w:tc>
        <w:tc>
          <w:tcPr>
            <w:tcW w:w="1120" w:type="dxa"/>
            <w:gridSpan w:val="2"/>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3 874.8</w:t>
            </w:r>
          </w:p>
        </w:tc>
      </w:tr>
      <w:tr w:rsidR="00336793" w:rsidRPr="00A10A3B" w:rsidTr="00DF0B96">
        <w:tc>
          <w:tcPr>
            <w:tcW w:w="5157" w:type="dxa"/>
            <w:tcBorders>
              <w:top w:val="nil"/>
              <w:left w:val="nil"/>
              <w:bottom w:val="single" w:sz="12"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Non</w:t>
            </w:r>
            <w:r>
              <w:rPr>
                <w:rFonts w:eastAsiaTheme="minorEastAsia"/>
                <w:lang w:eastAsia="en-AU"/>
              </w:rPr>
              <w:noBreakHyphen/>
            </w:r>
            <w:r w:rsidRPr="00A10A3B">
              <w:rPr>
                <w:rFonts w:eastAsiaTheme="minorEastAsia"/>
                <w:lang w:eastAsia="en-AU"/>
              </w:rPr>
              <w:t>current payables</w:t>
            </w:r>
          </w:p>
        </w:tc>
        <w:tc>
          <w:tcPr>
            <w:tcW w:w="1120" w:type="dxa"/>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2 003.9</w:t>
            </w:r>
          </w:p>
        </w:tc>
        <w:tc>
          <w:tcPr>
            <w:tcW w:w="1120" w:type="dxa"/>
            <w:gridSpan w:val="2"/>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1 677.5</w:t>
            </w:r>
          </w:p>
        </w:tc>
        <w:tc>
          <w:tcPr>
            <w:tcW w:w="1120" w:type="dxa"/>
            <w:gridSpan w:val="2"/>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1 928.1</w:t>
            </w:r>
          </w:p>
        </w:tc>
        <w:tc>
          <w:tcPr>
            <w:tcW w:w="1120" w:type="dxa"/>
            <w:gridSpan w:val="2"/>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1 680.0</w:t>
            </w:r>
          </w:p>
        </w:tc>
      </w:tr>
    </w:tbl>
    <w:p w:rsidR="00336793" w:rsidRDefault="00336793" w:rsidP="00DF0B96">
      <w:pPr>
        <w:pStyle w:val="Notes"/>
      </w:pPr>
      <w:r>
        <w:t>Note:</w:t>
      </w:r>
    </w:p>
    <w:p w:rsidR="00336793" w:rsidRDefault="00336793" w:rsidP="00DF0B96">
      <w:pPr>
        <w:pStyle w:val="Notes"/>
      </w:pPr>
      <w:r>
        <w:t>(a)</w:t>
      </w:r>
      <w:r>
        <w:tab/>
        <w:t xml:space="preserve"> June 2014 </w:t>
      </w:r>
      <w:r w:rsidRPr="00D41A2A">
        <w:t>comparative figures have been restated. See Note 37.</w:t>
      </w:r>
    </w:p>
    <w:p w:rsidR="00336793" w:rsidRPr="006A75A2" w:rsidRDefault="00336793" w:rsidP="00DF0B96">
      <w:pPr>
        <w:pStyle w:val="Notes"/>
        <w:ind w:left="0" w:firstLine="0"/>
      </w:pPr>
    </w:p>
    <w:p w:rsidR="00336793" w:rsidRDefault="00336793" w:rsidP="00DF0B96">
      <w:pPr>
        <w:pStyle w:val="Notes"/>
      </w:pPr>
    </w:p>
    <w:p w:rsidR="00336793" w:rsidRPr="006A75A2" w:rsidRDefault="00336793" w:rsidP="00DF0B96">
      <w:pPr>
        <w:pStyle w:val="Notes"/>
      </w:pPr>
    </w:p>
    <w:p w:rsidR="00336793" w:rsidRPr="006A75A2" w:rsidRDefault="00336793" w:rsidP="00DF0B96">
      <w:pPr>
        <w:pStyle w:val="Heading2Notes"/>
        <w:rPr>
          <w:kern w:val="0"/>
        </w:rPr>
      </w:pPr>
      <w:bookmarkStart w:id="86" w:name="_Toc400040273"/>
      <w:bookmarkStart w:id="87" w:name="_Toc433984509"/>
      <w:r w:rsidRPr="006A75A2">
        <w:rPr>
          <w:kern w:val="0"/>
        </w:rPr>
        <w:t>Note 26:</w:t>
      </w:r>
      <w:r w:rsidRPr="006A75A2">
        <w:rPr>
          <w:kern w:val="0"/>
        </w:rPr>
        <w:tab/>
        <w:t>Borrowings</w:t>
      </w:r>
      <w:bookmarkEnd w:id="86"/>
      <w:bookmarkEnd w:id="87"/>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1102"/>
        <w:gridCol w:w="18"/>
        <w:gridCol w:w="225"/>
        <w:gridCol w:w="895"/>
        <w:gridCol w:w="977"/>
        <w:gridCol w:w="143"/>
      </w:tblGrid>
      <w:tr w:rsidR="00336793" w:rsidRPr="00A10A3B" w:rsidTr="00545B6B">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2222"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State of Victoria</w:t>
            </w:r>
          </w:p>
        </w:tc>
        <w:tc>
          <w:tcPr>
            <w:tcW w:w="243"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 xml:space="preserve"> </w:t>
            </w:r>
          </w:p>
        </w:tc>
        <w:tc>
          <w:tcPr>
            <w:tcW w:w="1872"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143"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Current borrowings</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Domestic borrowings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4 462.5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2 936.9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3 860.6</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1 438.8</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Foreign currency borrowings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14.5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168.4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shd w:val="solid" w:color="FFFFFF" w:fill="auto"/>
          </w:tcPr>
          <w:p w:rsidR="00336793" w:rsidRPr="00607B12" w:rsidRDefault="00336793" w:rsidP="00DF0B96">
            <w:pPr>
              <w:pStyle w:val="Tabletext"/>
              <w:rPr>
                <w:rFonts w:eastAsiaTheme="minorEastAsia"/>
                <w:vertAlign w:val="superscript"/>
                <w:lang w:eastAsia="en-AU"/>
              </w:rPr>
            </w:pPr>
            <w:r w:rsidRPr="00A10A3B">
              <w:rPr>
                <w:rFonts w:eastAsiaTheme="minorEastAsia"/>
                <w:lang w:eastAsia="en-AU"/>
              </w:rPr>
              <w:t>Finance lease liabilities</w:t>
            </w:r>
            <w:r w:rsidRPr="00E96950">
              <w:rPr>
                <w:rFonts w:eastAsiaTheme="minorEastAsia"/>
                <w:vertAlign w:val="superscript"/>
                <w:lang w:eastAsia="en-AU"/>
              </w:rPr>
              <w:t xml:space="preserve"> (</w:t>
            </w:r>
            <w:r>
              <w:rPr>
                <w:rFonts w:eastAsiaTheme="minorEastAsia"/>
                <w:vertAlign w:val="superscript"/>
                <w:lang w:eastAsia="en-AU"/>
              </w:rPr>
              <w:t>a)</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208.9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198.1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138.5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126.9</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Derivative financial instruments</w:t>
            </w:r>
            <w:r w:rsidRPr="00E96950">
              <w:rPr>
                <w:rFonts w:eastAsiaTheme="minorEastAsia"/>
                <w:vertAlign w:val="superscript"/>
                <w:lang w:eastAsia="en-AU"/>
              </w:rPr>
              <w:t xml:space="preserve"> (</w:t>
            </w:r>
            <w:r>
              <w:rPr>
                <w:rFonts w:eastAsiaTheme="minorEastAsia"/>
                <w:vertAlign w:val="superscript"/>
                <w:lang w:eastAsia="en-AU"/>
              </w:rPr>
              <w:t>b</w:t>
            </w:r>
            <w:r w:rsidRPr="00A10A3B">
              <w:rPr>
                <w:rFonts w:eastAsiaTheme="minorEastAsia"/>
                <w:vertAlign w:val="superscript"/>
                <w:lang w:eastAsia="en-AU"/>
              </w:rPr>
              <w:t>)</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249.6</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287.5</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0.2</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vertAlign w:val="superscript"/>
                <w:lang w:eastAsia="en-AU"/>
              </w:rPr>
            </w:pPr>
            <w:r w:rsidRPr="00A10A3B">
              <w:rPr>
                <w:rFonts w:eastAsiaTheme="minorEastAsia"/>
                <w:b/>
                <w:bCs/>
                <w:lang w:eastAsia="en-AU"/>
              </w:rPr>
              <w:t>Total current borrowings</w:t>
            </w:r>
            <w:r w:rsidRPr="00E96950">
              <w:rPr>
                <w:rFonts w:eastAsiaTheme="minorEastAsia"/>
                <w:b/>
                <w:bCs/>
                <w:vertAlign w:val="superscript"/>
                <w:lang w:eastAsia="en-AU"/>
              </w:rPr>
              <w:t xml:space="preserve"> (</w:t>
            </w:r>
            <w:r w:rsidRPr="00A10A3B">
              <w:rPr>
                <w:rFonts w:eastAsiaTheme="minorEastAsia"/>
                <w:b/>
                <w:bCs/>
                <w:vertAlign w:val="superscript"/>
                <w:lang w:eastAsia="en-AU"/>
              </w:rPr>
              <w:t>a)</w:t>
            </w:r>
            <w:r>
              <w:rPr>
                <w:rFonts w:eastAsiaTheme="minorEastAsia"/>
                <w:b/>
                <w:bCs/>
                <w:vertAlign w:val="superscript"/>
                <w:lang w:eastAsia="en-AU"/>
              </w:rPr>
              <w:t>(b)</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4 935.4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3 590.9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3 999.3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1 565.7</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Non</w:t>
            </w:r>
            <w:r>
              <w:rPr>
                <w:rFonts w:eastAsiaTheme="minorEastAsia"/>
                <w:b/>
                <w:bCs/>
                <w:lang w:eastAsia="en-AU"/>
              </w:rPr>
              <w:noBreakHyphen/>
            </w:r>
            <w:r w:rsidRPr="00A10A3B">
              <w:rPr>
                <w:rFonts w:eastAsiaTheme="minorEastAsia"/>
                <w:b/>
                <w:bCs/>
                <w:lang w:eastAsia="en-AU"/>
              </w:rPr>
              <w:t>current borrowings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Domestic borrowings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37 497.9</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38 680.7</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22 099.3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23 444.2</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Foreign currency borrowings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104.8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100.4</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shd w:val="solid" w:color="FFFFFF" w:fill="auto"/>
          </w:tcPr>
          <w:p w:rsidR="00336793" w:rsidRPr="00607B12" w:rsidRDefault="00336793" w:rsidP="00DF0B96">
            <w:pPr>
              <w:pStyle w:val="Tabletext"/>
              <w:rPr>
                <w:rFonts w:eastAsiaTheme="minorEastAsia"/>
                <w:vertAlign w:val="superscript"/>
                <w:lang w:eastAsia="en-AU"/>
              </w:rPr>
            </w:pPr>
            <w:r w:rsidRPr="00A10A3B">
              <w:rPr>
                <w:rFonts w:eastAsiaTheme="minorEastAsia"/>
                <w:lang w:eastAsia="en-AU"/>
              </w:rPr>
              <w:t>Finance lease liabilities</w:t>
            </w:r>
            <w:r w:rsidRPr="00E96950">
              <w:rPr>
                <w:rFonts w:eastAsiaTheme="minorEastAsia"/>
                <w:vertAlign w:val="superscript"/>
                <w:lang w:eastAsia="en-AU"/>
              </w:rPr>
              <w:t xml:space="preserve"> (</w:t>
            </w:r>
            <w:r>
              <w:rPr>
                <w:rFonts w:eastAsiaTheme="minorEastAsia"/>
                <w:vertAlign w:val="superscript"/>
                <w:lang w:eastAsia="en-AU"/>
              </w:rPr>
              <w:t>a)</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8 551.5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8 619.3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7 920.1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7 922.9</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Derivative financial instruments</w:t>
            </w:r>
            <w:r w:rsidRPr="00E96950">
              <w:rPr>
                <w:rFonts w:eastAsiaTheme="minorEastAsia"/>
                <w:vertAlign w:val="superscript"/>
                <w:lang w:eastAsia="en-AU"/>
              </w:rPr>
              <w:t xml:space="preserve"> (</w:t>
            </w:r>
            <w:r>
              <w:rPr>
                <w:rFonts w:eastAsiaTheme="minorEastAsia"/>
                <w:vertAlign w:val="superscript"/>
                <w:lang w:eastAsia="en-AU"/>
              </w:rPr>
              <w:t>b</w:t>
            </w:r>
            <w:r w:rsidRPr="00A10A3B">
              <w:rPr>
                <w:rFonts w:eastAsiaTheme="minorEastAsia"/>
                <w:vertAlign w:val="superscript"/>
                <w:lang w:eastAsia="en-AU"/>
              </w:rPr>
              <w:t>)</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598.1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354.1</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50.3</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20.8</w:t>
            </w:r>
          </w:p>
        </w:tc>
      </w:tr>
      <w:tr w:rsidR="00336793" w:rsidRPr="00A10A3B" w:rsidTr="00DF0B96">
        <w:tc>
          <w:tcPr>
            <w:tcW w:w="5157" w:type="dxa"/>
            <w:tcBorders>
              <w:top w:val="single" w:sz="6" w:space="0" w:color="000000"/>
              <w:left w:val="nil"/>
              <w:bottom w:val="single" w:sz="6" w:space="0" w:color="000000"/>
              <w:right w:val="nil"/>
            </w:tcBorders>
            <w:shd w:val="solid" w:color="FFFFFF" w:fill="auto"/>
          </w:tcPr>
          <w:p w:rsidR="00336793" w:rsidRPr="00607B12" w:rsidRDefault="00336793" w:rsidP="00DF0B96">
            <w:pPr>
              <w:pStyle w:val="Tabletext"/>
              <w:rPr>
                <w:rFonts w:eastAsiaTheme="minorEastAsia"/>
                <w:b/>
                <w:bCs/>
                <w:lang w:eastAsia="en-AU"/>
              </w:rPr>
            </w:pPr>
            <w:r w:rsidRPr="00A10A3B">
              <w:rPr>
                <w:rFonts w:eastAsiaTheme="minorEastAsia"/>
                <w:b/>
                <w:bCs/>
                <w:lang w:eastAsia="en-AU"/>
              </w:rPr>
              <w:t>Total non</w:t>
            </w:r>
            <w:r>
              <w:rPr>
                <w:rFonts w:eastAsiaTheme="minorEastAsia"/>
                <w:b/>
                <w:bCs/>
                <w:lang w:eastAsia="en-AU"/>
              </w:rPr>
              <w:noBreakHyphen/>
            </w:r>
            <w:r w:rsidRPr="00A10A3B">
              <w:rPr>
                <w:rFonts w:eastAsiaTheme="minorEastAsia"/>
                <w:b/>
                <w:bCs/>
                <w:lang w:eastAsia="en-AU"/>
              </w:rPr>
              <w:t>current borrowings</w:t>
            </w:r>
            <w:r w:rsidRPr="00E96950">
              <w:rPr>
                <w:rFonts w:eastAsiaTheme="minorEastAsia"/>
                <w:b/>
                <w:bCs/>
                <w:vertAlign w:val="superscript"/>
                <w:lang w:eastAsia="en-AU"/>
              </w:rPr>
              <w:t xml:space="preserve"> (</w:t>
            </w:r>
            <w:r>
              <w:rPr>
                <w:rFonts w:eastAsiaTheme="minorEastAsia"/>
                <w:b/>
                <w:bCs/>
                <w:vertAlign w:val="superscript"/>
                <w:lang w:eastAsia="en-AU"/>
              </w:rPr>
              <w:t>a)(b)</w:t>
            </w:r>
          </w:p>
        </w:tc>
        <w:tc>
          <w:tcPr>
            <w:tcW w:w="1120" w:type="dxa"/>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46 752.4</w:t>
            </w:r>
          </w:p>
        </w:tc>
        <w:tc>
          <w:tcPr>
            <w:tcW w:w="1120"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47 754.4</w:t>
            </w:r>
          </w:p>
        </w:tc>
        <w:tc>
          <w:tcPr>
            <w:tcW w:w="1120"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30 069.6</w:t>
            </w:r>
          </w:p>
        </w:tc>
        <w:tc>
          <w:tcPr>
            <w:tcW w:w="1120"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31 387.9</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vertAlign w:val="superscript"/>
                <w:lang w:eastAsia="en-AU"/>
              </w:rPr>
            </w:pPr>
            <w:r w:rsidRPr="00A10A3B">
              <w:rPr>
                <w:rFonts w:eastAsiaTheme="minorEastAsia"/>
                <w:b/>
                <w:bCs/>
                <w:lang w:eastAsia="en-AU"/>
              </w:rPr>
              <w:t>Total borrowings</w:t>
            </w:r>
            <w:r w:rsidRPr="00E96950">
              <w:rPr>
                <w:rFonts w:eastAsiaTheme="minorEastAsia"/>
                <w:b/>
                <w:bCs/>
                <w:vertAlign w:val="superscript"/>
                <w:lang w:eastAsia="en-AU"/>
              </w:rPr>
              <w:t xml:space="preserve"> (</w:t>
            </w:r>
            <w:r>
              <w:rPr>
                <w:rFonts w:eastAsiaTheme="minorEastAsia"/>
                <w:b/>
                <w:bCs/>
                <w:vertAlign w:val="superscript"/>
                <w:lang w:eastAsia="en-AU"/>
              </w:rPr>
              <w:t>b</w:t>
            </w:r>
            <w:r w:rsidRPr="00A10A3B">
              <w:rPr>
                <w:rFonts w:eastAsiaTheme="minorEastAsia"/>
                <w:b/>
                <w:bCs/>
                <w:vertAlign w:val="superscript"/>
                <w:lang w:eastAsia="en-AU"/>
              </w:rPr>
              <w:t>)</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51 687.7</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51 345.3</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34 069.0</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32 953.6</w:t>
            </w:r>
          </w:p>
        </w:tc>
      </w:tr>
    </w:tbl>
    <w:p w:rsidR="00336793" w:rsidRDefault="00336793" w:rsidP="00DF0B96">
      <w:pPr>
        <w:pStyle w:val="Notes"/>
      </w:pPr>
      <w:r>
        <w:t>Notes:</w:t>
      </w:r>
    </w:p>
    <w:p w:rsidR="00336793" w:rsidRDefault="00336793" w:rsidP="00DF0B96">
      <w:pPr>
        <w:pStyle w:val="Notes"/>
      </w:pPr>
      <w:r>
        <w:t>(a)</w:t>
      </w:r>
      <w:r>
        <w:tab/>
        <w:t>June 2014 comparative figures have been reclassified to reflect more current information.</w:t>
      </w:r>
    </w:p>
    <w:p w:rsidR="00336793" w:rsidRPr="006A75A2" w:rsidRDefault="00336793" w:rsidP="001E4A6F">
      <w:pPr>
        <w:pStyle w:val="Notes"/>
      </w:pPr>
      <w:r>
        <w:t>(b)</w:t>
      </w:r>
      <w:r>
        <w:tab/>
        <w:t xml:space="preserve">June 2014 </w:t>
      </w:r>
      <w:r w:rsidRPr="00D41A2A">
        <w:t>comparative figures have been restated. See Note 37.</w:t>
      </w:r>
    </w:p>
    <w:p w:rsidR="00336793" w:rsidRDefault="00336793" w:rsidP="00DF0B96">
      <w:pPr>
        <w:pStyle w:val="Notes"/>
      </w:pPr>
    </w:p>
    <w:p w:rsidR="00336793" w:rsidRPr="006A75A2" w:rsidRDefault="00336793" w:rsidP="00DF0B96">
      <w:pPr>
        <w:pStyle w:val="Notes"/>
      </w:pPr>
    </w:p>
    <w:p w:rsidR="00336793" w:rsidRDefault="00336793" w:rsidP="00DF0B96">
      <w:pPr>
        <w:rPr>
          <w:rFonts w:ascii="Calibri" w:hAnsi="Calibri"/>
          <w:sz w:val="28"/>
          <w:szCs w:val="22"/>
        </w:rPr>
      </w:pPr>
      <w:bookmarkStart w:id="88" w:name="_Toc400040274"/>
      <w:r>
        <w:br w:type="page"/>
      </w:r>
    </w:p>
    <w:p w:rsidR="00336793" w:rsidRDefault="00336793" w:rsidP="00DF0B96">
      <w:pPr>
        <w:pStyle w:val="Heading2Notes"/>
        <w:rPr>
          <w:kern w:val="0"/>
        </w:rPr>
      </w:pPr>
      <w:bookmarkStart w:id="89" w:name="_Toc433984510"/>
      <w:r w:rsidRPr="006A75A2">
        <w:rPr>
          <w:kern w:val="0"/>
        </w:rPr>
        <w:lastRenderedPageBreak/>
        <w:t>Note 27:</w:t>
      </w:r>
      <w:r w:rsidRPr="006A75A2">
        <w:rPr>
          <w:kern w:val="0"/>
        </w:rPr>
        <w:tab/>
        <w:t>Employee benefits</w:t>
      </w:r>
      <w:bookmarkEnd w:id="88"/>
      <w:r>
        <w:rPr>
          <w:kern w:val="0"/>
        </w:rPr>
        <w:t xml:space="preserve"> and on</w:t>
      </w:r>
      <w:r>
        <w:rPr>
          <w:kern w:val="0"/>
        </w:rPr>
        <w:noBreakHyphen/>
        <w:t>costs</w:t>
      </w:r>
      <w:bookmarkEnd w:id="89"/>
    </w:p>
    <w:p w:rsidR="00336793" w:rsidRPr="00A10A3B" w:rsidRDefault="00336793" w:rsidP="00DF0B96">
      <w:pPr>
        <w:pStyle w:val="million"/>
        <w:rPr>
          <w:rFonts w:ascii="Times New Roman" w:hAnsi="Times New Roman"/>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162"/>
        <w:gridCol w:w="958"/>
        <w:gridCol w:w="1120"/>
      </w:tblGrid>
      <w:tr w:rsidR="00336793" w:rsidRPr="00A10A3B" w:rsidTr="00545B6B">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26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State of Victoria</w:t>
            </w:r>
          </w:p>
        </w:tc>
        <w:tc>
          <w:tcPr>
            <w:tcW w:w="162"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2078"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545B6B">
            <w:pPr>
              <w:pStyle w:val="TabletextheadingCentred"/>
              <w:rPr>
                <w:rFonts w:eastAsiaTheme="minorEastAsia"/>
                <w:lang w:eastAsia="en-AU"/>
              </w:rPr>
            </w:pPr>
            <w:r w:rsidRPr="00545B6B">
              <w:rPr>
                <w:rFonts w:eastAsiaTheme="minorEastAsia"/>
              </w:rPr>
              <w:t>General</w:t>
            </w:r>
            <w:r>
              <w:rPr>
                <w:rFonts w:eastAsiaTheme="minorEastAsia"/>
                <w:lang w:eastAsia="en-AU"/>
              </w:rPr>
              <w:t xml:space="preserve"> government </w:t>
            </w:r>
            <w:r w:rsidRPr="00A10A3B">
              <w:rPr>
                <w:rFonts w:eastAsiaTheme="minorEastAsia"/>
                <w:lang w:eastAsia="en-AU"/>
              </w:rPr>
              <w:t>sector</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left w:val="nil"/>
              <w:bottom w:val="single" w:sz="6" w:space="0" w:color="auto"/>
              <w:right w:val="nil"/>
            </w:tcBorders>
            <w:shd w:val="clear" w:color="000000" w:fill="000000"/>
            <w:vAlign w:val="bottom"/>
          </w:tcPr>
          <w:p w:rsidR="00336793" w:rsidRPr="00072BBC" w:rsidRDefault="00336793" w:rsidP="00DF0B96">
            <w:pPr>
              <w:pStyle w:val="Tabletextheading"/>
              <w:rPr>
                <w:rFonts w:eastAsiaTheme="minorEastAsia"/>
                <w:color w:val="FFFFFF"/>
                <w:vertAlign w:val="superscript"/>
                <w:lang w:eastAsia="en-AU"/>
              </w:rPr>
            </w:pPr>
            <w:r w:rsidRPr="00A10A3B">
              <w:rPr>
                <w:rFonts w:eastAsiaTheme="minorEastAsia"/>
                <w:color w:val="FFFFFF"/>
                <w:lang w:eastAsia="en-AU"/>
              </w:rPr>
              <w:t>2014</w:t>
            </w:r>
            <w:r>
              <w:rPr>
                <w:rFonts w:eastAsiaTheme="minorEastAsia"/>
                <w:color w:val="FFFFFF"/>
                <w:vertAlign w:val="superscript"/>
                <w:lang w:eastAsia="en-AU"/>
              </w:rPr>
              <w:t>(a)</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left w:val="nil"/>
              <w:bottom w:val="single" w:sz="6" w:space="0" w:color="auto"/>
              <w:right w:val="single" w:sz="6" w:space="0" w:color="auto"/>
            </w:tcBorders>
            <w:shd w:val="clear" w:color="000000" w:fill="000000"/>
            <w:vAlign w:val="bottom"/>
          </w:tcPr>
          <w:p w:rsidR="00336793" w:rsidRPr="00072BBC" w:rsidRDefault="00336793" w:rsidP="00DF0B96">
            <w:pPr>
              <w:pStyle w:val="Tabletextheading"/>
              <w:rPr>
                <w:rFonts w:eastAsiaTheme="minorEastAsia"/>
                <w:color w:val="FFFFFF"/>
                <w:vertAlign w:val="superscript"/>
                <w:lang w:eastAsia="en-AU"/>
              </w:rPr>
            </w:pPr>
            <w:r w:rsidRPr="00A10A3B">
              <w:rPr>
                <w:rFonts w:eastAsiaTheme="minorEastAsia"/>
                <w:color w:val="FFFFFF"/>
                <w:lang w:eastAsia="en-AU"/>
              </w:rPr>
              <w:t>2014</w:t>
            </w:r>
            <w:r>
              <w:rPr>
                <w:rFonts w:eastAsiaTheme="minorEastAsia"/>
                <w:color w:val="FFFFFF"/>
                <w:vertAlign w:val="superscript"/>
                <w:lang w:eastAsia="en-AU"/>
              </w:rPr>
              <w:t>(a)</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lang w:eastAsia="en-AU"/>
              </w:rPr>
            </w:pPr>
            <w:r w:rsidRPr="00A10A3B">
              <w:rPr>
                <w:rFonts w:ascii="Calibri" w:eastAsiaTheme="minorEastAsia" w:hAnsi="Calibri" w:cs="Calibri"/>
                <w:b/>
                <w:bCs/>
                <w:sz w:val="22"/>
                <w:lang w:eastAsia="en-AU"/>
              </w:rPr>
              <w:t>Current</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c>
          <w:tcPr>
            <w:tcW w:w="1120"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c>
          <w:tcPr>
            <w:tcW w:w="1120"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lang w:eastAsia="en-AU"/>
              </w:rPr>
            </w:pPr>
            <w:r w:rsidRPr="00A10A3B">
              <w:rPr>
                <w:rFonts w:ascii="Calibri" w:eastAsiaTheme="minorEastAsia" w:hAnsi="Calibri" w:cs="Calibri"/>
                <w:b/>
                <w:bCs/>
                <w:sz w:val="22"/>
                <w:lang w:eastAsia="en-AU"/>
              </w:rPr>
              <w:t>Accrued salaries and wages</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318.3</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349.6</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287.7</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320.5</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lang w:eastAsia="en-AU"/>
              </w:rPr>
            </w:pPr>
            <w:r w:rsidRPr="00A10A3B">
              <w:rPr>
                <w:rFonts w:ascii="Calibri" w:eastAsiaTheme="minorEastAsia" w:hAnsi="Calibri" w:cs="Calibri"/>
                <w:b/>
                <w:bCs/>
                <w:sz w:val="22"/>
                <w:lang w:eastAsia="en-AU"/>
              </w:rPr>
              <w:t>Other employee benefits</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45.8</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37.7</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26.4</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23.1</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lang w:eastAsia="en-AU"/>
              </w:rPr>
            </w:pPr>
            <w:r w:rsidRPr="00A10A3B">
              <w:rPr>
                <w:rFonts w:ascii="Calibri" w:eastAsiaTheme="minorEastAsia" w:hAnsi="Calibri" w:cs="Calibri"/>
                <w:b/>
                <w:bCs/>
                <w:sz w:val="22"/>
                <w:lang w:eastAsia="en-AU"/>
              </w:rPr>
              <w:t>Annual leave</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lang w:eastAsia="en-AU"/>
              </w:rPr>
            </w:pPr>
            <w:r w:rsidRPr="00A10A3B">
              <w:rPr>
                <w:rFonts w:ascii="Calibri" w:eastAsiaTheme="minorEastAsia" w:hAnsi="Calibri" w:cs="Calibri"/>
                <w:sz w:val="22"/>
                <w:lang w:eastAsia="en-AU"/>
              </w:rPr>
              <w:t>Unconditional and expected to settle within 12 months</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1 071.6</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983.4</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985.9</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905.7</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lang w:eastAsia="en-AU"/>
              </w:rPr>
            </w:pPr>
            <w:r w:rsidRPr="00A10A3B">
              <w:rPr>
                <w:rFonts w:ascii="Calibri" w:eastAsiaTheme="minorEastAsia" w:hAnsi="Calibri" w:cs="Calibri"/>
                <w:sz w:val="22"/>
                <w:lang w:eastAsia="en-AU"/>
              </w:rPr>
              <w:t>Unconditional and expected to settle after 12 months</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182.2</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198.2</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153.5</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170.6</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lang w:eastAsia="en-AU"/>
              </w:rPr>
            </w:pPr>
            <w:r w:rsidRPr="00A10A3B">
              <w:rPr>
                <w:rFonts w:ascii="Calibri" w:eastAsiaTheme="minorEastAsia" w:hAnsi="Calibri" w:cs="Calibri"/>
                <w:b/>
                <w:bCs/>
                <w:sz w:val="22"/>
                <w:lang w:eastAsia="en-AU"/>
              </w:rPr>
              <w:t>Long service leave</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lang w:eastAsia="en-AU"/>
              </w:rPr>
            </w:pPr>
            <w:r w:rsidRPr="00A10A3B">
              <w:rPr>
                <w:rFonts w:ascii="Calibri" w:eastAsiaTheme="minorEastAsia" w:hAnsi="Calibri" w:cs="Calibri"/>
                <w:sz w:val="22"/>
                <w:lang w:eastAsia="en-AU"/>
              </w:rPr>
              <w:t>Unconditional and expected to settle within 12 months</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801.4</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719.9</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723.2</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660.3</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lang w:eastAsia="en-AU"/>
              </w:rPr>
            </w:pPr>
            <w:r w:rsidRPr="00A10A3B">
              <w:rPr>
                <w:rFonts w:ascii="Calibri" w:eastAsiaTheme="minorEastAsia" w:hAnsi="Calibri" w:cs="Calibri"/>
                <w:sz w:val="22"/>
                <w:lang w:eastAsia="en-AU"/>
              </w:rPr>
              <w:t>Unconditional and expected to settle after 12 months</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2 259.7</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2 088.7</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2 134.8</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1 959.7</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lang w:eastAsia="en-AU"/>
              </w:rPr>
            </w:pPr>
            <w:r w:rsidRPr="00A10A3B">
              <w:rPr>
                <w:rFonts w:ascii="Calibri" w:eastAsiaTheme="minorEastAsia" w:hAnsi="Calibri" w:cs="Calibri"/>
                <w:b/>
                <w:bCs/>
                <w:sz w:val="22"/>
                <w:lang w:eastAsia="en-AU"/>
              </w:rPr>
              <w:t>On</w:t>
            </w:r>
            <w:r>
              <w:rPr>
                <w:rFonts w:ascii="Calibri" w:eastAsiaTheme="minorEastAsia" w:hAnsi="Calibri" w:cs="Calibri"/>
                <w:b/>
                <w:bCs/>
                <w:sz w:val="22"/>
                <w:lang w:eastAsia="en-AU"/>
              </w:rPr>
              <w:noBreakHyphen/>
            </w:r>
            <w:r w:rsidRPr="00A10A3B">
              <w:rPr>
                <w:rFonts w:ascii="Calibri" w:eastAsiaTheme="minorEastAsia" w:hAnsi="Calibri" w:cs="Calibri"/>
                <w:b/>
                <w:bCs/>
                <w:sz w:val="22"/>
                <w:lang w:eastAsia="en-AU"/>
              </w:rPr>
              <w:t>costs</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lang w:eastAsia="en-AU"/>
              </w:rPr>
            </w:pPr>
            <w:r w:rsidRPr="00A10A3B">
              <w:rPr>
                <w:rFonts w:ascii="Calibri" w:eastAsiaTheme="minorEastAsia" w:hAnsi="Calibri" w:cs="Calibri"/>
                <w:sz w:val="22"/>
                <w:lang w:eastAsia="en-AU"/>
              </w:rPr>
              <w:t>Unconditional and expected to settle within 12 months</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232.7</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229.7</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215.6</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209.9</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lang w:eastAsia="en-AU"/>
              </w:rPr>
            </w:pPr>
            <w:r w:rsidRPr="00A10A3B">
              <w:rPr>
                <w:rFonts w:ascii="Calibri" w:eastAsiaTheme="minorEastAsia" w:hAnsi="Calibri" w:cs="Calibri"/>
                <w:sz w:val="22"/>
                <w:lang w:eastAsia="en-AU"/>
              </w:rPr>
              <w:t>Unconditional and expected to settle after 12 months</w:t>
            </w:r>
          </w:p>
        </w:tc>
        <w:tc>
          <w:tcPr>
            <w:tcW w:w="1120" w:type="dxa"/>
            <w:gridSpan w:val="2"/>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385.7</w:t>
            </w:r>
          </w:p>
        </w:tc>
        <w:tc>
          <w:tcPr>
            <w:tcW w:w="112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361.5</w:t>
            </w:r>
          </w:p>
        </w:tc>
        <w:tc>
          <w:tcPr>
            <w:tcW w:w="1120" w:type="dxa"/>
            <w:gridSpan w:val="2"/>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366.4</w:t>
            </w:r>
          </w:p>
        </w:tc>
        <w:tc>
          <w:tcPr>
            <w:tcW w:w="112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339.7</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lang w:eastAsia="en-AU"/>
              </w:rPr>
            </w:pPr>
            <w:r w:rsidRPr="00A10A3B">
              <w:rPr>
                <w:rFonts w:ascii="Calibri" w:eastAsiaTheme="minorEastAsia" w:hAnsi="Calibri" w:cs="Calibri"/>
                <w:b/>
                <w:bCs/>
                <w:sz w:val="22"/>
                <w:lang w:eastAsia="en-AU"/>
              </w:rPr>
              <w:t>Total current employee benefits and on</w:t>
            </w:r>
            <w:r>
              <w:rPr>
                <w:rFonts w:ascii="Calibri" w:eastAsiaTheme="minorEastAsia" w:hAnsi="Calibri" w:cs="Calibri"/>
                <w:b/>
                <w:bCs/>
                <w:sz w:val="22"/>
                <w:lang w:eastAsia="en-AU"/>
              </w:rPr>
              <w:noBreakHyphen/>
            </w:r>
            <w:r w:rsidRPr="00A10A3B">
              <w:rPr>
                <w:rFonts w:ascii="Calibri" w:eastAsiaTheme="minorEastAsia" w:hAnsi="Calibri" w:cs="Calibri"/>
                <w:b/>
                <w:bCs/>
                <w:sz w:val="22"/>
                <w:lang w:eastAsia="en-AU"/>
              </w:rPr>
              <w:t>costs</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5 297.3</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4 968.6</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4 893.4</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4 589.5</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lang w:eastAsia="en-AU"/>
              </w:rPr>
            </w:pPr>
            <w:r w:rsidRPr="00A10A3B">
              <w:rPr>
                <w:rFonts w:ascii="Calibri" w:eastAsiaTheme="minorEastAsia" w:hAnsi="Calibri" w:cs="Calibri"/>
                <w:b/>
                <w:bCs/>
                <w:sz w:val="22"/>
                <w:lang w:eastAsia="en-AU"/>
              </w:rPr>
              <w:t>Non</w:t>
            </w:r>
            <w:r>
              <w:rPr>
                <w:rFonts w:ascii="Calibri" w:eastAsiaTheme="minorEastAsia" w:hAnsi="Calibri" w:cs="Calibri"/>
                <w:b/>
                <w:bCs/>
                <w:sz w:val="22"/>
                <w:lang w:eastAsia="en-AU"/>
              </w:rPr>
              <w:noBreakHyphen/>
            </w:r>
            <w:r w:rsidRPr="00A10A3B">
              <w:rPr>
                <w:rFonts w:ascii="Calibri" w:eastAsiaTheme="minorEastAsia" w:hAnsi="Calibri" w:cs="Calibri"/>
                <w:b/>
                <w:bCs/>
                <w:sz w:val="22"/>
                <w:lang w:eastAsia="en-AU"/>
              </w:rPr>
              <w:t>current</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lang w:eastAsia="en-AU"/>
              </w:rPr>
            </w:pPr>
            <w:r w:rsidRPr="00A10A3B">
              <w:rPr>
                <w:rFonts w:ascii="Calibri" w:eastAsiaTheme="minorEastAsia" w:hAnsi="Calibri" w:cs="Calibri"/>
                <w:sz w:val="22"/>
                <w:lang w:eastAsia="en-AU"/>
              </w:rPr>
              <w:t>Long service leave</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679.6</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648.4</w:t>
            </w:r>
          </w:p>
        </w:tc>
        <w:tc>
          <w:tcPr>
            <w:tcW w:w="1120" w:type="dxa"/>
            <w:gridSpan w:val="2"/>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623.4</w:t>
            </w:r>
          </w:p>
        </w:tc>
        <w:tc>
          <w:tcPr>
            <w:tcW w:w="1120"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591.5</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2"/>
                <w:vertAlign w:val="superscript"/>
                <w:lang w:eastAsia="en-AU"/>
              </w:rPr>
            </w:pPr>
            <w:r w:rsidRPr="00A10A3B">
              <w:rPr>
                <w:rFonts w:ascii="Calibri" w:eastAsiaTheme="minorEastAsia" w:hAnsi="Calibri" w:cs="Calibri"/>
                <w:sz w:val="22"/>
                <w:lang w:eastAsia="en-AU"/>
              </w:rPr>
              <w:t>On</w:t>
            </w:r>
            <w:r>
              <w:rPr>
                <w:rFonts w:ascii="Calibri" w:eastAsiaTheme="minorEastAsia" w:hAnsi="Calibri" w:cs="Calibri"/>
                <w:sz w:val="22"/>
                <w:lang w:eastAsia="en-AU"/>
              </w:rPr>
              <w:noBreakHyphen/>
            </w:r>
            <w:r w:rsidRPr="00A10A3B">
              <w:rPr>
                <w:rFonts w:ascii="Calibri" w:eastAsiaTheme="minorEastAsia" w:hAnsi="Calibri" w:cs="Calibri"/>
                <w:sz w:val="22"/>
                <w:lang w:eastAsia="en-AU"/>
              </w:rPr>
              <w:t>costs</w:t>
            </w:r>
            <w:r>
              <w:rPr>
                <w:rFonts w:ascii="Calibri" w:eastAsiaTheme="minorEastAsia" w:hAnsi="Calibri" w:cs="Calibri"/>
                <w:sz w:val="22"/>
                <w:lang w:eastAsia="en-AU"/>
              </w:rPr>
              <w:t xml:space="preserve"> </w:t>
            </w:r>
            <w:r>
              <w:rPr>
                <w:rFonts w:ascii="Calibri" w:eastAsiaTheme="minorEastAsia" w:hAnsi="Calibri" w:cs="Calibri"/>
                <w:sz w:val="22"/>
                <w:vertAlign w:val="superscript"/>
                <w:lang w:eastAsia="en-AU"/>
              </w:rPr>
              <w:t>(b</w:t>
            </w:r>
            <w:r w:rsidRPr="00A10A3B">
              <w:rPr>
                <w:rFonts w:ascii="Calibri" w:eastAsiaTheme="minorEastAsia" w:hAnsi="Calibri" w:cs="Calibri"/>
                <w:sz w:val="22"/>
                <w:vertAlign w:val="superscript"/>
                <w:lang w:eastAsia="en-AU"/>
              </w:rPr>
              <w:t>)</w:t>
            </w:r>
          </w:p>
        </w:tc>
        <w:tc>
          <w:tcPr>
            <w:tcW w:w="1120" w:type="dxa"/>
            <w:gridSpan w:val="2"/>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99.1</w:t>
            </w:r>
          </w:p>
        </w:tc>
        <w:tc>
          <w:tcPr>
            <w:tcW w:w="112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91.4</w:t>
            </w:r>
          </w:p>
        </w:tc>
        <w:tc>
          <w:tcPr>
            <w:tcW w:w="1120" w:type="dxa"/>
            <w:gridSpan w:val="2"/>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88.4</w:t>
            </w:r>
          </w:p>
        </w:tc>
        <w:tc>
          <w:tcPr>
            <w:tcW w:w="112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lang w:eastAsia="en-AU"/>
              </w:rPr>
            </w:pPr>
            <w:r w:rsidRPr="00A10A3B">
              <w:rPr>
                <w:rFonts w:ascii="Calibri" w:eastAsiaTheme="minorEastAsia" w:hAnsi="Calibri" w:cs="Calibri"/>
                <w:sz w:val="22"/>
                <w:lang w:eastAsia="en-AU"/>
              </w:rPr>
              <w:t xml:space="preserve"> 85.0</w:t>
            </w:r>
          </w:p>
        </w:tc>
      </w:tr>
      <w:tr w:rsidR="00336793" w:rsidRPr="00A10A3B" w:rsidTr="00DF0B96">
        <w:tc>
          <w:tcPr>
            <w:tcW w:w="5157" w:type="dxa"/>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lang w:eastAsia="en-AU"/>
              </w:rPr>
            </w:pPr>
            <w:r w:rsidRPr="00A10A3B">
              <w:rPr>
                <w:rFonts w:ascii="Calibri" w:eastAsiaTheme="minorEastAsia" w:hAnsi="Calibri" w:cs="Calibri"/>
                <w:b/>
                <w:bCs/>
                <w:sz w:val="22"/>
                <w:lang w:eastAsia="en-AU"/>
              </w:rPr>
              <w:t>Total non</w:t>
            </w:r>
            <w:r>
              <w:rPr>
                <w:rFonts w:ascii="Calibri" w:eastAsiaTheme="minorEastAsia" w:hAnsi="Calibri" w:cs="Calibri"/>
                <w:b/>
                <w:bCs/>
                <w:sz w:val="22"/>
                <w:lang w:eastAsia="en-AU"/>
              </w:rPr>
              <w:noBreakHyphen/>
            </w:r>
            <w:r w:rsidRPr="00A10A3B">
              <w:rPr>
                <w:rFonts w:ascii="Calibri" w:eastAsiaTheme="minorEastAsia" w:hAnsi="Calibri" w:cs="Calibri"/>
                <w:b/>
                <w:bCs/>
                <w:sz w:val="22"/>
                <w:lang w:eastAsia="en-AU"/>
              </w:rPr>
              <w:t>current employee benefits and on</w:t>
            </w:r>
            <w:r>
              <w:rPr>
                <w:rFonts w:ascii="Calibri" w:eastAsiaTheme="minorEastAsia" w:hAnsi="Calibri" w:cs="Calibri"/>
                <w:b/>
                <w:bCs/>
                <w:sz w:val="22"/>
                <w:lang w:eastAsia="en-AU"/>
              </w:rPr>
              <w:noBreakHyphen/>
            </w:r>
            <w:r w:rsidRPr="00A10A3B">
              <w:rPr>
                <w:rFonts w:ascii="Calibri" w:eastAsiaTheme="minorEastAsia" w:hAnsi="Calibri" w:cs="Calibri"/>
                <w:b/>
                <w:bCs/>
                <w:sz w:val="22"/>
                <w:lang w:eastAsia="en-AU"/>
              </w:rPr>
              <w:t>costs</w:t>
            </w:r>
          </w:p>
        </w:tc>
        <w:tc>
          <w:tcPr>
            <w:tcW w:w="1120"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778.7</w:t>
            </w:r>
          </w:p>
        </w:tc>
        <w:tc>
          <w:tcPr>
            <w:tcW w:w="1120" w:type="dxa"/>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739.8</w:t>
            </w:r>
          </w:p>
        </w:tc>
        <w:tc>
          <w:tcPr>
            <w:tcW w:w="1120"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711.9</w:t>
            </w:r>
          </w:p>
        </w:tc>
        <w:tc>
          <w:tcPr>
            <w:tcW w:w="1120" w:type="dxa"/>
            <w:tcBorders>
              <w:top w:val="single" w:sz="6" w:space="0" w:color="000000"/>
              <w:left w:val="nil"/>
              <w:bottom w:val="single" w:sz="6"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 xml:space="preserve"> 676.5</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2"/>
                <w:lang w:eastAsia="en-AU"/>
              </w:rPr>
            </w:pPr>
            <w:r w:rsidRPr="00A10A3B">
              <w:rPr>
                <w:rFonts w:ascii="Calibri" w:eastAsiaTheme="minorEastAsia" w:hAnsi="Calibri" w:cs="Calibri"/>
                <w:b/>
                <w:bCs/>
                <w:sz w:val="22"/>
                <w:lang w:eastAsia="en-AU"/>
              </w:rPr>
              <w:t>Total employee benefits and on</w:t>
            </w:r>
            <w:r>
              <w:rPr>
                <w:rFonts w:ascii="Calibri" w:eastAsiaTheme="minorEastAsia" w:hAnsi="Calibri" w:cs="Calibri"/>
                <w:b/>
                <w:bCs/>
                <w:sz w:val="22"/>
                <w:lang w:eastAsia="en-AU"/>
              </w:rPr>
              <w:noBreakHyphen/>
            </w:r>
            <w:r w:rsidRPr="00A10A3B">
              <w:rPr>
                <w:rFonts w:ascii="Calibri" w:eastAsiaTheme="minorEastAsia" w:hAnsi="Calibri" w:cs="Calibri"/>
                <w:b/>
                <w:bCs/>
                <w:sz w:val="22"/>
                <w:lang w:eastAsia="en-AU"/>
              </w:rPr>
              <w:t>costs</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6 075.9</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5 708.4</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5 605.3</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lang w:eastAsia="en-AU"/>
              </w:rPr>
            </w:pPr>
            <w:r w:rsidRPr="00A10A3B">
              <w:rPr>
                <w:rFonts w:ascii="Calibri" w:eastAsiaTheme="minorEastAsia" w:hAnsi="Calibri" w:cs="Calibri"/>
                <w:b/>
                <w:bCs/>
                <w:sz w:val="22"/>
                <w:lang w:eastAsia="en-AU"/>
              </w:rPr>
              <w:t>5 266.0</w:t>
            </w:r>
          </w:p>
        </w:tc>
      </w:tr>
    </w:tbl>
    <w:p w:rsidR="00336793" w:rsidRPr="006A75A2" w:rsidRDefault="00336793" w:rsidP="00DF0B96">
      <w:pPr>
        <w:pStyle w:val="Notes"/>
      </w:pPr>
      <w:r w:rsidRPr="006A75A2">
        <w:t>Note</w:t>
      </w:r>
      <w:r>
        <w:t>s</w:t>
      </w:r>
      <w:r w:rsidRPr="006A75A2">
        <w:t>:</w:t>
      </w:r>
    </w:p>
    <w:p w:rsidR="00336793" w:rsidRDefault="00336793" w:rsidP="00DF0B96">
      <w:pPr>
        <w:pStyle w:val="Notes"/>
      </w:pPr>
      <w:r w:rsidRPr="006A75A2">
        <w:t>(a)</w:t>
      </w:r>
      <w:r w:rsidRPr="006A75A2">
        <w:tab/>
      </w:r>
      <w:r>
        <w:t xml:space="preserve">June 2014 </w:t>
      </w:r>
      <w:r w:rsidRPr="00D41A2A">
        <w:t>comparative figures have been restated. See Note 37.</w:t>
      </w:r>
    </w:p>
    <w:p w:rsidR="00336793" w:rsidRDefault="00336793" w:rsidP="00DF0B96">
      <w:pPr>
        <w:pStyle w:val="Notes"/>
      </w:pPr>
      <w:r>
        <w:t>(b)</w:t>
      </w:r>
      <w:r>
        <w:tab/>
      </w:r>
      <w:r w:rsidRPr="0047368B">
        <w:t>On</w:t>
      </w:r>
      <w:r>
        <w:noBreakHyphen/>
      </w:r>
      <w:r w:rsidRPr="0047368B">
        <w:t>costs include payroll tax, superannuation and worker</w:t>
      </w:r>
      <w:r>
        <w:t>’</w:t>
      </w:r>
      <w:r w:rsidRPr="0047368B">
        <w:t>s compensation insurance.</w:t>
      </w:r>
    </w:p>
    <w:p w:rsidR="00336793" w:rsidRDefault="00336793" w:rsidP="00DF0B96">
      <w:pPr>
        <w:pStyle w:val="Notes"/>
      </w:pPr>
    </w:p>
    <w:p w:rsidR="00336793" w:rsidRPr="006A75A2" w:rsidRDefault="00336793" w:rsidP="00DF0B96">
      <w:pPr>
        <w:pStyle w:val="Tableheading"/>
      </w:pPr>
      <w:r>
        <w:t>Movements in provisions of on</w:t>
      </w:r>
      <w:r>
        <w:noBreakHyphen/>
        <w:t>costs for the financial year ending 30 June 2015</w:t>
      </w:r>
    </w:p>
    <w:p w:rsidR="00336793" w:rsidRPr="00A10A3B"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6074"/>
        <w:gridCol w:w="423"/>
        <w:gridCol w:w="1260"/>
        <w:gridCol w:w="1880"/>
      </w:tblGrid>
      <w:tr w:rsidR="00336793" w:rsidRPr="00A10A3B" w:rsidTr="00DF0B96">
        <w:trPr>
          <w:tblHeader/>
        </w:trPr>
        <w:tc>
          <w:tcPr>
            <w:tcW w:w="6074"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683"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cs="Calibri"/>
                <w:iCs/>
                <w:color w:val="FFFFFF"/>
                <w:szCs w:val="22"/>
                <w:lang w:eastAsia="en-AU"/>
              </w:rPr>
            </w:pPr>
            <w:r w:rsidRPr="00A10A3B">
              <w:rPr>
                <w:rFonts w:eastAsiaTheme="minorEastAsia"/>
                <w:lang w:eastAsia="en-AU"/>
              </w:rPr>
              <w:t>State</w:t>
            </w:r>
            <w:r w:rsidRPr="00A10A3B">
              <w:rPr>
                <w:rFonts w:eastAsiaTheme="minorEastAsia" w:cs="Calibri"/>
                <w:iCs/>
                <w:color w:val="FFFFFF"/>
                <w:szCs w:val="22"/>
                <w:lang w:eastAsia="en-AU"/>
              </w:rPr>
              <w:t xml:space="preserve"> of Victoria</w:t>
            </w:r>
          </w:p>
        </w:tc>
        <w:tc>
          <w:tcPr>
            <w:tcW w:w="1880"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Centred"/>
              <w:rPr>
                <w:rFonts w:eastAsiaTheme="minorEastAsia" w:cs="Calibri"/>
                <w:iCs/>
                <w:color w:val="FFFFFF"/>
                <w:szCs w:val="22"/>
                <w:lang w:eastAsia="en-AU"/>
              </w:rPr>
            </w:pPr>
            <w:r w:rsidRPr="00A10A3B">
              <w:rPr>
                <w:rFonts w:eastAsiaTheme="minorEastAsia"/>
                <w:lang w:eastAsia="en-AU"/>
              </w:rPr>
              <w:t xml:space="preserve">General </w:t>
            </w:r>
          </w:p>
          <w:p w:rsidR="00336793" w:rsidRPr="00A10A3B" w:rsidRDefault="00336793" w:rsidP="00DF0B96">
            <w:pPr>
              <w:pStyle w:val="TabletextheadingCentred"/>
              <w:rPr>
                <w:rFonts w:eastAsiaTheme="minorEastAsia"/>
                <w:lang w:eastAsia="en-AU"/>
              </w:rPr>
            </w:pPr>
            <w:r w:rsidRPr="00A10A3B">
              <w:rPr>
                <w:rFonts w:eastAsiaTheme="minorEastAsia"/>
                <w:lang w:eastAsia="en-AU"/>
              </w:rPr>
              <w:t>government sector</w:t>
            </w:r>
          </w:p>
        </w:tc>
      </w:tr>
      <w:tr w:rsidR="00336793" w:rsidRPr="00A10A3B" w:rsidTr="00DF0B96">
        <w:trPr>
          <w:tblHeader/>
        </w:trPr>
        <w:tc>
          <w:tcPr>
            <w:tcW w:w="6497" w:type="dxa"/>
            <w:gridSpan w:val="2"/>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26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88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r>
      <w:tr w:rsidR="00336793" w:rsidRPr="00A10A3B" w:rsidTr="00DF0B96">
        <w:tc>
          <w:tcPr>
            <w:tcW w:w="6497" w:type="dxa"/>
            <w:gridSpan w:val="2"/>
            <w:tcBorders>
              <w:top w:val="single" w:sz="6" w:space="0" w:color="auto"/>
              <w:left w:val="nil"/>
              <w:bottom w:val="nil"/>
              <w:right w:val="nil"/>
            </w:tcBorders>
          </w:tcPr>
          <w:p w:rsidR="00336793" w:rsidRPr="00050308" w:rsidRDefault="00336793" w:rsidP="00DF0B96">
            <w:pPr>
              <w:pStyle w:val="Tabletext"/>
              <w:rPr>
                <w:rFonts w:eastAsiaTheme="minorEastAsia"/>
                <w:bCs/>
                <w:lang w:eastAsia="en-AU"/>
              </w:rPr>
            </w:pPr>
            <w:r w:rsidRPr="00050308">
              <w:rPr>
                <w:rFonts w:eastAsiaTheme="minorEastAsia"/>
                <w:bCs/>
                <w:lang w:eastAsia="en-AU"/>
              </w:rPr>
              <w:t>Opening balance</w:t>
            </w:r>
          </w:p>
        </w:tc>
        <w:tc>
          <w:tcPr>
            <w:tcW w:w="1260" w:type="dxa"/>
            <w:tcBorders>
              <w:top w:val="single" w:sz="6" w:space="0" w:color="auto"/>
              <w:left w:val="nil"/>
              <w:bottom w:val="nil"/>
              <w:right w:val="nil"/>
            </w:tcBorders>
          </w:tcPr>
          <w:p w:rsidR="00336793" w:rsidRPr="00050308" w:rsidRDefault="00336793" w:rsidP="00DF0B96">
            <w:pPr>
              <w:pStyle w:val="TableofFigures"/>
              <w:rPr>
                <w:rFonts w:eastAsiaTheme="minorEastAsia"/>
                <w:lang w:eastAsia="en-AU"/>
              </w:rPr>
            </w:pPr>
            <w:r w:rsidRPr="00050308">
              <w:rPr>
                <w:rFonts w:eastAsiaTheme="minorEastAsia"/>
                <w:lang w:eastAsia="en-AU"/>
              </w:rPr>
              <w:t xml:space="preserve"> 682.6</w:t>
            </w:r>
          </w:p>
        </w:tc>
        <w:tc>
          <w:tcPr>
            <w:tcW w:w="1880" w:type="dxa"/>
            <w:tcBorders>
              <w:top w:val="single" w:sz="6" w:space="0" w:color="auto"/>
              <w:left w:val="nil"/>
              <w:bottom w:val="nil"/>
              <w:right w:val="nil"/>
            </w:tcBorders>
          </w:tcPr>
          <w:p w:rsidR="00336793" w:rsidRPr="00050308" w:rsidRDefault="00336793" w:rsidP="00DF0B96">
            <w:pPr>
              <w:pStyle w:val="TableofFigures"/>
              <w:rPr>
                <w:rFonts w:eastAsiaTheme="minorEastAsia"/>
                <w:lang w:eastAsia="en-AU"/>
              </w:rPr>
            </w:pPr>
            <w:r w:rsidRPr="00050308">
              <w:rPr>
                <w:rFonts w:eastAsiaTheme="minorEastAsia"/>
                <w:lang w:eastAsia="en-AU"/>
              </w:rPr>
              <w:t xml:space="preserve"> 634.6</w:t>
            </w:r>
          </w:p>
        </w:tc>
      </w:tr>
      <w:tr w:rsidR="00336793" w:rsidRPr="00A10A3B" w:rsidTr="00DF0B96">
        <w:tc>
          <w:tcPr>
            <w:tcW w:w="6497"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Additional provisions recognised</w:t>
            </w:r>
          </w:p>
        </w:tc>
        <w:tc>
          <w:tcPr>
            <w:tcW w:w="126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210.5</w:t>
            </w:r>
          </w:p>
        </w:tc>
        <w:tc>
          <w:tcPr>
            <w:tcW w:w="188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200.5</w:t>
            </w:r>
          </w:p>
        </w:tc>
      </w:tr>
      <w:tr w:rsidR="00336793" w:rsidRPr="00A10A3B" w:rsidTr="00DF0B96">
        <w:tc>
          <w:tcPr>
            <w:tcW w:w="6497"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Additions due to acquisitions</w:t>
            </w:r>
          </w:p>
        </w:tc>
        <w:tc>
          <w:tcPr>
            <w:tcW w:w="126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w:t>
            </w:r>
          </w:p>
        </w:tc>
        <w:tc>
          <w:tcPr>
            <w:tcW w:w="188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0.2</w:t>
            </w:r>
          </w:p>
        </w:tc>
      </w:tr>
      <w:tr w:rsidR="00336793" w:rsidRPr="00A10A3B" w:rsidTr="00DF0B96">
        <w:tc>
          <w:tcPr>
            <w:tcW w:w="6497"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Re</w:t>
            </w:r>
            <w:r>
              <w:rPr>
                <w:rFonts w:eastAsiaTheme="minorEastAsia"/>
                <w:lang w:eastAsia="en-AU"/>
              </w:rPr>
              <w:t>ductions arising from payments/</w:t>
            </w:r>
            <w:r w:rsidRPr="00A10A3B">
              <w:rPr>
                <w:rFonts w:eastAsiaTheme="minorEastAsia"/>
                <w:lang w:eastAsia="en-AU"/>
              </w:rPr>
              <w:t>other sacrifices of future economic benefits</w:t>
            </w:r>
          </w:p>
        </w:tc>
        <w:tc>
          <w:tcPr>
            <w:tcW w:w="126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169.0)</w:t>
            </w:r>
          </w:p>
        </w:tc>
        <w:tc>
          <w:tcPr>
            <w:tcW w:w="1880"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163.8)</w:t>
            </w:r>
          </w:p>
        </w:tc>
      </w:tr>
      <w:tr w:rsidR="00336793" w:rsidRPr="00A10A3B" w:rsidTr="00DF0B96">
        <w:tc>
          <w:tcPr>
            <w:tcW w:w="6497"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Reductions resulting from re</w:t>
            </w:r>
            <w:r>
              <w:rPr>
                <w:rFonts w:eastAsiaTheme="minorEastAsia"/>
                <w:lang w:eastAsia="en-AU"/>
              </w:rPr>
              <w:noBreakHyphen/>
            </w:r>
            <w:r w:rsidRPr="00A10A3B">
              <w:rPr>
                <w:rFonts w:eastAsiaTheme="minorEastAsia"/>
                <w:lang w:eastAsia="en-AU"/>
              </w:rPr>
              <w:t>measurement or settlement without cost</w:t>
            </w:r>
          </w:p>
        </w:tc>
        <w:tc>
          <w:tcPr>
            <w:tcW w:w="126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8.7)</w:t>
            </w:r>
          </w:p>
        </w:tc>
        <w:tc>
          <w:tcPr>
            <w:tcW w:w="1880"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2.8)</w:t>
            </w:r>
          </w:p>
        </w:tc>
      </w:tr>
      <w:tr w:rsidR="00336793" w:rsidRPr="00A10A3B" w:rsidTr="00DF0B96">
        <w:tc>
          <w:tcPr>
            <w:tcW w:w="6497"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Unwind of discount and effect of changes in the discount rate</w:t>
            </w:r>
          </w:p>
        </w:tc>
        <w:tc>
          <w:tcPr>
            <w:tcW w:w="126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 xml:space="preserve"> 1.0</w:t>
            </w:r>
          </w:p>
        </w:tc>
        <w:tc>
          <w:tcPr>
            <w:tcW w:w="1880"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 xml:space="preserve"> 1.7</w:t>
            </w:r>
          </w:p>
        </w:tc>
      </w:tr>
      <w:tr w:rsidR="00336793" w:rsidRPr="00A10A3B" w:rsidTr="00DF0B96">
        <w:tc>
          <w:tcPr>
            <w:tcW w:w="6497" w:type="dxa"/>
            <w:gridSpan w:val="2"/>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Closing balance</w:t>
            </w:r>
          </w:p>
        </w:tc>
        <w:tc>
          <w:tcPr>
            <w:tcW w:w="1260" w:type="dxa"/>
            <w:tcBorders>
              <w:top w:val="single" w:sz="6" w:space="0" w:color="auto"/>
              <w:left w:val="nil"/>
              <w:bottom w:val="single" w:sz="6" w:space="0" w:color="auto"/>
              <w:right w:val="nil"/>
            </w:tcBorders>
            <w:shd w:val="solid" w:color="FFFFFF"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717.4</w:t>
            </w:r>
          </w:p>
        </w:tc>
        <w:tc>
          <w:tcPr>
            <w:tcW w:w="188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670.4</w:t>
            </w:r>
          </w:p>
        </w:tc>
      </w:tr>
      <w:tr w:rsidR="00336793" w:rsidRPr="00A10A3B" w:rsidTr="00DF0B96">
        <w:tc>
          <w:tcPr>
            <w:tcW w:w="6497" w:type="dxa"/>
            <w:gridSpan w:val="2"/>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Represented by:</w:t>
            </w:r>
          </w:p>
        </w:tc>
        <w:tc>
          <w:tcPr>
            <w:tcW w:w="126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88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6497" w:type="dxa"/>
            <w:gridSpan w:val="2"/>
            <w:tcBorders>
              <w:top w:val="nil"/>
              <w:left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Current</w:t>
            </w:r>
          </w:p>
        </w:tc>
        <w:tc>
          <w:tcPr>
            <w:tcW w:w="1260" w:type="dxa"/>
            <w:tcBorders>
              <w:top w:val="nil"/>
              <w:left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618.3</w:t>
            </w:r>
          </w:p>
        </w:tc>
        <w:tc>
          <w:tcPr>
            <w:tcW w:w="1880" w:type="dxa"/>
            <w:tcBorders>
              <w:top w:val="nil"/>
              <w:left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582.0</w:t>
            </w:r>
          </w:p>
        </w:tc>
      </w:tr>
      <w:tr w:rsidR="00336793" w:rsidRPr="00A10A3B" w:rsidTr="00DF0B96">
        <w:tc>
          <w:tcPr>
            <w:tcW w:w="6497" w:type="dxa"/>
            <w:gridSpan w:val="2"/>
            <w:tcBorders>
              <w:top w:val="nil"/>
              <w:left w:val="nil"/>
              <w:bottom w:val="single" w:sz="12" w:space="0" w:color="000000"/>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Non</w:t>
            </w:r>
            <w:r>
              <w:rPr>
                <w:rFonts w:eastAsiaTheme="minorEastAsia"/>
                <w:lang w:eastAsia="en-AU"/>
              </w:rPr>
              <w:noBreakHyphen/>
            </w:r>
            <w:r w:rsidRPr="00A10A3B">
              <w:rPr>
                <w:rFonts w:eastAsiaTheme="minorEastAsia"/>
                <w:lang w:eastAsia="en-AU"/>
              </w:rPr>
              <w:t>current</w:t>
            </w:r>
          </w:p>
        </w:tc>
        <w:tc>
          <w:tcPr>
            <w:tcW w:w="1260" w:type="dxa"/>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99.1</w:t>
            </w:r>
          </w:p>
        </w:tc>
        <w:tc>
          <w:tcPr>
            <w:tcW w:w="1880" w:type="dxa"/>
            <w:tcBorders>
              <w:top w:val="nil"/>
              <w:left w:val="nil"/>
              <w:bottom w:val="single" w:sz="12"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88.4</w:t>
            </w:r>
          </w:p>
        </w:tc>
      </w:tr>
    </w:tbl>
    <w:p w:rsidR="00336793" w:rsidRDefault="00336793" w:rsidP="00DF0B96">
      <w:pPr>
        <w:pStyle w:val="Notes"/>
      </w:pPr>
    </w:p>
    <w:p w:rsidR="00336793" w:rsidRPr="006A75A2" w:rsidRDefault="00336793" w:rsidP="00DF0B96"/>
    <w:p w:rsidR="00336793" w:rsidRPr="00D60990" w:rsidRDefault="00336793" w:rsidP="00DF0B96">
      <w:pPr>
        <w:spacing w:after="0"/>
        <w:rPr>
          <w:rFonts w:ascii="Calibri" w:hAnsi="Calibri"/>
          <w:i/>
          <w:sz w:val="20"/>
          <w:szCs w:val="18"/>
        </w:rPr>
      </w:pPr>
      <w:r>
        <w:br w:type="page"/>
      </w:r>
    </w:p>
    <w:p w:rsidR="00336793" w:rsidRPr="006A75A2" w:rsidRDefault="00336793" w:rsidP="00DF0B96">
      <w:pPr>
        <w:pStyle w:val="Heading2Notes"/>
        <w:rPr>
          <w:kern w:val="0"/>
        </w:rPr>
      </w:pPr>
      <w:bookmarkStart w:id="90" w:name="_Toc400040275"/>
      <w:bookmarkStart w:id="91" w:name="_Toc433984511"/>
      <w:r w:rsidRPr="006A75A2">
        <w:rPr>
          <w:kern w:val="0"/>
        </w:rPr>
        <w:lastRenderedPageBreak/>
        <w:t>Note 28:</w:t>
      </w:r>
      <w:r w:rsidRPr="006A75A2">
        <w:rPr>
          <w:kern w:val="0"/>
        </w:rPr>
        <w:tab/>
        <w:t>Other provisions</w:t>
      </w:r>
      <w:bookmarkEnd w:id="90"/>
      <w:bookmarkEnd w:id="91"/>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1120"/>
        <w:gridCol w:w="27"/>
        <w:gridCol w:w="153"/>
        <w:gridCol w:w="940"/>
        <w:gridCol w:w="950"/>
        <w:gridCol w:w="170"/>
      </w:tblGrid>
      <w:tr w:rsidR="00336793" w:rsidRPr="00A10A3B" w:rsidTr="00545B6B">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2267" w:type="dxa"/>
            <w:gridSpan w:val="3"/>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State of Victoria</w:t>
            </w:r>
          </w:p>
        </w:tc>
        <w:tc>
          <w:tcPr>
            <w:tcW w:w="153"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c>
          <w:tcPr>
            <w:tcW w:w="189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lang w:eastAsia="en-AU"/>
              </w:rPr>
            </w:pPr>
            <w:r w:rsidRPr="00A10A3B">
              <w:rPr>
                <w:rFonts w:eastAsiaTheme="minorEastAsia"/>
                <w:color w:val="FFFFFF"/>
                <w:lang w:eastAsia="en-AU"/>
              </w:rPr>
              <w:t>General government sector</w:t>
            </w:r>
          </w:p>
        </w:tc>
        <w:tc>
          <w:tcPr>
            <w:tcW w:w="170"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color w:val="FFFFFF"/>
                <w:lang w:eastAsia="en-AU"/>
              </w:rPr>
              <w:t xml:space="preserve"> </w:t>
            </w:r>
          </w:p>
        </w:tc>
      </w:tr>
      <w:tr w:rsidR="00336793" w:rsidRPr="00A10A3B" w:rsidTr="00DF0B96">
        <w:trPr>
          <w:tblHeader/>
        </w:trPr>
        <w:tc>
          <w:tcPr>
            <w:tcW w:w="515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120" w:type="dxa"/>
            <w:gridSpan w:val="3"/>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Provision for insurance claims</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3"/>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WorkSafe Victoria</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1 995.3</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1 928.1</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Transport Accident Commission</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1 138.1</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1 079.8</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Victorian Managed Insurance Authority</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299.0</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381.2</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agencies</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18.4</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15.9</w:t>
            </w:r>
          </w:p>
        </w:tc>
        <w:tc>
          <w:tcPr>
            <w:tcW w:w="1120" w:type="dxa"/>
            <w:gridSpan w:val="3"/>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14.2</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11.7</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Current provision for insurance claims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3 450.8</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3 405.0</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14.2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11.7</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Onerous contracts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47.4</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45.5</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provisions</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365.1</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368.3</w:t>
            </w:r>
          </w:p>
        </w:tc>
        <w:tc>
          <w:tcPr>
            <w:tcW w:w="1120" w:type="dxa"/>
            <w:gridSpan w:val="3"/>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234.4</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181.3</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current other provisions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3 863.3</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3 818.7</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248.5</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193.0</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Non</w:t>
            </w:r>
            <w:r>
              <w:rPr>
                <w:rFonts w:eastAsiaTheme="minorEastAsia"/>
                <w:b/>
                <w:bCs/>
                <w:lang w:eastAsia="en-AU"/>
              </w:rPr>
              <w:noBreakHyphen/>
            </w:r>
            <w:r w:rsidRPr="00A10A3B">
              <w:rPr>
                <w:rFonts w:eastAsiaTheme="minorEastAsia"/>
                <w:b/>
                <w:bCs/>
                <w:lang w:eastAsia="en-AU"/>
              </w:rPr>
              <w:t>current provision for insurance claims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WorkSafe Victoria</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9 366.3</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8 823.2</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Transport Accident Commission</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10 895.7</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9 768.6</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Victorian Managed Insurance Authority</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1 462.0</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1 665.2</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agencies</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31.3</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27.5</w:t>
            </w:r>
          </w:p>
        </w:tc>
        <w:tc>
          <w:tcPr>
            <w:tcW w:w="1120" w:type="dxa"/>
            <w:gridSpan w:val="3"/>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30.0</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26.6</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Non</w:t>
            </w:r>
            <w:r>
              <w:rPr>
                <w:rFonts w:eastAsiaTheme="minorEastAsia"/>
                <w:b/>
                <w:bCs/>
                <w:lang w:eastAsia="en-AU"/>
              </w:rPr>
              <w:noBreakHyphen/>
            </w:r>
            <w:r w:rsidRPr="00A10A3B">
              <w:rPr>
                <w:rFonts w:eastAsiaTheme="minorEastAsia"/>
                <w:b/>
                <w:bCs/>
                <w:lang w:eastAsia="en-AU"/>
              </w:rPr>
              <w:t>current provision for insurance claims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21 755.3</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20 284.4</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30.0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26.6</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Onerous contracts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25.6</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69.0</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shd w:val="solid" w:color="FFFFFF" w:fill="auto"/>
          </w:tcPr>
          <w:p w:rsidR="00336793" w:rsidRPr="00072BBC" w:rsidRDefault="00336793" w:rsidP="00DF0B96">
            <w:pPr>
              <w:pStyle w:val="Tabletext"/>
              <w:rPr>
                <w:rFonts w:eastAsiaTheme="minorEastAsia"/>
                <w:vertAlign w:val="superscript"/>
                <w:lang w:eastAsia="en-AU"/>
              </w:rPr>
            </w:pPr>
            <w:r w:rsidRPr="00A10A3B">
              <w:rPr>
                <w:rFonts w:eastAsiaTheme="minorEastAsia"/>
                <w:lang w:eastAsia="en-AU"/>
              </w:rPr>
              <w:t>Other provisions</w:t>
            </w:r>
            <w:r w:rsidRPr="00E96950">
              <w:rPr>
                <w:rFonts w:eastAsiaTheme="minorEastAsia"/>
                <w:vertAlign w:val="superscript"/>
                <w:lang w:eastAsia="en-AU"/>
              </w:rPr>
              <w:t xml:space="preserve"> (</w:t>
            </w:r>
            <w:r>
              <w:rPr>
                <w:rFonts w:eastAsiaTheme="minorEastAsia"/>
                <w:vertAlign w:val="superscript"/>
                <w:lang w:eastAsia="en-AU"/>
              </w:rPr>
              <w:t>a)</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568.6</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459.7</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528.8</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409.8</w:t>
            </w:r>
          </w:p>
        </w:tc>
      </w:tr>
      <w:tr w:rsidR="00336793" w:rsidRPr="00A10A3B" w:rsidTr="00DF0B96">
        <w:tc>
          <w:tcPr>
            <w:tcW w:w="5157" w:type="dxa"/>
            <w:tcBorders>
              <w:top w:val="single" w:sz="6" w:space="0" w:color="000000"/>
              <w:left w:val="nil"/>
              <w:bottom w:val="single" w:sz="6" w:space="0" w:color="000000"/>
              <w:right w:val="nil"/>
            </w:tcBorders>
            <w:shd w:val="solid" w:color="FFFFFF" w:fill="auto"/>
          </w:tcPr>
          <w:p w:rsidR="00336793" w:rsidRPr="00072BBC" w:rsidRDefault="00336793" w:rsidP="00DF0B96">
            <w:pPr>
              <w:pStyle w:val="Tabletext"/>
              <w:rPr>
                <w:rFonts w:eastAsiaTheme="minorEastAsia"/>
                <w:b/>
                <w:bCs/>
                <w:vertAlign w:val="superscript"/>
                <w:lang w:eastAsia="en-AU"/>
              </w:rPr>
            </w:pPr>
            <w:r w:rsidRPr="00A10A3B">
              <w:rPr>
                <w:rFonts w:eastAsiaTheme="minorEastAsia"/>
                <w:b/>
                <w:bCs/>
                <w:lang w:eastAsia="en-AU"/>
              </w:rPr>
              <w:t>Total non</w:t>
            </w:r>
            <w:r>
              <w:rPr>
                <w:rFonts w:eastAsiaTheme="minorEastAsia"/>
                <w:b/>
                <w:bCs/>
                <w:lang w:eastAsia="en-AU"/>
              </w:rPr>
              <w:noBreakHyphen/>
            </w:r>
            <w:r w:rsidRPr="00A10A3B">
              <w:rPr>
                <w:rFonts w:eastAsiaTheme="minorEastAsia"/>
                <w:b/>
                <w:bCs/>
                <w:lang w:eastAsia="en-AU"/>
              </w:rPr>
              <w:t>current other provisions</w:t>
            </w:r>
            <w:r w:rsidRPr="00E96950">
              <w:rPr>
                <w:rFonts w:eastAsiaTheme="minorEastAsia"/>
                <w:b/>
                <w:bCs/>
                <w:vertAlign w:val="superscript"/>
                <w:lang w:eastAsia="en-AU"/>
              </w:rPr>
              <w:t xml:space="preserve"> (</w:t>
            </w:r>
            <w:r>
              <w:rPr>
                <w:rFonts w:eastAsiaTheme="minorEastAsia"/>
                <w:b/>
                <w:bCs/>
                <w:vertAlign w:val="superscript"/>
                <w:lang w:eastAsia="en-AU"/>
              </w:rPr>
              <w:t>a)</w:t>
            </w:r>
          </w:p>
        </w:tc>
        <w:tc>
          <w:tcPr>
            <w:tcW w:w="1120" w:type="dxa"/>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22 349.5</w:t>
            </w:r>
          </w:p>
        </w:tc>
        <w:tc>
          <w:tcPr>
            <w:tcW w:w="1120" w:type="dxa"/>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20 813.2</w:t>
            </w:r>
          </w:p>
        </w:tc>
        <w:tc>
          <w:tcPr>
            <w:tcW w:w="1120" w:type="dxa"/>
            <w:gridSpan w:val="3"/>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558.8</w:t>
            </w:r>
          </w:p>
        </w:tc>
        <w:tc>
          <w:tcPr>
            <w:tcW w:w="1120" w:type="dxa"/>
            <w:gridSpan w:val="2"/>
            <w:tcBorders>
              <w:top w:val="single" w:sz="6" w:space="0" w:color="000000"/>
              <w:left w:val="nil"/>
              <w:bottom w:val="single" w:sz="6"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436.4</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072BBC" w:rsidRDefault="00336793" w:rsidP="00DF0B96">
            <w:pPr>
              <w:pStyle w:val="Tabletext"/>
              <w:rPr>
                <w:rFonts w:eastAsiaTheme="minorEastAsia"/>
                <w:b/>
                <w:bCs/>
                <w:vertAlign w:val="superscript"/>
                <w:lang w:eastAsia="en-AU"/>
              </w:rPr>
            </w:pPr>
            <w:r w:rsidRPr="00A10A3B">
              <w:rPr>
                <w:rFonts w:eastAsiaTheme="minorEastAsia"/>
                <w:b/>
                <w:bCs/>
                <w:lang w:eastAsia="en-AU"/>
              </w:rPr>
              <w:t>Total other provisions</w:t>
            </w:r>
            <w:r w:rsidRPr="00E96950">
              <w:rPr>
                <w:rFonts w:eastAsiaTheme="minorEastAsia"/>
                <w:b/>
                <w:bCs/>
                <w:vertAlign w:val="superscript"/>
                <w:lang w:eastAsia="en-AU"/>
              </w:rPr>
              <w:t xml:space="preserve"> (</w:t>
            </w:r>
            <w:r>
              <w:rPr>
                <w:rFonts w:eastAsiaTheme="minorEastAsia"/>
                <w:b/>
                <w:bCs/>
                <w:vertAlign w:val="superscript"/>
                <w:lang w:eastAsia="en-AU"/>
              </w:rPr>
              <w:t>a)</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26 212.8</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24 631.8</w:t>
            </w:r>
          </w:p>
        </w:tc>
        <w:tc>
          <w:tcPr>
            <w:tcW w:w="1120" w:type="dxa"/>
            <w:gridSpan w:val="3"/>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807.4</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629.4</w:t>
            </w:r>
          </w:p>
        </w:tc>
      </w:tr>
    </w:tbl>
    <w:p w:rsidR="00336793" w:rsidRPr="006A75A2" w:rsidRDefault="00336793" w:rsidP="00DF0B96">
      <w:pPr>
        <w:pStyle w:val="Notes"/>
      </w:pPr>
      <w:r w:rsidRPr="006A75A2">
        <w:t>Note:</w:t>
      </w:r>
    </w:p>
    <w:p w:rsidR="00336793" w:rsidRDefault="00336793" w:rsidP="005370A8">
      <w:pPr>
        <w:pStyle w:val="Notes"/>
      </w:pPr>
      <w:r w:rsidRPr="006A75A2">
        <w:t>(a)</w:t>
      </w:r>
      <w:r w:rsidRPr="006A75A2">
        <w:tab/>
      </w:r>
      <w:r>
        <w:t xml:space="preserve">June 2014 </w:t>
      </w:r>
      <w:r w:rsidRPr="005370A8">
        <w:t>comparative</w:t>
      </w:r>
      <w:r w:rsidRPr="00D41A2A">
        <w:t xml:space="preserve"> figures have been restated. See Note 37.</w:t>
      </w:r>
    </w:p>
    <w:p w:rsidR="00336793" w:rsidRDefault="00336793" w:rsidP="00DF0B96">
      <w:pPr>
        <w:pStyle w:val="Notes"/>
      </w:pPr>
    </w:p>
    <w:p w:rsidR="00336793" w:rsidRPr="006A75A2" w:rsidRDefault="00336793" w:rsidP="00DF0B96"/>
    <w:p w:rsidR="00336793" w:rsidRPr="006A75A2" w:rsidRDefault="00336793" w:rsidP="00DF0B96">
      <w:pPr>
        <w:pStyle w:val="Tableheading"/>
      </w:pPr>
      <w:r w:rsidRPr="00766D50">
        <w:t>Reconciliation of movements in insurance claims</w:t>
      </w:r>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47"/>
        <w:gridCol w:w="873"/>
        <w:gridCol w:w="1120"/>
        <w:gridCol w:w="275"/>
        <w:gridCol w:w="845"/>
        <w:gridCol w:w="1120"/>
      </w:tblGrid>
      <w:tr w:rsidR="00336793" w:rsidRPr="00A10A3B" w:rsidTr="00DF0B96">
        <w:trPr>
          <w:tblHeader/>
        </w:trPr>
        <w:tc>
          <w:tcPr>
            <w:tcW w:w="5157" w:type="dxa"/>
            <w:tcBorders>
              <w:top w:val="single" w:sz="6" w:space="0" w:color="000000"/>
              <w:left w:val="single" w:sz="6" w:space="0" w:color="000000"/>
              <w:bottom w:val="nil"/>
              <w:right w:val="nil"/>
            </w:tcBorders>
            <w:shd w:val="clear" w:color="000000" w:fill="000000"/>
            <w:vAlign w:val="bottom"/>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247" w:type="dxa"/>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iCs/>
                <w:color w:val="FFFFFF"/>
                <w:lang w:eastAsia="en-AU"/>
              </w:rPr>
              <w:t xml:space="preserve"> </w:t>
            </w:r>
          </w:p>
        </w:tc>
        <w:tc>
          <w:tcPr>
            <w:tcW w:w="1993" w:type="dxa"/>
            <w:gridSpan w:val="2"/>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iCs/>
                <w:color w:val="FFFFFF"/>
                <w:lang w:eastAsia="en-AU"/>
              </w:rPr>
            </w:pPr>
          </w:p>
          <w:p w:rsidR="00336793" w:rsidRPr="00A10A3B" w:rsidRDefault="00336793" w:rsidP="00DF0B96">
            <w:pPr>
              <w:pStyle w:val="Tabletextheading"/>
              <w:jc w:val="center"/>
              <w:rPr>
                <w:rFonts w:eastAsiaTheme="minorEastAsia"/>
                <w:iCs/>
                <w:color w:val="FFFFFF"/>
                <w:lang w:eastAsia="en-AU"/>
              </w:rPr>
            </w:pPr>
            <w:r w:rsidRPr="00A10A3B">
              <w:rPr>
                <w:rFonts w:eastAsiaTheme="minorEastAsia"/>
                <w:iCs/>
                <w:color w:val="FFFFFF"/>
                <w:lang w:eastAsia="en-AU"/>
              </w:rPr>
              <w:t>State of Victoria</w:t>
            </w:r>
          </w:p>
        </w:tc>
        <w:tc>
          <w:tcPr>
            <w:tcW w:w="275" w:type="dxa"/>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iCs/>
                <w:color w:val="FFFFFF"/>
                <w:lang w:eastAsia="en-AU"/>
              </w:rPr>
              <w:t xml:space="preserve"> </w:t>
            </w:r>
          </w:p>
        </w:tc>
        <w:tc>
          <w:tcPr>
            <w:tcW w:w="1965" w:type="dxa"/>
            <w:gridSpan w:val="2"/>
            <w:tcBorders>
              <w:top w:val="single" w:sz="6" w:space="0" w:color="000000"/>
              <w:left w:val="nil"/>
              <w:bottom w:val="nil"/>
              <w:right w:val="single" w:sz="6" w:space="0" w:color="000000"/>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iCs/>
                <w:color w:val="FFFFFF"/>
                <w:lang w:eastAsia="en-AU"/>
              </w:rPr>
              <w:t xml:space="preserve">General </w:t>
            </w:r>
          </w:p>
          <w:p w:rsidR="00336793" w:rsidRPr="00A10A3B" w:rsidRDefault="00336793" w:rsidP="00DF0B96">
            <w:pPr>
              <w:pStyle w:val="Tabletextheading"/>
              <w:jc w:val="center"/>
              <w:rPr>
                <w:rFonts w:eastAsiaTheme="minorEastAsia"/>
                <w:iCs/>
                <w:color w:val="FFFFFF"/>
                <w:lang w:eastAsia="en-AU"/>
              </w:rPr>
            </w:pPr>
            <w:r w:rsidRPr="00A10A3B">
              <w:rPr>
                <w:rFonts w:eastAsiaTheme="minorEastAsia"/>
                <w:iCs/>
                <w:color w:val="FFFFFF"/>
                <w:lang w:eastAsia="en-AU"/>
              </w:rPr>
              <w:t>government sector</w:t>
            </w:r>
          </w:p>
        </w:tc>
      </w:tr>
      <w:tr w:rsidR="00336793" w:rsidRPr="00A10A3B" w:rsidTr="00DF0B96">
        <w:trPr>
          <w:tblHeader/>
        </w:trPr>
        <w:tc>
          <w:tcPr>
            <w:tcW w:w="5157" w:type="dxa"/>
            <w:tcBorders>
              <w:top w:val="nil"/>
              <w:left w:val="single" w:sz="6" w:space="0" w:color="000000"/>
              <w:bottom w:val="single" w:sz="6" w:space="0" w:color="000000"/>
              <w:right w:val="nil"/>
            </w:tcBorders>
            <w:shd w:val="clear" w:color="000000" w:fill="000000"/>
            <w:vAlign w:val="bottom"/>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gridSpan w:val="2"/>
            <w:tcBorders>
              <w:top w:val="nil"/>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c>
          <w:tcPr>
            <w:tcW w:w="1120" w:type="dxa"/>
            <w:gridSpan w:val="2"/>
            <w:tcBorders>
              <w:top w:val="nil"/>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000000"/>
              <w:right w:val="single" w:sz="6" w:space="0" w:color="000000"/>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r>
      <w:tr w:rsidR="00336793" w:rsidRPr="00A10A3B" w:rsidTr="00DF0B96">
        <w:tc>
          <w:tcPr>
            <w:tcW w:w="5157" w:type="dxa"/>
            <w:tcBorders>
              <w:top w:val="single" w:sz="6" w:space="0" w:color="000000"/>
              <w:left w:val="nil"/>
              <w:bottom w:val="nil"/>
              <w:right w:val="nil"/>
            </w:tcBorders>
          </w:tcPr>
          <w:p w:rsidR="00336793" w:rsidRPr="00050308" w:rsidRDefault="00336793" w:rsidP="00DF0B96">
            <w:pPr>
              <w:pStyle w:val="Tabletext"/>
              <w:rPr>
                <w:rFonts w:eastAsiaTheme="minorEastAsia"/>
                <w:lang w:eastAsia="en-AU"/>
              </w:rPr>
            </w:pPr>
            <w:r w:rsidRPr="00050308">
              <w:rPr>
                <w:rFonts w:eastAsiaTheme="minorEastAsia"/>
                <w:lang w:eastAsia="en-AU"/>
              </w:rPr>
              <w:t>Opening balance</w:t>
            </w:r>
          </w:p>
        </w:tc>
        <w:tc>
          <w:tcPr>
            <w:tcW w:w="1120" w:type="dxa"/>
            <w:gridSpan w:val="2"/>
            <w:tcBorders>
              <w:top w:val="single" w:sz="6" w:space="0" w:color="000000"/>
              <w:left w:val="nil"/>
              <w:bottom w:val="nil"/>
              <w:right w:val="nil"/>
            </w:tcBorders>
          </w:tcPr>
          <w:p w:rsidR="00336793" w:rsidRPr="00050308" w:rsidRDefault="00336793" w:rsidP="00DF0B96">
            <w:pPr>
              <w:pStyle w:val="TableofFigures"/>
              <w:rPr>
                <w:rFonts w:eastAsiaTheme="minorEastAsia"/>
                <w:lang w:eastAsia="en-AU"/>
              </w:rPr>
            </w:pPr>
            <w:r w:rsidRPr="00050308">
              <w:rPr>
                <w:rFonts w:eastAsiaTheme="minorEastAsia"/>
                <w:lang w:eastAsia="en-AU"/>
              </w:rPr>
              <w:t>23 689.4</w:t>
            </w:r>
          </w:p>
        </w:tc>
        <w:tc>
          <w:tcPr>
            <w:tcW w:w="1120" w:type="dxa"/>
            <w:tcBorders>
              <w:top w:val="single" w:sz="6" w:space="0" w:color="000000"/>
              <w:left w:val="nil"/>
              <w:bottom w:val="nil"/>
              <w:right w:val="nil"/>
            </w:tcBorders>
          </w:tcPr>
          <w:p w:rsidR="00336793" w:rsidRPr="00050308" w:rsidRDefault="00336793" w:rsidP="00DF0B96">
            <w:pPr>
              <w:pStyle w:val="TableofFigures"/>
              <w:rPr>
                <w:rFonts w:eastAsiaTheme="minorEastAsia"/>
                <w:lang w:eastAsia="en-AU"/>
              </w:rPr>
            </w:pPr>
            <w:r w:rsidRPr="00050308">
              <w:rPr>
                <w:rFonts w:eastAsiaTheme="minorEastAsia"/>
                <w:lang w:eastAsia="en-AU"/>
              </w:rPr>
              <w:t>22 479.0</w:t>
            </w:r>
          </w:p>
        </w:tc>
        <w:tc>
          <w:tcPr>
            <w:tcW w:w="1120" w:type="dxa"/>
            <w:gridSpan w:val="2"/>
            <w:tcBorders>
              <w:top w:val="single" w:sz="6" w:space="0" w:color="000000"/>
              <w:left w:val="nil"/>
              <w:bottom w:val="nil"/>
              <w:right w:val="nil"/>
            </w:tcBorders>
          </w:tcPr>
          <w:p w:rsidR="00336793" w:rsidRPr="00050308" w:rsidRDefault="00336793" w:rsidP="00DF0B96">
            <w:pPr>
              <w:pStyle w:val="TableofFigures"/>
              <w:rPr>
                <w:rFonts w:eastAsiaTheme="minorEastAsia"/>
                <w:lang w:eastAsia="en-AU"/>
              </w:rPr>
            </w:pPr>
            <w:r w:rsidRPr="00050308">
              <w:rPr>
                <w:rFonts w:eastAsiaTheme="minorEastAsia"/>
                <w:lang w:eastAsia="en-AU"/>
              </w:rPr>
              <w:t xml:space="preserve"> 38.3</w:t>
            </w:r>
          </w:p>
        </w:tc>
        <w:tc>
          <w:tcPr>
            <w:tcW w:w="1120" w:type="dxa"/>
            <w:tcBorders>
              <w:top w:val="single" w:sz="6" w:space="0" w:color="000000"/>
              <w:left w:val="nil"/>
              <w:bottom w:val="nil"/>
              <w:right w:val="nil"/>
            </w:tcBorders>
          </w:tcPr>
          <w:p w:rsidR="00336793" w:rsidRPr="00050308" w:rsidRDefault="00336793" w:rsidP="00DF0B96">
            <w:pPr>
              <w:pStyle w:val="TableofFigures"/>
              <w:rPr>
                <w:rFonts w:eastAsiaTheme="minorEastAsia"/>
                <w:lang w:eastAsia="en-AU"/>
              </w:rPr>
            </w:pPr>
            <w:r w:rsidRPr="00050308">
              <w:rPr>
                <w:rFonts w:eastAsiaTheme="minorEastAsia"/>
                <w:lang w:eastAsia="en-AU"/>
              </w:rPr>
              <w:t xml:space="preserve"> 41.4</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Effect of changes in assumptions and claims experience</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302.0</w:t>
            </w:r>
          </w:p>
        </w:tc>
        <w:tc>
          <w:tcPr>
            <w:tcW w:w="1120"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286.4)</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0.1)</w:t>
            </w:r>
          </w:p>
        </w:tc>
        <w:tc>
          <w:tcPr>
            <w:tcW w:w="1120"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8.5)</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Cost of prior year claims (unwinding of discount)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898.4</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1 060.6</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1.4)</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0.8</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Increase in claims incurred</w:t>
            </w:r>
            <w:r w:rsidRPr="00E96950">
              <w:rPr>
                <w:rFonts w:eastAsiaTheme="minorEastAsia"/>
                <w:vertAlign w:val="superscript"/>
                <w:lang w:eastAsia="en-AU"/>
              </w:rPr>
              <w:t xml:space="preserve"> </w:t>
            </w:r>
            <w:r w:rsidRPr="00A10A3B">
              <w:rPr>
                <w:rFonts w:eastAsiaTheme="minorEastAsia"/>
                <w:vertAlign w:val="superscript"/>
                <w:lang w:eastAsia="en-AU"/>
              </w:rPr>
              <w:t>(a)</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4 085.2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3 774.7</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22.8</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17.0</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Claim payments during the year</w:t>
            </w:r>
            <w:r w:rsidRPr="00E96950">
              <w:rPr>
                <w:rFonts w:eastAsiaTheme="minorEastAsia"/>
                <w:vertAlign w:val="superscript"/>
                <w:lang w:eastAsia="en-AU"/>
              </w:rPr>
              <w:t xml:space="preserve"> </w:t>
            </w:r>
            <w:r w:rsidRPr="00A10A3B">
              <w:rPr>
                <w:rFonts w:eastAsiaTheme="minorEastAsia"/>
                <w:vertAlign w:val="superscript"/>
                <w:lang w:eastAsia="en-AU"/>
              </w:rPr>
              <w:t>(a)</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(3 346.8)</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(2 930.5)</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13.1)</w:t>
            </w:r>
          </w:p>
        </w:tc>
        <w:tc>
          <w:tcPr>
            <w:tcW w:w="1120"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12.5)</w:t>
            </w:r>
          </w:p>
        </w:tc>
      </w:tr>
      <w:tr w:rsidR="00336793" w:rsidRPr="00A10A3B" w:rsidTr="00DF0B96">
        <w:tc>
          <w:tcPr>
            <w:tcW w:w="515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Other</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422.0)</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408.0)</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2.2)</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Closing balance</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25 206.2</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23 689.4</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44.2</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38.3</w:t>
            </w:r>
          </w:p>
        </w:tc>
      </w:tr>
    </w:tbl>
    <w:p w:rsidR="00336793" w:rsidRPr="006A75A2" w:rsidRDefault="00336793" w:rsidP="00DF0B96">
      <w:pPr>
        <w:pStyle w:val="Notes"/>
      </w:pPr>
      <w:r w:rsidRPr="006A75A2">
        <w:t>Note:</w:t>
      </w:r>
    </w:p>
    <w:p w:rsidR="00336793" w:rsidRDefault="00336793" w:rsidP="00DF0B96">
      <w:pPr>
        <w:pStyle w:val="Notes"/>
      </w:pPr>
      <w:r w:rsidRPr="006A75A2">
        <w:t>(a)</w:t>
      </w:r>
      <w:r w:rsidRPr="006A75A2">
        <w:tab/>
        <w:t>Claim payments and claims incurred during the year are net of recoveries.</w:t>
      </w:r>
    </w:p>
    <w:p w:rsidR="00336793" w:rsidRDefault="00336793" w:rsidP="00DF0B96">
      <w:pPr>
        <w:pStyle w:val="Notes"/>
      </w:pPr>
    </w:p>
    <w:p w:rsidR="00336793" w:rsidRDefault="00336793" w:rsidP="00DF0B96">
      <w:pPr>
        <w:pStyle w:val="Notes"/>
      </w:pPr>
    </w:p>
    <w:p w:rsidR="00336793" w:rsidRDefault="00336793" w:rsidP="00DF0B96"/>
    <w:p w:rsidR="00336793" w:rsidRDefault="00336793" w:rsidP="00DF0B96"/>
    <w:p w:rsidR="00336793" w:rsidRDefault="00336793" w:rsidP="00DF0B96">
      <w:pPr>
        <w:sectPr w:rsidR="00336793" w:rsidSect="00DF0B96">
          <w:headerReference w:type="even" r:id="rId76"/>
          <w:headerReference w:type="default" r:id="rId77"/>
          <w:footerReference w:type="even" r:id="rId78"/>
          <w:footerReference w:type="default" r:id="rId79"/>
          <w:headerReference w:type="first" r:id="rId80"/>
          <w:footerReference w:type="first" r:id="rId81"/>
          <w:pgSz w:w="11906" w:h="16838" w:code="9"/>
          <w:pgMar w:top="1152" w:right="1152" w:bottom="1152" w:left="1152" w:header="720" w:footer="720" w:gutter="0"/>
          <w:cols w:space="708"/>
          <w:docGrid w:linePitch="360"/>
        </w:sectPr>
      </w:pPr>
    </w:p>
    <w:p w:rsidR="00336793" w:rsidRPr="0060273C" w:rsidRDefault="00336793" w:rsidP="00DF0B96">
      <w:pPr>
        <w:pStyle w:val="Heading2NotesContd"/>
        <w:rPr>
          <w:i/>
        </w:rPr>
      </w:pPr>
      <w:r w:rsidRPr="006A75A2">
        <w:lastRenderedPageBreak/>
        <w:t>Note 28:</w:t>
      </w:r>
      <w:r w:rsidRPr="006A75A2">
        <w:tab/>
        <w:t>Other provisions</w:t>
      </w:r>
      <w:r>
        <w:t xml:space="preserve"> </w:t>
      </w:r>
      <w:r>
        <w:rPr>
          <w:i/>
        </w:rPr>
        <w:t>(continued)</w:t>
      </w:r>
    </w:p>
    <w:p w:rsidR="00336793" w:rsidRPr="003F3EE0" w:rsidRDefault="00336793" w:rsidP="00DF0B96">
      <w:pPr>
        <w:rPr>
          <w:rFonts w:ascii="Calibri" w:hAnsi="Calibri"/>
          <w:b/>
          <w:sz w:val="25"/>
        </w:rPr>
      </w:pPr>
      <w:r w:rsidRPr="003F3EE0">
        <w:rPr>
          <w:rFonts w:ascii="Calibri" w:hAnsi="Calibri"/>
          <w:b/>
          <w:sz w:val="25"/>
        </w:rPr>
        <w:t>Assumptions used in measurement of liability for outstanding insurance claims</w:t>
      </w:r>
    </w:p>
    <w:p w:rsidR="00336793" w:rsidRDefault="00336793" w:rsidP="00DF0B96">
      <w:pPr>
        <w:rPr>
          <w:lang w:eastAsia="en-AU"/>
        </w:rPr>
      </w:pPr>
      <w:r w:rsidRPr="003F3EE0">
        <w:rPr>
          <w:lang w:eastAsia="en-AU"/>
        </w:rPr>
        <w:t>The</w:t>
      </w:r>
      <w:r>
        <w:rPr>
          <w:lang w:eastAsia="en-AU"/>
        </w:rPr>
        <w:t xml:space="preserve"> disclosed</w:t>
      </w:r>
      <w:r w:rsidRPr="003F3EE0">
        <w:rPr>
          <w:lang w:eastAsia="en-AU"/>
        </w:rPr>
        <w:t xml:space="preserve"> assumptions are used in the measurement of the liability for outstanding insurance claims on the basis of actuarially estimated costs of future claims payments, which are discounted to a present value at balance sheet date.</w:t>
      </w:r>
    </w:p>
    <w:p w:rsidR="00336793" w:rsidRPr="00A10A3B" w:rsidRDefault="00336793" w:rsidP="00DF0B96"/>
    <w:tbl>
      <w:tblPr>
        <w:tblW w:w="14570" w:type="dxa"/>
        <w:tblInd w:w="28" w:type="dxa"/>
        <w:tblLayout w:type="fixed"/>
        <w:tblCellMar>
          <w:left w:w="29" w:type="dxa"/>
          <w:right w:w="29" w:type="dxa"/>
        </w:tblCellMar>
        <w:tblLook w:val="0000" w:firstRow="0" w:lastRow="0" w:firstColumn="0" w:lastColumn="0" w:noHBand="0" w:noVBand="0"/>
      </w:tblPr>
      <w:tblGrid>
        <w:gridCol w:w="1531"/>
        <w:gridCol w:w="2104"/>
        <w:gridCol w:w="146"/>
        <w:gridCol w:w="48"/>
        <w:gridCol w:w="136"/>
        <w:gridCol w:w="732"/>
        <w:gridCol w:w="810"/>
        <w:gridCol w:w="164"/>
        <w:gridCol w:w="360"/>
        <w:gridCol w:w="1186"/>
        <w:gridCol w:w="1064"/>
        <w:gridCol w:w="387"/>
        <w:gridCol w:w="693"/>
        <w:gridCol w:w="900"/>
        <w:gridCol w:w="1350"/>
        <w:gridCol w:w="90"/>
        <w:gridCol w:w="90"/>
        <w:gridCol w:w="90"/>
        <w:gridCol w:w="376"/>
        <w:gridCol w:w="974"/>
        <w:gridCol w:w="1339"/>
      </w:tblGrid>
      <w:tr w:rsidR="00336793" w:rsidRPr="006E6D3D" w:rsidTr="00DF0B96">
        <w:trPr>
          <w:tblHeader/>
        </w:trPr>
        <w:tc>
          <w:tcPr>
            <w:tcW w:w="1531" w:type="dxa"/>
            <w:tcBorders>
              <w:top w:val="single" w:sz="4" w:space="0" w:color="auto"/>
              <w:left w:val="single" w:sz="4" w:space="0" w:color="auto"/>
              <w:bottom w:val="single" w:sz="6" w:space="0" w:color="auto"/>
              <w:right w:val="nil"/>
            </w:tcBorders>
            <w:shd w:val="clear" w:color="000000" w:fill="000000"/>
            <w:vAlign w:val="bottom"/>
          </w:tcPr>
          <w:p w:rsidR="00336793" w:rsidRPr="006E6D3D" w:rsidRDefault="00336793" w:rsidP="00DF0B96">
            <w:pPr>
              <w:pStyle w:val="Tabletext"/>
              <w:rPr>
                <w:rFonts w:eastAsiaTheme="minorEastAsia"/>
                <w:sz w:val="17"/>
                <w:lang w:eastAsia="en-AU"/>
              </w:rPr>
            </w:pPr>
            <w:r w:rsidRPr="006E6D3D">
              <w:rPr>
                <w:rFonts w:eastAsiaTheme="minorEastAsia"/>
                <w:sz w:val="17"/>
                <w:lang w:eastAsia="en-AU"/>
              </w:rPr>
              <w:t xml:space="preserve"> </w:t>
            </w:r>
          </w:p>
        </w:tc>
        <w:tc>
          <w:tcPr>
            <w:tcW w:w="2250" w:type="dxa"/>
            <w:gridSpan w:val="2"/>
            <w:tcBorders>
              <w:top w:val="single" w:sz="4" w:space="0" w:color="auto"/>
              <w:left w:val="nil"/>
              <w:bottom w:val="single" w:sz="6" w:space="0" w:color="auto"/>
              <w:right w:val="nil"/>
            </w:tcBorders>
            <w:shd w:val="clear" w:color="000000" w:fill="000000"/>
            <w:vAlign w:val="bottom"/>
          </w:tcPr>
          <w:p w:rsidR="00336793" w:rsidRPr="006E6D3D" w:rsidRDefault="00336793" w:rsidP="00DF0B96">
            <w:pPr>
              <w:pStyle w:val="TableTextnoindent"/>
              <w:rPr>
                <w:rFonts w:eastAsiaTheme="minorEastAsia"/>
                <w:sz w:val="17"/>
              </w:rPr>
            </w:pPr>
            <w:r w:rsidRPr="006E6D3D">
              <w:rPr>
                <w:rFonts w:eastAsiaTheme="minorEastAsia"/>
                <w:sz w:val="17"/>
              </w:rPr>
              <w:t xml:space="preserve"> </w:t>
            </w:r>
          </w:p>
        </w:tc>
        <w:tc>
          <w:tcPr>
            <w:tcW w:w="184" w:type="dxa"/>
            <w:gridSpan w:val="2"/>
            <w:tcBorders>
              <w:top w:val="single" w:sz="4" w:space="0" w:color="auto"/>
              <w:left w:val="nil"/>
              <w:bottom w:val="single" w:sz="6" w:space="0" w:color="auto"/>
              <w:right w:val="nil"/>
            </w:tcBorders>
            <w:shd w:val="clear" w:color="000000" w:fill="000000"/>
            <w:vAlign w:val="bottom"/>
          </w:tcPr>
          <w:p w:rsidR="00336793" w:rsidRPr="006E6D3D" w:rsidRDefault="00336793" w:rsidP="00DF0B96">
            <w:pPr>
              <w:pStyle w:val="TabletextheadingCentred"/>
              <w:rPr>
                <w:rFonts w:eastAsiaTheme="minorEastAsia"/>
                <w:sz w:val="17"/>
                <w:lang w:eastAsia="en-AU"/>
              </w:rPr>
            </w:pPr>
            <w:r w:rsidRPr="006E6D3D">
              <w:rPr>
                <w:rFonts w:eastAsiaTheme="minorEastAsia"/>
                <w:sz w:val="17"/>
                <w:lang w:eastAsia="en-AU"/>
              </w:rPr>
              <w:t xml:space="preserve"> </w:t>
            </w:r>
          </w:p>
        </w:tc>
        <w:tc>
          <w:tcPr>
            <w:tcW w:w="1542" w:type="dxa"/>
            <w:gridSpan w:val="2"/>
            <w:tcBorders>
              <w:top w:val="single" w:sz="4" w:space="0" w:color="auto"/>
              <w:left w:val="nil"/>
              <w:bottom w:val="single" w:sz="6" w:space="0" w:color="auto"/>
              <w:right w:val="nil"/>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lang w:eastAsia="en-AU"/>
              </w:rPr>
            </w:pPr>
            <w:r w:rsidRPr="006E6D3D">
              <w:rPr>
                <w:rFonts w:eastAsiaTheme="minorEastAsia"/>
                <w:sz w:val="17"/>
                <w:lang w:eastAsia="en-AU"/>
              </w:rPr>
              <w:t xml:space="preserve">Weighted </w:t>
            </w:r>
            <w:r w:rsidRPr="006E6D3D">
              <w:rPr>
                <w:rFonts w:eastAsiaTheme="minorEastAsia" w:cs="Calibri"/>
                <w:iCs/>
                <w:color w:val="FFFFFF"/>
                <w:sz w:val="17"/>
                <w:szCs w:val="22"/>
                <w:lang w:eastAsia="en-AU"/>
              </w:rPr>
              <w:t>average expected term</w:t>
            </w:r>
          </w:p>
        </w:tc>
        <w:tc>
          <w:tcPr>
            <w:tcW w:w="164" w:type="dxa"/>
            <w:tcBorders>
              <w:top w:val="single" w:sz="4" w:space="0" w:color="auto"/>
              <w:left w:val="nil"/>
              <w:bottom w:val="single" w:sz="6" w:space="0" w:color="auto"/>
              <w:right w:val="nil"/>
            </w:tcBorders>
            <w:shd w:val="clear" w:color="000000" w:fill="000000"/>
            <w:vAlign w:val="bottom"/>
          </w:tcPr>
          <w:p w:rsidR="00336793" w:rsidRPr="006E6D3D" w:rsidRDefault="00336793" w:rsidP="00DF0B96">
            <w:pPr>
              <w:pStyle w:val="TabletextheadingCentred"/>
              <w:rPr>
                <w:rFonts w:eastAsiaTheme="minorEastAsia"/>
                <w:sz w:val="17"/>
              </w:rPr>
            </w:pPr>
            <w:r w:rsidRPr="006E6D3D">
              <w:rPr>
                <w:rFonts w:eastAsiaTheme="minorEastAsia"/>
                <w:sz w:val="17"/>
              </w:rPr>
              <w:t xml:space="preserve"> </w:t>
            </w:r>
          </w:p>
        </w:tc>
        <w:tc>
          <w:tcPr>
            <w:tcW w:w="6030" w:type="dxa"/>
            <w:gridSpan w:val="8"/>
            <w:tcBorders>
              <w:top w:val="single" w:sz="4" w:space="0" w:color="auto"/>
              <w:left w:val="nil"/>
              <w:bottom w:val="single" w:sz="6" w:space="0" w:color="FFFFFF" w:themeColor="background1"/>
              <w:right w:val="nil"/>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vertAlign w:val="superscript"/>
                <w:lang w:eastAsia="en-AU"/>
              </w:rPr>
            </w:pPr>
            <w:r w:rsidRPr="006E6D3D">
              <w:rPr>
                <w:rFonts w:eastAsiaTheme="minorEastAsia"/>
                <w:sz w:val="17"/>
              </w:rPr>
              <w:t>Financial assumptions used (%)</w:t>
            </w:r>
            <w:r w:rsidRPr="006E6D3D">
              <w:rPr>
                <w:rFonts w:eastAsiaTheme="minorEastAsia"/>
                <w:sz w:val="17"/>
                <w:vertAlign w:val="superscript"/>
              </w:rPr>
              <w:t>(</w:t>
            </w:r>
            <w:r w:rsidRPr="006E6D3D">
              <w:rPr>
                <w:rFonts w:eastAsiaTheme="minorEastAsia" w:cs="Calibri"/>
                <w:iCs/>
                <w:color w:val="FFFFFF"/>
                <w:sz w:val="17"/>
                <w:szCs w:val="22"/>
                <w:vertAlign w:val="superscript"/>
                <w:lang w:eastAsia="en-AU"/>
              </w:rPr>
              <w:t xml:space="preserve">a)(b)(c) </w:t>
            </w:r>
          </w:p>
        </w:tc>
        <w:tc>
          <w:tcPr>
            <w:tcW w:w="90" w:type="dxa"/>
            <w:tcBorders>
              <w:top w:val="single" w:sz="4" w:space="0" w:color="auto"/>
              <w:left w:val="nil"/>
              <w:bottom w:val="single" w:sz="6" w:space="0" w:color="FFFFFF" w:themeColor="background1"/>
              <w:right w:val="nil"/>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lang w:eastAsia="en-AU"/>
              </w:rPr>
            </w:pPr>
            <w:r w:rsidRPr="006E6D3D">
              <w:rPr>
                <w:rFonts w:eastAsiaTheme="minorEastAsia"/>
                <w:sz w:val="17"/>
              </w:rPr>
              <w:t xml:space="preserve"> </w:t>
            </w:r>
          </w:p>
        </w:tc>
        <w:tc>
          <w:tcPr>
            <w:tcW w:w="90" w:type="dxa"/>
            <w:tcBorders>
              <w:top w:val="single" w:sz="4" w:space="0" w:color="auto"/>
              <w:left w:val="nil"/>
              <w:right w:val="nil"/>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lang w:eastAsia="en-AU"/>
              </w:rPr>
            </w:pPr>
            <w:r w:rsidRPr="006E6D3D">
              <w:rPr>
                <w:rFonts w:eastAsiaTheme="minorEastAsia"/>
                <w:sz w:val="17"/>
              </w:rPr>
              <w:t xml:space="preserve"> </w:t>
            </w:r>
          </w:p>
        </w:tc>
        <w:tc>
          <w:tcPr>
            <w:tcW w:w="376" w:type="dxa"/>
            <w:tcBorders>
              <w:top w:val="single" w:sz="4" w:space="0" w:color="auto"/>
              <w:left w:val="nil"/>
              <w:bottom w:val="single" w:sz="6" w:space="0" w:color="auto"/>
              <w:right w:val="nil"/>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lang w:eastAsia="en-AU"/>
              </w:rPr>
            </w:pPr>
            <w:r w:rsidRPr="006E6D3D">
              <w:rPr>
                <w:rFonts w:eastAsiaTheme="minorEastAsia"/>
                <w:sz w:val="17"/>
                <w:lang w:eastAsia="en-AU"/>
              </w:rPr>
              <w:t xml:space="preserve"> </w:t>
            </w:r>
          </w:p>
        </w:tc>
        <w:tc>
          <w:tcPr>
            <w:tcW w:w="2313" w:type="dxa"/>
            <w:gridSpan w:val="2"/>
            <w:tcBorders>
              <w:top w:val="single" w:sz="4" w:space="0" w:color="auto"/>
              <w:left w:val="nil"/>
              <w:bottom w:val="single" w:sz="6" w:space="0" w:color="auto"/>
              <w:right w:val="single" w:sz="4" w:space="0" w:color="auto"/>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lang w:eastAsia="en-AU"/>
              </w:rPr>
            </w:pPr>
            <w:r w:rsidRPr="006E6D3D">
              <w:rPr>
                <w:rFonts w:eastAsiaTheme="minorEastAsia"/>
                <w:sz w:val="17"/>
                <w:lang w:eastAsia="en-AU"/>
              </w:rPr>
              <w:t>Prudential</w:t>
            </w:r>
            <w:r w:rsidRPr="006E6D3D">
              <w:rPr>
                <w:rFonts w:eastAsiaTheme="minorEastAsia" w:cs="Calibri"/>
                <w:iCs/>
                <w:color w:val="FFFFFF"/>
                <w:sz w:val="17"/>
                <w:szCs w:val="22"/>
                <w:lang w:eastAsia="en-AU"/>
              </w:rPr>
              <w:t xml:space="preserve"> margin </w:t>
            </w:r>
          </w:p>
          <w:p w:rsidR="00336793" w:rsidRPr="006E6D3D" w:rsidRDefault="00336793" w:rsidP="00DF0B96">
            <w:pPr>
              <w:pStyle w:val="TabletextheadingCentred"/>
              <w:rPr>
                <w:rFonts w:eastAsiaTheme="minorEastAsia" w:cs="Calibri"/>
                <w:iCs/>
                <w:color w:val="FFFFFF"/>
                <w:sz w:val="17"/>
                <w:szCs w:val="22"/>
                <w:lang w:eastAsia="en-AU"/>
              </w:rPr>
            </w:pPr>
            <w:r w:rsidRPr="006E6D3D">
              <w:rPr>
                <w:rFonts w:eastAsiaTheme="minorEastAsia" w:cs="Calibri"/>
                <w:iCs/>
                <w:color w:val="FFFFFF"/>
                <w:sz w:val="17"/>
                <w:szCs w:val="22"/>
                <w:lang w:eastAsia="en-AU"/>
              </w:rPr>
              <w:t xml:space="preserve">used (%) </w:t>
            </w:r>
          </w:p>
        </w:tc>
      </w:tr>
      <w:tr w:rsidR="00336793" w:rsidRPr="006E6D3D" w:rsidTr="00DF0B96">
        <w:trPr>
          <w:tblHeader/>
        </w:trPr>
        <w:tc>
          <w:tcPr>
            <w:tcW w:w="1531" w:type="dxa"/>
            <w:tcBorders>
              <w:left w:val="single" w:sz="4" w:space="0" w:color="auto"/>
              <w:right w:val="nil"/>
            </w:tcBorders>
            <w:shd w:val="clear" w:color="000000" w:fill="000000"/>
            <w:vAlign w:val="bottom"/>
          </w:tcPr>
          <w:p w:rsidR="00336793" w:rsidRPr="006E6D3D" w:rsidRDefault="00336793" w:rsidP="00DF0B96">
            <w:pPr>
              <w:pStyle w:val="Tabletext"/>
              <w:rPr>
                <w:rFonts w:eastAsiaTheme="minorEastAsia"/>
                <w:i/>
                <w:iCs/>
                <w:sz w:val="17"/>
                <w:szCs w:val="22"/>
                <w:lang w:eastAsia="en-AU"/>
              </w:rPr>
            </w:pPr>
            <w:r w:rsidRPr="006E6D3D">
              <w:rPr>
                <w:rFonts w:eastAsiaTheme="minorEastAsia"/>
                <w:i/>
                <w:iCs/>
                <w:sz w:val="17"/>
                <w:szCs w:val="22"/>
                <w:lang w:eastAsia="en-AU"/>
              </w:rPr>
              <w:t xml:space="preserve"> </w:t>
            </w:r>
          </w:p>
        </w:tc>
        <w:tc>
          <w:tcPr>
            <w:tcW w:w="2104" w:type="dxa"/>
            <w:tcBorders>
              <w:left w:val="nil"/>
              <w:right w:val="nil"/>
            </w:tcBorders>
            <w:shd w:val="clear" w:color="000000" w:fill="000000"/>
            <w:vAlign w:val="bottom"/>
          </w:tcPr>
          <w:p w:rsidR="00336793" w:rsidRPr="006E6D3D" w:rsidRDefault="00336793" w:rsidP="00DF0B96">
            <w:pPr>
              <w:pStyle w:val="TableTextnoindent"/>
              <w:rPr>
                <w:rFonts w:eastAsiaTheme="minorEastAsia"/>
                <w:i/>
                <w:iCs/>
                <w:sz w:val="17"/>
                <w:szCs w:val="22"/>
              </w:rPr>
            </w:pPr>
            <w:r w:rsidRPr="006E6D3D">
              <w:rPr>
                <w:rFonts w:eastAsiaTheme="minorEastAsia"/>
                <w:i/>
                <w:iCs/>
                <w:sz w:val="17"/>
                <w:szCs w:val="22"/>
              </w:rPr>
              <w:t xml:space="preserve"> </w:t>
            </w:r>
          </w:p>
        </w:tc>
        <w:tc>
          <w:tcPr>
            <w:tcW w:w="194" w:type="dxa"/>
            <w:gridSpan w:val="2"/>
            <w:tcBorders>
              <w:left w:val="nil"/>
              <w:right w:val="nil"/>
            </w:tcBorders>
            <w:shd w:val="clear" w:color="000000" w:fill="000000"/>
            <w:vAlign w:val="bottom"/>
          </w:tcPr>
          <w:p w:rsidR="00336793" w:rsidRPr="006E6D3D" w:rsidRDefault="00336793" w:rsidP="00DF0B96">
            <w:pPr>
              <w:pStyle w:val="TabletextheadingCentred"/>
              <w:rPr>
                <w:rFonts w:eastAsiaTheme="minorEastAsia"/>
                <w:sz w:val="17"/>
                <w:lang w:eastAsia="en-AU"/>
              </w:rPr>
            </w:pPr>
            <w:r w:rsidRPr="006E6D3D">
              <w:rPr>
                <w:rFonts w:eastAsiaTheme="minorEastAsia"/>
                <w:sz w:val="17"/>
                <w:lang w:eastAsia="en-AU"/>
              </w:rPr>
              <w:t xml:space="preserve"> </w:t>
            </w:r>
          </w:p>
        </w:tc>
        <w:tc>
          <w:tcPr>
            <w:tcW w:w="1678" w:type="dxa"/>
            <w:gridSpan w:val="3"/>
            <w:tcBorders>
              <w:left w:val="nil"/>
              <w:right w:val="nil"/>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lang w:eastAsia="en-AU"/>
              </w:rPr>
            </w:pPr>
            <w:r w:rsidRPr="006E6D3D">
              <w:rPr>
                <w:rFonts w:eastAsiaTheme="minorEastAsia"/>
                <w:sz w:val="17"/>
                <w:lang w:eastAsia="en-AU"/>
              </w:rPr>
              <w:t xml:space="preserve"> to</w:t>
            </w:r>
            <w:r w:rsidRPr="006E6D3D">
              <w:rPr>
                <w:rFonts w:eastAsiaTheme="minorEastAsia" w:cs="Calibri"/>
                <w:iCs/>
                <w:color w:val="FFFFFF"/>
                <w:sz w:val="17"/>
                <w:szCs w:val="22"/>
                <w:lang w:eastAsia="en-AU"/>
              </w:rPr>
              <w:t xml:space="preserve"> settlement (years)</w:t>
            </w:r>
          </w:p>
        </w:tc>
        <w:tc>
          <w:tcPr>
            <w:tcW w:w="524" w:type="dxa"/>
            <w:gridSpan w:val="2"/>
            <w:tcBorders>
              <w:left w:val="nil"/>
              <w:right w:val="nil"/>
            </w:tcBorders>
            <w:shd w:val="clear" w:color="000000" w:fill="000000"/>
            <w:vAlign w:val="bottom"/>
          </w:tcPr>
          <w:p w:rsidR="00336793" w:rsidRPr="006E6D3D" w:rsidRDefault="00336793" w:rsidP="00DF0B96">
            <w:pPr>
              <w:pStyle w:val="TabletextheadingCentred"/>
              <w:rPr>
                <w:rFonts w:eastAsiaTheme="minorEastAsia"/>
                <w:sz w:val="17"/>
              </w:rPr>
            </w:pPr>
            <w:r w:rsidRPr="006E6D3D">
              <w:rPr>
                <w:rFonts w:eastAsiaTheme="minorEastAsia"/>
                <w:sz w:val="17"/>
              </w:rPr>
              <w:t xml:space="preserve"> </w:t>
            </w:r>
          </w:p>
        </w:tc>
        <w:tc>
          <w:tcPr>
            <w:tcW w:w="2250" w:type="dxa"/>
            <w:gridSpan w:val="2"/>
            <w:tcBorders>
              <w:left w:val="nil"/>
              <w:right w:val="nil"/>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vertAlign w:val="superscript"/>
                <w:lang w:eastAsia="en-AU"/>
              </w:rPr>
            </w:pPr>
            <w:r w:rsidRPr="006E6D3D">
              <w:rPr>
                <w:rFonts w:eastAsiaTheme="minorEastAsia"/>
                <w:sz w:val="17"/>
              </w:rPr>
              <w:t xml:space="preserve">Weighted average </w:t>
            </w:r>
            <w:r w:rsidRPr="006E6D3D">
              <w:rPr>
                <w:rFonts w:eastAsiaTheme="minorEastAsia" w:cs="Calibri"/>
                <w:iCs/>
                <w:color w:val="FFFFFF"/>
                <w:sz w:val="17"/>
                <w:szCs w:val="22"/>
                <w:lang w:eastAsia="en-AU"/>
              </w:rPr>
              <w:t>inflation rate (%)</w:t>
            </w:r>
            <w:r>
              <w:rPr>
                <w:rFonts w:eastAsiaTheme="minorEastAsia" w:cs="Calibri"/>
                <w:iCs/>
                <w:color w:val="FFFFFF"/>
                <w:sz w:val="17"/>
                <w:szCs w:val="22"/>
                <w:vertAlign w:val="superscript"/>
                <w:lang w:eastAsia="en-AU"/>
              </w:rPr>
              <w:t>(d</w:t>
            </w:r>
            <w:r w:rsidRPr="006E6D3D">
              <w:rPr>
                <w:rFonts w:eastAsiaTheme="minorEastAsia" w:cs="Calibri"/>
                <w:iCs/>
                <w:color w:val="FFFFFF"/>
                <w:sz w:val="17"/>
                <w:szCs w:val="22"/>
                <w:vertAlign w:val="superscript"/>
                <w:lang w:eastAsia="en-AU"/>
              </w:rPr>
              <w:t>)</w:t>
            </w:r>
          </w:p>
        </w:tc>
        <w:tc>
          <w:tcPr>
            <w:tcW w:w="1080" w:type="dxa"/>
            <w:gridSpan w:val="2"/>
            <w:tcBorders>
              <w:left w:val="nil"/>
              <w:right w:val="nil"/>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lang w:eastAsia="en-AU"/>
              </w:rPr>
            </w:pPr>
            <w:r w:rsidRPr="006E6D3D">
              <w:rPr>
                <w:rFonts w:eastAsiaTheme="minorEastAsia" w:cs="Calibri"/>
                <w:iCs/>
                <w:color w:val="FFFFFF"/>
                <w:sz w:val="17"/>
                <w:szCs w:val="22"/>
                <w:lang w:eastAsia="en-AU"/>
              </w:rPr>
              <w:t xml:space="preserve"> </w:t>
            </w:r>
          </w:p>
        </w:tc>
        <w:tc>
          <w:tcPr>
            <w:tcW w:w="2250" w:type="dxa"/>
            <w:gridSpan w:val="2"/>
            <w:tcBorders>
              <w:left w:val="nil"/>
              <w:right w:val="nil"/>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lang w:eastAsia="en-AU"/>
              </w:rPr>
            </w:pPr>
            <w:r w:rsidRPr="006E6D3D">
              <w:rPr>
                <w:rFonts w:eastAsiaTheme="minorEastAsia"/>
                <w:sz w:val="17"/>
              </w:rPr>
              <w:t xml:space="preserve">Weighted average </w:t>
            </w:r>
            <w:r w:rsidRPr="006E6D3D">
              <w:rPr>
                <w:rFonts w:eastAsiaTheme="minorEastAsia" w:cs="Calibri"/>
                <w:iCs/>
                <w:color w:val="FFFFFF"/>
                <w:sz w:val="17"/>
                <w:szCs w:val="22"/>
                <w:lang w:eastAsia="en-AU"/>
              </w:rPr>
              <w:t>discount rate (%)</w:t>
            </w:r>
          </w:p>
        </w:tc>
        <w:tc>
          <w:tcPr>
            <w:tcW w:w="270" w:type="dxa"/>
            <w:gridSpan w:val="3"/>
            <w:tcBorders>
              <w:left w:val="nil"/>
              <w:right w:val="nil"/>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lang w:eastAsia="en-AU"/>
              </w:rPr>
            </w:pPr>
            <w:r w:rsidRPr="006E6D3D">
              <w:rPr>
                <w:rFonts w:eastAsiaTheme="minorEastAsia" w:cs="Calibri"/>
                <w:iCs/>
                <w:color w:val="FFFFFF"/>
                <w:sz w:val="17"/>
                <w:szCs w:val="22"/>
                <w:lang w:eastAsia="en-AU"/>
              </w:rPr>
              <w:t xml:space="preserve"> </w:t>
            </w:r>
          </w:p>
        </w:tc>
        <w:tc>
          <w:tcPr>
            <w:tcW w:w="2689" w:type="dxa"/>
            <w:gridSpan w:val="3"/>
            <w:tcBorders>
              <w:top w:val="single" w:sz="6" w:space="0" w:color="auto"/>
              <w:left w:val="nil"/>
              <w:right w:val="single" w:sz="4" w:space="0" w:color="auto"/>
            </w:tcBorders>
            <w:shd w:val="clear" w:color="000000" w:fill="000000"/>
            <w:vAlign w:val="bottom"/>
          </w:tcPr>
          <w:p w:rsidR="00336793" w:rsidRPr="006E6D3D" w:rsidRDefault="00336793" w:rsidP="00DF0B96">
            <w:pPr>
              <w:pStyle w:val="TabletextheadingCentred"/>
              <w:rPr>
                <w:rFonts w:eastAsiaTheme="minorEastAsia" w:cs="Calibri"/>
                <w:iCs/>
                <w:color w:val="FFFFFF"/>
                <w:sz w:val="17"/>
                <w:szCs w:val="22"/>
                <w:lang w:eastAsia="en-AU"/>
              </w:rPr>
            </w:pPr>
            <w:r w:rsidRPr="006E6D3D">
              <w:rPr>
                <w:rFonts w:eastAsiaTheme="minorEastAsia"/>
                <w:sz w:val="17"/>
                <w:lang w:eastAsia="en-AU"/>
              </w:rPr>
              <w:t xml:space="preserve"> </w:t>
            </w:r>
          </w:p>
        </w:tc>
      </w:tr>
      <w:tr w:rsidR="00336793" w:rsidRPr="006E6D3D" w:rsidTr="00DF0B96">
        <w:trPr>
          <w:tblHeader/>
        </w:trPr>
        <w:tc>
          <w:tcPr>
            <w:tcW w:w="1531" w:type="dxa"/>
            <w:tcBorders>
              <w:left w:val="single" w:sz="4" w:space="0" w:color="auto"/>
              <w:bottom w:val="single" w:sz="4" w:space="0" w:color="auto"/>
              <w:right w:val="nil"/>
            </w:tcBorders>
            <w:shd w:val="clear" w:color="000000" w:fill="000000"/>
            <w:vAlign w:val="bottom"/>
          </w:tcPr>
          <w:p w:rsidR="00336793" w:rsidRPr="006E6D3D" w:rsidRDefault="00336793" w:rsidP="00DF0B96">
            <w:pPr>
              <w:pStyle w:val="TabletextheadingLeft"/>
              <w:rPr>
                <w:rFonts w:eastAsiaTheme="minorEastAsia"/>
                <w:sz w:val="17"/>
                <w:lang w:eastAsia="en-AU"/>
              </w:rPr>
            </w:pPr>
            <w:r w:rsidRPr="006E6D3D">
              <w:rPr>
                <w:rFonts w:eastAsiaTheme="minorEastAsia"/>
                <w:sz w:val="17"/>
                <w:lang w:eastAsia="en-AU"/>
              </w:rPr>
              <w:t>Entity</w:t>
            </w:r>
          </w:p>
        </w:tc>
        <w:tc>
          <w:tcPr>
            <w:tcW w:w="2250" w:type="dxa"/>
            <w:gridSpan w:val="2"/>
            <w:tcBorders>
              <w:left w:val="nil"/>
              <w:bottom w:val="single" w:sz="4" w:space="0" w:color="auto"/>
              <w:right w:val="nil"/>
            </w:tcBorders>
            <w:shd w:val="clear" w:color="000000" w:fill="000000"/>
            <w:vAlign w:val="bottom"/>
          </w:tcPr>
          <w:p w:rsidR="00336793" w:rsidRPr="006E6D3D" w:rsidRDefault="00336793" w:rsidP="00DF0B96">
            <w:pPr>
              <w:pStyle w:val="TabletextheadingLeft"/>
              <w:rPr>
                <w:rFonts w:eastAsiaTheme="minorEastAsia"/>
                <w:sz w:val="17"/>
              </w:rPr>
            </w:pPr>
            <w:r w:rsidRPr="006E6D3D">
              <w:rPr>
                <w:rFonts w:eastAsiaTheme="minorEastAsia"/>
                <w:sz w:val="17"/>
              </w:rPr>
              <w:t>Actuary</w:t>
            </w:r>
          </w:p>
        </w:tc>
        <w:tc>
          <w:tcPr>
            <w:tcW w:w="916" w:type="dxa"/>
            <w:gridSpan w:val="3"/>
            <w:tcBorders>
              <w:left w:val="nil"/>
              <w:bottom w:val="single" w:sz="4" w:space="0" w:color="auto"/>
              <w:right w:val="nil"/>
            </w:tcBorders>
            <w:shd w:val="clear" w:color="000000" w:fill="000000"/>
            <w:vAlign w:val="bottom"/>
          </w:tcPr>
          <w:p w:rsidR="00336793" w:rsidRPr="006E6D3D" w:rsidRDefault="00336793" w:rsidP="00DF0B96">
            <w:pPr>
              <w:pStyle w:val="Tabletextheading"/>
              <w:rPr>
                <w:rFonts w:eastAsiaTheme="minorEastAsia"/>
                <w:sz w:val="17"/>
                <w:lang w:eastAsia="en-AU"/>
              </w:rPr>
            </w:pPr>
            <w:r w:rsidRPr="006E6D3D">
              <w:rPr>
                <w:rFonts w:eastAsiaTheme="minorEastAsia"/>
                <w:sz w:val="17"/>
                <w:lang w:eastAsia="en-AU"/>
              </w:rPr>
              <w:t>2015</w:t>
            </w:r>
          </w:p>
        </w:tc>
        <w:tc>
          <w:tcPr>
            <w:tcW w:w="810" w:type="dxa"/>
            <w:tcBorders>
              <w:left w:val="nil"/>
              <w:bottom w:val="single" w:sz="4" w:space="0" w:color="auto"/>
              <w:right w:val="nil"/>
            </w:tcBorders>
            <w:shd w:val="clear" w:color="000000" w:fill="000000"/>
            <w:vAlign w:val="bottom"/>
          </w:tcPr>
          <w:p w:rsidR="00336793" w:rsidRPr="006E6D3D" w:rsidRDefault="00336793" w:rsidP="00DF0B96">
            <w:pPr>
              <w:pStyle w:val="Tabletextheading"/>
              <w:rPr>
                <w:rFonts w:eastAsiaTheme="minorEastAsia"/>
                <w:sz w:val="17"/>
                <w:lang w:eastAsia="en-AU"/>
              </w:rPr>
            </w:pPr>
            <w:r w:rsidRPr="006E6D3D">
              <w:rPr>
                <w:rFonts w:eastAsiaTheme="minorEastAsia"/>
                <w:sz w:val="17"/>
                <w:lang w:eastAsia="en-AU"/>
              </w:rPr>
              <w:t>2014</w:t>
            </w:r>
          </w:p>
        </w:tc>
        <w:tc>
          <w:tcPr>
            <w:tcW w:w="1710" w:type="dxa"/>
            <w:gridSpan w:val="3"/>
            <w:tcBorders>
              <w:left w:val="nil"/>
              <w:bottom w:val="single" w:sz="4" w:space="0" w:color="auto"/>
              <w:right w:val="nil"/>
            </w:tcBorders>
            <w:shd w:val="clear" w:color="000000" w:fill="000000"/>
            <w:vAlign w:val="bottom"/>
          </w:tcPr>
          <w:p w:rsidR="00336793" w:rsidRPr="006E6D3D" w:rsidRDefault="00336793" w:rsidP="00DF0B96">
            <w:pPr>
              <w:pStyle w:val="Tabletextheading"/>
              <w:rPr>
                <w:rFonts w:eastAsiaTheme="minorEastAsia"/>
                <w:sz w:val="17"/>
              </w:rPr>
            </w:pPr>
            <w:r w:rsidRPr="006E6D3D">
              <w:rPr>
                <w:rFonts w:eastAsiaTheme="minorEastAsia"/>
                <w:sz w:val="17"/>
              </w:rPr>
              <w:t>2015</w:t>
            </w:r>
          </w:p>
        </w:tc>
        <w:tc>
          <w:tcPr>
            <w:tcW w:w="1451" w:type="dxa"/>
            <w:gridSpan w:val="2"/>
            <w:tcBorders>
              <w:left w:val="nil"/>
              <w:bottom w:val="single" w:sz="4" w:space="0" w:color="auto"/>
              <w:right w:val="nil"/>
            </w:tcBorders>
            <w:shd w:val="clear" w:color="000000" w:fill="000000"/>
            <w:vAlign w:val="bottom"/>
          </w:tcPr>
          <w:p w:rsidR="00336793" w:rsidRPr="006E6D3D" w:rsidRDefault="00336793" w:rsidP="00DF0B96">
            <w:pPr>
              <w:pStyle w:val="Tabletextheading"/>
              <w:rPr>
                <w:rFonts w:eastAsiaTheme="minorEastAsia"/>
                <w:sz w:val="17"/>
              </w:rPr>
            </w:pPr>
            <w:r w:rsidRPr="006E6D3D">
              <w:rPr>
                <w:rFonts w:eastAsiaTheme="minorEastAsia"/>
                <w:sz w:val="17"/>
              </w:rPr>
              <w:t>2014</w:t>
            </w:r>
          </w:p>
        </w:tc>
        <w:tc>
          <w:tcPr>
            <w:tcW w:w="1593" w:type="dxa"/>
            <w:gridSpan w:val="2"/>
            <w:tcBorders>
              <w:left w:val="nil"/>
              <w:bottom w:val="single" w:sz="4" w:space="0" w:color="auto"/>
              <w:right w:val="nil"/>
            </w:tcBorders>
            <w:shd w:val="clear" w:color="000000" w:fill="000000"/>
            <w:vAlign w:val="bottom"/>
          </w:tcPr>
          <w:p w:rsidR="00336793" w:rsidRPr="006E6D3D" w:rsidRDefault="00336793" w:rsidP="00DF0B96">
            <w:pPr>
              <w:pStyle w:val="Tabletextheading"/>
              <w:rPr>
                <w:rFonts w:eastAsiaTheme="minorEastAsia"/>
                <w:sz w:val="17"/>
              </w:rPr>
            </w:pPr>
            <w:r w:rsidRPr="006E6D3D">
              <w:rPr>
                <w:rFonts w:eastAsiaTheme="minorEastAsia"/>
                <w:sz w:val="17"/>
              </w:rPr>
              <w:t>2015</w:t>
            </w:r>
          </w:p>
        </w:tc>
        <w:tc>
          <w:tcPr>
            <w:tcW w:w="1620" w:type="dxa"/>
            <w:gridSpan w:val="4"/>
            <w:tcBorders>
              <w:left w:val="nil"/>
              <w:bottom w:val="single" w:sz="4" w:space="0" w:color="auto"/>
              <w:right w:val="nil"/>
            </w:tcBorders>
            <w:shd w:val="clear" w:color="000000" w:fill="000000"/>
            <w:vAlign w:val="bottom"/>
          </w:tcPr>
          <w:p w:rsidR="00336793" w:rsidRPr="006E6D3D" w:rsidRDefault="00336793" w:rsidP="00DF0B96">
            <w:pPr>
              <w:pStyle w:val="Tabletextheading"/>
              <w:rPr>
                <w:rFonts w:eastAsiaTheme="minorEastAsia"/>
                <w:sz w:val="17"/>
              </w:rPr>
            </w:pPr>
            <w:r w:rsidRPr="006E6D3D">
              <w:rPr>
                <w:rFonts w:eastAsiaTheme="minorEastAsia"/>
                <w:sz w:val="17"/>
              </w:rPr>
              <w:t>2014</w:t>
            </w:r>
          </w:p>
        </w:tc>
        <w:tc>
          <w:tcPr>
            <w:tcW w:w="1350" w:type="dxa"/>
            <w:gridSpan w:val="2"/>
            <w:tcBorders>
              <w:left w:val="nil"/>
              <w:bottom w:val="single" w:sz="4" w:space="0" w:color="auto"/>
              <w:right w:val="nil"/>
            </w:tcBorders>
            <w:shd w:val="clear" w:color="000000" w:fill="000000"/>
            <w:vAlign w:val="bottom"/>
          </w:tcPr>
          <w:p w:rsidR="00336793" w:rsidRPr="006E6D3D" w:rsidRDefault="00336793" w:rsidP="00DF0B96">
            <w:pPr>
              <w:pStyle w:val="Tabletextheading"/>
              <w:rPr>
                <w:rFonts w:eastAsiaTheme="minorEastAsia"/>
                <w:sz w:val="17"/>
                <w:lang w:eastAsia="en-AU"/>
              </w:rPr>
            </w:pPr>
            <w:r w:rsidRPr="006E6D3D">
              <w:rPr>
                <w:rFonts w:eastAsiaTheme="minorEastAsia"/>
                <w:sz w:val="17"/>
                <w:lang w:eastAsia="en-AU"/>
              </w:rPr>
              <w:t>2015</w:t>
            </w:r>
          </w:p>
        </w:tc>
        <w:tc>
          <w:tcPr>
            <w:tcW w:w="1339" w:type="dxa"/>
            <w:tcBorders>
              <w:left w:val="nil"/>
              <w:bottom w:val="single" w:sz="4" w:space="0" w:color="auto"/>
              <w:right w:val="single" w:sz="4" w:space="0" w:color="auto"/>
            </w:tcBorders>
            <w:shd w:val="clear" w:color="000000" w:fill="000000"/>
            <w:vAlign w:val="bottom"/>
          </w:tcPr>
          <w:p w:rsidR="00336793" w:rsidRPr="006E6D3D" w:rsidRDefault="00336793" w:rsidP="00DF0B96">
            <w:pPr>
              <w:pStyle w:val="Tabletextheading"/>
              <w:rPr>
                <w:rFonts w:eastAsiaTheme="minorEastAsia"/>
                <w:sz w:val="17"/>
                <w:lang w:eastAsia="en-AU"/>
              </w:rPr>
            </w:pPr>
            <w:r w:rsidRPr="006E6D3D">
              <w:rPr>
                <w:rFonts w:eastAsiaTheme="minorEastAsia"/>
                <w:sz w:val="17"/>
                <w:lang w:eastAsia="en-AU"/>
              </w:rPr>
              <w:t>2014</w:t>
            </w:r>
          </w:p>
        </w:tc>
      </w:tr>
      <w:tr w:rsidR="00336793" w:rsidRPr="006E6D3D" w:rsidTr="00DF0B96">
        <w:tc>
          <w:tcPr>
            <w:tcW w:w="1531" w:type="dxa"/>
            <w:tcBorders>
              <w:top w:val="single" w:sz="4" w:space="0" w:color="auto"/>
              <w:left w:val="nil"/>
              <w:bottom w:val="single" w:sz="6" w:space="0" w:color="auto"/>
              <w:right w:val="nil"/>
            </w:tcBorders>
            <w:shd w:val="solid" w:color="FFFFFF" w:fill="auto"/>
          </w:tcPr>
          <w:p w:rsidR="00336793" w:rsidRPr="006E6D3D" w:rsidRDefault="00336793" w:rsidP="00DF0B96">
            <w:pPr>
              <w:pStyle w:val="Tabletext"/>
              <w:ind w:left="0" w:firstLine="0"/>
              <w:rPr>
                <w:rFonts w:eastAsiaTheme="minorEastAsia" w:cs="Calibri"/>
                <w:color w:val="000000"/>
                <w:sz w:val="17"/>
                <w:lang w:eastAsia="en-AU"/>
              </w:rPr>
            </w:pPr>
            <w:r w:rsidRPr="006E6D3D">
              <w:rPr>
                <w:rFonts w:eastAsiaTheme="minorEastAsia"/>
                <w:sz w:val="17"/>
                <w:lang w:eastAsia="en-AU"/>
              </w:rPr>
              <w:t xml:space="preserve">Victorian WorkCover </w:t>
            </w:r>
            <w:r w:rsidRPr="006E6D3D">
              <w:rPr>
                <w:rFonts w:eastAsiaTheme="minorEastAsia" w:cs="Calibri"/>
                <w:color w:val="000000"/>
                <w:sz w:val="17"/>
                <w:lang w:eastAsia="en-AU"/>
              </w:rPr>
              <w:t xml:space="preserve">Authority </w:t>
            </w:r>
            <w:r w:rsidRPr="006E6D3D">
              <w:rPr>
                <w:rFonts w:eastAsiaTheme="minorEastAsia" w:cs="Calibri"/>
                <w:color w:val="000000"/>
                <w:sz w:val="17"/>
                <w:szCs w:val="17"/>
                <w:lang w:eastAsia="en-AU"/>
              </w:rPr>
              <w:t>(WorkSafe Victoria)</w:t>
            </w:r>
          </w:p>
        </w:tc>
        <w:tc>
          <w:tcPr>
            <w:tcW w:w="2250" w:type="dxa"/>
            <w:gridSpan w:val="2"/>
            <w:tcBorders>
              <w:top w:val="single" w:sz="4" w:space="0" w:color="auto"/>
              <w:left w:val="nil"/>
              <w:bottom w:val="single" w:sz="6" w:space="0" w:color="auto"/>
              <w:right w:val="nil"/>
            </w:tcBorders>
            <w:shd w:val="solid" w:color="FFFFFF" w:fill="auto"/>
          </w:tcPr>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Pricewaterhouse Coopers Actuarial Ltd</w:t>
            </w:r>
          </w:p>
        </w:tc>
        <w:tc>
          <w:tcPr>
            <w:tcW w:w="916" w:type="dxa"/>
            <w:gridSpan w:val="3"/>
            <w:tcBorders>
              <w:top w:val="single" w:sz="4"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5.9</w:t>
            </w:r>
          </w:p>
        </w:tc>
        <w:tc>
          <w:tcPr>
            <w:tcW w:w="810" w:type="dxa"/>
            <w:tcBorders>
              <w:top w:val="single" w:sz="4"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5.7</w:t>
            </w:r>
          </w:p>
        </w:tc>
        <w:tc>
          <w:tcPr>
            <w:tcW w:w="1710" w:type="dxa"/>
            <w:gridSpan w:val="3"/>
            <w:tcBorders>
              <w:top w:val="single" w:sz="4"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cs="Calibri"/>
                <w:color w:val="000000"/>
                <w:sz w:val="17"/>
                <w:lang w:eastAsia="en-AU"/>
              </w:rPr>
            </w:pPr>
            <w:r w:rsidRPr="006E6D3D">
              <w:rPr>
                <w:rFonts w:eastAsiaTheme="minorEastAsia"/>
                <w:sz w:val="17"/>
              </w:rPr>
              <w:t>AWE</w:t>
            </w:r>
            <w:r w:rsidRPr="006E6D3D">
              <w:rPr>
                <w:rFonts w:eastAsiaTheme="minorEastAsia"/>
                <w:sz w:val="17"/>
                <w:vertAlign w:val="superscript"/>
              </w:rPr>
              <w:t>(e)</w:t>
            </w:r>
            <w:r w:rsidRPr="006E6D3D">
              <w:rPr>
                <w:rFonts w:eastAsiaTheme="minorEastAsia"/>
                <w:sz w:val="17"/>
              </w:rPr>
              <w:t xml:space="preserve"> inflation= </w:t>
            </w:r>
            <w:r w:rsidRPr="006E6D3D">
              <w:rPr>
                <w:rFonts w:eastAsiaTheme="minorEastAsia" w:cs="Calibri"/>
                <w:color w:val="000000"/>
                <w:sz w:val="17"/>
                <w:lang w:eastAsia="en-AU"/>
              </w:rPr>
              <w:t xml:space="preserve">3.70 </w:t>
            </w:r>
          </w:p>
          <w:p w:rsidR="00336793" w:rsidRPr="006E6D3D" w:rsidRDefault="00336793" w:rsidP="00DF0B96">
            <w:pPr>
              <w:pStyle w:val="TableofFigures"/>
              <w:rPr>
                <w:rFonts w:eastAsiaTheme="minorEastAsia"/>
                <w:sz w:val="17"/>
              </w:rPr>
            </w:pPr>
            <w:r w:rsidRPr="006E6D3D">
              <w:rPr>
                <w:rFonts w:eastAsiaTheme="minorEastAsia"/>
                <w:sz w:val="17"/>
              </w:rPr>
              <w:t>CPI inflation= 2.50</w:t>
            </w:r>
          </w:p>
        </w:tc>
        <w:tc>
          <w:tcPr>
            <w:tcW w:w="1451" w:type="dxa"/>
            <w:gridSpan w:val="2"/>
            <w:tcBorders>
              <w:top w:val="single" w:sz="4"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 xml:space="preserve">AWE inflation= 3.75 </w:t>
            </w:r>
          </w:p>
          <w:p w:rsidR="00336793" w:rsidRPr="006E6D3D" w:rsidRDefault="00336793" w:rsidP="00DF0B96">
            <w:pPr>
              <w:pStyle w:val="TableofFigures"/>
              <w:rPr>
                <w:rFonts w:eastAsiaTheme="minorEastAsia"/>
                <w:sz w:val="17"/>
              </w:rPr>
            </w:pPr>
            <w:r w:rsidRPr="006E6D3D">
              <w:rPr>
                <w:rFonts w:eastAsiaTheme="minorEastAsia"/>
                <w:sz w:val="17"/>
              </w:rPr>
              <w:t>CPI inflation= 2.50</w:t>
            </w:r>
          </w:p>
        </w:tc>
        <w:tc>
          <w:tcPr>
            <w:tcW w:w="1593" w:type="dxa"/>
            <w:gridSpan w:val="2"/>
            <w:tcBorders>
              <w:top w:val="single" w:sz="4"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3.05</w:t>
            </w:r>
          </w:p>
        </w:tc>
        <w:tc>
          <w:tcPr>
            <w:tcW w:w="1620" w:type="dxa"/>
            <w:gridSpan w:val="4"/>
            <w:tcBorders>
              <w:top w:val="single" w:sz="4" w:space="0" w:color="auto"/>
              <w:left w:val="nil"/>
              <w:bottom w:val="single" w:sz="6" w:space="0" w:color="auto"/>
              <w:right w:val="nil"/>
            </w:tcBorders>
            <w:shd w:val="solid" w:color="FFFFFF" w:fill="auto"/>
          </w:tcPr>
          <w:p w:rsidR="00336793" w:rsidRPr="00D45BA6" w:rsidRDefault="00336793" w:rsidP="00DF0B96">
            <w:pPr>
              <w:pStyle w:val="TableofFigures"/>
              <w:rPr>
                <w:rFonts w:eastAsiaTheme="minorEastAsia"/>
                <w:sz w:val="17"/>
                <w:vertAlign w:val="superscript"/>
              </w:rPr>
            </w:pPr>
            <w:r w:rsidRPr="006E6D3D">
              <w:rPr>
                <w:rFonts w:eastAsiaTheme="minorEastAsia"/>
                <w:sz w:val="17"/>
              </w:rPr>
              <w:t>3.62</w:t>
            </w:r>
            <w:r>
              <w:rPr>
                <w:rFonts w:eastAsiaTheme="minorEastAsia"/>
                <w:sz w:val="17"/>
                <w:vertAlign w:val="superscript"/>
              </w:rPr>
              <w:t>(f)</w:t>
            </w:r>
          </w:p>
        </w:tc>
        <w:tc>
          <w:tcPr>
            <w:tcW w:w="1350" w:type="dxa"/>
            <w:gridSpan w:val="2"/>
            <w:tcBorders>
              <w:top w:val="single" w:sz="4"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8.0</w:t>
            </w:r>
          </w:p>
        </w:tc>
        <w:tc>
          <w:tcPr>
            <w:tcW w:w="1339" w:type="dxa"/>
            <w:tcBorders>
              <w:top w:val="single" w:sz="4"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8.0</w:t>
            </w:r>
          </w:p>
        </w:tc>
      </w:tr>
      <w:tr w:rsidR="00336793" w:rsidRPr="006E6D3D" w:rsidTr="00DF0B96">
        <w:trPr>
          <w:trHeight w:val="93"/>
        </w:trPr>
        <w:tc>
          <w:tcPr>
            <w:tcW w:w="1531"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text"/>
              <w:ind w:left="0" w:firstLine="0"/>
              <w:rPr>
                <w:rFonts w:eastAsiaTheme="minorEastAsia"/>
                <w:sz w:val="17"/>
                <w:lang w:eastAsia="en-AU"/>
              </w:rPr>
            </w:pPr>
            <w:r w:rsidRPr="006E6D3D">
              <w:rPr>
                <w:rFonts w:eastAsiaTheme="minorEastAsia"/>
                <w:sz w:val="17"/>
                <w:lang w:eastAsia="en-AU"/>
              </w:rPr>
              <w:t>Transport Accident Commission</w:t>
            </w:r>
          </w:p>
        </w:tc>
        <w:tc>
          <w:tcPr>
            <w:tcW w:w="2250"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Pricewaterhouse Coopers Actuarial Ltd</w:t>
            </w:r>
          </w:p>
        </w:tc>
        <w:tc>
          <w:tcPr>
            <w:tcW w:w="916" w:type="dxa"/>
            <w:gridSpan w:val="3"/>
            <w:tcBorders>
              <w:top w:val="nil"/>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15.3</w:t>
            </w:r>
          </w:p>
        </w:tc>
        <w:tc>
          <w:tcPr>
            <w:tcW w:w="810" w:type="dxa"/>
            <w:tcBorders>
              <w:top w:val="nil"/>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15</w:t>
            </w:r>
          </w:p>
        </w:tc>
        <w:tc>
          <w:tcPr>
            <w:tcW w:w="1710" w:type="dxa"/>
            <w:gridSpan w:val="3"/>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3.50 (1 year or less)</w:t>
            </w:r>
          </w:p>
          <w:p w:rsidR="00336793" w:rsidRPr="006E6D3D" w:rsidRDefault="00336793" w:rsidP="00DF0B96">
            <w:pPr>
              <w:pStyle w:val="TableofFigures"/>
              <w:rPr>
                <w:rFonts w:eastAsiaTheme="minorEastAsia" w:cs="Calibri"/>
                <w:color w:val="000000"/>
                <w:sz w:val="17"/>
                <w:lang w:eastAsia="en-AU"/>
              </w:rPr>
            </w:pPr>
            <w:r w:rsidRPr="006E6D3D">
              <w:rPr>
                <w:rFonts w:eastAsiaTheme="minorEastAsia"/>
                <w:sz w:val="17"/>
              </w:rPr>
              <w:t>3.75 (later than 1 year)</w:t>
            </w:r>
          </w:p>
        </w:tc>
        <w:tc>
          <w:tcPr>
            <w:tcW w:w="1451"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3.75</w:t>
            </w:r>
          </w:p>
        </w:tc>
        <w:tc>
          <w:tcPr>
            <w:tcW w:w="1593"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1.96 (1 year or less)</w:t>
            </w:r>
          </w:p>
          <w:p w:rsidR="00336793" w:rsidRPr="006E6D3D" w:rsidRDefault="00336793" w:rsidP="00DF0B96">
            <w:pPr>
              <w:pStyle w:val="TableofFigures"/>
              <w:rPr>
                <w:rFonts w:eastAsiaTheme="minorEastAsia" w:cs="Calibri"/>
                <w:color w:val="000000"/>
                <w:sz w:val="17"/>
                <w:lang w:eastAsia="en-AU"/>
              </w:rPr>
            </w:pPr>
            <w:r w:rsidRPr="006E6D3D">
              <w:rPr>
                <w:rFonts w:eastAsiaTheme="minorEastAsia"/>
                <w:sz w:val="17"/>
              </w:rPr>
              <w:t>4.3 (later than 1 year)</w:t>
            </w:r>
          </w:p>
        </w:tc>
        <w:tc>
          <w:tcPr>
            <w:tcW w:w="1620" w:type="dxa"/>
            <w:gridSpan w:val="4"/>
            <w:tcBorders>
              <w:top w:val="single" w:sz="6" w:space="0" w:color="auto"/>
              <w:left w:val="nil"/>
              <w:bottom w:val="single" w:sz="6" w:space="0" w:color="auto"/>
              <w:right w:val="nil"/>
            </w:tcBorders>
            <w:shd w:val="solid" w:color="FFFFFF" w:fill="auto"/>
          </w:tcPr>
          <w:p w:rsidR="00336793" w:rsidRPr="001259C7" w:rsidRDefault="00336793" w:rsidP="00DF0B96">
            <w:pPr>
              <w:pStyle w:val="TableofFigures"/>
              <w:rPr>
                <w:rFonts w:eastAsiaTheme="minorEastAsia"/>
                <w:sz w:val="17"/>
                <w:vertAlign w:val="superscript"/>
              </w:rPr>
            </w:pPr>
            <w:r w:rsidRPr="006E6D3D">
              <w:rPr>
                <w:rFonts w:eastAsiaTheme="minorEastAsia"/>
                <w:sz w:val="17"/>
              </w:rPr>
              <w:t>2.47 (1 year or less)</w:t>
            </w:r>
            <w:r>
              <w:rPr>
                <w:rFonts w:eastAsiaTheme="minorEastAsia"/>
                <w:sz w:val="17"/>
                <w:vertAlign w:val="superscript"/>
              </w:rPr>
              <w:t>(f)</w:t>
            </w:r>
          </w:p>
          <w:p w:rsidR="00336793" w:rsidRPr="006E6D3D" w:rsidRDefault="00336793" w:rsidP="00DF0B96">
            <w:pPr>
              <w:pStyle w:val="TableofFigures"/>
              <w:rPr>
                <w:rFonts w:eastAsiaTheme="minorEastAsia" w:cs="Calibri"/>
                <w:color w:val="000000"/>
                <w:sz w:val="17"/>
                <w:lang w:eastAsia="en-AU"/>
              </w:rPr>
            </w:pPr>
            <w:r w:rsidRPr="006E6D3D">
              <w:rPr>
                <w:rFonts w:eastAsiaTheme="minorEastAsia"/>
                <w:sz w:val="17"/>
              </w:rPr>
              <w:t>4.7 (later than 1 year)</w:t>
            </w:r>
          </w:p>
        </w:tc>
        <w:tc>
          <w:tcPr>
            <w:tcW w:w="1350" w:type="dxa"/>
            <w:gridSpan w:val="2"/>
            <w:tcBorders>
              <w:top w:val="nil"/>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10.0</w:t>
            </w:r>
          </w:p>
        </w:tc>
        <w:tc>
          <w:tcPr>
            <w:tcW w:w="1339" w:type="dxa"/>
            <w:tcBorders>
              <w:top w:val="nil"/>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10.0</w:t>
            </w:r>
          </w:p>
        </w:tc>
      </w:tr>
      <w:tr w:rsidR="00336793" w:rsidRPr="006E6D3D" w:rsidTr="00DF0B96">
        <w:tc>
          <w:tcPr>
            <w:tcW w:w="1531"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text"/>
              <w:ind w:left="0" w:firstLine="0"/>
              <w:rPr>
                <w:rFonts w:eastAsiaTheme="minorEastAsia"/>
                <w:sz w:val="17"/>
                <w:lang w:eastAsia="en-AU"/>
              </w:rPr>
            </w:pPr>
            <w:r w:rsidRPr="006E6D3D">
              <w:rPr>
                <w:rFonts w:eastAsiaTheme="minorEastAsia"/>
                <w:sz w:val="17"/>
                <w:lang w:eastAsia="en-AU"/>
              </w:rPr>
              <w:t>Victorian Managed Insurance Authority</w:t>
            </w:r>
          </w:p>
        </w:tc>
        <w:tc>
          <w:tcPr>
            <w:tcW w:w="2250"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 xml:space="preserve">Finity Consulting Pty Ltd </w:t>
            </w:r>
          </w:p>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(Medical Indemnity)</w:t>
            </w:r>
          </w:p>
        </w:tc>
        <w:tc>
          <w:tcPr>
            <w:tcW w:w="916" w:type="dxa"/>
            <w:gridSpan w:val="3"/>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4.8</w:t>
            </w:r>
          </w:p>
        </w:tc>
        <w:tc>
          <w:tcPr>
            <w:tcW w:w="810"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5.6</w:t>
            </w:r>
          </w:p>
        </w:tc>
        <w:tc>
          <w:tcPr>
            <w:tcW w:w="1710" w:type="dxa"/>
            <w:gridSpan w:val="3"/>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7</w:t>
            </w:r>
          </w:p>
        </w:tc>
        <w:tc>
          <w:tcPr>
            <w:tcW w:w="1451"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7.8</w:t>
            </w:r>
          </w:p>
        </w:tc>
        <w:tc>
          <w:tcPr>
            <w:tcW w:w="1593"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2.8</w:t>
            </w:r>
          </w:p>
        </w:tc>
        <w:tc>
          <w:tcPr>
            <w:tcW w:w="1620" w:type="dxa"/>
            <w:gridSpan w:val="4"/>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3.4</w:t>
            </w:r>
          </w:p>
        </w:tc>
        <w:tc>
          <w:tcPr>
            <w:tcW w:w="1350"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Risk margin=21.1</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 xml:space="preserve">CHE </w:t>
            </w:r>
            <w:r>
              <w:rPr>
                <w:rFonts w:eastAsiaTheme="minorEastAsia"/>
                <w:sz w:val="17"/>
                <w:szCs w:val="22"/>
                <w:vertAlign w:val="superscript"/>
                <w:lang w:eastAsia="en-AU"/>
              </w:rPr>
              <w:t>(g</w:t>
            </w:r>
            <w:r w:rsidRPr="006E6D3D">
              <w:rPr>
                <w:rFonts w:eastAsiaTheme="minorEastAsia"/>
                <w:sz w:val="17"/>
                <w:szCs w:val="22"/>
                <w:vertAlign w:val="superscript"/>
                <w:lang w:eastAsia="en-AU"/>
              </w:rPr>
              <w:t>)</w:t>
            </w:r>
            <w:r w:rsidRPr="006E6D3D">
              <w:rPr>
                <w:rFonts w:eastAsiaTheme="minorEastAsia"/>
                <w:sz w:val="17"/>
                <w:lang w:eastAsia="en-AU"/>
              </w:rPr>
              <w:t>= 3.0</w:t>
            </w:r>
          </w:p>
        </w:tc>
        <w:tc>
          <w:tcPr>
            <w:tcW w:w="1339"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Risk margin=21.1</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CHE= 4.0</w:t>
            </w:r>
          </w:p>
        </w:tc>
      </w:tr>
      <w:tr w:rsidR="00336793" w:rsidRPr="006E6D3D" w:rsidTr="00DF0B96">
        <w:tc>
          <w:tcPr>
            <w:tcW w:w="1531"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text"/>
              <w:ind w:left="0" w:firstLine="0"/>
              <w:rPr>
                <w:rFonts w:eastAsiaTheme="minorEastAsia"/>
                <w:sz w:val="17"/>
                <w:lang w:eastAsia="en-AU"/>
              </w:rPr>
            </w:pPr>
            <w:r w:rsidRPr="006E6D3D">
              <w:rPr>
                <w:rFonts w:eastAsiaTheme="minorEastAsia"/>
                <w:sz w:val="17"/>
                <w:lang w:eastAsia="en-AU"/>
              </w:rPr>
              <w:t>Victorian Managed Insurance Authority</w:t>
            </w:r>
          </w:p>
        </w:tc>
        <w:tc>
          <w:tcPr>
            <w:tcW w:w="2250"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Finity Consulting Pty Ltd (Liability)</w:t>
            </w:r>
          </w:p>
        </w:tc>
        <w:tc>
          <w:tcPr>
            <w:tcW w:w="916" w:type="dxa"/>
            <w:gridSpan w:val="3"/>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3.8</w:t>
            </w:r>
          </w:p>
        </w:tc>
        <w:tc>
          <w:tcPr>
            <w:tcW w:w="810"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3.0</w:t>
            </w:r>
          </w:p>
        </w:tc>
        <w:tc>
          <w:tcPr>
            <w:tcW w:w="1710" w:type="dxa"/>
            <w:gridSpan w:val="3"/>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3.5</w:t>
            </w:r>
          </w:p>
        </w:tc>
        <w:tc>
          <w:tcPr>
            <w:tcW w:w="1451"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3.8</w:t>
            </w:r>
          </w:p>
        </w:tc>
        <w:tc>
          <w:tcPr>
            <w:tcW w:w="1593"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2.5</w:t>
            </w:r>
          </w:p>
        </w:tc>
        <w:tc>
          <w:tcPr>
            <w:tcW w:w="1620" w:type="dxa"/>
            <w:gridSpan w:val="4"/>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3.0</w:t>
            </w:r>
          </w:p>
        </w:tc>
        <w:tc>
          <w:tcPr>
            <w:tcW w:w="1350"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Risk margin=32.5</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CHE= 6.7</w:t>
            </w:r>
          </w:p>
        </w:tc>
        <w:tc>
          <w:tcPr>
            <w:tcW w:w="1339"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Risk margin=32.2</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CHE= 1.7</w:t>
            </w:r>
          </w:p>
        </w:tc>
      </w:tr>
      <w:tr w:rsidR="00336793" w:rsidRPr="006E6D3D" w:rsidTr="00DF0B96">
        <w:tc>
          <w:tcPr>
            <w:tcW w:w="1531"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text"/>
              <w:ind w:left="0" w:firstLine="0"/>
              <w:rPr>
                <w:rFonts w:eastAsiaTheme="minorEastAsia"/>
                <w:sz w:val="17"/>
                <w:lang w:eastAsia="en-AU"/>
              </w:rPr>
            </w:pPr>
            <w:r w:rsidRPr="006E6D3D">
              <w:rPr>
                <w:rFonts w:eastAsiaTheme="minorEastAsia"/>
                <w:sz w:val="17"/>
                <w:lang w:eastAsia="en-AU"/>
              </w:rPr>
              <w:t>Victorian Managed Insurance Authority</w:t>
            </w:r>
          </w:p>
        </w:tc>
        <w:tc>
          <w:tcPr>
            <w:tcW w:w="2250"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Finity Consulting Pty Ltd</w:t>
            </w:r>
          </w:p>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(Property)</w:t>
            </w:r>
          </w:p>
        </w:tc>
        <w:tc>
          <w:tcPr>
            <w:tcW w:w="916" w:type="dxa"/>
            <w:gridSpan w:val="3"/>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0.9</w:t>
            </w:r>
          </w:p>
        </w:tc>
        <w:tc>
          <w:tcPr>
            <w:tcW w:w="810"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0.9</w:t>
            </w:r>
          </w:p>
        </w:tc>
        <w:tc>
          <w:tcPr>
            <w:tcW w:w="1710" w:type="dxa"/>
            <w:gridSpan w:val="3"/>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3.5</w:t>
            </w:r>
          </w:p>
        </w:tc>
        <w:tc>
          <w:tcPr>
            <w:tcW w:w="1451"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3.8</w:t>
            </w:r>
          </w:p>
        </w:tc>
        <w:tc>
          <w:tcPr>
            <w:tcW w:w="1593"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2.5</w:t>
            </w:r>
          </w:p>
        </w:tc>
        <w:tc>
          <w:tcPr>
            <w:tcW w:w="1620" w:type="dxa"/>
            <w:gridSpan w:val="4"/>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3.0</w:t>
            </w:r>
          </w:p>
        </w:tc>
        <w:tc>
          <w:tcPr>
            <w:tcW w:w="1350"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 xml:space="preserve">Risk margin=18.0 </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CHE= 5.3</w:t>
            </w:r>
          </w:p>
        </w:tc>
        <w:tc>
          <w:tcPr>
            <w:tcW w:w="1339"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 xml:space="preserve">Risk margin=24.3 </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CHE= 1.6</w:t>
            </w:r>
          </w:p>
        </w:tc>
      </w:tr>
      <w:tr w:rsidR="00336793" w:rsidRPr="006E6D3D" w:rsidTr="00DF0B96">
        <w:tc>
          <w:tcPr>
            <w:tcW w:w="1531"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text"/>
              <w:ind w:left="0" w:firstLine="0"/>
              <w:rPr>
                <w:rFonts w:eastAsiaTheme="minorEastAsia"/>
                <w:sz w:val="17"/>
                <w:lang w:eastAsia="en-AU"/>
              </w:rPr>
            </w:pPr>
            <w:r w:rsidRPr="006E6D3D">
              <w:rPr>
                <w:rFonts w:eastAsiaTheme="minorEastAsia"/>
                <w:sz w:val="17"/>
                <w:lang w:eastAsia="en-AU"/>
              </w:rPr>
              <w:t>Victorian Managed Insurance Authority</w:t>
            </w:r>
          </w:p>
        </w:tc>
        <w:tc>
          <w:tcPr>
            <w:tcW w:w="2250"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Finity Consulting Pty Ltd</w:t>
            </w:r>
          </w:p>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(Other)</w:t>
            </w:r>
          </w:p>
        </w:tc>
        <w:tc>
          <w:tcPr>
            <w:tcW w:w="916" w:type="dxa"/>
            <w:gridSpan w:val="3"/>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3.3</w:t>
            </w:r>
          </w:p>
        </w:tc>
        <w:tc>
          <w:tcPr>
            <w:tcW w:w="810"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3.1</w:t>
            </w:r>
          </w:p>
        </w:tc>
        <w:tc>
          <w:tcPr>
            <w:tcW w:w="1710" w:type="dxa"/>
            <w:gridSpan w:val="3"/>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3.5</w:t>
            </w:r>
          </w:p>
        </w:tc>
        <w:tc>
          <w:tcPr>
            <w:tcW w:w="1451"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3.8</w:t>
            </w:r>
          </w:p>
        </w:tc>
        <w:tc>
          <w:tcPr>
            <w:tcW w:w="1593"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2.5</w:t>
            </w:r>
          </w:p>
        </w:tc>
        <w:tc>
          <w:tcPr>
            <w:tcW w:w="1620" w:type="dxa"/>
            <w:gridSpan w:val="4"/>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3.0</w:t>
            </w:r>
          </w:p>
        </w:tc>
        <w:tc>
          <w:tcPr>
            <w:tcW w:w="1350"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Risk margin=30.7</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CHE= 8.0</w:t>
            </w:r>
          </w:p>
        </w:tc>
        <w:tc>
          <w:tcPr>
            <w:tcW w:w="1339"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 xml:space="preserve">Risk margin=30.5 </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CHE= 6.0</w:t>
            </w:r>
          </w:p>
        </w:tc>
      </w:tr>
      <w:tr w:rsidR="00336793" w:rsidRPr="006E6D3D" w:rsidTr="00DF0B96">
        <w:tc>
          <w:tcPr>
            <w:tcW w:w="1531"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text"/>
              <w:ind w:left="0" w:firstLine="0"/>
              <w:rPr>
                <w:rFonts w:eastAsiaTheme="minorEastAsia"/>
                <w:sz w:val="17"/>
                <w:lang w:eastAsia="en-AU"/>
              </w:rPr>
            </w:pPr>
            <w:r w:rsidRPr="006E6D3D">
              <w:rPr>
                <w:rFonts w:eastAsiaTheme="minorEastAsia"/>
                <w:sz w:val="17"/>
                <w:lang w:eastAsia="en-AU"/>
              </w:rPr>
              <w:t xml:space="preserve">Victorian Managed Insurance Authority </w:t>
            </w:r>
          </w:p>
        </w:tc>
        <w:tc>
          <w:tcPr>
            <w:tcW w:w="2250"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 xml:space="preserve">Finity Consulting Pty Ltd </w:t>
            </w:r>
          </w:p>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(Dust Diseases and Workers</w:t>
            </w:r>
            <w:r>
              <w:rPr>
                <w:rFonts w:eastAsiaTheme="minorEastAsia"/>
                <w:color w:val="auto"/>
                <w:sz w:val="17"/>
              </w:rPr>
              <w:t>’</w:t>
            </w:r>
            <w:r w:rsidRPr="006E6D3D">
              <w:rPr>
                <w:rFonts w:eastAsiaTheme="minorEastAsia"/>
                <w:color w:val="auto"/>
                <w:sz w:val="17"/>
              </w:rPr>
              <w:t xml:space="preserve"> Compensation) </w:t>
            </w:r>
          </w:p>
        </w:tc>
        <w:tc>
          <w:tcPr>
            <w:tcW w:w="916" w:type="dxa"/>
            <w:gridSpan w:val="3"/>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11.7</w:t>
            </w:r>
          </w:p>
        </w:tc>
        <w:tc>
          <w:tcPr>
            <w:tcW w:w="810"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12.2</w:t>
            </w:r>
          </w:p>
        </w:tc>
        <w:tc>
          <w:tcPr>
            <w:tcW w:w="1710" w:type="dxa"/>
            <w:gridSpan w:val="3"/>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5.5</w:t>
            </w:r>
          </w:p>
        </w:tc>
        <w:tc>
          <w:tcPr>
            <w:tcW w:w="1451"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5.8</w:t>
            </w:r>
          </w:p>
        </w:tc>
        <w:tc>
          <w:tcPr>
            <w:tcW w:w="1593"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3.7</w:t>
            </w:r>
          </w:p>
        </w:tc>
        <w:tc>
          <w:tcPr>
            <w:tcW w:w="1620" w:type="dxa"/>
            <w:gridSpan w:val="4"/>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4.2</w:t>
            </w:r>
          </w:p>
        </w:tc>
        <w:tc>
          <w:tcPr>
            <w:tcW w:w="1350" w:type="dxa"/>
            <w:gridSpan w:val="2"/>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Risk margin=29.3</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CHE= 8.0.</w:t>
            </w:r>
          </w:p>
        </w:tc>
        <w:tc>
          <w:tcPr>
            <w:tcW w:w="1339" w:type="dxa"/>
            <w:tcBorders>
              <w:top w:val="single" w:sz="6" w:space="0" w:color="auto"/>
              <w:left w:val="nil"/>
              <w:bottom w:val="single" w:sz="6" w:space="0" w:color="auto"/>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 xml:space="preserve">Risk margin=29.3 </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CHE= 10.0</w:t>
            </w:r>
          </w:p>
        </w:tc>
      </w:tr>
      <w:tr w:rsidR="00336793" w:rsidRPr="006E6D3D" w:rsidTr="00DF0B96">
        <w:tc>
          <w:tcPr>
            <w:tcW w:w="1531" w:type="dxa"/>
            <w:tcBorders>
              <w:top w:val="single" w:sz="6" w:space="0" w:color="auto"/>
              <w:left w:val="nil"/>
              <w:bottom w:val="single" w:sz="12" w:space="0" w:color="000000"/>
              <w:right w:val="nil"/>
            </w:tcBorders>
            <w:shd w:val="solid" w:color="FFFFFF" w:fill="auto"/>
          </w:tcPr>
          <w:p w:rsidR="00336793" w:rsidRPr="006E6D3D" w:rsidRDefault="00336793" w:rsidP="00DF0B96">
            <w:pPr>
              <w:pStyle w:val="Tabletext"/>
              <w:ind w:left="0" w:firstLine="0"/>
              <w:rPr>
                <w:rFonts w:eastAsiaTheme="minorEastAsia"/>
                <w:sz w:val="17"/>
                <w:lang w:eastAsia="en-AU"/>
              </w:rPr>
            </w:pPr>
            <w:r w:rsidRPr="006E6D3D">
              <w:rPr>
                <w:rFonts w:eastAsiaTheme="minorEastAsia"/>
                <w:sz w:val="17"/>
                <w:lang w:eastAsia="en-AU"/>
              </w:rPr>
              <w:t xml:space="preserve">Victorian Managed Insurance Authority </w:t>
            </w:r>
          </w:p>
        </w:tc>
        <w:tc>
          <w:tcPr>
            <w:tcW w:w="2250" w:type="dxa"/>
            <w:gridSpan w:val="2"/>
            <w:tcBorders>
              <w:top w:val="single" w:sz="6" w:space="0" w:color="auto"/>
              <w:left w:val="nil"/>
              <w:bottom w:val="single" w:sz="12" w:space="0" w:color="000000"/>
              <w:right w:val="nil"/>
            </w:tcBorders>
            <w:shd w:val="solid" w:color="FFFFFF" w:fill="auto"/>
          </w:tcPr>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 xml:space="preserve">Finity Consulting Pty Ltd </w:t>
            </w:r>
          </w:p>
          <w:p w:rsidR="00336793" w:rsidRPr="006E6D3D" w:rsidRDefault="00336793" w:rsidP="00DF0B96">
            <w:pPr>
              <w:pStyle w:val="TableTextnoindent"/>
              <w:rPr>
                <w:rFonts w:eastAsiaTheme="minorEastAsia"/>
                <w:color w:val="auto"/>
                <w:sz w:val="17"/>
              </w:rPr>
            </w:pPr>
            <w:r w:rsidRPr="006E6D3D">
              <w:rPr>
                <w:rFonts w:eastAsiaTheme="minorEastAsia"/>
                <w:color w:val="auto"/>
                <w:sz w:val="17"/>
              </w:rPr>
              <w:t xml:space="preserve">(Domestic Building Insurance) </w:t>
            </w:r>
          </w:p>
        </w:tc>
        <w:tc>
          <w:tcPr>
            <w:tcW w:w="916" w:type="dxa"/>
            <w:gridSpan w:val="3"/>
            <w:tcBorders>
              <w:top w:val="single" w:sz="6" w:space="0" w:color="auto"/>
              <w:left w:val="nil"/>
              <w:bottom w:val="single" w:sz="12" w:space="0" w:color="000000"/>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4.2</w:t>
            </w:r>
          </w:p>
        </w:tc>
        <w:tc>
          <w:tcPr>
            <w:tcW w:w="810" w:type="dxa"/>
            <w:tcBorders>
              <w:top w:val="single" w:sz="6" w:space="0" w:color="auto"/>
              <w:left w:val="nil"/>
              <w:bottom w:val="single" w:sz="12" w:space="0" w:color="000000"/>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4.5</w:t>
            </w:r>
          </w:p>
        </w:tc>
        <w:tc>
          <w:tcPr>
            <w:tcW w:w="1710" w:type="dxa"/>
            <w:gridSpan w:val="3"/>
            <w:tcBorders>
              <w:top w:val="single" w:sz="6" w:space="0" w:color="auto"/>
              <w:left w:val="nil"/>
              <w:bottom w:val="single" w:sz="12" w:space="0" w:color="000000"/>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3.5</w:t>
            </w:r>
          </w:p>
        </w:tc>
        <w:tc>
          <w:tcPr>
            <w:tcW w:w="1451" w:type="dxa"/>
            <w:gridSpan w:val="2"/>
            <w:tcBorders>
              <w:top w:val="single" w:sz="6" w:space="0" w:color="auto"/>
              <w:left w:val="nil"/>
              <w:bottom w:val="single" w:sz="12" w:space="0" w:color="000000"/>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3.8</w:t>
            </w:r>
          </w:p>
        </w:tc>
        <w:tc>
          <w:tcPr>
            <w:tcW w:w="1593" w:type="dxa"/>
            <w:gridSpan w:val="2"/>
            <w:tcBorders>
              <w:top w:val="single" w:sz="6" w:space="0" w:color="auto"/>
              <w:left w:val="nil"/>
              <w:bottom w:val="single" w:sz="12" w:space="0" w:color="000000"/>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2.5</w:t>
            </w:r>
          </w:p>
        </w:tc>
        <w:tc>
          <w:tcPr>
            <w:tcW w:w="1620" w:type="dxa"/>
            <w:gridSpan w:val="4"/>
            <w:tcBorders>
              <w:top w:val="single" w:sz="6" w:space="0" w:color="auto"/>
              <w:left w:val="nil"/>
              <w:bottom w:val="single" w:sz="12" w:space="0" w:color="000000"/>
              <w:right w:val="nil"/>
            </w:tcBorders>
            <w:shd w:val="solid" w:color="FFFFFF" w:fill="auto"/>
          </w:tcPr>
          <w:p w:rsidR="00336793" w:rsidRPr="006E6D3D" w:rsidRDefault="00336793" w:rsidP="00DF0B96">
            <w:pPr>
              <w:pStyle w:val="TableofFigures"/>
              <w:rPr>
                <w:rFonts w:eastAsiaTheme="minorEastAsia"/>
                <w:sz w:val="17"/>
              </w:rPr>
            </w:pPr>
            <w:r w:rsidRPr="006E6D3D">
              <w:rPr>
                <w:rFonts w:eastAsiaTheme="minorEastAsia"/>
                <w:sz w:val="17"/>
              </w:rPr>
              <w:t>3.2</w:t>
            </w:r>
          </w:p>
        </w:tc>
        <w:tc>
          <w:tcPr>
            <w:tcW w:w="1350" w:type="dxa"/>
            <w:gridSpan w:val="2"/>
            <w:tcBorders>
              <w:top w:val="single" w:sz="6" w:space="0" w:color="auto"/>
              <w:left w:val="nil"/>
              <w:bottom w:val="single" w:sz="12" w:space="0" w:color="000000"/>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 xml:space="preserve">Risk margin=24.1 </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CHE= 7.0</w:t>
            </w:r>
          </w:p>
        </w:tc>
        <w:tc>
          <w:tcPr>
            <w:tcW w:w="1339" w:type="dxa"/>
            <w:tcBorders>
              <w:top w:val="single" w:sz="6" w:space="0" w:color="auto"/>
              <w:left w:val="nil"/>
              <w:bottom w:val="single" w:sz="12" w:space="0" w:color="000000"/>
              <w:right w:val="nil"/>
            </w:tcBorders>
            <w:shd w:val="solid" w:color="FFFFFF" w:fill="auto"/>
          </w:tcPr>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 xml:space="preserve">Risk margin=24.1 </w:t>
            </w:r>
          </w:p>
          <w:p w:rsidR="00336793" w:rsidRPr="006E6D3D" w:rsidRDefault="00336793" w:rsidP="00DF0B96">
            <w:pPr>
              <w:pStyle w:val="TableofFigures"/>
              <w:rPr>
                <w:rFonts w:eastAsiaTheme="minorEastAsia"/>
                <w:sz w:val="17"/>
                <w:lang w:eastAsia="en-AU"/>
              </w:rPr>
            </w:pPr>
            <w:r w:rsidRPr="006E6D3D">
              <w:rPr>
                <w:rFonts w:eastAsiaTheme="minorEastAsia"/>
                <w:sz w:val="17"/>
                <w:lang w:eastAsia="en-AU"/>
              </w:rPr>
              <w:t>CHE= 8.0</w:t>
            </w:r>
          </w:p>
        </w:tc>
      </w:tr>
    </w:tbl>
    <w:p w:rsidR="00336793" w:rsidRDefault="00336793" w:rsidP="00DF0B96">
      <w:pPr>
        <w:pStyle w:val="Notes"/>
      </w:pPr>
      <w:r>
        <w:t>Notes:</w:t>
      </w:r>
    </w:p>
    <w:p w:rsidR="00336793" w:rsidRDefault="00336793" w:rsidP="00DF0B96">
      <w:pPr>
        <w:pStyle w:val="Notes"/>
      </w:pPr>
      <w:r>
        <w:t>(a)</w:t>
      </w:r>
      <w:r>
        <w:tab/>
        <w:t>The inflation rate assumptions are based on the anticipated rise in costs relevant to a particular entity.</w:t>
      </w:r>
    </w:p>
    <w:p w:rsidR="00336793" w:rsidRDefault="00336793" w:rsidP="00DF0B96">
      <w:pPr>
        <w:pStyle w:val="Notes"/>
      </w:pPr>
      <w:r>
        <w:t>(b)</w:t>
      </w:r>
      <w:r>
        <w:tab/>
      </w:r>
      <w:r w:rsidRPr="00DE6FA4">
        <w:t>Financial assumptions used for provisions not later than 1 year and later than 1 year are the same unless otherwise specified.</w:t>
      </w:r>
    </w:p>
    <w:p w:rsidR="00336793" w:rsidRDefault="00336793" w:rsidP="00DF0B96">
      <w:pPr>
        <w:pStyle w:val="Notes"/>
      </w:pPr>
      <w:r>
        <w:t>(c)</w:t>
      </w:r>
      <w:r>
        <w:tab/>
      </w:r>
      <w:r w:rsidRPr="00DE6FA4">
        <w:t>Data in financial assumptions used columns are weighted average unless otherwise specified.</w:t>
      </w:r>
    </w:p>
    <w:p w:rsidR="00336793" w:rsidRDefault="00336793" w:rsidP="00DF0B96">
      <w:pPr>
        <w:pStyle w:val="Notes"/>
      </w:pPr>
      <w:r>
        <w:t>(d)</w:t>
      </w:r>
      <w:r>
        <w:tab/>
      </w:r>
      <w:r w:rsidRPr="00DE6FA4">
        <w:t>The inflation rates used by Transport Accident Commission are not weighted aver</w:t>
      </w:r>
      <w:r>
        <w:t xml:space="preserve">age. </w:t>
      </w:r>
    </w:p>
    <w:p w:rsidR="00336793" w:rsidRDefault="00336793" w:rsidP="00DF0B96">
      <w:pPr>
        <w:pStyle w:val="Notes"/>
      </w:pPr>
      <w:r>
        <w:t>(e)</w:t>
      </w:r>
      <w:r>
        <w:tab/>
      </w:r>
      <w:r w:rsidRPr="00DE6FA4">
        <w:t>AWE = Average Weekly Earnings.</w:t>
      </w:r>
    </w:p>
    <w:p w:rsidR="00336793" w:rsidRDefault="00336793" w:rsidP="00DF0B96">
      <w:pPr>
        <w:pStyle w:val="Notes"/>
      </w:pPr>
      <w:r>
        <w:t>(f)</w:t>
      </w:r>
      <w:r>
        <w:tab/>
        <w:t>June 2014 comparative figure has been restated to reflect more current information.</w:t>
      </w:r>
    </w:p>
    <w:p w:rsidR="00336793" w:rsidRDefault="00336793" w:rsidP="00DF0B96">
      <w:pPr>
        <w:pStyle w:val="Notes"/>
      </w:pPr>
      <w:r>
        <w:t>(g)</w:t>
      </w:r>
      <w:r>
        <w:tab/>
      </w:r>
      <w:r w:rsidRPr="00DE6FA4">
        <w:t xml:space="preserve">Refers to </w:t>
      </w:r>
      <w:r>
        <w:t>‘</w:t>
      </w:r>
      <w:r w:rsidRPr="00DE6FA4">
        <w:t>Claims Handling Expenses</w:t>
      </w:r>
      <w:r>
        <w:t>’</w:t>
      </w:r>
      <w:r w:rsidRPr="00DE6FA4">
        <w:t>.</w:t>
      </w:r>
      <w:r>
        <w:t xml:space="preserve"> Claims handling expenses is an allowance made for the direct expenses to be incurred in settling claims.</w:t>
      </w:r>
    </w:p>
    <w:p w:rsidR="00336793" w:rsidRPr="006149D1" w:rsidRDefault="00336793" w:rsidP="00DF0B96">
      <w:pPr>
        <w:pStyle w:val="Notes"/>
      </w:pPr>
    </w:p>
    <w:p w:rsidR="00336793" w:rsidRDefault="00336793" w:rsidP="00DF0B96"/>
    <w:p w:rsidR="00336793" w:rsidRDefault="00336793" w:rsidP="00DF0B96"/>
    <w:p w:rsidR="00336793" w:rsidRDefault="00336793" w:rsidP="00DF0B96">
      <w:pPr>
        <w:sectPr w:rsidR="00336793" w:rsidSect="00DF0B96">
          <w:headerReference w:type="even" r:id="rId82"/>
          <w:headerReference w:type="default" r:id="rId83"/>
          <w:footerReference w:type="even" r:id="rId84"/>
          <w:footerReference w:type="default" r:id="rId85"/>
          <w:pgSz w:w="16838" w:h="11906" w:orient="landscape" w:code="9"/>
          <w:pgMar w:top="1152" w:right="1152" w:bottom="1152" w:left="1152" w:header="720" w:footer="720" w:gutter="0"/>
          <w:cols w:space="708"/>
          <w:docGrid w:linePitch="360"/>
        </w:sectPr>
      </w:pPr>
    </w:p>
    <w:p w:rsidR="00336793" w:rsidRDefault="00336793" w:rsidP="00DF0B96">
      <w:pPr>
        <w:pStyle w:val="Heading2NotesContd"/>
      </w:pPr>
      <w:r w:rsidRPr="006A75A2">
        <w:lastRenderedPageBreak/>
        <w:t>Note 28:</w:t>
      </w:r>
      <w:r w:rsidRPr="006A75A2">
        <w:tab/>
        <w:t>Other provisions</w:t>
      </w:r>
      <w:r w:rsidRPr="006A75A2">
        <w:rPr>
          <w:bCs/>
          <w:i/>
          <w:iCs/>
        </w:rPr>
        <w:t xml:space="preserve"> (continued)</w:t>
      </w:r>
    </w:p>
    <w:p w:rsidR="00336793" w:rsidRPr="006A75A2" w:rsidRDefault="00336793" w:rsidP="00DF0B96">
      <w:pPr>
        <w:pStyle w:val="Tableheading"/>
      </w:pPr>
      <w:r w:rsidRPr="006A75A2">
        <w:t>Reconciliation of movements in onerous contracts provisions</w:t>
      </w:r>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47"/>
        <w:gridCol w:w="873"/>
        <w:gridCol w:w="1120"/>
        <w:gridCol w:w="275"/>
        <w:gridCol w:w="845"/>
        <w:gridCol w:w="112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247"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 xml:space="preserve"> </w:t>
            </w:r>
          </w:p>
        </w:tc>
        <w:tc>
          <w:tcPr>
            <w:tcW w:w="1993"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iCs/>
                <w:color w:val="FFFFFF"/>
                <w:lang w:eastAsia="en-AU"/>
              </w:rPr>
            </w:pPr>
          </w:p>
          <w:p w:rsidR="00336793" w:rsidRPr="00A10A3B" w:rsidRDefault="00336793" w:rsidP="00DF0B96">
            <w:pPr>
              <w:pStyle w:val="Tabletextheading"/>
              <w:jc w:val="center"/>
              <w:rPr>
                <w:rFonts w:eastAsiaTheme="minorEastAsia"/>
                <w:iCs/>
                <w:color w:val="FFFFFF"/>
                <w:lang w:eastAsia="en-AU"/>
              </w:rPr>
            </w:pPr>
            <w:r w:rsidRPr="00A10A3B">
              <w:rPr>
                <w:rFonts w:eastAsiaTheme="minorEastAsia"/>
                <w:iCs/>
                <w:color w:val="FFFFFF"/>
                <w:lang w:eastAsia="en-AU"/>
              </w:rPr>
              <w:t>State of Victoria</w:t>
            </w:r>
          </w:p>
        </w:tc>
        <w:tc>
          <w:tcPr>
            <w:tcW w:w="275"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iCs/>
                <w:color w:val="FFFFFF"/>
                <w:lang w:eastAsia="en-AU"/>
              </w:rPr>
              <w:t xml:space="preserve"> </w:t>
            </w:r>
          </w:p>
        </w:tc>
        <w:tc>
          <w:tcPr>
            <w:tcW w:w="1965"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iCs/>
                <w:color w:val="FFFFFF"/>
                <w:lang w:eastAsia="en-AU"/>
              </w:rPr>
              <w:t xml:space="preserve">General </w:t>
            </w:r>
          </w:p>
          <w:p w:rsidR="00336793" w:rsidRPr="00A10A3B" w:rsidRDefault="00336793" w:rsidP="00DF0B96">
            <w:pPr>
              <w:pStyle w:val="Tabletextheading"/>
              <w:jc w:val="center"/>
              <w:rPr>
                <w:rFonts w:eastAsiaTheme="minorEastAsia"/>
                <w:iCs/>
                <w:color w:val="FFFFFF"/>
                <w:lang w:eastAsia="en-AU"/>
              </w:rPr>
            </w:pPr>
            <w:r w:rsidRPr="00A10A3B">
              <w:rPr>
                <w:rFonts w:eastAsiaTheme="minorEastAsia"/>
                <w:iCs/>
                <w:color w:val="FFFFFF"/>
                <w:lang w:eastAsia="en-AU"/>
              </w:rPr>
              <w:t>government sector</w:t>
            </w:r>
          </w:p>
        </w:tc>
      </w:tr>
      <w:tr w:rsidR="00336793" w:rsidRPr="00A10A3B"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Opening balance</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114.4</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337.9</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Receipts</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163.6</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347.5</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Payments</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194.4)</w:t>
            </w:r>
          </w:p>
        </w:tc>
        <w:tc>
          <w:tcPr>
            <w:tcW w:w="1120"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415.2)</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Discount interest</w:t>
            </w:r>
            <w:r w:rsidRPr="00E96950">
              <w:rPr>
                <w:rFonts w:eastAsiaTheme="minorEastAsia"/>
                <w:vertAlign w:val="superscript"/>
                <w:lang w:eastAsia="en-AU"/>
              </w:rPr>
              <w:t xml:space="preserve"> </w:t>
            </w:r>
            <w:r w:rsidRPr="00A10A3B">
              <w:rPr>
                <w:rFonts w:eastAsiaTheme="minorEastAsia"/>
                <w:vertAlign w:val="superscript"/>
                <w:lang w:eastAsia="en-AU"/>
              </w:rPr>
              <w:t>(a)</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2.5</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8.0</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(Gain)/loss on restatement of the liability</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13.1)</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163.7)</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Closing balance</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73.0</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114.4</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r>
    </w:tbl>
    <w:p w:rsidR="00336793" w:rsidRPr="006A75A2" w:rsidRDefault="00336793" w:rsidP="00DF0B96">
      <w:pPr>
        <w:pStyle w:val="Notes"/>
      </w:pPr>
      <w:r w:rsidRPr="006A75A2">
        <w:t>Note:</w:t>
      </w:r>
    </w:p>
    <w:p w:rsidR="00336793" w:rsidRDefault="00336793" w:rsidP="00DF0B96">
      <w:pPr>
        <w:pStyle w:val="Notes"/>
      </w:pPr>
      <w:r w:rsidRPr="006A75A2">
        <w:t>(a)</w:t>
      </w:r>
      <w:r w:rsidRPr="006A75A2">
        <w:tab/>
        <w:t>The net change in the present value of assets and liabilities between reporting periods has been recognised as discount interest.</w:t>
      </w:r>
    </w:p>
    <w:p w:rsidR="00336793" w:rsidRPr="006A75A2" w:rsidRDefault="00336793" w:rsidP="00DF0B96"/>
    <w:p w:rsidR="00336793" w:rsidRPr="006A75A2" w:rsidRDefault="00336793" w:rsidP="00DF0B96"/>
    <w:p w:rsidR="00336793" w:rsidRPr="0027602F" w:rsidRDefault="00336793" w:rsidP="00DF0B96">
      <w:pPr>
        <w:pStyle w:val="Heading2Notes"/>
      </w:pPr>
      <w:bookmarkStart w:id="94" w:name="_Toc400040276"/>
      <w:bookmarkStart w:id="95" w:name="_Toc433984512"/>
      <w:r w:rsidRPr="006A75A2">
        <w:t>Note 29:</w:t>
      </w:r>
      <w:r w:rsidRPr="006A75A2">
        <w:tab/>
        <w:t>Reserves, accumulated surplus/(deficit) and non</w:t>
      </w:r>
      <w:r>
        <w:noBreakHyphen/>
      </w:r>
      <w:r w:rsidRPr="006A75A2">
        <w:t>controlling interests</w:t>
      </w:r>
      <w:bookmarkEnd w:id="94"/>
      <w:bookmarkEnd w:id="95"/>
    </w:p>
    <w:p w:rsidR="00336793" w:rsidRPr="006A75A2" w:rsidRDefault="00336793" w:rsidP="00DF0B96">
      <w:pPr>
        <w:pStyle w:val="Heading5"/>
        <w:rPr>
          <w:vertAlign w:val="superscript"/>
        </w:rPr>
      </w:pPr>
      <w:r w:rsidRPr="006A75A2">
        <w:t>(a)</w:t>
      </w:r>
      <w:r w:rsidRPr="006A75A2">
        <w:tab/>
        <w:t>Reserves</w:t>
      </w:r>
      <w:r w:rsidRPr="00E63701">
        <w:rPr>
          <w:vertAlign w:val="superscript"/>
        </w:rPr>
        <w:t>(a)</w:t>
      </w:r>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1120"/>
        <w:gridCol w:w="45"/>
        <w:gridCol w:w="153"/>
        <w:gridCol w:w="922"/>
        <w:gridCol w:w="950"/>
        <w:gridCol w:w="170"/>
      </w:tblGrid>
      <w:tr w:rsidR="00336793" w:rsidRPr="00A10A3B" w:rsidTr="00545B6B">
        <w:trPr>
          <w:tblHeader/>
        </w:trPr>
        <w:tc>
          <w:tcPr>
            <w:tcW w:w="5157" w:type="dxa"/>
            <w:tcBorders>
              <w:top w:val="single" w:sz="6" w:space="0" w:color="000000"/>
              <w:left w:val="single" w:sz="6" w:space="0" w:color="000000"/>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2285" w:type="dxa"/>
            <w:gridSpan w:val="3"/>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State of Victoria</w:t>
            </w:r>
          </w:p>
        </w:tc>
        <w:tc>
          <w:tcPr>
            <w:tcW w:w="153" w:type="dxa"/>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Centred"/>
              <w:rPr>
                <w:rFonts w:eastAsiaTheme="minorEastAsia" w:cs="Calibri"/>
                <w:iCs/>
                <w:szCs w:val="22"/>
                <w:lang w:eastAsia="en-AU"/>
              </w:rPr>
            </w:pPr>
            <w:r w:rsidRPr="00A10A3B">
              <w:rPr>
                <w:rFonts w:eastAsiaTheme="minorEastAsia" w:cs="Calibri"/>
                <w:iCs/>
                <w:szCs w:val="22"/>
                <w:lang w:eastAsia="en-AU"/>
              </w:rPr>
              <w:t xml:space="preserve"> </w:t>
            </w:r>
          </w:p>
        </w:tc>
        <w:tc>
          <w:tcPr>
            <w:tcW w:w="1872" w:type="dxa"/>
            <w:gridSpan w:val="2"/>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General government sector</w:t>
            </w:r>
          </w:p>
        </w:tc>
        <w:tc>
          <w:tcPr>
            <w:tcW w:w="170" w:type="dxa"/>
            <w:tcBorders>
              <w:top w:val="single" w:sz="6" w:space="0" w:color="000000"/>
              <w:left w:val="nil"/>
              <w:bottom w:val="nil"/>
              <w:right w:val="single" w:sz="6" w:space="0" w:color="000000"/>
            </w:tcBorders>
            <w:shd w:val="clear" w:color="000000" w:fill="000000"/>
            <w:vAlign w:val="bottom"/>
          </w:tcPr>
          <w:p w:rsidR="00336793" w:rsidRPr="00A10A3B" w:rsidRDefault="00336793" w:rsidP="00DF0B96">
            <w:pPr>
              <w:pStyle w:val="TabletextheadingCentred"/>
              <w:rPr>
                <w:rFonts w:eastAsiaTheme="minorEastAsia" w:cs="Calibri"/>
                <w:iCs/>
                <w:szCs w:val="22"/>
                <w:lang w:eastAsia="en-AU"/>
              </w:rPr>
            </w:pPr>
            <w:r w:rsidRPr="00A10A3B">
              <w:rPr>
                <w:rFonts w:eastAsiaTheme="minorEastAsia"/>
                <w:lang w:eastAsia="en-AU"/>
              </w:rPr>
              <w:t xml:space="preserve"> </w:t>
            </w:r>
          </w:p>
        </w:tc>
      </w:tr>
      <w:tr w:rsidR="00336793" w:rsidRPr="00A10A3B" w:rsidTr="00DF0B96">
        <w:trPr>
          <w:tblHeader/>
        </w:trPr>
        <w:tc>
          <w:tcPr>
            <w:tcW w:w="5157" w:type="dxa"/>
            <w:tcBorders>
              <w:left w:val="single" w:sz="6" w:space="0" w:color="000000"/>
              <w:bottom w:val="single" w:sz="6" w:space="0" w:color="000000"/>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120" w:type="dxa"/>
            <w:tcBorders>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c>
          <w:tcPr>
            <w:tcW w:w="1120" w:type="dxa"/>
            <w:gridSpan w:val="3"/>
            <w:tcBorders>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gridSpan w:val="2"/>
            <w:tcBorders>
              <w:left w:val="nil"/>
              <w:bottom w:val="single" w:sz="6" w:space="0" w:color="000000"/>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157" w:type="dxa"/>
            <w:tcBorders>
              <w:top w:val="single" w:sz="6" w:space="0" w:color="000000"/>
              <w:left w:val="nil"/>
              <w:bottom w:val="nil"/>
              <w:right w:val="nil"/>
            </w:tcBorders>
            <w:shd w:val="solid" w:color="FFFFFF" w:fill="auto"/>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Land, buildings, infrastructure, plant and equipment revaluation surplus</w:t>
            </w:r>
          </w:p>
        </w:tc>
        <w:tc>
          <w:tcPr>
            <w:tcW w:w="1120" w:type="dxa"/>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77 429.5</w:t>
            </w:r>
          </w:p>
        </w:tc>
        <w:tc>
          <w:tcPr>
            <w:tcW w:w="1120" w:type="dxa"/>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85 436.7</w:t>
            </w:r>
          </w:p>
        </w:tc>
        <w:tc>
          <w:tcPr>
            <w:tcW w:w="1120" w:type="dxa"/>
            <w:gridSpan w:val="3"/>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43 354.8</w:t>
            </w:r>
          </w:p>
        </w:tc>
        <w:tc>
          <w:tcPr>
            <w:tcW w:w="1120" w:type="dxa"/>
            <w:gridSpan w:val="2"/>
            <w:tcBorders>
              <w:top w:val="single" w:sz="6" w:space="0" w:color="000000"/>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41 965.2</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Available</w:t>
            </w:r>
            <w:r>
              <w:rPr>
                <w:rFonts w:eastAsiaTheme="minorEastAsia"/>
                <w:lang w:eastAsia="en-AU"/>
              </w:rPr>
              <w:noBreakHyphen/>
            </w:r>
            <w:r w:rsidRPr="00A10A3B">
              <w:rPr>
                <w:rFonts w:eastAsiaTheme="minorEastAsia"/>
                <w:lang w:eastAsia="en-AU"/>
              </w:rPr>
              <w:t>for</w:t>
            </w:r>
            <w:r>
              <w:rPr>
                <w:rFonts w:eastAsiaTheme="minorEastAsia"/>
                <w:lang w:eastAsia="en-AU"/>
              </w:rPr>
              <w:noBreakHyphen/>
            </w:r>
            <w:r w:rsidRPr="00A10A3B">
              <w:rPr>
                <w:rFonts w:eastAsiaTheme="minorEastAsia"/>
                <w:lang w:eastAsia="en-AU"/>
              </w:rPr>
              <w:t>sale investments revaluation surplus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60.2</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91.1</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43.2</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58.3</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Revaluation surplus for investments in PFC and PNFC entities</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3"/>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46 413.0</w:t>
            </w:r>
          </w:p>
        </w:tc>
        <w:tc>
          <w:tcPr>
            <w:tcW w:w="1120" w:type="dxa"/>
            <w:gridSpan w:val="2"/>
            <w:tcBorders>
              <w:top w:val="nil"/>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42 187.3</w:t>
            </w:r>
          </w:p>
        </w:tc>
      </w:tr>
      <w:tr w:rsidR="00336793" w:rsidRPr="00A10A3B" w:rsidTr="00DF0B96">
        <w:tc>
          <w:tcPr>
            <w:tcW w:w="5157" w:type="dxa"/>
            <w:tcBorders>
              <w:top w:val="nil"/>
              <w:left w:val="nil"/>
              <w:bottom w:val="single" w:sz="6" w:space="0" w:color="000000"/>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Other reserves</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1 140.7</w:t>
            </w:r>
          </w:p>
        </w:tc>
        <w:tc>
          <w:tcPr>
            <w:tcW w:w="1120" w:type="dxa"/>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1 069.4</w:t>
            </w:r>
          </w:p>
        </w:tc>
        <w:tc>
          <w:tcPr>
            <w:tcW w:w="1120" w:type="dxa"/>
            <w:gridSpan w:val="3"/>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685.0</w:t>
            </w:r>
          </w:p>
        </w:tc>
        <w:tc>
          <w:tcPr>
            <w:tcW w:w="1120" w:type="dxa"/>
            <w:gridSpan w:val="2"/>
            <w:tcBorders>
              <w:top w:val="nil"/>
              <w:left w:val="nil"/>
              <w:bottom w:val="single" w:sz="6" w:space="0" w:color="000000"/>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582.0</w:t>
            </w:r>
          </w:p>
        </w:tc>
      </w:tr>
      <w:tr w:rsidR="00336793" w:rsidRPr="00A10A3B" w:rsidTr="00DF0B96">
        <w:tc>
          <w:tcPr>
            <w:tcW w:w="5157"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vertAlign w:val="superscript"/>
                <w:lang w:eastAsia="en-AU"/>
              </w:rPr>
            </w:pPr>
            <w:r w:rsidRPr="00A10A3B">
              <w:rPr>
                <w:rFonts w:eastAsiaTheme="minorEastAsia"/>
                <w:b/>
                <w:bCs/>
                <w:lang w:eastAsia="en-AU"/>
              </w:rPr>
              <w:t>Total reserves</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78 630.4</w:t>
            </w:r>
          </w:p>
        </w:tc>
        <w:tc>
          <w:tcPr>
            <w:tcW w:w="1120" w:type="dxa"/>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86 597.3</w:t>
            </w:r>
          </w:p>
        </w:tc>
        <w:tc>
          <w:tcPr>
            <w:tcW w:w="1120" w:type="dxa"/>
            <w:gridSpan w:val="3"/>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90 496.0</w:t>
            </w:r>
          </w:p>
        </w:tc>
        <w:tc>
          <w:tcPr>
            <w:tcW w:w="1120" w:type="dxa"/>
            <w:gridSpan w:val="2"/>
            <w:tcBorders>
              <w:top w:val="single" w:sz="6" w:space="0" w:color="000000"/>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84 792.8</w:t>
            </w:r>
          </w:p>
        </w:tc>
      </w:tr>
    </w:tbl>
    <w:p w:rsidR="00336793" w:rsidRPr="006A75A2" w:rsidRDefault="00336793" w:rsidP="00DF0B96">
      <w:pPr>
        <w:pStyle w:val="Notes"/>
      </w:pPr>
      <w:r w:rsidRPr="006A75A2">
        <w:t>Note:</w:t>
      </w:r>
    </w:p>
    <w:p w:rsidR="00336793" w:rsidRDefault="00336793" w:rsidP="00DF0B96">
      <w:pPr>
        <w:pStyle w:val="Notes"/>
      </w:pPr>
      <w:r>
        <w:t>(a)</w:t>
      </w:r>
      <w:r>
        <w:tab/>
        <w:t xml:space="preserve">June 2014 </w:t>
      </w:r>
      <w:r w:rsidRPr="00D41A2A">
        <w:t>comparative figures have been restated. See Note 37.</w:t>
      </w:r>
    </w:p>
    <w:p w:rsidR="00336793" w:rsidRPr="006A75A2" w:rsidRDefault="00336793" w:rsidP="00DF0B96">
      <w:pPr>
        <w:pStyle w:val="Notes"/>
      </w:pPr>
    </w:p>
    <w:p w:rsidR="00336793" w:rsidRDefault="00336793" w:rsidP="00DF0B96">
      <w:pPr>
        <w:pStyle w:val="Notes"/>
      </w:pPr>
    </w:p>
    <w:p w:rsidR="00336793" w:rsidRPr="006A75A2" w:rsidRDefault="00336793" w:rsidP="00DF0B96">
      <w:pPr>
        <w:pStyle w:val="Notes"/>
      </w:pPr>
    </w:p>
    <w:p w:rsidR="00336793" w:rsidRPr="006A75A2" w:rsidRDefault="00336793" w:rsidP="00DF0B96">
      <w:pPr>
        <w:pStyle w:val="Heading5"/>
      </w:pPr>
      <w:r w:rsidRPr="006A75A2">
        <w:t>Movements in reserves</w:t>
      </w:r>
    </w:p>
    <w:p w:rsidR="00336793" w:rsidRPr="006A75A2" w:rsidRDefault="00336793" w:rsidP="00DF0B96">
      <w:pPr>
        <w:pStyle w:val="Heading5a"/>
      </w:pPr>
      <w:r>
        <w:t xml:space="preserve">Land, buildings, infrastructure, plant and </w:t>
      </w:r>
      <w:r w:rsidRPr="006A75A2">
        <w:t>equipment revaluation surplus</w:t>
      </w:r>
    </w:p>
    <w:p w:rsidR="00336793" w:rsidRPr="00A10A3B"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26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p>
          <w:p w:rsidR="00336793" w:rsidRPr="00A10A3B" w:rsidRDefault="00336793" w:rsidP="00DF0B96">
            <w:pPr>
              <w:pStyle w:val="TabletextheadingCentred"/>
              <w:rPr>
                <w:rFonts w:eastAsiaTheme="minorEastAsia"/>
                <w:lang w:eastAsia="en-AU"/>
              </w:rPr>
            </w:pPr>
            <w:r w:rsidRPr="00A10A3B">
              <w:rPr>
                <w:rFonts w:eastAsiaTheme="minorEastAsia"/>
                <w:lang w:eastAsia="en-AU"/>
              </w:rPr>
              <w:t>State of Victoria</w:t>
            </w:r>
          </w:p>
        </w:tc>
        <w:tc>
          <w:tcPr>
            <w:tcW w:w="27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General </w:t>
            </w:r>
          </w:p>
          <w:p w:rsidR="00336793" w:rsidRPr="00A10A3B" w:rsidRDefault="00336793" w:rsidP="00DF0B96">
            <w:pPr>
              <w:pStyle w:val="TabletextheadingCentred"/>
              <w:rPr>
                <w:rFonts w:eastAsiaTheme="minorEastAsia"/>
                <w:lang w:eastAsia="en-AU"/>
              </w:rPr>
            </w:pPr>
            <w:r w:rsidRPr="00A10A3B">
              <w:rPr>
                <w:rFonts w:eastAsiaTheme="minorEastAsia"/>
                <w:lang w:eastAsia="en-AU"/>
              </w:rPr>
              <w:t>government sector</w:t>
            </w:r>
          </w:p>
        </w:tc>
      </w:tr>
      <w:tr w:rsidR="00336793" w:rsidRPr="00A10A3B"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vertAlign w:val="superscript"/>
                <w:lang w:eastAsia="en-AU"/>
              </w:rPr>
            </w:pPr>
            <w:r w:rsidRPr="00A10A3B">
              <w:rPr>
                <w:rFonts w:eastAsiaTheme="minorEastAsia"/>
                <w:iCs/>
                <w:color w:val="FFFFFF"/>
                <w:lang w:eastAsia="en-AU"/>
              </w:rPr>
              <w:t>2014</w:t>
            </w:r>
            <w:r w:rsidRPr="00A10A3B">
              <w:rPr>
                <w:rFonts w:eastAsiaTheme="minorEastAsia"/>
                <w:iCs/>
                <w:color w:val="FFFFFF"/>
                <w:vertAlign w:val="superscript"/>
                <w:lang w:eastAsia="en-AU"/>
              </w:rPr>
              <w:t>(a)</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vertAlign w:val="superscript"/>
                <w:lang w:eastAsia="en-AU"/>
              </w:rPr>
            </w:pPr>
            <w:r w:rsidRPr="00A10A3B">
              <w:rPr>
                <w:rFonts w:eastAsiaTheme="minorEastAsia"/>
                <w:iCs/>
                <w:color w:val="FFFFFF"/>
                <w:lang w:eastAsia="en-AU"/>
              </w:rPr>
              <w:t>2014</w:t>
            </w:r>
            <w:r w:rsidRPr="00A10A3B">
              <w:rPr>
                <w:rFonts w:eastAsiaTheme="minorEastAsia"/>
                <w:iCs/>
                <w:color w:val="FFFFFF"/>
                <w:vertAlign w:val="superscript"/>
                <w:lang w:eastAsia="en-AU"/>
              </w:rPr>
              <w:t>(a)</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Balance at beginning of reporting period </w:t>
            </w:r>
          </w:p>
        </w:tc>
        <w:tc>
          <w:tcPr>
            <w:tcW w:w="1120"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85 43</w:t>
            </w:r>
            <w:r>
              <w:rPr>
                <w:rFonts w:ascii="Calibri" w:eastAsiaTheme="minorEastAsia" w:hAnsi="Calibri" w:cs="Calibri"/>
                <w:sz w:val="22"/>
                <w:szCs w:val="22"/>
                <w:lang w:eastAsia="en-AU"/>
              </w:rPr>
              <w:t>6</w:t>
            </w:r>
            <w:r w:rsidRPr="00A10A3B">
              <w:rPr>
                <w:rFonts w:ascii="Calibri" w:eastAsiaTheme="minorEastAsia" w:hAnsi="Calibri" w:cs="Calibri"/>
                <w:sz w:val="22"/>
                <w:szCs w:val="22"/>
                <w:lang w:eastAsia="en-AU"/>
              </w:rPr>
              <w:t>.</w:t>
            </w:r>
            <w:r>
              <w:rPr>
                <w:rFonts w:ascii="Calibri" w:eastAsiaTheme="minorEastAsia" w:hAnsi="Calibri" w:cs="Calibri"/>
                <w:sz w:val="22"/>
                <w:szCs w:val="22"/>
                <w:lang w:eastAsia="en-AU"/>
              </w:rPr>
              <w:t>7</w:t>
            </w:r>
          </w:p>
        </w:tc>
        <w:tc>
          <w:tcPr>
            <w:tcW w:w="112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80 775.7</w:t>
            </w:r>
          </w:p>
        </w:tc>
        <w:tc>
          <w:tcPr>
            <w:tcW w:w="1120"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41 965.2</w:t>
            </w:r>
          </w:p>
        </w:tc>
        <w:tc>
          <w:tcPr>
            <w:tcW w:w="112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40 286.9</w:t>
            </w:r>
          </w:p>
        </w:tc>
      </w:tr>
      <w:tr w:rsidR="00336793" w:rsidRPr="00A10A3B" w:rsidTr="00DF0B96">
        <w:tc>
          <w:tcPr>
            <w:tcW w:w="5157"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Revaluation – associate</w:t>
            </w:r>
          </w:p>
        </w:tc>
        <w:tc>
          <w:tcPr>
            <w:tcW w:w="1120"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10A3B">
              <w:rPr>
                <w:rFonts w:ascii="Calibri" w:eastAsiaTheme="minorEastAsia" w:hAnsi="Calibri" w:cs="Calibri"/>
                <w:sz w:val="22"/>
                <w:szCs w:val="22"/>
                <w:lang w:eastAsia="en-AU"/>
              </w:rPr>
              <w:t>236.3</w:t>
            </w:r>
            <w:r w:rsidRPr="00A10A3B">
              <w:rPr>
                <w:rFonts w:ascii="Calibri" w:eastAsiaTheme="minorEastAsia" w:hAnsi="Calibri" w:cs="Calibri"/>
                <w:color w:val="000000"/>
                <w:sz w:val="22"/>
                <w:szCs w:val="22"/>
                <w:lang w:eastAsia="en-AU"/>
              </w:rPr>
              <w:t>)</w:t>
            </w:r>
          </w:p>
        </w:tc>
        <w:tc>
          <w:tcPr>
            <w:tcW w:w="112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10A3B">
              <w:rPr>
                <w:rFonts w:ascii="Calibri" w:eastAsiaTheme="minorEastAsia" w:hAnsi="Calibri" w:cs="Calibri"/>
                <w:color w:val="000000"/>
                <w:sz w:val="22"/>
                <w:szCs w:val="22"/>
                <w:lang w:eastAsia="en-AU"/>
              </w:rPr>
              <w:t>174.8)</w:t>
            </w:r>
          </w:p>
        </w:tc>
        <w:tc>
          <w:tcPr>
            <w:tcW w:w="1120"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r>
      <w:tr w:rsidR="00336793" w:rsidRPr="00A10A3B" w:rsidTr="00DF0B96">
        <w:tc>
          <w:tcPr>
            <w:tcW w:w="5157"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Revaluation – other </w:t>
            </w:r>
          </w:p>
        </w:tc>
        <w:tc>
          <w:tcPr>
            <w:tcW w:w="1120"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7 640.6</w:t>
            </w:r>
          </w:p>
        </w:tc>
        <w:tc>
          <w:tcPr>
            <w:tcW w:w="112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5 120.7</w:t>
            </w:r>
          </w:p>
        </w:tc>
        <w:tc>
          <w:tcPr>
            <w:tcW w:w="1120"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2 524.4</w:t>
            </w:r>
          </w:p>
        </w:tc>
        <w:tc>
          <w:tcPr>
            <w:tcW w:w="112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1 963.2</w:t>
            </w:r>
          </w:p>
        </w:tc>
      </w:tr>
      <w:tr w:rsidR="00336793" w:rsidRPr="00A10A3B" w:rsidTr="00DF0B96">
        <w:tc>
          <w:tcPr>
            <w:tcW w:w="5157" w:type="dxa"/>
            <w:tcBorders>
              <w:top w:val="nil"/>
              <w:left w:val="nil"/>
              <w:bottom w:val="single" w:sz="6" w:space="0" w:color="auto"/>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Transfers to accumulated surplus</w:t>
            </w:r>
          </w:p>
        </w:tc>
        <w:tc>
          <w:tcPr>
            <w:tcW w:w="1120" w:type="dxa"/>
            <w:gridSpan w:val="2"/>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A10A3B">
              <w:rPr>
                <w:rFonts w:ascii="Calibri" w:eastAsiaTheme="minorEastAsia" w:hAnsi="Calibri" w:cs="Calibri"/>
                <w:sz w:val="22"/>
                <w:szCs w:val="22"/>
                <w:lang w:eastAsia="en-AU"/>
              </w:rPr>
              <w:t xml:space="preserve">(15 </w:t>
            </w:r>
            <w:r w:rsidRPr="00A10A3B">
              <w:rPr>
                <w:rFonts w:ascii="Calibri" w:eastAsiaTheme="minorEastAsia" w:hAnsi="Calibri" w:cs="Calibri"/>
                <w:color w:val="000000"/>
                <w:sz w:val="22"/>
                <w:szCs w:val="22"/>
                <w:lang w:eastAsia="en-AU"/>
              </w:rPr>
              <w:t>411.6)</w:t>
            </w:r>
          </w:p>
        </w:tc>
        <w:tc>
          <w:tcPr>
            <w:tcW w:w="112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10A3B">
              <w:rPr>
                <w:rFonts w:ascii="Calibri" w:eastAsiaTheme="minorEastAsia" w:hAnsi="Calibri" w:cs="Calibri"/>
                <w:color w:val="000000"/>
                <w:sz w:val="22"/>
                <w:szCs w:val="22"/>
                <w:lang w:eastAsia="en-AU"/>
              </w:rPr>
              <w:t>284.8)</w:t>
            </w:r>
          </w:p>
        </w:tc>
        <w:tc>
          <w:tcPr>
            <w:tcW w:w="1120" w:type="dxa"/>
            <w:gridSpan w:val="2"/>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A10A3B">
              <w:rPr>
                <w:rFonts w:ascii="Calibri" w:eastAsiaTheme="minorEastAsia" w:hAnsi="Calibri" w:cs="Calibri"/>
                <w:sz w:val="22"/>
                <w:szCs w:val="22"/>
                <w:lang w:eastAsia="en-AU"/>
              </w:rPr>
              <w:t>(1</w:t>
            </w:r>
            <w:r w:rsidRPr="00A10A3B">
              <w:rPr>
                <w:rFonts w:ascii="Calibri" w:eastAsiaTheme="minorEastAsia" w:hAnsi="Calibri" w:cs="Calibri"/>
                <w:color w:val="000000"/>
                <w:sz w:val="22"/>
                <w:szCs w:val="22"/>
                <w:lang w:eastAsia="en-AU"/>
              </w:rPr>
              <w:t xml:space="preserve"> 134.7)</w:t>
            </w:r>
          </w:p>
        </w:tc>
        <w:tc>
          <w:tcPr>
            <w:tcW w:w="112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10A3B">
              <w:rPr>
                <w:rFonts w:ascii="Calibri" w:eastAsiaTheme="minorEastAsia" w:hAnsi="Calibri" w:cs="Calibri"/>
                <w:color w:val="000000"/>
                <w:sz w:val="22"/>
                <w:szCs w:val="22"/>
                <w:lang w:eastAsia="en-AU"/>
              </w:rPr>
              <w:t>284.8)</w:t>
            </w:r>
          </w:p>
        </w:tc>
      </w:tr>
      <w:tr w:rsidR="00336793" w:rsidRPr="00A10A3B" w:rsidTr="00DF0B96">
        <w:tc>
          <w:tcPr>
            <w:tcW w:w="5157"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Balance at the end of the reporting period</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77 429.5</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85 436.7</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43 354.8</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41 965.2</w:t>
            </w:r>
          </w:p>
        </w:tc>
      </w:tr>
    </w:tbl>
    <w:p w:rsidR="00336793" w:rsidRPr="006A75A2" w:rsidRDefault="00336793" w:rsidP="00DF0B96">
      <w:pPr>
        <w:pStyle w:val="Notes"/>
      </w:pPr>
      <w:r w:rsidRPr="006A75A2">
        <w:t>Note:</w:t>
      </w:r>
    </w:p>
    <w:p w:rsidR="00336793" w:rsidRDefault="00336793" w:rsidP="00DF0B96">
      <w:pPr>
        <w:pStyle w:val="Notes"/>
      </w:pPr>
      <w:r w:rsidRPr="006A75A2">
        <w:t>(a)</w:t>
      </w:r>
      <w:r w:rsidRPr="006A75A2">
        <w:tab/>
      </w:r>
      <w:r>
        <w:t>June 2014</w:t>
      </w:r>
      <w:r w:rsidRPr="006A75A2">
        <w:t xml:space="preserve"> comparative figures have been restated. See Note 37.</w:t>
      </w:r>
    </w:p>
    <w:p w:rsidR="00336793" w:rsidRDefault="00336793" w:rsidP="00DF0B96">
      <w:pPr>
        <w:pStyle w:val="Source"/>
      </w:pPr>
    </w:p>
    <w:p w:rsidR="00336793" w:rsidRDefault="00336793">
      <w:pPr>
        <w:spacing w:after="0"/>
        <w:rPr>
          <w:rFonts w:ascii="Calibri" w:hAnsi="Calibri"/>
          <w:i/>
          <w:sz w:val="23"/>
        </w:rPr>
      </w:pPr>
      <w:r>
        <w:br w:type="page"/>
      </w:r>
    </w:p>
    <w:p w:rsidR="00336793" w:rsidRPr="0027602F" w:rsidRDefault="00336793" w:rsidP="00DF0B96">
      <w:pPr>
        <w:pStyle w:val="Heading2NotesContd"/>
      </w:pPr>
      <w:r w:rsidRPr="006A75A2">
        <w:lastRenderedPageBreak/>
        <w:t>Note 29:</w:t>
      </w:r>
      <w:r w:rsidRPr="006A75A2">
        <w:tab/>
        <w:t>Reserves, accumulated surplus/(deficit) and non</w:t>
      </w:r>
      <w:r>
        <w:noBreakHyphen/>
      </w:r>
      <w:r w:rsidRPr="006A75A2">
        <w:t>controlling interests</w:t>
      </w:r>
      <w:r>
        <w:t xml:space="preserve"> </w:t>
      </w:r>
      <w:r w:rsidRPr="008F14C0">
        <w:rPr>
          <w:i/>
        </w:rPr>
        <w:t>(continued)</w:t>
      </w:r>
    </w:p>
    <w:p w:rsidR="00336793" w:rsidRPr="006A75A2" w:rsidRDefault="00336793" w:rsidP="00DF0B96">
      <w:pPr>
        <w:pStyle w:val="Heading5a"/>
      </w:pPr>
      <w:r w:rsidRPr="006A75A2">
        <w:t xml:space="preserve">Available for sale </w:t>
      </w:r>
      <w:r w:rsidRPr="005A7A46">
        <w:t>investments</w:t>
      </w:r>
      <w:r w:rsidRPr="006A75A2">
        <w:t xml:space="preserve"> revaluation surplus</w:t>
      </w:r>
    </w:p>
    <w:p w:rsidR="00336793" w:rsidRPr="00A10A3B" w:rsidRDefault="00336793" w:rsidP="00DF0B96">
      <w:pPr>
        <w:pStyle w:val="million"/>
        <w:rPr>
          <w:rFonts w:ascii="Times New Roman" w:hAnsi="Times New Roman"/>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26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p>
          <w:p w:rsidR="00336793" w:rsidRPr="00A10A3B" w:rsidRDefault="00336793" w:rsidP="00DF0B96">
            <w:pPr>
              <w:pStyle w:val="TabletextheadingCentred"/>
              <w:rPr>
                <w:rFonts w:eastAsiaTheme="minorEastAsia"/>
                <w:lang w:eastAsia="en-AU"/>
              </w:rPr>
            </w:pPr>
            <w:r w:rsidRPr="00A10A3B">
              <w:rPr>
                <w:rFonts w:eastAsiaTheme="minorEastAsia"/>
                <w:lang w:eastAsia="en-AU"/>
              </w:rPr>
              <w:t>State of Victoria</w:t>
            </w:r>
          </w:p>
        </w:tc>
        <w:tc>
          <w:tcPr>
            <w:tcW w:w="27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General </w:t>
            </w:r>
          </w:p>
          <w:p w:rsidR="00336793" w:rsidRPr="00A10A3B" w:rsidRDefault="00336793" w:rsidP="00DF0B96">
            <w:pPr>
              <w:pStyle w:val="TabletextheadingCentred"/>
              <w:rPr>
                <w:rFonts w:eastAsiaTheme="minorEastAsia"/>
                <w:lang w:eastAsia="en-AU"/>
              </w:rPr>
            </w:pPr>
            <w:r w:rsidRPr="00A10A3B">
              <w:rPr>
                <w:rFonts w:eastAsiaTheme="minorEastAsia"/>
                <w:lang w:eastAsia="en-AU"/>
              </w:rPr>
              <w:t>government sector</w:t>
            </w:r>
          </w:p>
        </w:tc>
      </w:tr>
      <w:tr w:rsidR="00336793" w:rsidRPr="00A10A3B"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vertAlign w:val="superscript"/>
                <w:lang w:eastAsia="en-AU"/>
              </w:rPr>
            </w:pPr>
            <w:r w:rsidRPr="00A10A3B">
              <w:rPr>
                <w:rFonts w:eastAsiaTheme="minorEastAsia"/>
                <w:iCs/>
                <w:color w:val="FFFFFF"/>
                <w:lang w:eastAsia="en-AU"/>
              </w:rPr>
              <w:t>2014</w:t>
            </w:r>
            <w:r w:rsidRPr="00A10A3B">
              <w:rPr>
                <w:rFonts w:eastAsiaTheme="minorEastAsia"/>
                <w:iCs/>
                <w:color w:val="FFFFFF"/>
                <w:vertAlign w:val="superscript"/>
                <w:lang w:eastAsia="en-AU"/>
              </w:rPr>
              <w:t>(a)</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vertAlign w:val="superscript"/>
                <w:lang w:eastAsia="en-AU"/>
              </w:rPr>
            </w:pPr>
            <w:r w:rsidRPr="00A10A3B">
              <w:rPr>
                <w:rFonts w:eastAsiaTheme="minorEastAsia"/>
                <w:iCs/>
                <w:color w:val="FFFFFF"/>
                <w:lang w:eastAsia="en-AU"/>
              </w:rPr>
              <w:t>2014</w:t>
            </w:r>
            <w:r w:rsidRPr="00A10A3B">
              <w:rPr>
                <w:rFonts w:eastAsiaTheme="minorEastAsia"/>
                <w:iCs/>
                <w:color w:val="FFFFFF"/>
                <w:vertAlign w:val="superscript"/>
                <w:lang w:eastAsia="en-AU"/>
              </w:rPr>
              <w:t>(a)</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Balance at beginning of reporting period</w:t>
            </w:r>
          </w:p>
        </w:tc>
        <w:tc>
          <w:tcPr>
            <w:tcW w:w="1120"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91.1</w:t>
            </w:r>
          </w:p>
        </w:tc>
        <w:tc>
          <w:tcPr>
            <w:tcW w:w="112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66.1</w:t>
            </w:r>
          </w:p>
        </w:tc>
        <w:tc>
          <w:tcPr>
            <w:tcW w:w="1120"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58.3</w:t>
            </w:r>
          </w:p>
        </w:tc>
        <w:tc>
          <w:tcPr>
            <w:tcW w:w="112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51.6</w:t>
            </w:r>
          </w:p>
        </w:tc>
      </w:tr>
      <w:tr w:rsidR="00336793" w:rsidRPr="00A10A3B" w:rsidTr="00DF0B96">
        <w:tc>
          <w:tcPr>
            <w:tcW w:w="5157"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Revaluation</w:t>
            </w:r>
          </w:p>
        </w:tc>
        <w:tc>
          <w:tcPr>
            <w:tcW w:w="1120"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10A3B">
              <w:rPr>
                <w:rFonts w:ascii="Calibri" w:eastAsiaTheme="minorEastAsia" w:hAnsi="Calibri" w:cs="Calibri"/>
                <w:sz w:val="22"/>
                <w:szCs w:val="22"/>
                <w:lang w:eastAsia="en-AU"/>
              </w:rPr>
              <w:t>30.3</w:t>
            </w:r>
            <w:r w:rsidRPr="00A10A3B">
              <w:rPr>
                <w:rFonts w:ascii="Calibri" w:eastAsiaTheme="minorEastAsia" w:hAnsi="Calibri" w:cs="Calibri"/>
                <w:color w:val="000000"/>
                <w:sz w:val="22"/>
                <w:szCs w:val="22"/>
                <w:lang w:eastAsia="en-AU"/>
              </w:rPr>
              <w:t>)</w:t>
            </w:r>
          </w:p>
        </w:tc>
        <w:tc>
          <w:tcPr>
            <w:tcW w:w="112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26.3</w:t>
            </w:r>
          </w:p>
        </w:tc>
        <w:tc>
          <w:tcPr>
            <w:tcW w:w="1120"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10A3B">
              <w:rPr>
                <w:rFonts w:ascii="Calibri" w:eastAsiaTheme="minorEastAsia" w:hAnsi="Calibri" w:cs="Calibri"/>
                <w:sz w:val="22"/>
                <w:szCs w:val="22"/>
                <w:lang w:eastAsia="en-AU"/>
              </w:rPr>
              <w:t>14.4</w:t>
            </w:r>
            <w:r w:rsidRPr="00A10A3B">
              <w:rPr>
                <w:rFonts w:ascii="Calibri" w:eastAsiaTheme="minorEastAsia" w:hAnsi="Calibri" w:cs="Calibri"/>
                <w:color w:val="000000"/>
                <w:sz w:val="22"/>
                <w:szCs w:val="22"/>
                <w:lang w:eastAsia="en-AU"/>
              </w:rPr>
              <w:t>)</w:t>
            </w:r>
          </w:p>
        </w:tc>
        <w:tc>
          <w:tcPr>
            <w:tcW w:w="112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7.9</w:t>
            </w:r>
          </w:p>
        </w:tc>
      </w:tr>
      <w:tr w:rsidR="00336793" w:rsidRPr="00A10A3B" w:rsidTr="00DF0B96">
        <w:tc>
          <w:tcPr>
            <w:tcW w:w="5157" w:type="dxa"/>
            <w:tcBorders>
              <w:top w:val="nil"/>
              <w:left w:val="nil"/>
              <w:bottom w:val="single" w:sz="6" w:space="0" w:color="auto"/>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Transferred to profit or loss for the period</w:t>
            </w:r>
          </w:p>
        </w:tc>
        <w:tc>
          <w:tcPr>
            <w:tcW w:w="1120" w:type="dxa"/>
            <w:gridSpan w:val="2"/>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10A3B">
              <w:rPr>
                <w:rFonts w:ascii="Calibri" w:eastAsiaTheme="minorEastAsia" w:hAnsi="Calibri" w:cs="Calibri"/>
                <w:sz w:val="22"/>
                <w:szCs w:val="22"/>
                <w:lang w:eastAsia="en-AU"/>
              </w:rPr>
              <w:t>0.7</w:t>
            </w:r>
            <w:r w:rsidRPr="00A10A3B">
              <w:rPr>
                <w:rFonts w:ascii="Calibri" w:eastAsiaTheme="minorEastAsia" w:hAnsi="Calibri" w:cs="Calibri"/>
                <w:color w:val="000000"/>
                <w:sz w:val="22"/>
                <w:szCs w:val="22"/>
                <w:lang w:eastAsia="en-AU"/>
              </w:rPr>
              <w:t>)</w:t>
            </w:r>
          </w:p>
        </w:tc>
        <w:tc>
          <w:tcPr>
            <w:tcW w:w="112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10A3B">
              <w:rPr>
                <w:rFonts w:ascii="Calibri" w:eastAsiaTheme="minorEastAsia" w:hAnsi="Calibri" w:cs="Calibri"/>
                <w:sz w:val="22"/>
                <w:szCs w:val="22"/>
                <w:lang w:eastAsia="en-AU"/>
              </w:rPr>
              <w:t>1.3</w:t>
            </w:r>
            <w:r w:rsidRPr="00A10A3B">
              <w:rPr>
                <w:rFonts w:ascii="Calibri" w:eastAsiaTheme="minorEastAsia" w:hAnsi="Calibri" w:cs="Calibri"/>
                <w:color w:val="000000"/>
                <w:sz w:val="22"/>
                <w:szCs w:val="22"/>
                <w:lang w:eastAsia="en-AU"/>
              </w:rPr>
              <w:t>)</w:t>
            </w:r>
          </w:p>
        </w:tc>
        <w:tc>
          <w:tcPr>
            <w:tcW w:w="1120" w:type="dxa"/>
            <w:gridSpan w:val="2"/>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10A3B">
              <w:rPr>
                <w:rFonts w:ascii="Calibri" w:eastAsiaTheme="minorEastAsia" w:hAnsi="Calibri" w:cs="Calibri"/>
                <w:sz w:val="22"/>
                <w:szCs w:val="22"/>
                <w:lang w:eastAsia="en-AU"/>
              </w:rPr>
              <w:t>0.7</w:t>
            </w:r>
            <w:r w:rsidRPr="00A10A3B">
              <w:rPr>
                <w:rFonts w:ascii="Calibri" w:eastAsiaTheme="minorEastAsia" w:hAnsi="Calibri" w:cs="Calibri"/>
                <w:color w:val="000000"/>
                <w:sz w:val="22"/>
                <w:szCs w:val="22"/>
                <w:lang w:eastAsia="en-AU"/>
              </w:rPr>
              <w:t>)</w:t>
            </w:r>
          </w:p>
        </w:tc>
        <w:tc>
          <w:tcPr>
            <w:tcW w:w="112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10A3B">
              <w:rPr>
                <w:rFonts w:ascii="Calibri" w:eastAsiaTheme="minorEastAsia" w:hAnsi="Calibri" w:cs="Calibri"/>
                <w:sz w:val="22"/>
                <w:szCs w:val="22"/>
                <w:lang w:eastAsia="en-AU"/>
              </w:rPr>
              <w:t>1.2</w:t>
            </w:r>
            <w:r w:rsidRPr="00A10A3B">
              <w:rPr>
                <w:rFonts w:ascii="Calibri" w:eastAsiaTheme="minorEastAsia" w:hAnsi="Calibri" w:cs="Calibri"/>
                <w:color w:val="000000"/>
                <w:sz w:val="22"/>
                <w:szCs w:val="22"/>
                <w:lang w:eastAsia="en-AU"/>
              </w:rPr>
              <w:t>)</w:t>
            </w:r>
          </w:p>
        </w:tc>
      </w:tr>
      <w:tr w:rsidR="00336793" w:rsidRPr="00A10A3B" w:rsidTr="00DF0B96">
        <w:tc>
          <w:tcPr>
            <w:tcW w:w="5157" w:type="dxa"/>
            <w:tcBorders>
              <w:top w:val="single" w:sz="6" w:space="0" w:color="auto"/>
              <w:left w:val="nil"/>
              <w:bottom w:val="single" w:sz="12" w:space="0" w:color="000000"/>
              <w:right w:val="nil"/>
            </w:tcBorders>
          </w:tcPr>
          <w:p w:rsidR="00336793" w:rsidRPr="00A10A3B" w:rsidRDefault="00336793" w:rsidP="00DF0B96">
            <w:pPr>
              <w:autoSpaceDE w:val="0"/>
              <w:autoSpaceDN w:val="0"/>
              <w:adjustRightInd w:val="0"/>
              <w:spacing w:after="0"/>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Balance at the end of the reporting period</w:t>
            </w:r>
          </w:p>
        </w:tc>
        <w:tc>
          <w:tcPr>
            <w:tcW w:w="1120"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60.2</w:t>
            </w:r>
          </w:p>
        </w:tc>
        <w:tc>
          <w:tcPr>
            <w:tcW w:w="112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91.1</w:t>
            </w:r>
          </w:p>
        </w:tc>
        <w:tc>
          <w:tcPr>
            <w:tcW w:w="1120"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43.2</w:t>
            </w:r>
          </w:p>
        </w:tc>
        <w:tc>
          <w:tcPr>
            <w:tcW w:w="112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58.3</w:t>
            </w:r>
          </w:p>
        </w:tc>
      </w:tr>
    </w:tbl>
    <w:p w:rsidR="00336793" w:rsidRPr="006A75A2" w:rsidRDefault="00336793" w:rsidP="00DF0B96">
      <w:pPr>
        <w:pStyle w:val="Notes"/>
      </w:pPr>
      <w:r w:rsidRPr="006A75A2">
        <w:t>Note:</w:t>
      </w:r>
    </w:p>
    <w:p w:rsidR="00336793" w:rsidRDefault="00336793" w:rsidP="00DF0B96">
      <w:pPr>
        <w:pStyle w:val="Notes"/>
      </w:pPr>
      <w:r w:rsidRPr="006A75A2">
        <w:t>(a)</w:t>
      </w:r>
      <w:r w:rsidRPr="006A75A2">
        <w:tab/>
      </w:r>
      <w:r>
        <w:t>June 2014</w:t>
      </w:r>
      <w:r w:rsidRPr="006A75A2">
        <w:t xml:space="preserve"> comparative figures have been restated. See Note 37.</w:t>
      </w:r>
    </w:p>
    <w:p w:rsidR="00336793" w:rsidRDefault="00336793" w:rsidP="00DF0B96">
      <w:pPr>
        <w:pStyle w:val="Notes"/>
      </w:pPr>
    </w:p>
    <w:p w:rsidR="00336793" w:rsidRPr="00813796" w:rsidRDefault="00336793" w:rsidP="00DF0B96"/>
    <w:p w:rsidR="00336793" w:rsidRPr="006A75A2" w:rsidRDefault="00336793" w:rsidP="00DF0B96">
      <w:pPr>
        <w:pStyle w:val="Heading5a"/>
      </w:pPr>
      <w:r w:rsidRPr="006A75A2">
        <w:t>Revaluation surplus for investments in PFC and PNFC</w:t>
      </w:r>
    </w:p>
    <w:p w:rsidR="00336793" w:rsidRPr="00A10A3B"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0"/>
        <w:gridCol w:w="1010"/>
        <w:gridCol w:w="1120"/>
        <w:gridCol w:w="133"/>
        <w:gridCol w:w="987"/>
        <w:gridCol w:w="112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11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 xml:space="preserve">  </w:t>
            </w:r>
          </w:p>
        </w:tc>
        <w:tc>
          <w:tcPr>
            <w:tcW w:w="213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iCs/>
                <w:color w:val="FFFFFF"/>
                <w:lang w:eastAsia="en-AU"/>
              </w:rPr>
            </w:pPr>
          </w:p>
          <w:p w:rsidR="00336793" w:rsidRPr="00A10A3B" w:rsidRDefault="00336793" w:rsidP="00DF0B96">
            <w:pPr>
              <w:pStyle w:val="Tabletextheading"/>
              <w:jc w:val="center"/>
              <w:rPr>
                <w:rFonts w:eastAsiaTheme="minorEastAsia"/>
                <w:iCs/>
                <w:color w:val="FFFFFF"/>
                <w:lang w:eastAsia="en-AU"/>
              </w:rPr>
            </w:pPr>
            <w:r w:rsidRPr="00A10A3B">
              <w:rPr>
                <w:rFonts w:eastAsiaTheme="minorEastAsia"/>
                <w:iCs/>
                <w:color w:val="FFFFFF"/>
                <w:lang w:eastAsia="en-AU"/>
              </w:rPr>
              <w:t>State of Victoria</w:t>
            </w:r>
          </w:p>
        </w:tc>
        <w:tc>
          <w:tcPr>
            <w:tcW w:w="133"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 xml:space="preserve">  </w:t>
            </w:r>
          </w:p>
        </w:tc>
        <w:tc>
          <w:tcPr>
            <w:tcW w:w="2107"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iCs/>
                <w:color w:val="FFFFFF"/>
                <w:lang w:eastAsia="en-AU"/>
              </w:rPr>
              <w:t xml:space="preserve">General </w:t>
            </w:r>
          </w:p>
          <w:p w:rsidR="00336793" w:rsidRPr="00A10A3B" w:rsidRDefault="00336793" w:rsidP="00DF0B96">
            <w:pPr>
              <w:pStyle w:val="Tabletextheading"/>
              <w:jc w:val="center"/>
              <w:rPr>
                <w:rFonts w:eastAsiaTheme="minorEastAsia"/>
                <w:iCs/>
                <w:color w:val="FFFFFF"/>
                <w:lang w:eastAsia="en-AU"/>
              </w:rPr>
            </w:pPr>
            <w:r w:rsidRPr="00A10A3B">
              <w:rPr>
                <w:rFonts w:eastAsiaTheme="minorEastAsia"/>
                <w:iCs/>
                <w:color w:val="FFFFFF"/>
                <w:lang w:eastAsia="en-AU"/>
              </w:rPr>
              <w:t>government sector</w:t>
            </w:r>
          </w:p>
        </w:tc>
      </w:tr>
      <w:tr w:rsidR="00336793" w:rsidRPr="00A10A3B"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Balance at beginning of reporting period</w:t>
            </w:r>
          </w:p>
        </w:tc>
        <w:tc>
          <w:tcPr>
            <w:tcW w:w="1120"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112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1120"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42 187.3</w:t>
            </w:r>
          </w:p>
        </w:tc>
        <w:tc>
          <w:tcPr>
            <w:tcW w:w="112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38 373.5</w:t>
            </w:r>
          </w:p>
        </w:tc>
      </w:tr>
      <w:tr w:rsidR="00336793" w:rsidRPr="00A10A3B" w:rsidTr="00DF0B96">
        <w:tc>
          <w:tcPr>
            <w:tcW w:w="5157"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Revaluation – PFC entities</w:t>
            </w:r>
          </w:p>
        </w:tc>
        <w:tc>
          <w:tcPr>
            <w:tcW w:w="1120"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1120"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636.0</w:t>
            </w:r>
          </w:p>
        </w:tc>
        <w:tc>
          <w:tcPr>
            <w:tcW w:w="112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944.3</w:t>
            </w:r>
          </w:p>
        </w:tc>
      </w:tr>
      <w:tr w:rsidR="00336793" w:rsidRPr="00A10A3B" w:rsidTr="00DF0B96">
        <w:tc>
          <w:tcPr>
            <w:tcW w:w="5157" w:type="dxa"/>
            <w:tcBorders>
              <w:top w:val="nil"/>
              <w:left w:val="nil"/>
              <w:bottom w:val="single" w:sz="6" w:space="0" w:color="auto"/>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Revaluation – PNFC entities</w:t>
            </w:r>
          </w:p>
        </w:tc>
        <w:tc>
          <w:tcPr>
            <w:tcW w:w="1120" w:type="dxa"/>
            <w:gridSpan w:val="2"/>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1120" w:type="dxa"/>
            <w:gridSpan w:val="2"/>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3 589.6</w:t>
            </w:r>
          </w:p>
        </w:tc>
        <w:tc>
          <w:tcPr>
            <w:tcW w:w="112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2 869.6</w:t>
            </w:r>
          </w:p>
        </w:tc>
      </w:tr>
      <w:tr w:rsidR="00336793" w:rsidRPr="00A10A3B" w:rsidTr="00DF0B96">
        <w:tc>
          <w:tcPr>
            <w:tcW w:w="5157" w:type="dxa"/>
            <w:tcBorders>
              <w:top w:val="single" w:sz="6" w:space="0" w:color="auto"/>
              <w:left w:val="nil"/>
              <w:bottom w:val="single" w:sz="12" w:space="0" w:color="000000"/>
              <w:right w:val="nil"/>
            </w:tcBorders>
          </w:tcPr>
          <w:p w:rsidR="00336793" w:rsidRPr="00A10A3B" w:rsidRDefault="00336793" w:rsidP="00DF0B96">
            <w:pPr>
              <w:autoSpaceDE w:val="0"/>
              <w:autoSpaceDN w:val="0"/>
              <w:adjustRightInd w:val="0"/>
              <w:spacing w:after="0"/>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Balance at the end of the reporting period</w:t>
            </w:r>
          </w:p>
        </w:tc>
        <w:tc>
          <w:tcPr>
            <w:tcW w:w="1120"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w:t>
            </w:r>
          </w:p>
        </w:tc>
        <w:tc>
          <w:tcPr>
            <w:tcW w:w="112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w:t>
            </w:r>
          </w:p>
        </w:tc>
        <w:tc>
          <w:tcPr>
            <w:tcW w:w="1120"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46 413.0</w:t>
            </w:r>
          </w:p>
        </w:tc>
        <w:tc>
          <w:tcPr>
            <w:tcW w:w="112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42 187.3</w:t>
            </w:r>
          </w:p>
        </w:tc>
      </w:tr>
    </w:tbl>
    <w:p w:rsidR="00336793" w:rsidRDefault="00336793" w:rsidP="00DF0B96">
      <w:pPr>
        <w:pStyle w:val="Notes"/>
      </w:pPr>
    </w:p>
    <w:p w:rsidR="00336793" w:rsidRPr="004177D0" w:rsidRDefault="00336793" w:rsidP="00DF0B96"/>
    <w:p w:rsidR="00336793" w:rsidRPr="006A75A2" w:rsidRDefault="00336793" w:rsidP="00DF0B96">
      <w:pPr>
        <w:pStyle w:val="Heading5a"/>
      </w:pPr>
      <w:r w:rsidRPr="00840542">
        <w:t>Other</w:t>
      </w:r>
      <w:r w:rsidRPr="006A75A2">
        <w:t xml:space="preserve"> reserves</w:t>
      </w:r>
    </w:p>
    <w:p w:rsidR="00336793" w:rsidRPr="00A10A3B" w:rsidRDefault="00336793" w:rsidP="00DF0B96">
      <w:pPr>
        <w:pStyle w:val="million"/>
        <w:rPr>
          <w:rFonts w:ascii="Times New Roman" w:hAnsi="Times New Roman"/>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26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p>
          <w:p w:rsidR="00336793" w:rsidRPr="00A10A3B" w:rsidRDefault="00336793" w:rsidP="00DF0B96">
            <w:pPr>
              <w:pStyle w:val="TabletextheadingCentred"/>
              <w:rPr>
                <w:rFonts w:eastAsiaTheme="minorEastAsia"/>
                <w:lang w:eastAsia="en-AU"/>
              </w:rPr>
            </w:pPr>
            <w:r w:rsidRPr="00A10A3B">
              <w:rPr>
                <w:rFonts w:eastAsiaTheme="minorEastAsia"/>
                <w:lang w:eastAsia="en-AU"/>
              </w:rPr>
              <w:t>State of Victoria</w:t>
            </w:r>
          </w:p>
        </w:tc>
        <w:tc>
          <w:tcPr>
            <w:tcW w:w="27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General </w:t>
            </w:r>
          </w:p>
          <w:p w:rsidR="00336793" w:rsidRPr="00A10A3B" w:rsidRDefault="00336793" w:rsidP="00DF0B96">
            <w:pPr>
              <w:pStyle w:val="TabletextheadingCentred"/>
              <w:rPr>
                <w:rFonts w:eastAsiaTheme="minorEastAsia"/>
                <w:lang w:eastAsia="en-AU"/>
              </w:rPr>
            </w:pPr>
            <w:r w:rsidRPr="00A10A3B">
              <w:rPr>
                <w:rFonts w:eastAsiaTheme="minorEastAsia"/>
                <w:lang w:eastAsia="en-AU"/>
              </w:rPr>
              <w:t>government sector</w:t>
            </w:r>
          </w:p>
        </w:tc>
      </w:tr>
      <w:tr w:rsidR="00336793" w:rsidRPr="00A10A3B"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Balance at beginning of reporting period</w:t>
            </w:r>
          </w:p>
        </w:tc>
        <w:tc>
          <w:tcPr>
            <w:tcW w:w="1120"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1 069.4</w:t>
            </w:r>
          </w:p>
        </w:tc>
        <w:tc>
          <w:tcPr>
            <w:tcW w:w="112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1 491.6</w:t>
            </w:r>
          </w:p>
        </w:tc>
        <w:tc>
          <w:tcPr>
            <w:tcW w:w="1120"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582.0</w:t>
            </w:r>
          </w:p>
        </w:tc>
        <w:tc>
          <w:tcPr>
            <w:tcW w:w="112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562.3</w:t>
            </w:r>
          </w:p>
        </w:tc>
      </w:tr>
      <w:tr w:rsidR="00336793" w:rsidRPr="00A10A3B" w:rsidTr="00DF0B96">
        <w:tc>
          <w:tcPr>
            <w:tcW w:w="5157" w:type="dxa"/>
            <w:tcBorders>
              <w:top w:val="nil"/>
              <w:left w:val="nil"/>
              <w:bottom w:val="single" w:sz="6" w:space="0" w:color="auto"/>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Transfers to/(from) accumulated surplus</w:t>
            </w:r>
          </w:p>
        </w:tc>
        <w:tc>
          <w:tcPr>
            <w:tcW w:w="1120" w:type="dxa"/>
            <w:gridSpan w:val="2"/>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71.3</w:t>
            </w:r>
          </w:p>
        </w:tc>
        <w:tc>
          <w:tcPr>
            <w:tcW w:w="112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A10A3B">
              <w:rPr>
                <w:rFonts w:ascii="Calibri" w:eastAsiaTheme="minorEastAsia" w:hAnsi="Calibri" w:cs="Calibri"/>
                <w:sz w:val="22"/>
                <w:szCs w:val="22"/>
                <w:lang w:eastAsia="en-AU"/>
              </w:rPr>
              <w:t>422.2</w:t>
            </w:r>
            <w:r w:rsidRPr="00A10A3B">
              <w:rPr>
                <w:rFonts w:ascii="Calibri" w:eastAsiaTheme="minorEastAsia" w:hAnsi="Calibri" w:cs="Calibri"/>
                <w:color w:val="000000"/>
                <w:sz w:val="22"/>
                <w:szCs w:val="22"/>
                <w:lang w:eastAsia="en-AU"/>
              </w:rPr>
              <w:t>)</w:t>
            </w:r>
          </w:p>
        </w:tc>
        <w:tc>
          <w:tcPr>
            <w:tcW w:w="1120" w:type="dxa"/>
            <w:gridSpan w:val="2"/>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103.0</w:t>
            </w:r>
          </w:p>
        </w:tc>
        <w:tc>
          <w:tcPr>
            <w:tcW w:w="1120"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19.8</w:t>
            </w:r>
          </w:p>
        </w:tc>
      </w:tr>
      <w:tr w:rsidR="00336793" w:rsidRPr="00A10A3B" w:rsidTr="00DF0B96">
        <w:tc>
          <w:tcPr>
            <w:tcW w:w="5157" w:type="dxa"/>
            <w:tcBorders>
              <w:top w:val="single" w:sz="6" w:space="0" w:color="auto"/>
              <w:left w:val="nil"/>
              <w:bottom w:val="single" w:sz="12" w:space="0" w:color="000000"/>
              <w:right w:val="nil"/>
            </w:tcBorders>
          </w:tcPr>
          <w:p w:rsidR="00336793" w:rsidRPr="00A10A3B" w:rsidRDefault="00336793" w:rsidP="00DF0B96">
            <w:pPr>
              <w:autoSpaceDE w:val="0"/>
              <w:autoSpaceDN w:val="0"/>
              <w:adjustRightInd w:val="0"/>
              <w:spacing w:after="0"/>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Balance at the end of the reporting period</w:t>
            </w:r>
          </w:p>
        </w:tc>
        <w:tc>
          <w:tcPr>
            <w:tcW w:w="1120"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1 140.7</w:t>
            </w:r>
          </w:p>
        </w:tc>
        <w:tc>
          <w:tcPr>
            <w:tcW w:w="112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1 069.4</w:t>
            </w:r>
          </w:p>
        </w:tc>
        <w:tc>
          <w:tcPr>
            <w:tcW w:w="1120"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685.0</w:t>
            </w:r>
          </w:p>
        </w:tc>
        <w:tc>
          <w:tcPr>
            <w:tcW w:w="112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 xml:space="preserve"> 582.0</w:t>
            </w:r>
          </w:p>
        </w:tc>
      </w:tr>
    </w:tbl>
    <w:p w:rsidR="00336793" w:rsidRPr="006A75A2" w:rsidRDefault="00336793" w:rsidP="00DF0B96">
      <w:pPr>
        <w:pStyle w:val="Notes"/>
      </w:pPr>
    </w:p>
    <w:p w:rsidR="00336793" w:rsidRPr="006A75A2" w:rsidRDefault="00336793" w:rsidP="00DF0B96">
      <w:pPr>
        <w:pStyle w:val="Notes"/>
      </w:pPr>
    </w:p>
    <w:p w:rsidR="00336793" w:rsidRDefault="00336793">
      <w:pPr>
        <w:spacing w:after="0"/>
        <w:rPr>
          <w:rFonts w:ascii="Calibri" w:hAnsi="Calibri"/>
          <w:b/>
        </w:rPr>
      </w:pPr>
      <w:r>
        <w:br w:type="page"/>
      </w:r>
    </w:p>
    <w:p w:rsidR="00336793" w:rsidRPr="0027602F" w:rsidRDefault="00336793" w:rsidP="00DF0B96">
      <w:pPr>
        <w:pStyle w:val="Heading2NotesContd"/>
      </w:pPr>
      <w:r w:rsidRPr="006A75A2">
        <w:lastRenderedPageBreak/>
        <w:t>Note 29:</w:t>
      </w:r>
      <w:r w:rsidRPr="006A75A2">
        <w:tab/>
        <w:t>Reserves, accumulated surplus/(deficit) and non</w:t>
      </w:r>
      <w:r>
        <w:noBreakHyphen/>
      </w:r>
      <w:r w:rsidRPr="006A75A2">
        <w:t>controlling interests</w:t>
      </w:r>
      <w:r>
        <w:t xml:space="preserve"> </w:t>
      </w:r>
      <w:r w:rsidRPr="008F14C0">
        <w:rPr>
          <w:i/>
        </w:rPr>
        <w:t>(continued)</w:t>
      </w:r>
    </w:p>
    <w:p w:rsidR="00336793" w:rsidRPr="006A75A2" w:rsidRDefault="00336793" w:rsidP="00DF0B96">
      <w:pPr>
        <w:pStyle w:val="Heading5"/>
        <w:rPr>
          <w:vertAlign w:val="superscript"/>
        </w:rPr>
      </w:pPr>
      <w:r w:rsidRPr="006A75A2">
        <w:t>(b)</w:t>
      </w:r>
      <w:r w:rsidRPr="006A75A2">
        <w:tab/>
        <w:t>Accumulated surplus/(deficit)</w:t>
      </w:r>
      <w:r w:rsidRPr="006A75A2">
        <w:rPr>
          <w:vertAlign w:val="superscript"/>
        </w:rPr>
        <w:t>(a)</w:t>
      </w:r>
    </w:p>
    <w:p w:rsidR="00336793" w:rsidRPr="00D96C4B" w:rsidRDefault="00336793" w:rsidP="00DF0B96">
      <w:pPr>
        <w:pStyle w:val="million"/>
        <w:rPr>
          <w:rFonts w:ascii="Times New Roman" w:hAnsi="Times New Roman"/>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D96C4B" w:rsidTr="00DF0B96">
        <w:tc>
          <w:tcPr>
            <w:tcW w:w="5157" w:type="dxa"/>
            <w:tcBorders>
              <w:top w:val="single" w:sz="6" w:space="0" w:color="auto"/>
              <w:left w:val="single" w:sz="6" w:space="0" w:color="auto"/>
              <w:bottom w:val="nil"/>
              <w:right w:val="nil"/>
            </w:tcBorders>
            <w:shd w:val="clear" w:color="000000" w:fill="000000"/>
          </w:tcPr>
          <w:p w:rsidR="00336793" w:rsidRPr="00D96C4B" w:rsidRDefault="00336793" w:rsidP="00DF0B96">
            <w:pPr>
              <w:pStyle w:val="Tabletextheading"/>
              <w:jc w:val="left"/>
              <w:rPr>
                <w:rFonts w:eastAsiaTheme="minorEastAsia"/>
                <w:color w:val="FFFFFF"/>
                <w:lang w:eastAsia="en-AU"/>
              </w:rPr>
            </w:pPr>
            <w:r w:rsidRPr="00D96C4B">
              <w:rPr>
                <w:rFonts w:eastAsiaTheme="minorEastAsia"/>
                <w:color w:val="FFFFFF"/>
                <w:lang w:eastAsia="en-AU"/>
              </w:rPr>
              <w:t xml:space="preserve"> </w:t>
            </w:r>
          </w:p>
        </w:tc>
        <w:tc>
          <w:tcPr>
            <w:tcW w:w="260" w:type="dxa"/>
            <w:tcBorders>
              <w:top w:val="single" w:sz="6" w:space="0" w:color="auto"/>
              <w:left w:val="nil"/>
              <w:bottom w:val="nil"/>
              <w:right w:val="nil"/>
            </w:tcBorders>
            <w:shd w:val="clear" w:color="000000" w:fill="000000"/>
          </w:tcPr>
          <w:p w:rsidR="00336793" w:rsidRPr="00D96C4B" w:rsidRDefault="00336793" w:rsidP="00DF0B96">
            <w:pPr>
              <w:pStyle w:val="TabletextheadingCentred"/>
              <w:rPr>
                <w:rFonts w:eastAsiaTheme="minorEastAsia"/>
                <w:lang w:eastAsia="en-AU"/>
              </w:rPr>
            </w:pPr>
            <w:r w:rsidRPr="00D96C4B">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tcPr>
          <w:p w:rsidR="00336793" w:rsidRPr="00D96C4B" w:rsidRDefault="00336793" w:rsidP="00DF0B96">
            <w:pPr>
              <w:pStyle w:val="TabletextheadingCentred"/>
              <w:rPr>
                <w:rFonts w:eastAsiaTheme="minorEastAsia"/>
                <w:lang w:eastAsia="en-AU"/>
              </w:rPr>
            </w:pPr>
          </w:p>
          <w:p w:rsidR="00336793" w:rsidRPr="00D96C4B" w:rsidRDefault="00336793" w:rsidP="00DF0B96">
            <w:pPr>
              <w:pStyle w:val="TabletextheadingCentred"/>
              <w:rPr>
                <w:rFonts w:eastAsiaTheme="minorEastAsia"/>
                <w:lang w:eastAsia="en-AU"/>
              </w:rPr>
            </w:pPr>
            <w:r w:rsidRPr="00D96C4B">
              <w:rPr>
                <w:rFonts w:eastAsiaTheme="minorEastAsia"/>
                <w:lang w:eastAsia="en-AU"/>
              </w:rPr>
              <w:t>State of Victoria</w:t>
            </w:r>
          </w:p>
        </w:tc>
        <w:tc>
          <w:tcPr>
            <w:tcW w:w="270" w:type="dxa"/>
            <w:tcBorders>
              <w:top w:val="single" w:sz="6" w:space="0" w:color="auto"/>
              <w:left w:val="nil"/>
              <w:bottom w:val="nil"/>
              <w:right w:val="nil"/>
            </w:tcBorders>
            <w:shd w:val="clear" w:color="000000" w:fill="000000"/>
          </w:tcPr>
          <w:p w:rsidR="00336793" w:rsidRPr="00D96C4B" w:rsidRDefault="00336793" w:rsidP="00DF0B96">
            <w:pPr>
              <w:pStyle w:val="TabletextheadingCentred"/>
              <w:rPr>
                <w:rFonts w:eastAsiaTheme="minorEastAsia"/>
                <w:lang w:eastAsia="en-AU"/>
              </w:rPr>
            </w:pPr>
            <w:r w:rsidRPr="00D96C4B">
              <w:rPr>
                <w:rFonts w:eastAsiaTheme="minorEastAsia"/>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tcPr>
          <w:p w:rsidR="00336793" w:rsidRPr="00D96C4B" w:rsidRDefault="00336793" w:rsidP="00DF0B96">
            <w:pPr>
              <w:pStyle w:val="TabletextheadingCentred"/>
              <w:rPr>
                <w:rFonts w:eastAsiaTheme="minorEastAsia"/>
                <w:lang w:eastAsia="en-AU"/>
              </w:rPr>
            </w:pPr>
            <w:r w:rsidRPr="00D96C4B">
              <w:rPr>
                <w:rFonts w:eastAsiaTheme="minorEastAsia"/>
                <w:lang w:eastAsia="en-AU"/>
              </w:rPr>
              <w:t xml:space="preserve">General </w:t>
            </w:r>
          </w:p>
          <w:p w:rsidR="00336793" w:rsidRPr="00D96C4B" w:rsidRDefault="00336793" w:rsidP="00DF0B96">
            <w:pPr>
              <w:pStyle w:val="TabletextheadingCentred"/>
              <w:rPr>
                <w:rFonts w:eastAsiaTheme="minorEastAsia"/>
                <w:lang w:eastAsia="en-AU"/>
              </w:rPr>
            </w:pPr>
            <w:r w:rsidRPr="00D96C4B">
              <w:rPr>
                <w:rFonts w:eastAsiaTheme="minorEastAsia"/>
                <w:lang w:eastAsia="en-AU"/>
              </w:rPr>
              <w:t>government sector</w:t>
            </w:r>
          </w:p>
        </w:tc>
      </w:tr>
      <w:tr w:rsidR="00336793" w:rsidRPr="00D96C4B" w:rsidTr="00DF0B96">
        <w:tc>
          <w:tcPr>
            <w:tcW w:w="5157" w:type="dxa"/>
            <w:tcBorders>
              <w:top w:val="nil"/>
              <w:left w:val="single" w:sz="6" w:space="0" w:color="auto"/>
              <w:bottom w:val="single" w:sz="6" w:space="0" w:color="auto"/>
              <w:right w:val="nil"/>
            </w:tcBorders>
            <w:shd w:val="clear" w:color="000000" w:fill="000000"/>
          </w:tcPr>
          <w:p w:rsidR="00336793" w:rsidRPr="00D96C4B" w:rsidRDefault="00336793" w:rsidP="00DF0B96">
            <w:pPr>
              <w:pStyle w:val="Tabletextheading"/>
              <w:jc w:val="left"/>
              <w:rPr>
                <w:rFonts w:eastAsiaTheme="minorEastAsia"/>
                <w:iCs/>
                <w:color w:val="FFFFFF"/>
                <w:lang w:eastAsia="en-AU"/>
              </w:rPr>
            </w:pPr>
            <w:r w:rsidRPr="00D96C4B">
              <w:rPr>
                <w:rFonts w:eastAsiaTheme="minorEastAsia"/>
                <w:iCs/>
                <w:color w:val="FFFFFF"/>
                <w:lang w:eastAsia="en-AU"/>
              </w:rPr>
              <w:t xml:space="preserve"> </w:t>
            </w:r>
          </w:p>
        </w:tc>
        <w:tc>
          <w:tcPr>
            <w:tcW w:w="1120" w:type="dxa"/>
            <w:gridSpan w:val="2"/>
            <w:tcBorders>
              <w:top w:val="nil"/>
              <w:left w:val="nil"/>
              <w:bottom w:val="single" w:sz="6" w:space="0" w:color="auto"/>
              <w:right w:val="nil"/>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2014</w:t>
            </w:r>
          </w:p>
        </w:tc>
        <w:tc>
          <w:tcPr>
            <w:tcW w:w="1120" w:type="dxa"/>
            <w:gridSpan w:val="2"/>
            <w:tcBorders>
              <w:top w:val="nil"/>
              <w:left w:val="nil"/>
              <w:bottom w:val="single" w:sz="6" w:space="0" w:color="auto"/>
              <w:right w:val="nil"/>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D96C4B" w:rsidRDefault="00336793" w:rsidP="00DF0B96">
            <w:pPr>
              <w:pStyle w:val="Tabletextheading"/>
              <w:rPr>
                <w:rFonts w:eastAsiaTheme="minorEastAsia"/>
                <w:iCs/>
                <w:color w:val="FFFFFF"/>
                <w:lang w:eastAsia="en-AU"/>
              </w:rPr>
            </w:pPr>
            <w:r w:rsidRPr="00D96C4B">
              <w:rPr>
                <w:rFonts w:eastAsiaTheme="minorEastAsia"/>
                <w:iCs/>
                <w:color w:val="FFFFFF"/>
                <w:lang w:eastAsia="en-AU"/>
              </w:rPr>
              <w:t>2014</w:t>
            </w:r>
          </w:p>
        </w:tc>
      </w:tr>
      <w:tr w:rsidR="00336793" w:rsidRPr="00D96C4B" w:rsidTr="00DF0B96">
        <w:tc>
          <w:tcPr>
            <w:tcW w:w="5157" w:type="dxa"/>
            <w:tcBorders>
              <w:top w:val="single" w:sz="6" w:space="0" w:color="auto"/>
              <w:left w:val="nil"/>
              <w:bottom w:val="nil"/>
              <w:right w:val="nil"/>
            </w:tcBorders>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Balance at beginning of reporting period</w:t>
            </w:r>
          </w:p>
        </w:tc>
        <w:tc>
          <w:tcPr>
            <w:tcW w:w="1120" w:type="dxa"/>
            <w:gridSpan w:val="2"/>
            <w:tcBorders>
              <w:top w:val="single" w:sz="6" w:space="0" w:color="auto"/>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45 435.9</w:t>
            </w:r>
          </w:p>
        </w:tc>
        <w:tc>
          <w:tcPr>
            <w:tcW w:w="1120" w:type="dxa"/>
            <w:tcBorders>
              <w:top w:val="single" w:sz="6" w:space="0" w:color="auto"/>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42 802.2</w:t>
            </w:r>
          </w:p>
        </w:tc>
        <w:tc>
          <w:tcPr>
            <w:tcW w:w="1120" w:type="dxa"/>
            <w:gridSpan w:val="2"/>
            <w:tcBorders>
              <w:top w:val="single" w:sz="6" w:space="0" w:color="auto"/>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43 634.6</w:t>
            </w:r>
          </w:p>
        </w:tc>
        <w:tc>
          <w:tcPr>
            <w:tcW w:w="1120" w:type="dxa"/>
            <w:tcBorders>
              <w:top w:val="single" w:sz="6" w:space="0" w:color="auto"/>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42 411.9</w:t>
            </w:r>
          </w:p>
        </w:tc>
      </w:tr>
      <w:tr w:rsidR="00336793" w:rsidRPr="00D96C4B" w:rsidTr="00DF0B96">
        <w:tc>
          <w:tcPr>
            <w:tcW w:w="5157" w:type="dxa"/>
            <w:tcBorders>
              <w:top w:val="nil"/>
              <w:left w:val="nil"/>
              <w:bottom w:val="nil"/>
              <w:right w:val="nil"/>
            </w:tcBorders>
          </w:tcPr>
          <w:p w:rsidR="00336793" w:rsidRPr="00D96C4B" w:rsidRDefault="00336793" w:rsidP="00DF0B96">
            <w:pPr>
              <w:autoSpaceDE w:val="0"/>
              <w:autoSpaceDN w:val="0"/>
              <w:adjustRightInd w:val="0"/>
              <w:spacing w:after="0"/>
              <w:rPr>
                <w:rFonts w:ascii="Calibri" w:eastAsiaTheme="minorEastAsia" w:hAnsi="Calibri" w:cs="Calibri"/>
                <w:sz w:val="22"/>
                <w:szCs w:val="22"/>
                <w:vertAlign w:val="superscript"/>
                <w:lang w:eastAsia="en-AU"/>
              </w:rPr>
            </w:pPr>
            <w:r w:rsidRPr="00D96C4B">
              <w:rPr>
                <w:rFonts w:ascii="Calibri" w:eastAsiaTheme="minorEastAsia" w:hAnsi="Calibri" w:cs="Calibri"/>
                <w:sz w:val="22"/>
                <w:szCs w:val="22"/>
                <w:lang w:eastAsia="en-AU"/>
              </w:rPr>
              <w:t xml:space="preserve">Net result for the period </w:t>
            </w:r>
          </w:p>
        </w:tc>
        <w:tc>
          <w:tcPr>
            <w:tcW w:w="1120" w:type="dxa"/>
            <w:gridSpan w:val="2"/>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50.7</w:t>
            </w:r>
          </w:p>
        </w:tc>
        <w:tc>
          <w:tcPr>
            <w:tcW w:w="1120" w:type="dxa"/>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1 651.9</w:t>
            </w:r>
          </w:p>
        </w:tc>
        <w:tc>
          <w:tcPr>
            <w:tcW w:w="1120" w:type="dxa"/>
            <w:gridSpan w:val="2"/>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748.8</w:t>
            </w:r>
          </w:p>
        </w:tc>
        <w:tc>
          <w:tcPr>
            <w:tcW w:w="1120" w:type="dxa"/>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765.7</w:t>
            </w:r>
          </w:p>
        </w:tc>
      </w:tr>
      <w:tr w:rsidR="00336793" w:rsidRPr="00D96C4B" w:rsidTr="00DF0B96">
        <w:tc>
          <w:tcPr>
            <w:tcW w:w="5157" w:type="dxa"/>
            <w:tcBorders>
              <w:top w:val="nil"/>
              <w:left w:val="nil"/>
              <w:bottom w:val="nil"/>
              <w:right w:val="nil"/>
            </w:tcBorders>
          </w:tcPr>
          <w:p w:rsidR="00336793" w:rsidRPr="00D96C4B" w:rsidRDefault="00336793" w:rsidP="00DF0B96">
            <w:pPr>
              <w:autoSpaceDE w:val="0"/>
              <w:autoSpaceDN w:val="0"/>
              <w:adjustRightInd w:val="0"/>
              <w:spacing w:after="0"/>
              <w:rPr>
                <w:rFonts w:ascii="Calibri" w:eastAsiaTheme="minorEastAsia" w:hAnsi="Calibri" w:cs="Calibri"/>
                <w:sz w:val="22"/>
                <w:szCs w:val="22"/>
                <w:vertAlign w:val="superscript"/>
                <w:lang w:eastAsia="en-AU"/>
              </w:rPr>
            </w:pPr>
            <w:r w:rsidRPr="00D96C4B">
              <w:rPr>
                <w:rFonts w:ascii="Calibri" w:eastAsiaTheme="minorEastAsia" w:hAnsi="Calibri" w:cs="Calibri"/>
                <w:sz w:val="22"/>
                <w:szCs w:val="22"/>
                <w:lang w:eastAsia="en-AU"/>
              </w:rPr>
              <w:t xml:space="preserve">Other comprehensive income for the year </w:t>
            </w:r>
          </w:p>
        </w:tc>
        <w:tc>
          <w:tcPr>
            <w:tcW w:w="1120" w:type="dxa"/>
            <w:gridSpan w:val="2"/>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330.6</w:t>
            </w:r>
          </w:p>
        </w:tc>
        <w:tc>
          <w:tcPr>
            <w:tcW w:w="1120" w:type="dxa"/>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697.0</w:t>
            </w:r>
          </w:p>
        </w:tc>
        <w:tc>
          <w:tcPr>
            <w:tcW w:w="1120" w:type="dxa"/>
            <w:gridSpan w:val="2"/>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270.4</w:t>
            </w:r>
          </w:p>
        </w:tc>
        <w:tc>
          <w:tcPr>
            <w:tcW w:w="1120" w:type="dxa"/>
            <w:tcBorders>
              <w:top w:val="nil"/>
              <w:left w:val="nil"/>
              <w:bottom w:val="nil"/>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172.3</w:t>
            </w:r>
          </w:p>
        </w:tc>
      </w:tr>
      <w:tr w:rsidR="00336793" w:rsidRPr="00D96C4B" w:rsidTr="00DF0B96">
        <w:tc>
          <w:tcPr>
            <w:tcW w:w="5157" w:type="dxa"/>
            <w:tcBorders>
              <w:top w:val="nil"/>
              <w:left w:val="nil"/>
              <w:bottom w:val="single" w:sz="6" w:space="0" w:color="auto"/>
              <w:right w:val="nil"/>
            </w:tcBorders>
          </w:tcPr>
          <w:p w:rsidR="00336793" w:rsidRPr="00D96C4B" w:rsidRDefault="00336793" w:rsidP="00DF0B96">
            <w:pPr>
              <w:autoSpaceDE w:val="0"/>
              <w:autoSpaceDN w:val="0"/>
              <w:adjustRightInd w:val="0"/>
              <w:spacing w:after="0"/>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Transfer to accumulated surplus</w:t>
            </w:r>
          </w:p>
        </w:tc>
        <w:tc>
          <w:tcPr>
            <w:tcW w:w="1120" w:type="dxa"/>
            <w:gridSpan w:val="2"/>
            <w:tcBorders>
              <w:top w:val="nil"/>
              <w:left w:val="nil"/>
              <w:bottom w:val="single" w:sz="6" w:space="0" w:color="auto"/>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15 411.6</w:t>
            </w:r>
          </w:p>
        </w:tc>
        <w:tc>
          <w:tcPr>
            <w:tcW w:w="1120" w:type="dxa"/>
            <w:tcBorders>
              <w:top w:val="nil"/>
              <w:left w:val="nil"/>
              <w:bottom w:val="single" w:sz="6" w:space="0" w:color="auto"/>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284.8</w:t>
            </w:r>
          </w:p>
        </w:tc>
        <w:tc>
          <w:tcPr>
            <w:tcW w:w="1120" w:type="dxa"/>
            <w:gridSpan w:val="2"/>
            <w:tcBorders>
              <w:top w:val="nil"/>
              <w:left w:val="nil"/>
              <w:bottom w:val="single" w:sz="6" w:space="0" w:color="auto"/>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sidRPr="00D96C4B">
              <w:rPr>
                <w:rFonts w:ascii="Calibri" w:eastAsiaTheme="minorEastAsia" w:hAnsi="Calibri" w:cs="Calibri"/>
                <w:sz w:val="22"/>
                <w:szCs w:val="22"/>
                <w:lang w:eastAsia="en-AU"/>
              </w:rPr>
              <w:t>1 134.7</w:t>
            </w:r>
          </w:p>
        </w:tc>
        <w:tc>
          <w:tcPr>
            <w:tcW w:w="1120" w:type="dxa"/>
            <w:tcBorders>
              <w:top w:val="nil"/>
              <w:left w:val="nil"/>
              <w:bottom w:val="single" w:sz="6" w:space="0" w:color="auto"/>
              <w:right w:val="nil"/>
            </w:tcBorders>
          </w:tcPr>
          <w:p w:rsidR="00336793" w:rsidRPr="00D96C4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D96C4B">
              <w:rPr>
                <w:rFonts w:ascii="Calibri" w:eastAsiaTheme="minorEastAsia" w:hAnsi="Calibri" w:cs="Calibri"/>
                <w:sz w:val="22"/>
                <w:szCs w:val="22"/>
                <w:lang w:eastAsia="en-AU"/>
              </w:rPr>
              <w:t xml:space="preserve"> 284.8</w:t>
            </w:r>
          </w:p>
        </w:tc>
      </w:tr>
      <w:tr w:rsidR="00336793" w:rsidRPr="00D96C4B" w:rsidTr="00DF0B96">
        <w:tc>
          <w:tcPr>
            <w:tcW w:w="5157" w:type="dxa"/>
            <w:tcBorders>
              <w:top w:val="single" w:sz="6" w:space="0" w:color="auto"/>
              <w:left w:val="nil"/>
              <w:bottom w:val="single" w:sz="12" w:space="0" w:color="000000"/>
              <w:right w:val="nil"/>
            </w:tcBorders>
            <w:shd w:val="clear" w:color="auto" w:fill="auto"/>
          </w:tcPr>
          <w:p w:rsidR="00336793" w:rsidRPr="00D96C4B" w:rsidRDefault="00336793" w:rsidP="00DF0B96">
            <w:pPr>
              <w:autoSpaceDE w:val="0"/>
              <w:autoSpaceDN w:val="0"/>
              <w:adjustRightInd w:val="0"/>
              <w:spacing w:after="0"/>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Balance at the end of the reporting period</w:t>
            </w:r>
          </w:p>
        </w:tc>
        <w:tc>
          <w:tcPr>
            <w:tcW w:w="1120" w:type="dxa"/>
            <w:gridSpan w:val="2"/>
            <w:tcBorders>
              <w:top w:val="single" w:sz="6" w:space="0" w:color="auto"/>
              <w:left w:val="nil"/>
              <w:bottom w:val="single" w:sz="12" w:space="0" w:color="000000"/>
              <w:right w:val="nil"/>
            </w:tcBorders>
            <w:shd w:val="clear" w:color="auto"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61 228.8</w:t>
            </w:r>
          </w:p>
        </w:tc>
        <w:tc>
          <w:tcPr>
            <w:tcW w:w="1120" w:type="dxa"/>
            <w:tcBorders>
              <w:top w:val="single" w:sz="6" w:space="0" w:color="auto"/>
              <w:left w:val="nil"/>
              <w:bottom w:val="single" w:sz="12" w:space="0" w:color="000000"/>
              <w:right w:val="nil"/>
            </w:tcBorders>
            <w:shd w:val="clear" w:color="auto"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45 435.9</w:t>
            </w:r>
          </w:p>
        </w:tc>
        <w:tc>
          <w:tcPr>
            <w:tcW w:w="1120" w:type="dxa"/>
            <w:gridSpan w:val="2"/>
            <w:tcBorders>
              <w:top w:val="single" w:sz="6" w:space="0" w:color="auto"/>
              <w:left w:val="nil"/>
              <w:bottom w:val="single" w:sz="12" w:space="0" w:color="000000"/>
              <w:right w:val="nil"/>
            </w:tcBorders>
            <w:shd w:val="clear" w:color="auto"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45 788.5</w:t>
            </w:r>
          </w:p>
        </w:tc>
        <w:tc>
          <w:tcPr>
            <w:tcW w:w="1120" w:type="dxa"/>
            <w:tcBorders>
              <w:top w:val="single" w:sz="6" w:space="0" w:color="auto"/>
              <w:left w:val="nil"/>
              <w:bottom w:val="single" w:sz="12" w:space="0" w:color="000000"/>
              <w:right w:val="nil"/>
            </w:tcBorders>
            <w:shd w:val="clear" w:color="auto" w:fill="auto"/>
          </w:tcPr>
          <w:p w:rsidR="00336793" w:rsidRPr="00D96C4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D96C4B">
              <w:rPr>
                <w:rFonts w:ascii="Calibri" w:eastAsiaTheme="minorEastAsia" w:hAnsi="Calibri" w:cs="Calibri"/>
                <w:b/>
                <w:bCs/>
                <w:sz w:val="22"/>
                <w:szCs w:val="22"/>
                <w:lang w:eastAsia="en-AU"/>
              </w:rPr>
              <w:t>43 634.6</w:t>
            </w:r>
          </w:p>
        </w:tc>
      </w:tr>
    </w:tbl>
    <w:p w:rsidR="00336793" w:rsidRPr="006A75A2" w:rsidRDefault="00336793" w:rsidP="00DF0B96">
      <w:pPr>
        <w:pStyle w:val="Notes"/>
      </w:pPr>
      <w:r w:rsidRPr="006A75A2">
        <w:t>Note:</w:t>
      </w:r>
    </w:p>
    <w:p w:rsidR="00336793" w:rsidRDefault="00336793" w:rsidP="00DF0B96">
      <w:pPr>
        <w:pStyle w:val="Notes"/>
      </w:pPr>
      <w:r w:rsidRPr="006A75A2">
        <w:t>(a)</w:t>
      </w:r>
      <w:r w:rsidRPr="006A75A2">
        <w:tab/>
      </w:r>
      <w:r>
        <w:t xml:space="preserve">June 2014 </w:t>
      </w:r>
      <w:r w:rsidRPr="006A75A2">
        <w:t>comparative figures have been restated. See Note 37.</w:t>
      </w:r>
    </w:p>
    <w:p w:rsidR="00336793" w:rsidRDefault="00336793" w:rsidP="00DF0B96">
      <w:pPr>
        <w:pStyle w:val="Notes"/>
      </w:pPr>
    </w:p>
    <w:p w:rsidR="00336793" w:rsidRPr="0000404D" w:rsidRDefault="00336793" w:rsidP="00DF0B96"/>
    <w:p w:rsidR="00336793" w:rsidRPr="006A75A2" w:rsidRDefault="00336793" w:rsidP="00DF0B96">
      <w:pPr>
        <w:pStyle w:val="Heading5"/>
        <w:rPr>
          <w:vertAlign w:val="superscript"/>
        </w:rPr>
      </w:pPr>
      <w:r w:rsidRPr="006A75A2">
        <w:t>(c)</w:t>
      </w:r>
      <w:r w:rsidRPr="006A75A2">
        <w:tab/>
        <w:t>Non</w:t>
      </w:r>
      <w:r>
        <w:noBreakHyphen/>
      </w:r>
      <w:r w:rsidRPr="006A75A2">
        <w:t>controlling interest</w:t>
      </w:r>
      <w:r w:rsidRPr="006A75A2">
        <w:rPr>
          <w:vertAlign w:val="superscript"/>
        </w:rPr>
        <w:t>(a)</w:t>
      </w:r>
    </w:p>
    <w:p w:rsidR="00336793" w:rsidRPr="00A10A3B"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heading"/>
              <w:jc w:val="left"/>
              <w:rPr>
                <w:rFonts w:eastAsiaTheme="minorEastAsia"/>
                <w:color w:val="FFFFFF"/>
                <w:lang w:eastAsia="en-AU"/>
              </w:rPr>
            </w:pPr>
            <w:r w:rsidRPr="00A10A3B">
              <w:rPr>
                <w:rFonts w:eastAsiaTheme="minorEastAsia"/>
                <w:color w:val="FFFFFF"/>
                <w:lang w:eastAsia="en-AU"/>
              </w:rPr>
              <w:t xml:space="preserve"> </w:t>
            </w:r>
          </w:p>
        </w:tc>
        <w:tc>
          <w:tcPr>
            <w:tcW w:w="26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p>
          <w:p w:rsidR="00336793" w:rsidRPr="00A10A3B" w:rsidRDefault="00336793" w:rsidP="00DF0B96">
            <w:pPr>
              <w:pStyle w:val="TabletextheadingCentred"/>
              <w:rPr>
                <w:rFonts w:eastAsiaTheme="minorEastAsia"/>
                <w:lang w:eastAsia="en-AU"/>
              </w:rPr>
            </w:pPr>
            <w:r w:rsidRPr="00A10A3B">
              <w:rPr>
                <w:rFonts w:eastAsiaTheme="minorEastAsia"/>
                <w:lang w:eastAsia="en-AU"/>
              </w:rPr>
              <w:t>State of Victoria</w:t>
            </w:r>
          </w:p>
        </w:tc>
        <w:tc>
          <w:tcPr>
            <w:tcW w:w="27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General </w:t>
            </w:r>
          </w:p>
          <w:p w:rsidR="00336793" w:rsidRPr="00A10A3B" w:rsidRDefault="00336793" w:rsidP="00DF0B96">
            <w:pPr>
              <w:pStyle w:val="TabletextheadingCentred"/>
              <w:rPr>
                <w:rFonts w:eastAsiaTheme="minorEastAsia"/>
                <w:lang w:eastAsia="en-AU"/>
              </w:rPr>
            </w:pPr>
            <w:r w:rsidRPr="00A10A3B">
              <w:rPr>
                <w:rFonts w:eastAsiaTheme="minorEastAsia"/>
                <w:lang w:eastAsia="en-AU"/>
              </w:rPr>
              <w:t>government sector</w:t>
            </w:r>
          </w:p>
        </w:tc>
      </w:tr>
      <w:tr w:rsidR="00336793" w:rsidRPr="00A10A3B"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iCs/>
                <w:color w:val="FFFFFF"/>
                <w:lang w:eastAsia="en-AU"/>
              </w:rPr>
            </w:pPr>
            <w:r w:rsidRPr="00A10A3B">
              <w:rPr>
                <w:rFonts w:eastAsiaTheme="minorEastAsia"/>
                <w:iCs/>
                <w:color w:val="FFFFFF"/>
                <w:lang w:eastAsia="en-AU"/>
              </w:rPr>
              <w:t xml:space="preserve"> </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Balance at beginning of reporting period</w:t>
            </w:r>
          </w:p>
        </w:tc>
        <w:tc>
          <w:tcPr>
            <w:tcW w:w="1120"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50.0</w:t>
            </w:r>
          </w:p>
        </w:tc>
        <w:tc>
          <w:tcPr>
            <w:tcW w:w="112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50.0</w:t>
            </w:r>
          </w:p>
        </w:tc>
        <w:tc>
          <w:tcPr>
            <w:tcW w:w="1120"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50.0</w:t>
            </w:r>
          </w:p>
        </w:tc>
        <w:tc>
          <w:tcPr>
            <w:tcW w:w="1120"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50.0</w:t>
            </w:r>
          </w:p>
        </w:tc>
      </w:tr>
      <w:tr w:rsidR="00336793" w:rsidRPr="00A10A3B" w:rsidTr="00DF0B96">
        <w:tc>
          <w:tcPr>
            <w:tcW w:w="5157" w:type="dxa"/>
            <w:tcBorders>
              <w:top w:val="nil"/>
              <w:left w:val="nil"/>
              <w:bottom w:val="single" w:sz="6" w:space="0" w:color="auto"/>
              <w:right w:val="nil"/>
            </w:tcBorders>
          </w:tcPr>
          <w:p w:rsidR="00336793" w:rsidRPr="00A10A3B" w:rsidRDefault="00336793" w:rsidP="00DF0B96">
            <w:pPr>
              <w:autoSpaceDE w:val="0"/>
              <w:autoSpaceDN w:val="0"/>
              <w:adjustRightInd w:val="0"/>
              <w:spacing w:after="0"/>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Net contributions during the year </w:t>
            </w:r>
          </w:p>
        </w:tc>
        <w:tc>
          <w:tcPr>
            <w:tcW w:w="1120" w:type="dxa"/>
            <w:gridSpan w:val="2"/>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1120" w:type="dxa"/>
            <w:gridSpan w:val="2"/>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w:t>
            </w:r>
          </w:p>
        </w:tc>
      </w:tr>
      <w:tr w:rsidR="00336793" w:rsidRPr="00A10A3B" w:rsidTr="00DF0B96">
        <w:tc>
          <w:tcPr>
            <w:tcW w:w="5157"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rPr>
                <w:rFonts w:ascii="Calibri" w:eastAsiaTheme="minorEastAsia" w:hAnsi="Calibri" w:cs="Calibri"/>
                <w:b/>
                <w:bCs/>
                <w:sz w:val="22"/>
                <w:szCs w:val="22"/>
                <w:lang w:eastAsia="en-AU"/>
              </w:rPr>
            </w:pPr>
            <w:r w:rsidRPr="00A10A3B">
              <w:rPr>
                <w:rFonts w:ascii="Calibri" w:eastAsiaTheme="minorEastAsia" w:hAnsi="Calibri" w:cs="Calibri"/>
                <w:b/>
                <w:bCs/>
                <w:sz w:val="22"/>
                <w:szCs w:val="22"/>
                <w:lang w:eastAsia="en-AU"/>
              </w:rPr>
              <w:t>Balance at the end of the reporting period</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50.0</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50.0</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50.0</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A10A3B">
              <w:rPr>
                <w:rFonts w:ascii="Calibri" w:eastAsiaTheme="minorEastAsia" w:hAnsi="Calibri" w:cs="Calibri"/>
                <w:sz w:val="22"/>
                <w:szCs w:val="22"/>
                <w:lang w:eastAsia="en-AU"/>
              </w:rPr>
              <w:t xml:space="preserve"> 50.0</w:t>
            </w:r>
          </w:p>
        </w:tc>
      </w:tr>
    </w:tbl>
    <w:p w:rsidR="00336793" w:rsidRPr="006A75A2" w:rsidRDefault="00336793" w:rsidP="00DF0B96">
      <w:pPr>
        <w:pStyle w:val="Notes"/>
      </w:pPr>
      <w:r w:rsidRPr="006A75A2">
        <w:t>Note:</w:t>
      </w:r>
    </w:p>
    <w:p w:rsidR="00336793" w:rsidRPr="006A75A2" w:rsidRDefault="00336793" w:rsidP="00DF0B96">
      <w:pPr>
        <w:pStyle w:val="Notes"/>
      </w:pPr>
      <w:r w:rsidRPr="00617194">
        <w:t xml:space="preserve">(a) </w:t>
      </w:r>
      <w:r w:rsidRPr="00617194">
        <w:tab/>
        <w:t>Non</w:t>
      </w:r>
      <w:r>
        <w:noBreakHyphen/>
      </w:r>
      <w:r w:rsidRPr="00617194">
        <w:t>controlling interest share of contributed capital in the Australian Synchrotron Holding Company as at 30 June 2015.</w:t>
      </w:r>
    </w:p>
    <w:p w:rsidR="00336793" w:rsidRPr="006A75A2" w:rsidRDefault="00336793" w:rsidP="00DF0B96"/>
    <w:p w:rsidR="00336793" w:rsidRPr="006A75A2" w:rsidRDefault="00336793" w:rsidP="00DF0B96">
      <w:pPr>
        <w:spacing w:after="0"/>
        <w:rPr>
          <w:rFonts w:ascii="Calibri" w:hAnsi="Calibri"/>
          <w:b/>
          <w:sz w:val="28"/>
          <w:szCs w:val="22"/>
        </w:rPr>
      </w:pPr>
      <w:r w:rsidRPr="006A75A2">
        <w:br w:type="page"/>
      </w:r>
    </w:p>
    <w:p w:rsidR="00336793" w:rsidRPr="006A75A2" w:rsidRDefault="00336793" w:rsidP="00DF0B96">
      <w:pPr>
        <w:pStyle w:val="Heading2Notes"/>
        <w:rPr>
          <w:kern w:val="0"/>
        </w:rPr>
      </w:pPr>
      <w:bookmarkStart w:id="96" w:name="_Toc400040277"/>
      <w:bookmarkStart w:id="97" w:name="_Toc433984513"/>
      <w:r w:rsidRPr="006A75A2">
        <w:rPr>
          <w:kern w:val="0"/>
        </w:rPr>
        <w:lastRenderedPageBreak/>
        <w:t>Note 30:</w:t>
      </w:r>
      <w:r w:rsidRPr="006A75A2">
        <w:rPr>
          <w:kern w:val="0"/>
        </w:rPr>
        <w:tab/>
        <w:t>Cash flow information</w:t>
      </w:r>
      <w:bookmarkEnd w:id="96"/>
      <w:bookmarkEnd w:id="97"/>
    </w:p>
    <w:p w:rsidR="00336793" w:rsidRPr="006A75A2" w:rsidRDefault="00336793" w:rsidP="00DF0B96">
      <w:pPr>
        <w:pStyle w:val="Heading5"/>
      </w:pPr>
      <w:r w:rsidRPr="006A75A2">
        <w:t>(a)</w:t>
      </w:r>
      <w:r w:rsidRPr="006A75A2">
        <w:tab/>
        <w:t>Reconciliation of cash and cash equivalents</w:t>
      </w:r>
    </w:p>
    <w:p w:rsidR="00336793" w:rsidRDefault="00336793" w:rsidP="00DF0B96">
      <w:pPr>
        <w:pStyle w:val="million"/>
        <w:rPr>
          <w:rFonts w:ascii="Times New Roman" w:hAnsi="Times New Roman"/>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417"/>
        <w:gridCol w:w="1055"/>
        <w:gridCol w:w="1055"/>
        <w:gridCol w:w="41"/>
        <w:gridCol w:w="117"/>
        <w:gridCol w:w="897"/>
        <w:gridCol w:w="945"/>
        <w:gridCol w:w="110"/>
      </w:tblGrid>
      <w:tr w:rsidR="00336793" w:rsidRPr="00836A31" w:rsidTr="00D96F49">
        <w:trPr>
          <w:tblHeader/>
        </w:trPr>
        <w:tc>
          <w:tcPr>
            <w:tcW w:w="5417" w:type="dxa"/>
            <w:tcBorders>
              <w:top w:val="single" w:sz="6" w:space="0" w:color="auto"/>
              <w:left w:val="single" w:sz="6" w:space="0" w:color="auto"/>
              <w:bottom w:val="nil"/>
              <w:right w:val="nil"/>
            </w:tcBorders>
            <w:shd w:val="clear" w:color="000000" w:fill="000000"/>
            <w:vAlign w:val="bottom"/>
          </w:tcPr>
          <w:p w:rsidR="00336793" w:rsidRPr="00836A31" w:rsidRDefault="00336793" w:rsidP="00DF0B96">
            <w:pPr>
              <w:pStyle w:val="Tabletext"/>
              <w:rPr>
                <w:rFonts w:eastAsiaTheme="minorEastAsia"/>
                <w:i/>
                <w:lang w:eastAsia="en-AU"/>
              </w:rPr>
            </w:pPr>
            <w:r w:rsidRPr="00836A31">
              <w:rPr>
                <w:rFonts w:eastAsiaTheme="minorEastAsia"/>
                <w:i/>
                <w:lang w:eastAsia="en-AU"/>
              </w:rPr>
              <w:t xml:space="preserve"> </w:t>
            </w:r>
          </w:p>
        </w:tc>
        <w:tc>
          <w:tcPr>
            <w:tcW w:w="2151" w:type="dxa"/>
            <w:gridSpan w:val="3"/>
            <w:tcBorders>
              <w:top w:val="single" w:sz="6" w:space="0" w:color="auto"/>
              <w:left w:val="nil"/>
              <w:bottom w:val="nil"/>
              <w:right w:val="nil"/>
            </w:tcBorders>
            <w:shd w:val="clear" w:color="000000" w:fill="000000"/>
            <w:vAlign w:val="bottom"/>
          </w:tcPr>
          <w:p w:rsidR="00336793" w:rsidRPr="00836A31" w:rsidRDefault="00336793" w:rsidP="00DF0B96">
            <w:pPr>
              <w:pStyle w:val="TabletextheadingCentred"/>
              <w:rPr>
                <w:rFonts w:eastAsiaTheme="minorEastAsia"/>
                <w:lang w:eastAsia="en-AU"/>
              </w:rPr>
            </w:pPr>
            <w:r w:rsidRPr="00836A31">
              <w:rPr>
                <w:rFonts w:eastAsiaTheme="minorEastAsia"/>
                <w:lang w:eastAsia="en-AU"/>
              </w:rPr>
              <w:t>State of Victoria</w:t>
            </w:r>
          </w:p>
        </w:tc>
        <w:tc>
          <w:tcPr>
            <w:tcW w:w="117" w:type="dxa"/>
            <w:tcBorders>
              <w:top w:val="single" w:sz="6" w:space="0" w:color="auto"/>
              <w:left w:val="nil"/>
              <w:bottom w:val="nil"/>
              <w:right w:val="nil"/>
            </w:tcBorders>
            <w:shd w:val="clear" w:color="000000" w:fill="000000"/>
            <w:vAlign w:val="bottom"/>
          </w:tcPr>
          <w:p w:rsidR="00336793" w:rsidRPr="00836A31" w:rsidRDefault="00336793" w:rsidP="00DF0B96">
            <w:pPr>
              <w:pStyle w:val="TabletextheadingCentred"/>
              <w:rPr>
                <w:rFonts w:eastAsiaTheme="minorEastAsia" w:cs="Calibri"/>
                <w:iCs/>
                <w:color w:val="FFFFFF"/>
                <w:szCs w:val="22"/>
                <w:lang w:eastAsia="en-AU"/>
              </w:rPr>
            </w:pPr>
            <w:r w:rsidRPr="00836A31">
              <w:rPr>
                <w:rFonts w:eastAsiaTheme="minorEastAsia"/>
                <w:lang w:eastAsia="en-AU"/>
              </w:rPr>
              <w:t xml:space="preserve"> </w:t>
            </w:r>
          </w:p>
        </w:tc>
        <w:tc>
          <w:tcPr>
            <w:tcW w:w="1842" w:type="dxa"/>
            <w:gridSpan w:val="2"/>
            <w:tcBorders>
              <w:top w:val="single" w:sz="6" w:space="0" w:color="auto"/>
              <w:left w:val="nil"/>
              <w:bottom w:val="nil"/>
              <w:right w:val="nil"/>
            </w:tcBorders>
            <w:shd w:val="clear" w:color="000000" w:fill="000000"/>
            <w:vAlign w:val="bottom"/>
          </w:tcPr>
          <w:p w:rsidR="00336793" w:rsidRPr="00836A31" w:rsidRDefault="00336793" w:rsidP="00DF0B96">
            <w:pPr>
              <w:pStyle w:val="TabletextheadingCentred"/>
              <w:rPr>
                <w:rFonts w:eastAsiaTheme="minorEastAsia"/>
                <w:lang w:eastAsia="en-AU"/>
              </w:rPr>
            </w:pPr>
            <w:r w:rsidRPr="00836A31">
              <w:rPr>
                <w:rFonts w:eastAsiaTheme="minorEastAsia"/>
                <w:lang w:eastAsia="en-AU"/>
              </w:rPr>
              <w:t>General government sector</w:t>
            </w:r>
          </w:p>
        </w:tc>
        <w:tc>
          <w:tcPr>
            <w:tcW w:w="110" w:type="dxa"/>
            <w:tcBorders>
              <w:top w:val="single" w:sz="6" w:space="0" w:color="auto"/>
              <w:left w:val="nil"/>
              <w:bottom w:val="nil"/>
              <w:right w:val="single" w:sz="6" w:space="0" w:color="auto"/>
            </w:tcBorders>
            <w:shd w:val="clear" w:color="000000" w:fill="000000"/>
            <w:vAlign w:val="bottom"/>
          </w:tcPr>
          <w:p w:rsidR="00336793" w:rsidRPr="00836A31" w:rsidRDefault="00336793" w:rsidP="00DF0B96">
            <w:pPr>
              <w:pStyle w:val="TabletextheadingCentred"/>
              <w:rPr>
                <w:rFonts w:eastAsiaTheme="minorEastAsia"/>
                <w:lang w:eastAsia="en-AU"/>
              </w:rPr>
            </w:pPr>
            <w:r w:rsidRPr="00836A31">
              <w:rPr>
                <w:rFonts w:eastAsiaTheme="minorEastAsia"/>
                <w:lang w:eastAsia="en-AU"/>
              </w:rPr>
              <w:t xml:space="preserve"> </w:t>
            </w:r>
          </w:p>
        </w:tc>
      </w:tr>
      <w:tr w:rsidR="00336793" w:rsidRPr="00836A31" w:rsidTr="00DF0B96">
        <w:trPr>
          <w:tblHeader/>
        </w:trPr>
        <w:tc>
          <w:tcPr>
            <w:tcW w:w="5417" w:type="dxa"/>
            <w:tcBorders>
              <w:left w:val="single" w:sz="6" w:space="0" w:color="auto"/>
              <w:bottom w:val="single" w:sz="6" w:space="0" w:color="auto"/>
              <w:right w:val="nil"/>
            </w:tcBorders>
            <w:shd w:val="clear" w:color="000000" w:fill="000000"/>
            <w:vAlign w:val="bottom"/>
          </w:tcPr>
          <w:p w:rsidR="00336793" w:rsidRPr="00836A31" w:rsidRDefault="00336793" w:rsidP="00DF0B96">
            <w:pPr>
              <w:pStyle w:val="Tabletext"/>
              <w:rPr>
                <w:rFonts w:eastAsiaTheme="minorEastAsia"/>
                <w:i/>
                <w:lang w:eastAsia="en-AU"/>
              </w:rPr>
            </w:pPr>
            <w:r w:rsidRPr="00836A31">
              <w:rPr>
                <w:rFonts w:eastAsiaTheme="minorEastAsia"/>
                <w:i/>
                <w:lang w:eastAsia="en-AU"/>
              </w:rPr>
              <w:t xml:space="preserve"> </w:t>
            </w:r>
          </w:p>
        </w:tc>
        <w:tc>
          <w:tcPr>
            <w:tcW w:w="1055" w:type="dxa"/>
            <w:tcBorders>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color w:val="FFFFFF"/>
                <w:lang w:eastAsia="en-AU"/>
              </w:rPr>
            </w:pPr>
            <w:r w:rsidRPr="00836A31">
              <w:rPr>
                <w:rFonts w:eastAsiaTheme="minorEastAsia"/>
                <w:color w:val="FFFFFF"/>
                <w:lang w:eastAsia="en-AU"/>
              </w:rPr>
              <w:t>2015</w:t>
            </w:r>
          </w:p>
        </w:tc>
        <w:tc>
          <w:tcPr>
            <w:tcW w:w="1055" w:type="dxa"/>
            <w:tcBorders>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color w:val="FFFFFF"/>
                <w:lang w:eastAsia="en-AU"/>
              </w:rPr>
            </w:pPr>
            <w:r w:rsidRPr="00836A31">
              <w:rPr>
                <w:rFonts w:eastAsiaTheme="minorEastAsia"/>
                <w:color w:val="FFFFFF"/>
                <w:lang w:eastAsia="en-AU"/>
              </w:rPr>
              <w:t>2014</w:t>
            </w:r>
          </w:p>
        </w:tc>
        <w:tc>
          <w:tcPr>
            <w:tcW w:w="1055" w:type="dxa"/>
            <w:gridSpan w:val="3"/>
            <w:tcBorders>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color w:val="FFFFFF"/>
                <w:lang w:eastAsia="en-AU"/>
              </w:rPr>
            </w:pPr>
            <w:r w:rsidRPr="00836A31">
              <w:rPr>
                <w:rFonts w:eastAsiaTheme="minorEastAsia"/>
                <w:color w:val="FFFFFF"/>
                <w:lang w:eastAsia="en-AU"/>
              </w:rPr>
              <w:t>2015</w:t>
            </w:r>
          </w:p>
        </w:tc>
        <w:tc>
          <w:tcPr>
            <w:tcW w:w="1055" w:type="dxa"/>
            <w:gridSpan w:val="2"/>
            <w:tcBorders>
              <w:left w:val="nil"/>
              <w:bottom w:val="single" w:sz="6" w:space="0" w:color="auto"/>
              <w:right w:val="single" w:sz="6" w:space="0" w:color="auto"/>
            </w:tcBorders>
            <w:shd w:val="clear" w:color="000000" w:fill="000000"/>
            <w:vAlign w:val="bottom"/>
          </w:tcPr>
          <w:p w:rsidR="00336793" w:rsidRPr="00836A31" w:rsidRDefault="00336793" w:rsidP="00DF0B96">
            <w:pPr>
              <w:pStyle w:val="Tabletextheading"/>
              <w:rPr>
                <w:rFonts w:eastAsiaTheme="minorEastAsia"/>
                <w:color w:val="FFFFFF"/>
                <w:lang w:eastAsia="en-AU"/>
              </w:rPr>
            </w:pPr>
            <w:r w:rsidRPr="00836A31">
              <w:rPr>
                <w:rFonts w:eastAsiaTheme="minorEastAsia"/>
                <w:color w:val="FFFFFF"/>
                <w:lang w:eastAsia="en-AU"/>
              </w:rPr>
              <w:t>2014</w:t>
            </w:r>
          </w:p>
        </w:tc>
      </w:tr>
      <w:tr w:rsidR="00336793" w:rsidRPr="00836A31" w:rsidTr="00DF0B96">
        <w:tc>
          <w:tcPr>
            <w:tcW w:w="5417" w:type="dxa"/>
            <w:tcBorders>
              <w:top w:val="single" w:sz="6" w:space="0" w:color="auto"/>
              <w:left w:val="nil"/>
              <w:bottom w:val="nil"/>
              <w:right w:val="nil"/>
            </w:tcBorders>
            <w:shd w:val="solid" w:color="FFFFFF" w:fill="auto"/>
          </w:tcPr>
          <w:p w:rsidR="00336793" w:rsidRPr="00836A31" w:rsidRDefault="00336793" w:rsidP="00DF0B96">
            <w:pPr>
              <w:pStyle w:val="Tabletext"/>
              <w:rPr>
                <w:rFonts w:eastAsiaTheme="minorEastAsia"/>
                <w:lang w:eastAsia="en-AU"/>
              </w:rPr>
            </w:pPr>
            <w:r w:rsidRPr="00836A31">
              <w:rPr>
                <w:rFonts w:eastAsiaTheme="minorEastAsia"/>
                <w:lang w:eastAsia="en-AU"/>
              </w:rPr>
              <w:t>Cash</w:t>
            </w:r>
          </w:p>
        </w:tc>
        <w:tc>
          <w:tcPr>
            <w:tcW w:w="1055" w:type="dxa"/>
            <w:tcBorders>
              <w:top w:val="single" w:sz="6" w:space="0" w:color="auto"/>
              <w:left w:val="nil"/>
              <w:bottom w:val="nil"/>
              <w:right w:val="nil"/>
            </w:tcBorders>
            <w:shd w:val="solid" w:color="FFFFFF" w:fill="auto"/>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1 569.3</w:t>
            </w:r>
          </w:p>
        </w:tc>
        <w:tc>
          <w:tcPr>
            <w:tcW w:w="1055" w:type="dxa"/>
            <w:tcBorders>
              <w:top w:val="single" w:sz="6" w:space="0" w:color="auto"/>
              <w:left w:val="nil"/>
              <w:bottom w:val="nil"/>
              <w:right w:val="nil"/>
            </w:tcBorders>
            <w:shd w:val="solid" w:color="FFFFFF" w:fill="auto"/>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1 872.0</w:t>
            </w:r>
          </w:p>
        </w:tc>
        <w:tc>
          <w:tcPr>
            <w:tcW w:w="1055" w:type="dxa"/>
            <w:gridSpan w:val="3"/>
            <w:tcBorders>
              <w:top w:val="single" w:sz="6" w:space="0" w:color="auto"/>
              <w:left w:val="nil"/>
              <w:bottom w:val="nil"/>
              <w:right w:val="nil"/>
            </w:tcBorders>
            <w:shd w:val="solid" w:color="FFFFFF" w:fill="auto"/>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1 202.6</w:t>
            </w:r>
          </w:p>
        </w:tc>
        <w:tc>
          <w:tcPr>
            <w:tcW w:w="1055" w:type="dxa"/>
            <w:gridSpan w:val="2"/>
            <w:tcBorders>
              <w:top w:val="single" w:sz="6" w:space="0" w:color="auto"/>
              <w:left w:val="nil"/>
              <w:bottom w:val="nil"/>
              <w:right w:val="nil"/>
            </w:tcBorders>
            <w:shd w:val="solid" w:color="FFFFFF" w:fill="auto"/>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1 538.3</w:t>
            </w:r>
          </w:p>
        </w:tc>
      </w:tr>
      <w:tr w:rsidR="00336793" w:rsidRPr="00836A31" w:rsidTr="00DF0B96">
        <w:tc>
          <w:tcPr>
            <w:tcW w:w="5417" w:type="dxa"/>
            <w:tcBorders>
              <w:top w:val="nil"/>
              <w:left w:val="nil"/>
              <w:bottom w:val="single" w:sz="6" w:space="0" w:color="000000"/>
              <w:right w:val="nil"/>
            </w:tcBorders>
            <w:shd w:val="solid" w:color="FFFFFF" w:fill="auto"/>
          </w:tcPr>
          <w:p w:rsidR="00336793" w:rsidRPr="00836A31" w:rsidRDefault="00336793" w:rsidP="00DF0B96">
            <w:pPr>
              <w:pStyle w:val="Tabletext"/>
              <w:rPr>
                <w:rFonts w:eastAsiaTheme="minorEastAsia" w:cs="Calibri"/>
                <w:color w:val="000000"/>
                <w:szCs w:val="22"/>
                <w:vertAlign w:val="superscript"/>
                <w:lang w:eastAsia="en-AU"/>
              </w:rPr>
            </w:pPr>
            <w:r w:rsidRPr="00836A31">
              <w:rPr>
                <w:rFonts w:eastAsiaTheme="minorEastAsia"/>
                <w:lang w:eastAsia="en-AU"/>
              </w:rPr>
              <w:t>Deposits at call</w:t>
            </w:r>
            <w:r w:rsidRPr="00836A31">
              <w:rPr>
                <w:rFonts w:eastAsiaTheme="minorEastAsia"/>
                <w:vertAlign w:val="superscript"/>
                <w:lang w:eastAsia="en-AU"/>
              </w:rPr>
              <w:t xml:space="preserve"> (a)</w:t>
            </w:r>
          </w:p>
        </w:tc>
        <w:tc>
          <w:tcPr>
            <w:tcW w:w="1055" w:type="dxa"/>
            <w:tcBorders>
              <w:top w:val="nil"/>
              <w:left w:val="nil"/>
              <w:bottom w:val="single" w:sz="6" w:space="0" w:color="000000"/>
              <w:right w:val="nil"/>
            </w:tcBorders>
            <w:shd w:val="solid" w:color="FFFFFF" w:fill="auto"/>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4 951.8</w:t>
            </w:r>
          </w:p>
        </w:tc>
        <w:tc>
          <w:tcPr>
            <w:tcW w:w="1055" w:type="dxa"/>
            <w:tcBorders>
              <w:top w:val="nil"/>
              <w:left w:val="nil"/>
              <w:bottom w:val="single" w:sz="6" w:space="0" w:color="000000"/>
              <w:right w:val="nil"/>
            </w:tcBorders>
            <w:shd w:val="solid" w:color="FFFFFF" w:fill="auto"/>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6 410.1</w:t>
            </w:r>
          </w:p>
        </w:tc>
        <w:tc>
          <w:tcPr>
            <w:tcW w:w="1055" w:type="dxa"/>
            <w:gridSpan w:val="3"/>
            <w:tcBorders>
              <w:top w:val="nil"/>
              <w:left w:val="nil"/>
              <w:bottom w:val="single" w:sz="6" w:space="0" w:color="000000"/>
              <w:right w:val="nil"/>
            </w:tcBorders>
            <w:shd w:val="solid" w:color="FFFFFF" w:fill="auto"/>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3 079.1</w:t>
            </w:r>
          </w:p>
        </w:tc>
        <w:tc>
          <w:tcPr>
            <w:tcW w:w="1055" w:type="dxa"/>
            <w:gridSpan w:val="2"/>
            <w:tcBorders>
              <w:top w:val="nil"/>
              <w:left w:val="nil"/>
              <w:bottom w:val="single" w:sz="6" w:space="0" w:color="000000"/>
              <w:right w:val="nil"/>
            </w:tcBorders>
            <w:shd w:val="solid" w:color="FFFFFF" w:fill="auto"/>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3 043.9</w:t>
            </w:r>
          </w:p>
        </w:tc>
      </w:tr>
      <w:tr w:rsidR="00336793" w:rsidRPr="00836A31" w:rsidTr="00DF0B96">
        <w:tc>
          <w:tcPr>
            <w:tcW w:w="5417" w:type="dxa"/>
            <w:tcBorders>
              <w:top w:val="nil"/>
              <w:left w:val="nil"/>
              <w:bottom w:val="nil"/>
              <w:right w:val="nil"/>
            </w:tcBorders>
            <w:shd w:val="solid" w:color="FFFFFF" w:fill="auto"/>
          </w:tcPr>
          <w:p w:rsidR="00336793" w:rsidRPr="00836A31" w:rsidRDefault="00336793" w:rsidP="00DF0B96">
            <w:pPr>
              <w:pStyle w:val="Tabletext"/>
              <w:rPr>
                <w:rFonts w:eastAsiaTheme="minorEastAsia" w:cs="Calibri"/>
                <w:b/>
                <w:bCs/>
                <w:color w:val="000000"/>
                <w:szCs w:val="22"/>
                <w:vertAlign w:val="superscript"/>
                <w:lang w:eastAsia="en-AU"/>
              </w:rPr>
            </w:pPr>
            <w:r w:rsidRPr="00836A31">
              <w:rPr>
                <w:rFonts w:eastAsiaTheme="minorEastAsia"/>
                <w:b/>
                <w:bCs/>
                <w:lang w:eastAsia="en-AU"/>
              </w:rPr>
              <w:t>Cash and cash equivalents</w:t>
            </w:r>
            <w:r w:rsidRPr="00E96950">
              <w:rPr>
                <w:rFonts w:eastAsiaTheme="minorEastAsia"/>
                <w:b/>
                <w:bCs/>
                <w:vertAlign w:val="superscript"/>
                <w:lang w:eastAsia="en-AU"/>
              </w:rPr>
              <w:t xml:space="preserve"> </w:t>
            </w:r>
            <w:r w:rsidRPr="00836A31">
              <w:rPr>
                <w:rFonts w:eastAsiaTheme="minorEastAsia"/>
                <w:b/>
                <w:bCs/>
                <w:vertAlign w:val="superscript"/>
                <w:lang w:eastAsia="en-AU"/>
              </w:rPr>
              <w:t>(a)</w:t>
            </w:r>
          </w:p>
        </w:tc>
        <w:tc>
          <w:tcPr>
            <w:tcW w:w="1055" w:type="dxa"/>
            <w:tcBorders>
              <w:top w:val="nil"/>
              <w:left w:val="nil"/>
              <w:bottom w:val="nil"/>
              <w:right w:val="nil"/>
            </w:tcBorders>
            <w:shd w:val="solid" w:color="FFFFFF" w:fill="auto"/>
          </w:tcPr>
          <w:p w:rsidR="00336793" w:rsidRPr="00836A31" w:rsidRDefault="00336793" w:rsidP="00DF0B96">
            <w:pPr>
              <w:pStyle w:val="TableofFigures"/>
              <w:rPr>
                <w:rFonts w:eastAsiaTheme="minorEastAsia" w:cs="Calibri"/>
                <w:b/>
                <w:bCs/>
                <w:color w:val="000000"/>
                <w:szCs w:val="22"/>
                <w:lang w:eastAsia="en-AU"/>
              </w:rPr>
            </w:pPr>
            <w:r w:rsidRPr="00836A31">
              <w:rPr>
                <w:rFonts w:eastAsiaTheme="minorEastAsia"/>
                <w:b/>
                <w:bCs/>
                <w:lang w:eastAsia="en-AU"/>
              </w:rPr>
              <w:t>6 521.1</w:t>
            </w:r>
          </w:p>
        </w:tc>
        <w:tc>
          <w:tcPr>
            <w:tcW w:w="1055" w:type="dxa"/>
            <w:tcBorders>
              <w:top w:val="nil"/>
              <w:left w:val="nil"/>
              <w:bottom w:val="nil"/>
              <w:right w:val="nil"/>
            </w:tcBorders>
            <w:shd w:val="solid" w:color="FFFFFF" w:fill="auto"/>
          </w:tcPr>
          <w:p w:rsidR="00336793" w:rsidRPr="00836A31" w:rsidRDefault="00336793" w:rsidP="00DF0B96">
            <w:pPr>
              <w:pStyle w:val="TableofFigures"/>
              <w:rPr>
                <w:rFonts w:eastAsiaTheme="minorEastAsia" w:cs="Calibri"/>
                <w:b/>
                <w:bCs/>
                <w:color w:val="000000"/>
                <w:szCs w:val="22"/>
                <w:lang w:eastAsia="en-AU"/>
              </w:rPr>
            </w:pPr>
            <w:r w:rsidRPr="00836A31">
              <w:rPr>
                <w:rFonts w:eastAsiaTheme="minorEastAsia"/>
                <w:b/>
                <w:bCs/>
                <w:lang w:eastAsia="en-AU"/>
              </w:rPr>
              <w:t>8 282.0</w:t>
            </w:r>
          </w:p>
        </w:tc>
        <w:tc>
          <w:tcPr>
            <w:tcW w:w="1055" w:type="dxa"/>
            <w:gridSpan w:val="3"/>
            <w:tcBorders>
              <w:top w:val="nil"/>
              <w:left w:val="nil"/>
              <w:bottom w:val="nil"/>
              <w:right w:val="nil"/>
            </w:tcBorders>
            <w:shd w:val="solid" w:color="FFFFFF" w:fill="auto"/>
          </w:tcPr>
          <w:p w:rsidR="00336793" w:rsidRPr="00836A31" w:rsidRDefault="00336793" w:rsidP="00DF0B96">
            <w:pPr>
              <w:pStyle w:val="TableofFigures"/>
              <w:rPr>
                <w:rFonts w:eastAsiaTheme="minorEastAsia" w:cs="Calibri"/>
                <w:b/>
                <w:bCs/>
                <w:color w:val="000000"/>
                <w:szCs w:val="22"/>
                <w:lang w:eastAsia="en-AU"/>
              </w:rPr>
            </w:pPr>
            <w:r w:rsidRPr="00836A31">
              <w:rPr>
                <w:rFonts w:eastAsiaTheme="minorEastAsia"/>
                <w:b/>
                <w:bCs/>
                <w:lang w:eastAsia="en-AU"/>
              </w:rPr>
              <w:t>4 281.7</w:t>
            </w:r>
          </w:p>
        </w:tc>
        <w:tc>
          <w:tcPr>
            <w:tcW w:w="1055" w:type="dxa"/>
            <w:gridSpan w:val="2"/>
            <w:tcBorders>
              <w:top w:val="nil"/>
              <w:left w:val="nil"/>
              <w:bottom w:val="nil"/>
              <w:right w:val="nil"/>
            </w:tcBorders>
            <w:shd w:val="solid" w:color="FFFFFF" w:fill="auto"/>
          </w:tcPr>
          <w:p w:rsidR="00336793" w:rsidRPr="00836A31" w:rsidRDefault="00336793" w:rsidP="00DF0B96">
            <w:pPr>
              <w:pStyle w:val="TableofFigures"/>
              <w:rPr>
                <w:rFonts w:eastAsiaTheme="minorEastAsia" w:cs="Calibri"/>
                <w:b/>
                <w:bCs/>
                <w:color w:val="000000"/>
                <w:szCs w:val="22"/>
                <w:lang w:eastAsia="en-AU"/>
              </w:rPr>
            </w:pPr>
            <w:r w:rsidRPr="00836A31">
              <w:rPr>
                <w:rFonts w:eastAsiaTheme="minorEastAsia"/>
                <w:b/>
                <w:bCs/>
                <w:lang w:eastAsia="en-AU"/>
              </w:rPr>
              <w:t>4 582.2</w:t>
            </w:r>
          </w:p>
        </w:tc>
      </w:tr>
      <w:tr w:rsidR="00336793" w:rsidRPr="00836A31" w:rsidTr="00DF0B96">
        <w:tc>
          <w:tcPr>
            <w:tcW w:w="5417" w:type="dxa"/>
            <w:tcBorders>
              <w:top w:val="nil"/>
              <w:left w:val="nil"/>
              <w:bottom w:val="single" w:sz="6" w:space="0" w:color="000000"/>
              <w:right w:val="nil"/>
            </w:tcBorders>
            <w:shd w:val="solid" w:color="FFFFFF" w:fill="auto"/>
          </w:tcPr>
          <w:p w:rsidR="00336793" w:rsidRPr="00836A31" w:rsidRDefault="00336793" w:rsidP="00DF0B96">
            <w:pPr>
              <w:pStyle w:val="Tabletext"/>
              <w:rPr>
                <w:rFonts w:eastAsiaTheme="minorEastAsia"/>
                <w:lang w:eastAsia="en-AU"/>
              </w:rPr>
            </w:pPr>
            <w:r w:rsidRPr="00836A31">
              <w:rPr>
                <w:rFonts w:eastAsiaTheme="minorEastAsia"/>
                <w:lang w:eastAsia="en-AU"/>
              </w:rPr>
              <w:t>Bank overdraft</w:t>
            </w:r>
          </w:p>
        </w:tc>
        <w:tc>
          <w:tcPr>
            <w:tcW w:w="1055" w:type="dxa"/>
            <w:tcBorders>
              <w:top w:val="nil"/>
              <w:left w:val="nil"/>
              <w:bottom w:val="single" w:sz="6" w:space="0" w:color="000000"/>
              <w:right w:val="nil"/>
            </w:tcBorders>
            <w:shd w:val="solid" w:color="FFFFFF" w:fill="auto"/>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10.8)</w:t>
            </w:r>
          </w:p>
        </w:tc>
        <w:tc>
          <w:tcPr>
            <w:tcW w:w="1055" w:type="dxa"/>
            <w:tcBorders>
              <w:top w:val="nil"/>
              <w:left w:val="nil"/>
              <w:bottom w:val="single" w:sz="6" w:space="0" w:color="000000"/>
              <w:right w:val="nil"/>
            </w:tcBorders>
            <w:shd w:val="solid" w:color="FFFFFF" w:fill="auto"/>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0.8)</w:t>
            </w:r>
          </w:p>
        </w:tc>
        <w:tc>
          <w:tcPr>
            <w:tcW w:w="1055" w:type="dxa"/>
            <w:gridSpan w:val="3"/>
            <w:tcBorders>
              <w:top w:val="nil"/>
              <w:left w:val="nil"/>
              <w:bottom w:val="single" w:sz="6" w:space="0" w:color="000000"/>
              <w:right w:val="nil"/>
            </w:tcBorders>
            <w:shd w:val="solid" w:color="FFFFFF" w:fill="auto"/>
          </w:tcPr>
          <w:p w:rsidR="00336793" w:rsidRPr="00836A31" w:rsidRDefault="00336793" w:rsidP="00DF0B96">
            <w:pPr>
              <w:pStyle w:val="TableofFigures"/>
              <w:rPr>
                <w:rFonts w:eastAsiaTheme="minorEastAsia"/>
                <w:lang w:eastAsia="en-AU"/>
              </w:rPr>
            </w:pPr>
            <w:r w:rsidRPr="00836A31">
              <w:rPr>
                <w:rFonts w:eastAsiaTheme="minorEastAsia"/>
                <w:lang w:eastAsia="en-AU"/>
              </w:rPr>
              <w:t>..</w:t>
            </w:r>
          </w:p>
        </w:tc>
        <w:tc>
          <w:tcPr>
            <w:tcW w:w="1055" w:type="dxa"/>
            <w:gridSpan w:val="2"/>
            <w:tcBorders>
              <w:top w:val="nil"/>
              <w:left w:val="nil"/>
              <w:bottom w:val="single" w:sz="6" w:space="0" w:color="000000"/>
              <w:right w:val="nil"/>
            </w:tcBorders>
            <w:shd w:val="solid" w:color="FFFFFF" w:fill="auto"/>
          </w:tcPr>
          <w:p w:rsidR="00336793" w:rsidRPr="00836A31" w:rsidRDefault="00336793" w:rsidP="00DF0B96">
            <w:pPr>
              <w:pStyle w:val="TableofFigures"/>
              <w:rPr>
                <w:rFonts w:eastAsiaTheme="minorEastAsia"/>
                <w:lang w:eastAsia="en-AU"/>
              </w:rPr>
            </w:pPr>
            <w:r w:rsidRPr="00836A31">
              <w:rPr>
                <w:rFonts w:eastAsiaTheme="minorEastAsia"/>
                <w:lang w:eastAsia="en-AU"/>
              </w:rPr>
              <w:t>..</w:t>
            </w:r>
          </w:p>
        </w:tc>
      </w:tr>
      <w:tr w:rsidR="00336793" w:rsidRPr="00836A31" w:rsidTr="00DF0B96">
        <w:tc>
          <w:tcPr>
            <w:tcW w:w="5417" w:type="dxa"/>
            <w:tcBorders>
              <w:top w:val="single" w:sz="6" w:space="0" w:color="000000"/>
              <w:left w:val="nil"/>
              <w:bottom w:val="single" w:sz="12" w:space="0" w:color="000000"/>
              <w:right w:val="nil"/>
            </w:tcBorders>
            <w:shd w:val="solid" w:color="FFFFFF" w:fill="auto"/>
          </w:tcPr>
          <w:p w:rsidR="00336793" w:rsidRPr="00836A31" w:rsidRDefault="00336793" w:rsidP="00DF0B96">
            <w:pPr>
              <w:pStyle w:val="Tabletext"/>
              <w:rPr>
                <w:rFonts w:eastAsiaTheme="minorEastAsia" w:cs="Calibri"/>
                <w:b/>
                <w:bCs/>
                <w:color w:val="000000"/>
                <w:szCs w:val="22"/>
                <w:vertAlign w:val="superscript"/>
                <w:lang w:eastAsia="en-AU"/>
              </w:rPr>
            </w:pPr>
            <w:r w:rsidRPr="00836A31">
              <w:rPr>
                <w:rFonts w:eastAsiaTheme="minorEastAsia"/>
                <w:b/>
                <w:bCs/>
                <w:lang w:eastAsia="en-AU"/>
              </w:rPr>
              <w:t>Balances as per cash flow statement</w:t>
            </w:r>
            <w:r w:rsidRPr="00836A31">
              <w:rPr>
                <w:rFonts w:eastAsiaTheme="minorEastAsia"/>
                <w:b/>
                <w:bCs/>
                <w:vertAlign w:val="superscript"/>
                <w:lang w:eastAsia="en-AU"/>
              </w:rPr>
              <w:t xml:space="preserve"> (a)</w:t>
            </w:r>
          </w:p>
        </w:tc>
        <w:tc>
          <w:tcPr>
            <w:tcW w:w="1055" w:type="dxa"/>
            <w:tcBorders>
              <w:top w:val="single" w:sz="6" w:space="0" w:color="000000"/>
              <w:left w:val="nil"/>
              <w:bottom w:val="single" w:sz="12" w:space="0" w:color="000000"/>
              <w:right w:val="nil"/>
            </w:tcBorders>
            <w:shd w:val="solid" w:color="FFFFFF" w:fill="auto"/>
          </w:tcPr>
          <w:p w:rsidR="00336793" w:rsidRPr="00836A31" w:rsidRDefault="00336793" w:rsidP="00DF0B96">
            <w:pPr>
              <w:pStyle w:val="TableofFigures"/>
              <w:rPr>
                <w:rFonts w:eastAsiaTheme="minorEastAsia" w:cs="Calibri"/>
                <w:b/>
                <w:bCs/>
                <w:color w:val="000000"/>
                <w:szCs w:val="22"/>
                <w:lang w:eastAsia="en-AU"/>
              </w:rPr>
            </w:pPr>
            <w:r w:rsidRPr="00836A31">
              <w:rPr>
                <w:rFonts w:eastAsiaTheme="minorEastAsia"/>
                <w:b/>
                <w:bCs/>
                <w:lang w:eastAsia="en-AU"/>
              </w:rPr>
              <w:t>6 510.3</w:t>
            </w:r>
          </w:p>
        </w:tc>
        <w:tc>
          <w:tcPr>
            <w:tcW w:w="1055" w:type="dxa"/>
            <w:tcBorders>
              <w:top w:val="single" w:sz="6" w:space="0" w:color="000000"/>
              <w:left w:val="nil"/>
              <w:bottom w:val="single" w:sz="12" w:space="0" w:color="000000"/>
              <w:right w:val="nil"/>
            </w:tcBorders>
            <w:shd w:val="solid" w:color="FFFFFF" w:fill="auto"/>
          </w:tcPr>
          <w:p w:rsidR="00336793" w:rsidRPr="00836A31" w:rsidRDefault="00336793" w:rsidP="00DF0B96">
            <w:pPr>
              <w:pStyle w:val="TableofFigures"/>
              <w:rPr>
                <w:rFonts w:eastAsiaTheme="minorEastAsia" w:cs="Calibri"/>
                <w:b/>
                <w:bCs/>
                <w:color w:val="000000"/>
                <w:szCs w:val="22"/>
                <w:lang w:eastAsia="en-AU"/>
              </w:rPr>
            </w:pPr>
            <w:r w:rsidRPr="00836A31">
              <w:rPr>
                <w:rFonts w:eastAsiaTheme="minorEastAsia"/>
                <w:b/>
                <w:bCs/>
                <w:lang w:eastAsia="en-AU"/>
              </w:rPr>
              <w:t>8 281.3</w:t>
            </w:r>
          </w:p>
        </w:tc>
        <w:tc>
          <w:tcPr>
            <w:tcW w:w="1055" w:type="dxa"/>
            <w:gridSpan w:val="3"/>
            <w:tcBorders>
              <w:top w:val="single" w:sz="6" w:space="0" w:color="000000"/>
              <w:left w:val="nil"/>
              <w:bottom w:val="single" w:sz="12" w:space="0" w:color="000000"/>
              <w:right w:val="nil"/>
            </w:tcBorders>
            <w:shd w:val="solid" w:color="FFFFFF" w:fill="auto"/>
          </w:tcPr>
          <w:p w:rsidR="00336793" w:rsidRPr="00836A31" w:rsidRDefault="00336793" w:rsidP="00DF0B96">
            <w:pPr>
              <w:pStyle w:val="TableofFigures"/>
              <w:rPr>
                <w:rFonts w:eastAsiaTheme="minorEastAsia" w:cs="Calibri"/>
                <w:b/>
                <w:bCs/>
                <w:color w:val="000000"/>
                <w:szCs w:val="22"/>
                <w:lang w:eastAsia="en-AU"/>
              </w:rPr>
            </w:pPr>
            <w:r w:rsidRPr="00836A31">
              <w:rPr>
                <w:rFonts w:eastAsiaTheme="minorEastAsia"/>
                <w:b/>
                <w:bCs/>
                <w:lang w:eastAsia="en-AU"/>
              </w:rPr>
              <w:t>4 281.7</w:t>
            </w:r>
          </w:p>
        </w:tc>
        <w:tc>
          <w:tcPr>
            <w:tcW w:w="1055" w:type="dxa"/>
            <w:gridSpan w:val="2"/>
            <w:tcBorders>
              <w:top w:val="single" w:sz="6" w:space="0" w:color="000000"/>
              <w:left w:val="nil"/>
              <w:bottom w:val="single" w:sz="12" w:space="0" w:color="000000"/>
              <w:right w:val="nil"/>
            </w:tcBorders>
            <w:shd w:val="solid" w:color="FFFFFF" w:fill="auto"/>
          </w:tcPr>
          <w:p w:rsidR="00336793" w:rsidRPr="00836A31" w:rsidRDefault="00336793" w:rsidP="00DF0B96">
            <w:pPr>
              <w:pStyle w:val="TableofFigures"/>
              <w:rPr>
                <w:rFonts w:eastAsiaTheme="minorEastAsia" w:cs="Calibri"/>
                <w:b/>
                <w:bCs/>
                <w:color w:val="000000"/>
                <w:szCs w:val="22"/>
                <w:lang w:eastAsia="en-AU"/>
              </w:rPr>
            </w:pPr>
            <w:r w:rsidRPr="00836A31">
              <w:rPr>
                <w:rFonts w:eastAsiaTheme="minorEastAsia"/>
                <w:b/>
                <w:bCs/>
                <w:lang w:eastAsia="en-AU"/>
              </w:rPr>
              <w:t>4 582.2</w:t>
            </w:r>
          </w:p>
        </w:tc>
      </w:tr>
    </w:tbl>
    <w:p w:rsidR="00336793" w:rsidRPr="006A75A2" w:rsidRDefault="00336793" w:rsidP="00DF0B96"/>
    <w:p w:rsidR="00336793" w:rsidRPr="006A75A2" w:rsidRDefault="00336793" w:rsidP="00DF0B96"/>
    <w:p w:rsidR="00336793" w:rsidRPr="006A75A2" w:rsidRDefault="00336793" w:rsidP="00DF0B96">
      <w:pPr>
        <w:pStyle w:val="Heading5"/>
      </w:pPr>
      <w:r w:rsidRPr="006A75A2">
        <w:t>(b)</w:t>
      </w:r>
      <w:r w:rsidRPr="006A75A2">
        <w:tab/>
        <w:t>Reconciliation of net result to net cash flows from operating activities</w:t>
      </w:r>
    </w:p>
    <w:p w:rsidR="00336793" w:rsidRPr="00836A31"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417"/>
        <w:gridCol w:w="270"/>
        <w:gridCol w:w="785"/>
        <w:gridCol w:w="1055"/>
        <w:gridCol w:w="236"/>
        <w:gridCol w:w="819"/>
        <w:gridCol w:w="1055"/>
      </w:tblGrid>
      <w:tr w:rsidR="00336793" w:rsidRPr="00836A31" w:rsidTr="00DF0B96">
        <w:trPr>
          <w:tblHeader/>
        </w:trPr>
        <w:tc>
          <w:tcPr>
            <w:tcW w:w="5417" w:type="dxa"/>
            <w:tcBorders>
              <w:top w:val="single" w:sz="6" w:space="0" w:color="auto"/>
              <w:left w:val="single" w:sz="6" w:space="0" w:color="auto"/>
              <w:bottom w:val="nil"/>
              <w:right w:val="nil"/>
            </w:tcBorders>
            <w:shd w:val="clear" w:color="000000" w:fill="000000"/>
            <w:vAlign w:val="bottom"/>
          </w:tcPr>
          <w:p w:rsidR="00336793" w:rsidRPr="00836A31" w:rsidRDefault="00336793" w:rsidP="00DF0B96">
            <w:pPr>
              <w:pStyle w:val="Tabletext"/>
              <w:rPr>
                <w:rFonts w:eastAsiaTheme="minorEastAsia"/>
                <w:lang w:eastAsia="en-AU"/>
              </w:rPr>
            </w:pPr>
            <w:r w:rsidRPr="00836A31">
              <w:rPr>
                <w:rFonts w:eastAsiaTheme="minorEastAsia"/>
                <w:lang w:eastAsia="en-AU"/>
              </w:rPr>
              <w:t xml:space="preserve"> </w:t>
            </w:r>
          </w:p>
        </w:tc>
        <w:tc>
          <w:tcPr>
            <w:tcW w:w="270" w:type="dxa"/>
            <w:tcBorders>
              <w:top w:val="single" w:sz="6" w:space="0" w:color="auto"/>
              <w:left w:val="nil"/>
              <w:bottom w:val="nil"/>
              <w:right w:val="nil"/>
            </w:tcBorders>
            <w:shd w:val="clear" w:color="000000" w:fill="000000"/>
            <w:vAlign w:val="bottom"/>
          </w:tcPr>
          <w:p w:rsidR="00336793" w:rsidRPr="00836A31" w:rsidRDefault="00336793" w:rsidP="00DF0B96">
            <w:pPr>
              <w:pStyle w:val="TabletextheadingCentred"/>
              <w:rPr>
                <w:rFonts w:eastAsiaTheme="minorEastAsia"/>
                <w:lang w:eastAsia="en-AU"/>
              </w:rPr>
            </w:pPr>
            <w:r w:rsidRPr="00836A31">
              <w:rPr>
                <w:rFonts w:eastAsiaTheme="minorEastAsia"/>
                <w:lang w:eastAsia="en-AU"/>
              </w:rPr>
              <w:t xml:space="preserve"> </w:t>
            </w:r>
          </w:p>
        </w:tc>
        <w:tc>
          <w:tcPr>
            <w:tcW w:w="1840" w:type="dxa"/>
            <w:gridSpan w:val="2"/>
            <w:tcBorders>
              <w:top w:val="single" w:sz="6" w:space="0" w:color="auto"/>
              <w:left w:val="nil"/>
              <w:bottom w:val="nil"/>
              <w:right w:val="nil"/>
            </w:tcBorders>
            <w:shd w:val="clear" w:color="000000" w:fill="000000"/>
            <w:vAlign w:val="bottom"/>
          </w:tcPr>
          <w:p w:rsidR="00336793" w:rsidRPr="00836A31" w:rsidRDefault="00336793" w:rsidP="00DF0B96">
            <w:pPr>
              <w:pStyle w:val="TabletextheadingCentred"/>
              <w:rPr>
                <w:rFonts w:eastAsiaTheme="minorEastAsia"/>
                <w:lang w:eastAsia="en-AU"/>
              </w:rPr>
            </w:pPr>
          </w:p>
          <w:p w:rsidR="00336793" w:rsidRPr="00836A31" w:rsidRDefault="00336793" w:rsidP="00DF0B96">
            <w:pPr>
              <w:pStyle w:val="TabletextheadingCentred"/>
              <w:rPr>
                <w:rFonts w:eastAsiaTheme="minorEastAsia"/>
                <w:lang w:eastAsia="en-AU"/>
              </w:rPr>
            </w:pPr>
            <w:r w:rsidRPr="00836A31">
              <w:rPr>
                <w:rFonts w:eastAsiaTheme="minorEastAsia"/>
                <w:lang w:eastAsia="en-AU"/>
              </w:rPr>
              <w:t>State of Victoria</w:t>
            </w:r>
          </w:p>
        </w:tc>
        <w:tc>
          <w:tcPr>
            <w:tcW w:w="236" w:type="dxa"/>
            <w:tcBorders>
              <w:top w:val="single" w:sz="6" w:space="0" w:color="auto"/>
              <w:left w:val="nil"/>
              <w:bottom w:val="nil"/>
              <w:right w:val="nil"/>
            </w:tcBorders>
            <w:shd w:val="clear" w:color="000000" w:fill="000000"/>
            <w:vAlign w:val="bottom"/>
          </w:tcPr>
          <w:p w:rsidR="00336793" w:rsidRPr="00836A31" w:rsidRDefault="00336793" w:rsidP="00DF0B96">
            <w:pPr>
              <w:pStyle w:val="TabletextheadingCentred"/>
              <w:rPr>
                <w:rFonts w:eastAsiaTheme="minorEastAsia"/>
                <w:lang w:eastAsia="en-AU"/>
              </w:rPr>
            </w:pPr>
            <w:r w:rsidRPr="00836A31">
              <w:rPr>
                <w:rFonts w:eastAsiaTheme="minorEastAsia"/>
                <w:lang w:eastAsia="en-AU"/>
              </w:rPr>
              <w:t xml:space="preserve"> </w:t>
            </w:r>
          </w:p>
        </w:tc>
        <w:tc>
          <w:tcPr>
            <w:tcW w:w="1874" w:type="dxa"/>
            <w:gridSpan w:val="2"/>
            <w:tcBorders>
              <w:top w:val="single" w:sz="6" w:space="0" w:color="auto"/>
              <w:left w:val="nil"/>
              <w:bottom w:val="nil"/>
              <w:right w:val="single" w:sz="6" w:space="0" w:color="auto"/>
            </w:tcBorders>
            <w:shd w:val="clear" w:color="000000" w:fill="000000"/>
            <w:vAlign w:val="bottom"/>
          </w:tcPr>
          <w:p w:rsidR="00336793" w:rsidRPr="00836A31" w:rsidRDefault="00336793" w:rsidP="00DF0B96">
            <w:pPr>
              <w:pStyle w:val="TabletextheadingCentred"/>
              <w:rPr>
                <w:rFonts w:eastAsiaTheme="minorEastAsia"/>
                <w:lang w:eastAsia="en-AU"/>
              </w:rPr>
            </w:pPr>
            <w:r w:rsidRPr="00836A31">
              <w:rPr>
                <w:rFonts w:eastAsiaTheme="minorEastAsia"/>
                <w:lang w:eastAsia="en-AU"/>
              </w:rPr>
              <w:t xml:space="preserve">General </w:t>
            </w:r>
          </w:p>
          <w:p w:rsidR="00336793" w:rsidRPr="00836A31" w:rsidRDefault="00336793" w:rsidP="00DF0B96">
            <w:pPr>
              <w:pStyle w:val="TabletextheadingCentred"/>
              <w:rPr>
                <w:rFonts w:eastAsiaTheme="minorEastAsia"/>
                <w:lang w:eastAsia="en-AU"/>
              </w:rPr>
            </w:pPr>
            <w:r w:rsidRPr="00836A31">
              <w:rPr>
                <w:rFonts w:eastAsiaTheme="minorEastAsia"/>
                <w:lang w:eastAsia="en-AU"/>
              </w:rPr>
              <w:t>government sector</w:t>
            </w:r>
          </w:p>
        </w:tc>
      </w:tr>
      <w:tr w:rsidR="00336793" w:rsidRPr="00836A31" w:rsidTr="00DF0B96">
        <w:trPr>
          <w:tblHeader/>
        </w:trPr>
        <w:tc>
          <w:tcPr>
            <w:tcW w:w="5417" w:type="dxa"/>
            <w:tcBorders>
              <w:left w:val="single" w:sz="6" w:space="0" w:color="auto"/>
              <w:bottom w:val="single" w:sz="6" w:space="0" w:color="auto"/>
              <w:right w:val="nil"/>
            </w:tcBorders>
            <w:shd w:val="clear" w:color="000000" w:fill="000000"/>
            <w:vAlign w:val="bottom"/>
          </w:tcPr>
          <w:p w:rsidR="00336793" w:rsidRPr="00836A31" w:rsidRDefault="00336793" w:rsidP="00DF0B96">
            <w:pPr>
              <w:pStyle w:val="Tabletext"/>
              <w:rPr>
                <w:rFonts w:eastAsiaTheme="minorEastAsia"/>
                <w:lang w:eastAsia="en-AU"/>
              </w:rPr>
            </w:pPr>
            <w:r w:rsidRPr="00836A31">
              <w:rPr>
                <w:rFonts w:eastAsiaTheme="minorEastAsia"/>
                <w:lang w:eastAsia="en-AU"/>
              </w:rPr>
              <w:t xml:space="preserve"> </w:t>
            </w:r>
          </w:p>
        </w:tc>
        <w:tc>
          <w:tcPr>
            <w:tcW w:w="1055" w:type="dxa"/>
            <w:gridSpan w:val="2"/>
            <w:tcBorders>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iCs/>
                <w:color w:val="FFFFFF"/>
                <w:lang w:eastAsia="en-AU"/>
              </w:rPr>
            </w:pPr>
            <w:r w:rsidRPr="00836A31">
              <w:rPr>
                <w:rFonts w:eastAsiaTheme="minorEastAsia"/>
                <w:iCs/>
                <w:color w:val="FFFFFF"/>
                <w:lang w:eastAsia="en-AU"/>
              </w:rPr>
              <w:t>2015</w:t>
            </w:r>
          </w:p>
        </w:tc>
        <w:tc>
          <w:tcPr>
            <w:tcW w:w="1055" w:type="dxa"/>
            <w:tcBorders>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iCs/>
                <w:color w:val="FFFFFF"/>
                <w:vertAlign w:val="superscript"/>
                <w:lang w:eastAsia="en-AU"/>
              </w:rPr>
            </w:pPr>
            <w:r w:rsidRPr="00836A31">
              <w:rPr>
                <w:rFonts w:eastAsiaTheme="minorEastAsia"/>
                <w:iCs/>
                <w:color w:val="FFFFFF"/>
                <w:lang w:eastAsia="en-AU"/>
              </w:rPr>
              <w:t>2014</w:t>
            </w:r>
            <w:r w:rsidRPr="00836A31">
              <w:rPr>
                <w:rFonts w:eastAsiaTheme="minorEastAsia"/>
                <w:iCs/>
                <w:color w:val="FFFFFF"/>
                <w:vertAlign w:val="superscript"/>
                <w:lang w:eastAsia="en-AU"/>
              </w:rPr>
              <w:t>(a)</w:t>
            </w:r>
          </w:p>
        </w:tc>
        <w:tc>
          <w:tcPr>
            <w:tcW w:w="1055" w:type="dxa"/>
            <w:gridSpan w:val="2"/>
            <w:tcBorders>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iCs/>
                <w:color w:val="FFFFFF"/>
                <w:lang w:eastAsia="en-AU"/>
              </w:rPr>
            </w:pPr>
            <w:r w:rsidRPr="00836A31">
              <w:rPr>
                <w:rFonts w:eastAsiaTheme="minorEastAsia"/>
                <w:iCs/>
                <w:color w:val="FFFFFF"/>
                <w:lang w:eastAsia="en-AU"/>
              </w:rPr>
              <w:t>2015</w:t>
            </w:r>
          </w:p>
        </w:tc>
        <w:tc>
          <w:tcPr>
            <w:tcW w:w="1055" w:type="dxa"/>
            <w:tcBorders>
              <w:left w:val="nil"/>
              <w:bottom w:val="single" w:sz="6" w:space="0" w:color="auto"/>
              <w:right w:val="single" w:sz="6" w:space="0" w:color="auto"/>
            </w:tcBorders>
            <w:shd w:val="clear" w:color="000000" w:fill="000000"/>
            <w:vAlign w:val="bottom"/>
          </w:tcPr>
          <w:p w:rsidR="00336793" w:rsidRPr="00836A31" w:rsidRDefault="00336793" w:rsidP="00DF0B96">
            <w:pPr>
              <w:pStyle w:val="Tabletextheading"/>
              <w:rPr>
                <w:rFonts w:eastAsiaTheme="minorEastAsia"/>
                <w:iCs/>
                <w:color w:val="FFFFFF"/>
                <w:vertAlign w:val="superscript"/>
                <w:lang w:eastAsia="en-AU"/>
              </w:rPr>
            </w:pPr>
            <w:r w:rsidRPr="00836A31">
              <w:rPr>
                <w:rFonts w:eastAsiaTheme="minorEastAsia"/>
                <w:iCs/>
                <w:color w:val="FFFFFF"/>
                <w:lang w:eastAsia="en-AU"/>
              </w:rPr>
              <w:t>2014</w:t>
            </w:r>
            <w:r w:rsidRPr="00836A31">
              <w:rPr>
                <w:rFonts w:eastAsiaTheme="minorEastAsia"/>
                <w:iCs/>
                <w:color w:val="FFFFFF"/>
                <w:vertAlign w:val="superscript"/>
                <w:lang w:eastAsia="en-AU"/>
              </w:rPr>
              <w:t>(a)</w:t>
            </w:r>
          </w:p>
        </w:tc>
      </w:tr>
      <w:tr w:rsidR="00336793" w:rsidRPr="00836A31" w:rsidTr="00DF0B96">
        <w:tc>
          <w:tcPr>
            <w:tcW w:w="5417" w:type="dxa"/>
            <w:tcBorders>
              <w:top w:val="single" w:sz="6" w:space="0" w:color="auto"/>
              <w:left w:val="nil"/>
              <w:bottom w:val="nil"/>
              <w:right w:val="nil"/>
            </w:tcBorders>
          </w:tcPr>
          <w:p w:rsidR="00336793" w:rsidRPr="00836A31" w:rsidRDefault="00336793" w:rsidP="00DF0B96">
            <w:pPr>
              <w:pStyle w:val="Tabletext"/>
              <w:rPr>
                <w:rFonts w:eastAsiaTheme="minorEastAsia"/>
                <w:b/>
                <w:bCs/>
                <w:vertAlign w:val="superscript"/>
                <w:lang w:eastAsia="en-AU"/>
              </w:rPr>
            </w:pPr>
            <w:r w:rsidRPr="00836A31">
              <w:rPr>
                <w:rFonts w:eastAsiaTheme="minorEastAsia"/>
                <w:b/>
                <w:bCs/>
                <w:lang w:eastAsia="en-AU"/>
              </w:rPr>
              <w:t>Net result</w:t>
            </w:r>
          </w:p>
        </w:tc>
        <w:tc>
          <w:tcPr>
            <w:tcW w:w="1055" w:type="dxa"/>
            <w:gridSpan w:val="2"/>
            <w:tcBorders>
              <w:top w:val="single" w:sz="6" w:space="0" w:color="auto"/>
              <w:left w:val="nil"/>
              <w:bottom w:val="nil"/>
              <w:right w:val="nil"/>
            </w:tcBorders>
          </w:tcPr>
          <w:p w:rsidR="00336793" w:rsidRPr="00836A31" w:rsidRDefault="00336793" w:rsidP="00DF0B96">
            <w:pPr>
              <w:pStyle w:val="TableofFigures"/>
              <w:rPr>
                <w:rFonts w:eastAsiaTheme="minorEastAsia" w:cs="Calibri"/>
                <w:b/>
                <w:bCs/>
                <w:color w:val="000000"/>
                <w:szCs w:val="22"/>
                <w:lang w:eastAsia="en-AU"/>
              </w:rPr>
            </w:pPr>
            <w:r w:rsidRPr="00836A31">
              <w:rPr>
                <w:rFonts w:eastAsiaTheme="minorEastAsia"/>
                <w:b/>
                <w:bCs/>
                <w:lang w:eastAsia="en-AU"/>
              </w:rPr>
              <w:t xml:space="preserve"> 50.7</w:t>
            </w:r>
          </w:p>
        </w:tc>
        <w:tc>
          <w:tcPr>
            <w:tcW w:w="1055" w:type="dxa"/>
            <w:tcBorders>
              <w:top w:val="single" w:sz="6" w:space="0" w:color="auto"/>
              <w:left w:val="nil"/>
              <w:bottom w:val="nil"/>
              <w:right w:val="nil"/>
            </w:tcBorders>
          </w:tcPr>
          <w:p w:rsidR="00336793" w:rsidRPr="00836A31" w:rsidRDefault="00336793" w:rsidP="00DF0B96">
            <w:pPr>
              <w:pStyle w:val="TableofFigures"/>
              <w:rPr>
                <w:rFonts w:eastAsiaTheme="minorEastAsia"/>
                <w:b/>
                <w:bCs/>
                <w:lang w:eastAsia="en-AU"/>
              </w:rPr>
            </w:pPr>
            <w:r w:rsidRPr="00836A31">
              <w:rPr>
                <w:rFonts w:eastAsiaTheme="minorEastAsia"/>
                <w:b/>
                <w:bCs/>
                <w:lang w:eastAsia="en-AU"/>
              </w:rPr>
              <w:t>1 651.9</w:t>
            </w:r>
          </w:p>
        </w:tc>
        <w:tc>
          <w:tcPr>
            <w:tcW w:w="1055" w:type="dxa"/>
            <w:gridSpan w:val="2"/>
            <w:tcBorders>
              <w:top w:val="single" w:sz="6" w:space="0" w:color="auto"/>
              <w:left w:val="nil"/>
              <w:bottom w:val="nil"/>
              <w:right w:val="nil"/>
            </w:tcBorders>
          </w:tcPr>
          <w:p w:rsidR="00336793" w:rsidRPr="00836A31" w:rsidRDefault="00336793" w:rsidP="00DF0B96">
            <w:pPr>
              <w:pStyle w:val="TableofFigures"/>
              <w:rPr>
                <w:rFonts w:eastAsiaTheme="minorEastAsia"/>
                <w:b/>
                <w:bCs/>
                <w:lang w:eastAsia="en-AU"/>
              </w:rPr>
            </w:pPr>
            <w:r w:rsidRPr="00836A31">
              <w:rPr>
                <w:rFonts w:eastAsiaTheme="minorEastAsia"/>
                <w:b/>
                <w:bCs/>
                <w:lang w:eastAsia="en-AU"/>
              </w:rPr>
              <w:t xml:space="preserve"> 748.8</w:t>
            </w:r>
          </w:p>
        </w:tc>
        <w:tc>
          <w:tcPr>
            <w:tcW w:w="1055" w:type="dxa"/>
            <w:tcBorders>
              <w:top w:val="single" w:sz="6" w:space="0" w:color="auto"/>
              <w:left w:val="nil"/>
              <w:bottom w:val="nil"/>
              <w:right w:val="nil"/>
            </w:tcBorders>
          </w:tcPr>
          <w:p w:rsidR="00336793" w:rsidRPr="00836A31" w:rsidRDefault="00336793" w:rsidP="00DF0B96">
            <w:pPr>
              <w:pStyle w:val="TableofFigures"/>
              <w:rPr>
                <w:rFonts w:eastAsiaTheme="minorEastAsia"/>
                <w:b/>
                <w:bCs/>
                <w:lang w:eastAsia="en-AU"/>
              </w:rPr>
            </w:pPr>
            <w:r w:rsidRPr="00836A31">
              <w:rPr>
                <w:rFonts w:eastAsiaTheme="minorEastAsia"/>
                <w:b/>
                <w:bCs/>
                <w:lang w:eastAsia="en-AU"/>
              </w:rPr>
              <w:t xml:space="preserve"> 765.7</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b/>
                <w:bCs/>
                <w:lang w:eastAsia="en-AU"/>
              </w:rPr>
            </w:pPr>
            <w:r w:rsidRPr="00836A31">
              <w:rPr>
                <w:rFonts w:eastAsiaTheme="minorEastAsia"/>
                <w:b/>
                <w:bCs/>
                <w:lang w:eastAsia="en-AU"/>
              </w:rPr>
              <w:t>Non</w:t>
            </w:r>
            <w:r>
              <w:rPr>
                <w:rFonts w:eastAsiaTheme="minorEastAsia"/>
                <w:b/>
                <w:bCs/>
                <w:lang w:eastAsia="en-AU"/>
              </w:rPr>
              <w:noBreakHyphen/>
            </w:r>
            <w:r w:rsidRPr="00836A31">
              <w:rPr>
                <w:rFonts w:eastAsiaTheme="minorEastAsia"/>
                <w:b/>
                <w:bCs/>
                <w:lang w:eastAsia="en-AU"/>
              </w:rPr>
              <w:t>cash movements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c>
          <w:tcPr>
            <w:tcW w:w="1055" w:type="dxa"/>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c>
          <w:tcPr>
            <w:tcW w:w="1055" w:type="dxa"/>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vertAlign w:val="superscript"/>
                <w:lang w:eastAsia="en-AU"/>
              </w:rPr>
            </w:pPr>
            <w:r w:rsidRPr="00836A31">
              <w:rPr>
                <w:rFonts w:eastAsiaTheme="minorEastAsia"/>
                <w:lang w:eastAsia="en-AU"/>
              </w:rPr>
              <w:t>Depreciation and amortisation</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4 487.5</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4 347.7</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2 429.4</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2 406.9</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Revaluation of investments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728.0)</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(1 372.4)</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21.4)</w:t>
            </w:r>
          </w:p>
        </w:tc>
        <w:tc>
          <w:tcPr>
            <w:tcW w:w="1055" w:type="dxa"/>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47.6)</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Assets (received)/provided free of charge</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142.3)</w:t>
            </w:r>
          </w:p>
        </w:tc>
        <w:tc>
          <w:tcPr>
            <w:tcW w:w="1055" w:type="dxa"/>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160.8)</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12.8</w:t>
            </w:r>
          </w:p>
        </w:tc>
        <w:tc>
          <w:tcPr>
            <w:tcW w:w="1055" w:type="dxa"/>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34.8)</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vertAlign w:val="superscript"/>
                <w:lang w:eastAsia="en-AU"/>
              </w:rPr>
            </w:pPr>
            <w:r w:rsidRPr="00836A31">
              <w:rPr>
                <w:rFonts w:eastAsiaTheme="minorEastAsia"/>
                <w:lang w:eastAsia="en-AU"/>
              </w:rPr>
              <w:t>Assets not previously/no longer recognised</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29.5)</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819.0</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29.4)</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819.2</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vertAlign w:val="superscript"/>
                <w:lang w:eastAsia="en-AU"/>
              </w:rPr>
            </w:pPr>
            <w:r w:rsidRPr="00836A31">
              <w:rPr>
                <w:rFonts w:eastAsiaTheme="minorEastAsia"/>
                <w:lang w:eastAsia="en-AU"/>
              </w:rPr>
              <w:t>Revaluation of assets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220.0</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73.9</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215.9</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96.0</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Discount/premium on other financial assets/borrowings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140.7)</w:t>
            </w:r>
          </w:p>
        </w:tc>
        <w:tc>
          <w:tcPr>
            <w:tcW w:w="1055" w:type="dxa"/>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73.2)</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3.0</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6.7</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Bad/doubtful debts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0.3</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1.1</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0.2</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Foreign currency dealings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0.3</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0.2</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0.3</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0.2</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Unrealised (gains)/losses on borrowings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749.5</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877.4</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Discounting of assets and liabilities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0.1)</w:t>
            </w:r>
          </w:p>
        </w:tc>
        <w:tc>
          <w:tcPr>
            <w:tcW w:w="1055" w:type="dxa"/>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0.1)</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cs="Calibri"/>
                <w:b/>
                <w:bCs/>
                <w:color w:val="000000"/>
                <w:szCs w:val="22"/>
                <w:lang w:eastAsia="en-AU"/>
              </w:rPr>
            </w:pPr>
            <w:r w:rsidRPr="00836A31">
              <w:rPr>
                <w:rFonts w:eastAsiaTheme="minorEastAsia"/>
                <w:b/>
                <w:bCs/>
                <w:lang w:eastAsia="en-AU"/>
              </w:rPr>
              <w:t xml:space="preserve">Movements included in </w:t>
            </w:r>
            <w:r w:rsidRPr="00836A31">
              <w:rPr>
                <w:rFonts w:eastAsiaTheme="minorEastAsia" w:cs="Calibri"/>
                <w:b/>
                <w:bCs/>
                <w:color w:val="000000"/>
                <w:szCs w:val="22"/>
                <w:lang w:eastAsia="en-AU"/>
              </w:rPr>
              <w:t>investing and financing activities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c>
          <w:tcPr>
            <w:tcW w:w="1055" w:type="dxa"/>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c>
          <w:tcPr>
            <w:tcW w:w="1055" w:type="dxa"/>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cs="Calibri"/>
                <w:color w:val="000000"/>
                <w:szCs w:val="22"/>
                <w:vertAlign w:val="superscript"/>
                <w:lang w:eastAsia="en-AU"/>
              </w:rPr>
            </w:pPr>
            <w:r w:rsidRPr="00836A31">
              <w:rPr>
                <w:rFonts w:eastAsiaTheme="minorEastAsia"/>
                <w:lang w:eastAsia="en-AU"/>
              </w:rPr>
              <w:t>Net gain/loss from sale of investments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(1</w:t>
            </w:r>
            <w:r w:rsidRPr="00836A31">
              <w:rPr>
                <w:rFonts w:eastAsiaTheme="minorEastAsia" w:cs="Calibri"/>
                <w:color w:val="000000"/>
                <w:szCs w:val="22"/>
                <w:lang w:eastAsia="en-AU"/>
              </w:rPr>
              <w:t xml:space="preserve"> 257.5)</w:t>
            </w:r>
          </w:p>
        </w:tc>
        <w:tc>
          <w:tcPr>
            <w:tcW w:w="1055" w:type="dxa"/>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823.9)</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20.2)</w:t>
            </w:r>
          </w:p>
        </w:tc>
        <w:tc>
          <w:tcPr>
            <w:tcW w:w="1055" w:type="dxa"/>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2.7)</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cs="Calibri"/>
                <w:color w:val="000000"/>
                <w:szCs w:val="22"/>
                <w:lang w:eastAsia="en-AU"/>
              </w:rPr>
            </w:pPr>
            <w:r w:rsidRPr="00836A31">
              <w:rPr>
                <w:rFonts w:eastAsiaTheme="minorEastAsia"/>
                <w:lang w:eastAsia="en-AU"/>
              </w:rPr>
              <w:t>Net gain/loss from sale of plant and equipment</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11.7)</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6.9</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32.1)</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25.0</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Realised gains/losses on borrowings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53.7</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59.8</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Pr>
                <w:rFonts w:eastAsiaTheme="minorEastAsia"/>
                <w:lang w:eastAsia="en-AU"/>
              </w:rPr>
              <w:t>..</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b/>
                <w:bCs/>
                <w:lang w:eastAsia="en-AU"/>
              </w:rPr>
            </w:pPr>
            <w:r w:rsidRPr="00836A31">
              <w:rPr>
                <w:rFonts w:eastAsiaTheme="minorEastAsia"/>
                <w:b/>
                <w:bCs/>
                <w:lang w:eastAsia="en-AU"/>
              </w:rPr>
              <w:t>Movements in assets and liabilities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c>
          <w:tcPr>
            <w:tcW w:w="1055" w:type="dxa"/>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c>
          <w:tcPr>
            <w:tcW w:w="1055" w:type="dxa"/>
            <w:tcBorders>
              <w:top w:val="nil"/>
              <w:left w:val="nil"/>
              <w:bottom w:val="nil"/>
              <w:right w:val="nil"/>
            </w:tcBorders>
          </w:tcPr>
          <w:p w:rsidR="00336793" w:rsidRPr="00836A31" w:rsidRDefault="00336793" w:rsidP="00DF0B96">
            <w:pPr>
              <w:pStyle w:val="TableofFigures"/>
              <w:rPr>
                <w:rFonts w:eastAsiaTheme="minorEastAsia"/>
                <w:b/>
                <w:lang w:eastAsia="en-AU"/>
              </w:rPr>
            </w:pPr>
            <w:r w:rsidRPr="00836A31">
              <w:rPr>
                <w:rFonts w:eastAsiaTheme="minorEastAsia"/>
                <w:b/>
                <w:lang w:eastAsia="en-AU"/>
              </w:rPr>
              <w:t xml:space="preserve">  </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Increase/(decrease) in provision for doubtful debts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11.9)</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15.9</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6.7)</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21.7</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Increase/(decrease) in payables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 xml:space="preserve"> 488.8</w:t>
            </w:r>
          </w:p>
        </w:tc>
        <w:tc>
          <w:tcPr>
            <w:tcW w:w="1055" w:type="dxa"/>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 xml:space="preserve"> 65.1</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 xml:space="preserve"> 376.1</w:t>
            </w:r>
          </w:p>
        </w:tc>
        <w:tc>
          <w:tcPr>
            <w:tcW w:w="1055" w:type="dxa"/>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447.2)</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Increase/(decrease) in employee benefits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367.6</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112.6</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339.3</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86.0</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cs="Calibri"/>
                <w:color w:val="000000"/>
                <w:szCs w:val="22"/>
                <w:vertAlign w:val="superscript"/>
                <w:lang w:eastAsia="en-AU"/>
              </w:rPr>
            </w:pPr>
            <w:r w:rsidRPr="00836A31">
              <w:rPr>
                <w:rFonts w:eastAsiaTheme="minorEastAsia"/>
                <w:lang w:eastAsia="en-AU"/>
              </w:rPr>
              <w:t>Increase/(decrease) in superannuation</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243.5</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230.9</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244.9</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241.3</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Increase/(decrease) in other provisions</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1 583.8</w:t>
            </w:r>
          </w:p>
        </w:tc>
        <w:tc>
          <w:tcPr>
            <w:tcW w:w="1055" w:type="dxa"/>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sidRPr="00836A31">
              <w:rPr>
                <w:rFonts w:eastAsiaTheme="minorEastAsia"/>
                <w:lang w:eastAsia="en-AU"/>
              </w:rPr>
              <w:t>1 112.3</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168.5</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51.9</w:t>
            </w:r>
          </w:p>
        </w:tc>
      </w:tr>
      <w:tr w:rsidR="00336793" w:rsidRPr="00836A31" w:rsidTr="00DF0B96">
        <w:tc>
          <w:tcPr>
            <w:tcW w:w="5417" w:type="dxa"/>
            <w:tcBorders>
              <w:top w:val="nil"/>
              <w:left w:val="nil"/>
              <w:bottom w:val="nil"/>
              <w:right w:val="nil"/>
            </w:tcBorders>
          </w:tcPr>
          <w:p w:rsidR="00336793" w:rsidRPr="00836A31" w:rsidRDefault="00336793" w:rsidP="00DF0B96">
            <w:pPr>
              <w:pStyle w:val="Tabletext"/>
              <w:rPr>
                <w:rFonts w:eastAsiaTheme="minorEastAsia"/>
                <w:lang w:eastAsia="en-AU"/>
              </w:rPr>
            </w:pPr>
            <w:r w:rsidRPr="00836A31">
              <w:rPr>
                <w:rFonts w:eastAsiaTheme="minorEastAsia"/>
                <w:lang w:eastAsia="en-AU"/>
              </w:rPr>
              <w:t xml:space="preserve">(Increase)/decrease in receivables </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414.2)</w:t>
            </w:r>
          </w:p>
        </w:tc>
        <w:tc>
          <w:tcPr>
            <w:tcW w:w="1055" w:type="dxa"/>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25.6)</w:t>
            </w:r>
          </w:p>
        </w:tc>
        <w:tc>
          <w:tcPr>
            <w:tcW w:w="1055" w:type="dxa"/>
            <w:gridSpan w:val="2"/>
            <w:tcBorders>
              <w:top w:val="nil"/>
              <w:left w:val="nil"/>
              <w:bottom w:val="nil"/>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607.5)</w:t>
            </w:r>
          </w:p>
        </w:tc>
        <w:tc>
          <w:tcPr>
            <w:tcW w:w="1055" w:type="dxa"/>
            <w:tcBorders>
              <w:top w:val="nil"/>
              <w:left w:val="nil"/>
              <w:bottom w:val="nil"/>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54.0</w:t>
            </w:r>
          </w:p>
        </w:tc>
      </w:tr>
      <w:tr w:rsidR="00336793" w:rsidRPr="00836A31" w:rsidTr="00DF0B96">
        <w:tc>
          <w:tcPr>
            <w:tcW w:w="5417" w:type="dxa"/>
            <w:tcBorders>
              <w:top w:val="nil"/>
              <w:left w:val="nil"/>
              <w:bottom w:val="single" w:sz="6" w:space="0" w:color="auto"/>
              <w:right w:val="nil"/>
            </w:tcBorders>
          </w:tcPr>
          <w:p w:rsidR="00336793" w:rsidRPr="00836A31" w:rsidRDefault="00336793" w:rsidP="00DF0B96">
            <w:pPr>
              <w:pStyle w:val="Tabletext"/>
              <w:rPr>
                <w:rFonts w:eastAsiaTheme="minorEastAsia" w:cs="Calibri"/>
                <w:color w:val="000000"/>
                <w:szCs w:val="22"/>
                <w:lang w:eastAsia="en-AU"/>
              </w:rPr>
            </w:pPr>
            <w:r w:rsidRPr="00836A31">
              <w:rPr>
                <w:rFonts w:eastAsiaTheme="minorEastAsia"/>
                <w:lang w:eastAsia="en-AU"/>
              </w:rPr>
              <w:t>(Increase)/decrease in other non</w:t>
            </w:r>
            <w:r>
              <w:rPr>
                <w:rFonts w:eastAsiaTheme="minorEastAsia"/>
                <w:lang w:eastAsia="en-AU"/>
              </w:rPr>
              <w:noBreakHyphen/>
            </w:r>
            <w:r w:rsidRPr="00836A31">
              <w:rPr>
                <w:rFonts w:eastAsiaTheme="minorEastAsia"/>
                <w:lang w:eastAsia="en-AU"/>
              </w:rPr>
              <w:t xml:space="preserve">financial </w:t>
            </w:r>
            <w:r w:rsidRPr="00836A31">
              <w:rPr>
                <w:rFonts w:eastAsiaTheme="minorEastAsia" w:cs="Calibri"/>
                <w:color w:val="000000"/>
                <w:szCs w:val="22"/>
                <w:lang w:eastAsia="en-AU"/>
              </w:rPr>
              <w:t>assets</w:t>
            </w:r>
          </w:p>
        </w:tc>
        <w:tc>
          <w:tcPr>
            <w:tcW w:w="1055" w:type="dxa"/>
            <w:gridSpan w:val="2"/>
            <w:tcBorders>
              <w:top w:val="nil"/>
              <w:left w:val="nil"/>
              <w:bottom w:val="single" w:sz="6" w:space="0" w:color="auto"/>
              <w:right w:val="nil"/>
            </w:tcBorders>
          </w:tcPr>
          <w:p w:rsidR="00336793" w:rsidRPr="00836A31" w:rsidRDefault="00336793" w:rsidP="00DF0B96">
            <w:pPr>
              <w:pStyle w:val="TableofFigures"/>
              <w:rPr>
                <w:rFonts w:eastAsiaTheme="minorEastAsia"/>
                <w:lang w:eastAsia="en-AU"/>
              </w:rPr>
            </w:pPr>
            <w:r w:rsidRPr="00836A31">
              <w:rPr>
                <w:rFonts w:eastAsiaTheme="minorEastAsia"/>
                <w:lang w:eastAsia="en-AU"/>
              </w:rPr>
              <w:t xml:space="preserve"> 142.9</w:t>
            </w:r>
          </w:p>
        </w:tc>
        <w:tc>
          <w:tcPr>
            <w:tcW w:w="1055" w:type="dxa"/>
            <w:tcBorders>
              <w:top w:val="nil"/>
              <w:left w:val="nil"/>
              <w:bottom w:val="single" w:sz="6" w:space="0" w:color="auto"/>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62.8)</w:t>
            </w:r>
          </w:p>
        </w:tc>
        <w:tc>
          <w:tcPr>
            <w:tcW w:w="1055" w:type="dxa"/>
            <w:gridSpan w:val="2"/>
            <w:tcBorders>
              <w:top w:val="nil"/>
              <w:left w:val="nil"/>
              <w:bottom w:val="single" w:sz="6" w:space="0" w:color="auto"/>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2.6)</w:t>
            </w:r>
          </w:p>
        </w:tc>
        <w:tc>
          <w:tcPr>
            <w:tcW w:w="1055" w:type="dxa"/>
            <w:tcBorders>
              <w:top w:val="nil"/>
              <w:left w:val="nil"/>
              <w:bottom w:val="single" w:sz="6" w:space="0" w:color="auto"/>
              <w:right w:val="nil"/>
            </w:tcBorders>
          </w:tcPr>
          <w:p w:rsidR="00336793" w:rsidRPr="00836A31" w:rsidRDefault="00336793" w:rsidP="00DF0B96">
            <w:pPr>
              <w:pStyle w:val="TableofFigures"/>
              <w:rPr>
                <w:rFonts w:eastAsiaTheme="minorEastAsia" w:cs="Calibri"/>
                <w:color w:val="000000"/>
                <w:szCs w:val="22"/>
                <w:lang w:eastAsia="en-AU"/>
              </w:rPr>
            </w:pPr>
            <w:r>
              <w:rPr>
                <w:rFonts w:eastAsiaTheme="minorEastAsia"/>
                <w:lang w:eastAsia="en-AU"/>
              </w:rPr>
              <w:t>(</w:t>
            </w:r>
            <w:r w:rsidRPr="00836A31">
              <w:rPr>
                <w:rFonts w:eastAsiaTheme="minorEastAsia" w:cs="Calibri"/>
                <w:color w:val="000000"/>
                <w:szCs w:val="22"/>
                <w:lang w:eastAsia="en-AU"/>
              </w:rPr>
              <w:t>99.9)</w:t>
            </w:r>
          </w:p>
        </w:tc>
      </w:tr>
      <w:tr w:rsidR="00336793" w:rsidRPr="00836A31" w:rsidTr="00DF0B96">
        <w:tc>
          <w:tcPr>
            <w:tcW w:w="5417" w:type="dxa"/>
            <w:tcBorders>
              <w:top w:val="single" w:sz="6" w:space="0" w:color="auto"/>
              <w:left w:val="nil"/>
              <w:bottom w:val="single" w:sz="12" w:space="0" w:color="000000"/>
              <w:right w:val="nil"/>
            </w:tcBorders>
            <w:shd w:val="clear" w:color="auto" w:fill="auto"/>
          </w:tcPr>
          <w:p w:rsidR="00336793" w:rsidRPr="00836A31" w:rsidRDefault="00336793" w:rsidP="00DF0B96">
            <w:pPr>
              <w:pStyle w:val="Tabletext"/>
              <w:rPr>
                <w:rFonts w:eastAsiaTheme="minorEastAsia" w:cs="Calibri"/>
                <w:b/>
                <w:bCs/>
                <w:color w:val="000000"/>
                <w:szCs w:val="22"/>
                <w:lang w:eastAsia="en-AU"/>
              </w:rPr>
            </w:pPr>
            <w:r w:rsidRPr="00836A31">
              <w:rPr>
                <w:rFonts w:eastAsiaTheme="minorEastAsia"/>
                <w:b/>
                <w:bCs/>
                <w:lang w:eastAsia="en-AU"/>
              </w:rPr>
              <w:t>Net cash flows from operating activities</w:t>
            </w:r>
          </w:p>
        </w:tc>
        <w:tc>
          <w:tcPr>
            <w:tcW w:w="1055" w:type="dxa"/>
            <w:gridSpan w:val="2"/>
            <w:tcBorders>
              <w:top w:val="single" w:sz="6" w:space="0" w:color="auto"/>
              <w:left w:val="nil"/>
              <w:bottom w:val="single" w:sz="12" w:space="0" w:color="000000"/>
              <w:right w:val="nil"/>
            </w:tcBorders>
            <w:shd w:val="clear" w:color="auto" w:fill="auto"/>
          </w:tcPr>
          <w:p w:rsidR="00336793" w:rsidRPr="00836A31" w:rsidRDefault="00336793" w:rsidP="00DF0B96">
            <w:pPr>
              <w:pStyle w:val="TableofFigures"/>
              <w:rPr>
                <w:rFonts w:eastAsiaTheme="minorEastAsia"/>
                <w:b/>
                <w:bCs/>
                <w:lang w:eastAsia="en-AU"/>
              </w:rPr>
            </w:pPr>
            <w:r w:rsidRPr="00836A31">
              <w:rPr>
                <w:rFonts w:eastAsiaTheme="minorEastAsia"/>
                <w:b/>
                <w:bCs/>
                <w:lang w:eastAsia="en-AU"/>
              </w:rPr>
              <w:t>5 652.7</w:t>
            </w:r>
          </w:p>
        </w:tc>
        <w:tc>
          <w:tcPr>
            <w:tcW w:w="1055" w:type="dxa"/>
            <w:tcBorders>
              <w:top w:val="single" w:sz="6" w:space="0" w:color="auto"/>
              <w:left w:val="nil"/>
              <w:bottom w:val="single" w:sz="12" w:space="0" w:color="000000"/>
              <w:right w:val="nil"/>
            </w:tcBorders>
            <w:shd w:val="clear" w:color="auto" w:fill="auto"/>
          </w:tcPr>
          <w:p w:rsidR="00336793" w:rsidRPr="00836A31" w:rsidRDefault="00336793" w:rsidP="00DF0B96">
            <w:pPr>
              <w:pStyle w:val="TableofFigures"/>
              <w:rPr>
                <w:rFonts w:eastAsiaTheme="minorEastAsia"/>
                <w:b/>
                <w:bCs/>
                <w:lang w:eastAsia="en-AU"/>
              </w:rPr>
            </w:pPr>
            <w:r w:rsidRPr="00836A31">
              <w:rPr>
                <w:rFonts w:eastAsiaTheme="minorEastAsia"/>
                <w:b/>
                <w:bCs/>
                <w:lang w:eastAsia="en-AU"/>
              </w:rPr>
              <w:t>6 856.2</w:t>
            </w:r>
          </w:p>
        </w:tc>
        <w:tc>
          <w:tcPr>
            <w:tcW w:w="1055" w:type="dxa"/>
            <w:gridSpan w:val="2"/>
            <w:tcBorders>
              <w:top w:val="single" w:sz="6" w:space="0" w:color="auto"/>
              <w:left w:val="nil"/>
              <w:bottom w:val="single" w:sz="12" w:space="0" w:color="000000"/>
              <w:right w:val="nil"/>
            </w:tcBorders>
            <w:shd w:val="clear" w:color="auto" w:fill="auto"/>
          </w:tcPr>
          <w:p w:rsidR="00336793" w:rsidRPr="00836A31" w:rsidRDefault="00336793" w:rsidP="00DF0B96">
            <w:pPr>
              <w:pStyle w:val="TableofFigures"/>
              <w:rPr>
                <w:rFonts w:eastAsiaTheme="minorEastAsia"/>
                <w:b/>
                <w:bCs/>
                <w:lang w:eastAsia="en-AU"/>
              </w:rPr>
            </w:pPr>
            <w:r w:rsidRPr="00836A31">
              <w:rPr>
                <w:rFonts w:eastAsiaTheme="minorEastAsia"/>
                <w:b/>
                <w:bCs/>
                <w:lang w:eastAsia="en-AU"/>
              </w:rPr>
              <w:t>3 819.0</w:t>
            </w:r>
          </w:p>
        </w:tc>
        <w:tc>
          <w:tcPr>
            <w:tcW w:w="1055" w:type="dxa"/>
            <w:tcBorders>
              <w:top w:val="single" w:sz="6" w:space="0" w:color="auto"/>
              <w:left w:val="nil"/>
              <w:bottom w:val="single" w:sz="12" w:space="0" w:color="000000"/>
              <w:right w:val="nil"/>
            </w:tcBorders>
            <w:shd w:val="clear" w:color="auto" w:fill="auto"/>
          </w:tcPr>
          <w:p w:rsidR="00336793" w:rsidRPr="00836A31" w:rsidRDefault="00336793" w:rsidP="00DF0B96">
            <w:pPr>
              <w:pStyle w:val="TableofFigures"/>
              <w:rPr>
                <w:rFonts w:eastAsiaTheme="minorEastAsia" w:cs="Calibri"/>
                <w:b/>
                <w:bCs/>
                <w:color w:val="000000"/>
                <w:szCs w:val="22"/>
                <w:lang w:eastAsia="en-AU"/>
              </w:rPr>
            </w:pPr>
            <w:r w:rsidRPr="00836A31">
              <w:rPr>
                <w:rFonts w:eastAsiaTheme="minorEastAsia"/>
                <w:b/>
                <w:bCs/>
                <w:lang w:eastAsia="en-AU"/>
              </w:rPr>
              <w:t>3 942.5</w:t>
            </w:r>
          </w:p>
        </w:tc>
      </w:tr>
    </w:tbl>
    <w:p w:rsidR="00336793" w:rsidRPr="006A75A2" w:rsidRDefault="00336793" w:rsidP="00DF0B96">
      <w:pPr>
        <w:pStyle w:val="Notes"/>
      </w:pPr>
      <w:bookmarkStart w:id="98" w:name="_Toc400040278"/>
      <w:r>
        <w:t>Note</w:t>
      </w:r>
      <w:r w:rsidRPr="006A75A2">
        <w:t>:</w:t>
      </w:r>
    </w:p>
    <w:p w:rsidR="00336793" w:rsidRDefault="00336793" w:rsidP="00DF0B96">
      <w:pPr>
        <w:pStyle w:val="Notes"/>
        <w:numPr>
          <w:ilvl w:val="0"/>
          <w:numId w:val="12"/>
        </w:numPr>
        <w:tabs>
          <w:tab w:val="clear" w:pos="454"/>
          <w:tab w:val="left" w:pos="360"/>
        </w:tabs>
      </w:pPr>
      <w:r w:rsidRPr="000C4EA6">
        <w:t>June</w:t>
      </w:r>
      <w:r>
        <w:t xml:space="preserve"> 2014</w:t>
      </w:r>
      <w:r w:rsidRPr="000C4EA6">
        <w:t xml:space="preserve"> comparative figures have been restated. See Note 37.</w:t>
      </w:r>
    </w:p>
    <w:p w:rsidR="00336793" w:rsidRDefault="00336793" w:rsidP="00DF0B96"/>
    <w:p w:rsidR="00336793" w:rsidRDefault="00336793" w:rsidP="00DF0B96"/>
    <w:p w:rsidR="00336793" w:rsidRDefault="00336793" w:rsidP="00DF0B96">
      <w:pPr>
        <w:sectPr w:rsidR="00336793" w:rsidSect="00DF0B96">
          <w:headerReference w:type="even" r:id="rId86"/>
          <w:headerReference w:type="default" r:id="rId87"/>
          <w:footerReference w:type="even" r:id="rId88"/>
          <w:footerReference w:type="default" r:id="rId89"/>
          <w:headerReference w:type="first" r:id="rId90"/>
          <w:footerReference w:type="first" r:id="rId91"/>
          <w:pgSz w:w="11906" w:h="16838" w:code="9"/>
          <w:pgMar w:top="1152" w:right="1152" w:bottom="1152" w:left="1152" w:header="720" w:footer="720" w:gutter="0"/>
          <w:cols w:space="708"/>
          <w:docGrid w:linePitch="360"/>
        </w:sectPr>
      </w:pPr>
    </w:p>
    <w:p w:rsidR="00336793" w:rsidRPr="006A75A2" w:rsidRDefault="00336793" w:rsidP="00DF0B96">
      <w:pPr>
        <w:pStyle w:val="Heading2Notes"/>
        <w:spacing w:before="120"/>
        <w:rPr>
          <w:kern w:val="0"/>
        </w:rPr>
      </w:pPr>
      <w:bookmarkStart w:id="100" w:name="_Toc433984514"/>
      <w:r w:rsidRPr="006A75A2">
        <w:rPr>
          <w:kern w:val="0"/>
        </w:rPr>
        <w:lastRenderedPageBreak/>
        <w:t>Note 31:</w:t>
      </w:r>
      <w:r w:rsidRPr="006A75A2">
        <w:rPr>
          <w:kern w:val="0"/>
        </w:rPr>
        <w:tab/>
        <w:t>Reconciliations</w:t>
      </w:r>
      <w:bookmarkEnd w:id="100"/>
    </w:p>
    <w:p w:rsidR="00336793" w:rsidRPr="006A75A2" w:rsidRDefault="00336793" w:rsidP="00DF0B96">
      <w:pPr>
        <w:pStyle w:val="Heading5"/>
      </w:pPr>
      <w:r w:rsidRPr="006A75A2">
        <w:t>(a)</w:t>
      </w:r>
      <w:r w:rsidRPr="006A75A2">
        <w:tab/>
        <w:t>Reconciliation to GFS net operating balance</w:t>
      </w:r>
      <w:r w:rsidRPr="006A75A2">
        <w:rPr>
          <w:vertAlign w:val="superscript"/>
        </w:rPr>
        <w:t>(a)</w:t>
      </w:r>
      <w:r>
        <w:rPr>
          <w:vertAlign w:val="superscript"/>
        </w:rPr>
        <w:t>(b)</w:t>
      </w:r>
    </w:p>
    <w:p w:rsidR="00336793" w:rsidRPr="00A10A3B" w:rsidRDefault="00336793" w:rsidP="00DF0B96">
      <w:pPr>
        <w:pStyle w:val="million"/>
        <w:rPr>
          <w:rFonts w:ascii="Times New Roman" w:hAnsi="Times New Roman"/>
          <w:i w:val="0"/>
          <w:szCs w:val="20"/>
          <w:lang w:eastAsia="en-AU"/>
        </w:rPr>
      </w:pPr>
      <w:r w:rsidRPr="006A75A2">
        <w:t>($</w:t>
      </w: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3257"/>
        <w:gridCol w:w="270"/>
        <w:gridCol w:w="861"/>
        <w:gridCol w:w="1131"/>
        <w:gridCol w:w="258"/>
        <w:gridCol w:w="873"/>
        <w:gridCol w:w="1132"/>
        <w:gridCol w:w="245"/>
        <w:gridCol w:w="886"/>
        <w:gridCol w:w="1274"/>
        <w:gridCol w:w="270"/>
        <w:gridCol w:w="719"/>
        <w:gridCol w:w="1131"/>
        <w:gridCol w:w="236"/>
        <w:gridCol w:w="895"/>
        <w:gridCol w:w="1132"/>
      </w:tblGrid>
      <w:tr w:rsidR="00336793" w:rsidRPr="00E96950" w:rsidTr="00DF0B96">
        <w:trPr>
          <w:tblHeader/>
        </w:trPr>
        <w:tc>
          <w:tcPr>
            <w:tcW w:w="3257" w:type="dxa"/>
            <w:tcBorders>
              <w:top w:val="single" w:sz="6" w:space="0" w:color="auto"/>
              <w:left w:val="single" w:sz="6" w:space="0" w:color="auto"/>
              <w:bottom w:val="nil"/>
              <w:right w:val="nil"/>
            </w:tcBorders>
            <w:shd w:val="clear" w:color="000000" w:fill="000000"/>
            <w:vAlign w:val="bottom"/>
          </w:tcPr>
          <w:p w:rsidR="00336793" w:rsidRPr="00E96950" w:rsidRDefault="00336793" w:rsidP="00DF0B96">
            <w:pPr>
              <w:pStyle w:val="Tabletext"/>
              <w:rPr>
                <w:rFonts w:eastAsiaTheme="minorEastAsia"/>
                <w:b/>
                <w:sz w:val="21"/>
                <w:lang w:eastAsia="en-AU"/>
              </w:rPr>
            </w:pPr>
            <w:r w:rsidRPr="00E96950">
              <w:rPr>
                <w:rFonts w:eastAsiaTheme="minorEastAsia"/>
                <w:b/>
                <w:sz w:val="21"/>
                <w:lang w:eastAsia="en-AU"/>
              </w:rPr>
              <w:t xml:space="preserve"> </w:t>
            </w:r>
          </w:p>
        </w:tc>
        <w:tc>
          <w:tcPr>
            <w:tcW w:w="270" w:type="dxa"/>
            <w:tcBorders>
              <w:top w:val="single" w:sz="6" w:space="0" w:color="auto"/>
              <w:left w:val="nil"/>
              <w:bottom w:val="nil"/>
              <w:right w:val="nil"/>
            </w:tcBorders>
            <w:shd w:val="clear" w:color="000000" w:fill="000000"/>
            <w:vAlign w:val="bottom"/>
          </w:tcPr>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 xml:space="preserve"> </w:t>
            </w:r>
          </w:p>
        </w:tc>
        <w:tc>
          <w:tcPr>
            <w:tcW w:w="1992" w:type="dxa"/>
            <w:gridSpan w:val="2"/>
            <w:tcBorders>
              <w:top w:val="single" w:sz="6" w:space="0" w:color="auto"/>
              <w:left w:val="nil"/>
              <w:bottom w:val="nil"/>
              <w:right w:val="nil"/>
            </w:tcBorders>
            <w:shd w:val="clear" w:color="000000" w:fill="000000"/>
            <w:vAlign w:val="bottom"/>
          </w:tcPr>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 xml:space="preserve">General </w:t>
            </w:r>
          </w:p>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government sector</w:t>
            </w:r>
          </w:p>
        </w:tc>
        <w:tc>
          <w:tcPr>
            <w:tcW w:w="258" w:type="dxa"/>
            <w:tcBorders>
              <w:top w:val="single" w:sz="6" w:space="0" w:color="auto"/>
              <w:left w:val="nil"/>
              <w:bottom w:val="nil"/>
              <w:right w:val="nil"/>
            </w:tcBorders>
            <w:shd w:val="clear" w:color="000000" w:fill="000000"/>
            <w:vAlign w:val="bottom"/>
          </w:tcPr>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 xml:space="preserve"> </w:t>
            </w:r>
          </w:p>
        </w:tc>
        <w:tc>
          <w:tcPr>
            <w:tcW w:w="2005" w:type="dxa"/>
            <w:gridSpan w:val="2"/>
            <w:tcBorders>
              <w:top w:val="single" w:sz="6" w:space="0" w:color="auto"/>
              <w:left w:val="nil"/>
              <w:bottom w:val="nil"/>
              <w:right w:val="nil"/>
            </w:tcBorders>
            <w:shd w:val="clear" w:color="000000" w:fill="000000"/>
            <w:vAlign w:val="bottom"/>
          </w:tcPr>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Public non</w:t>
            </w:r>
            <w:r w:rsidRPr="00E96950">
              <w:rPr>
                <w:rFonts w:eastAsiaTheme="minorEastAsia"/>
                <w:sz w:val="21"/>
                <w:lang w:eastAsia="en-AU"/>
              </w:rPr>
              <w:noBreakHyphen/>
              <w:t>financial corporations</w:t>
            </w:r>
          </w:p>
        </w:tc>
        <w:tc>
          <w:tcPr>
            <w:tcW w:w="245" w:type="dxa"/>
            <w:tcBorders>
              <w:top w:val="single" w:sz="6" w:space="0" w:color="auto"/>
              <w:left w:val="nil"/>
              <w:bottom w:val="nil"/>
              <w:right w:val="nil"/>
            </w:tcBorders>
            <w:shd w:val="clear" w:color="000000" w:fill="000000"/>
            <w:vAlign w:val="bottom"/>
          </w:tcPr>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 xml:space="preserve"> </w:t>
            </w:r>
          </w:p>
        </w:tc>
        <w:tc>
          <w:tcPr>
            <w:tcW w:w="2160" w:type="dxa"/>
            <w:gridSpan w:val="2"/>
            <w:tcBorders>
              <w:top w:val="single" w:sz="6" w:space="0" w:color="auto"/>
              <w:left w:val="nil"/>
              <w:bottom w:val="nil"/>
              <w:right w:val="nil"/>
            </w:tcBorders>
            <w:shd w:val="clear" w:color="000000" w:fill="000000"/>
            <w:vAlign w:val="bottom"/>
          </w:tcPr>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 xml:space="preserve">Public </w:t>
            </w:r>
          </w:p>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financial corporations</w:t>
            </w:r>
          </w:p>
        </w:tc>
        <w:tc>
          <w:tcPr>
            <w:tcW w:w="270" w:type="dxa"/>
            <w:tcBorders>
              <w:top w:val="single" w:sz="6" w:space="0" w:color="auto"/>
              <w:left w:val="nil"/>
              <w:bottom w:val="nil"/>
              <w:right w:val="nil"/>
            </w:tcBorders>
            <w:shd w:val="clear" w:color="000000" w:fill="000000"/>
            <w:vAlign w:val="bottom"/>
          </w:tcPr>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 xml:space="preserve"> </w:t>
            </w:r>
          </w:p>
        </w:tc>
        <w:tc>
          <w:tcPr>
            <w:tcW w:w="1850" w:type="dxa"/>
            <w:gridSpan w:val="2"/>
            <w:tcBorders>
              <w:top w:val="single" w:sz="6" w:space="0" w:color="auto"/>
              <w:left w:val="nil"/>
              <w:bottom w:val="nil"/>
              <w:right w:val="nil"/>
            </w:tcBorders>
            <w:shd w:val="clear" w:color="000000" w:fill="000000"/>
            <w:vAlign w:val="bottom"/>
          </w:tcPr>
          <w:p w:rsidR="00336793" w:rsidRPr="00E96950" w:rsidRDefault="00336793" w:rsidP="00DF0B96">
            <w:pPr>
              <w:pStyle w:val="TabletextheadingCentred"/>
              <w:rPr>
                <w:rFonts w:eastAsiaTheme="minorEastAsia"/>
                <w:sz w:val="21"/>
                <w:lang w:eastAsia="en-AU"/>
              </w:rPr>
            </w:pPr>
          </w:p>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Eliminations</w:t>
            </w:r>
          </w:p>
        </w:tc>
        <w:tc>
          <w:tcPr>
            <w:tcW w:w="236" w:type="dxa"/>
            <w:tcBorders>
              <w:top w:val="single" w:sz="6" w:space="0" w:color="auto"/>
              <w:left w:val="nil"/>
              <w:bottom w:val="nil"/>
              <w:right w:val="nil"/>
            </w:tcBorders>
            <w:shd w:val="clear" w:color="000000" w:fill="000000"/>
            <w:vAlign w:val="bottom"/>
          </w:tcPr>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 xml:space="preserve"> </w:t>
            </w:r>
          </w:p>
        </w:tc>
        <w:tc>
          <w:tcPr>
            <w:tcW w:w="2027" w:type="dxa"/>
            <w:gridSpan w:val="2"/>
            <w:tcBorders>
              <w:top w:val="single" w:sz="6" w:space="0" w:color="auto"/>
              <w:left w:val="nil"/>
              <w:bottom w:val="nil"/>
              <w:right w:val="single" w:sz="6" w:space="0" w:color="auto"/>
            </w:tcBorders>
            <w:shd w:val="clear" w:color="000000" w:fill="000000"/>
            <w:vAlign w:val="bottom"/>
          </w:tcPr>
          <w:p w:rsidR="00336793" w:rsidRPr="00E96950" w:rsidRDefault="00336793" w:rsidP="00DF0B96">
            <w:pPr>
              <w:pStyle w:val="TabletextheadingCentred"/>
              <w:rPr>
                <w:rFonts w:eastAsiaTheme="minorEastAsia"/>
                <w:sz w:val="21"/>
                <w:lang w:eastAsia="en-AU"/>
              </w:rPr>
            </w:pPr>
          </w:p>
          <w:p w:rsidR="00336793" w:rsidRPr="00E96950" w:rsidRDefault="00336793" w:rsidP="00DF0B96">
            <w:pPr>
              <w:pStyle w:val="TabletextheadingCentred"/>
              <w:rPr>
                <w:rFonts w:eastAsiaTheme="minorEastAsia"/>
                <w:sz w:val="21"/>
                <w:lang w:eastAsia="en-AU"/>
              </w:rPr>
            </w:pPr>
            <w:r w:rsidRPr="00E96950">
              <w:rPr>
                <w:rFonts w:eastAsiaTheme="minorEastAsia"/>
                <w:sz w:val="21"/>
                <w:lang w:eastAsia="en-AU"/>
              </w:rPr>
              <w:t>State of Victoria</w:t>
            </w:r>
          </w:p>
        </w:tc>
      </w:tr>
      <w:tr w:rsidR="00336793" w:rsidRPr="00E96950" w:rsidTr="00DF0B96">
        <w:trPr>
          <w:tblHeader/>
        </w:trPr>
        <w:tc>
          <w:tcPr>
            <w:tcW w:w="3257" w:type="dxa"/>
            <w:tcBorders>
              <w:top w:val="nil"/>
              <w:left w:val="single" w:sz="6" w:space="0" w:color="auto"/>
              <w:bottom w:val="single" w:sz="6" w:space="0" w:color="auto"/>
              <w:right w:val="nil"/>
            </w:tcBorders>
            <w:shd w:val="clear" w:color="000000" w:fill="000000"/>
            <w:vAlign w:val="bottom"/>
          </w:tcPr>
          <w:p w:rsidR="00336793" w:rsidRPr="00E96950" w:rsidRDefault="00336793" w:rsidP="00DF0B96">
            <w:pPr>
              <w:pStyle w:val="Tabletext"/>
              <w:rPr>
                <w:rFonts w:eastAsiaTheme="minorEastAsia"/>
                <w:sz w:val="21"/>
                <w:lang w:eastAsia="en-AU"/>
              </w:rPr>
            </w:pPr>
            <w:r w:rsidRPr="00E96950">
              <w:rPr>
                <w:rFonts w:eastAsiaTheme="minorEastAsia"/>
                <w:sz w:val="21"/>
                <w:lang w:eastAsia="en-AU"/>
              </w:rPr>
              <w:t xml:space="preserve"> </w:t>
            </w:r>
          </w:p>
        </w:tc>
        <w:tc>
          <w:tcPr>
            <w:tcW w:w="1131" w:type="dxa"/>
            <w:gridSpan w:val="2"/>
            <w:tcBorders>
              <w:top w:val="nil"/>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1"/>
                <w:lang w:eastAsia="en-AU"/>
              </w:rPr>
            </w:pPr>
            <w:r w:rsidRPr="00E96950">
              <w:rPr>
                <w:rFonts w:eastAsiaTheme="minorEastAsia"/>
                <w:iCs/>
                <w:color w:val="FFFFFF"/>
                <w:sz w:val="21"/>
                <w:lang w:eastAsia="en-AU"/>
              </w:rPr>
              <w:t>2015</w:t>
            </w:r>
          </w:p>
        </w:tc>
        <w:tc>
          <w:tcPr>
            <w:tcW w:w="1131" w:type="dxa"/>
            <w:tcBorders>
              <w:top w:val="nil"/>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1"/>
                <w:lang w:eastAsia="en-AU"/>
              </w:rPr>
            </w:pPr>
            <w:r w:rsidRPr="00E96950">
              <w:rPr>
                <w:rFonts w:eastAsiaTheme="minorEastAsia"/>
                <w:iCs/>
                <w:color w:val="FFFFFF"/>
                <w:sz w:val="21"/>
                <w:lang w:eastAsia="en-AU"/>
              </w:rPr>
              <w:t>2014</w:t>
            </w:r>
          </w:p>
        </w:tc>
        <w:tc>
          <w:tcPr>
            <w:tcW w:w="1131" w:type="dxa"/>
            <w:gridSpan w:val="2"/>
            <w:tcBorders>
              <w:top w:val="nil"/>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1"/>
                <w:lang w:eastAsia="en-AU"/>
              </w:rPr>
            </w:pPr>
            <w:r w:rsidRPr="00E96950">
              <w:rPr>
                <w:rFonts w:eastAsiaTheme="minorEastAsia"/>
                <w:iCs/>
                <w:color w:val="FFFFFF"/>
                <w:sz w:val="21"/>
                <w:lang w:eastAsia="en-AU"/>
              </w:rPr>
              <w:t>2015</w:t>
            </w:r>
          </w:p>
        </w:tc>
        <w:tc>
          <w:tcPr>
            <w:tcW w:w="1132" w:type="dxa"/>
            <w:tcBorders>
              <w:top w:val="nil"/>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1"/>
                <w:lang w:eastAsia="en-AU"/>
              </w:rPr>
            </w:pPr>
            <w:r w:rsidRPr="00E96950">
              <w:rPr>
                <w:rFonts w:eastAsiaTheme="minorEastAsia"/>
                <w:iCs/>
                <w:color w:val="FFFFFF"/>
                <w:sz w:val="21"/>
                <w:lang w:eastAsia="en-AU"/>
              </w:rPr>
              <w:t>2014</w:t>
            </w:r>
          </w:p>
        </w:tc>
        <w:tc>
          <w:tcPr>
            <w:tcW w:w="1131" w:type="dxa"/>
            <w:gridSpan w:val="2"/>
            <w:tcBorders>
              <w:top w:val="nil"/>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1"/>
                <w:lang w:eastAsia="en-AU"/>
              </w:rPr>
            </w:pPr>
            <w:r w:rsidRPr="00E96950">
              <w:rPr>
                <w:rFonts w:eastAsiaTheme="minorEastAsia"/>
                <w:iCs/>
                <w:color w:val="FFFFFF"/>
                <w:sz w:val="21"/>
                <w:lang w:eastAsia="en-AU"/>
              </w:rPr>
              <w:t>2015</w:t>
            </w:r>
          </w:p>
        </w:tc>
        <w:tc>
          <w:tcPr>
            <w:tcW w:w="1274" w:type="dxa"/>
            <w:tcBorders>
              <w:top w:val="nil"/>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1"/>
                <w:lang w:eastAsia="en-AU"/>
              </w:rPr>
            </w:pPr>
            <w:r w:rsidRPr="00E96950">
              <w:rPr>
                <w:rFonts w:eastAsiaTheme="minorEastAsia"/>
                <w:iCs/>
                <w:color w:val="FFFFFF"/>
                <w:sz w:val="21"/>
                <w:lang w:eastAsia="en-AU"/>
              </w:rPr>
              <w:t>2014</w:t>
            </w:r>
          </w:p>
        </w:tc>
        <w:tc>
          <w:tcPr>
            <w:tcW w:w="989" w:type="dxa"/>
            <w:gridSpan w:val="2"/>
            <w:tcBorders>
              <w:top w:val="nil"/>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1"/>
                <w:lang w:eastAsia="en-AU"/>
              </w:rPr>
            </w:pPr>
            <w:r w:rsidRPr="00E96950">
              <w:rPr>
                <w:rFonts w:eastAsiaTheme="minorEastAsia"/>
                <w:iCs/>
                <w:color w:val="FFFFFF"/>
                <w:sz w:val="21"/>
                <w:lang w:eastAsia="en-AU"/>
              </w:rPr>
              <w:t>2015</w:t>
            </w:r>
          </w:p>
        </w:tc>
        <w:tc>
          <w:tcPr>
            <w:tcW w:w="1131" w:type="dxa"/>
            <w:tcBorders>
              <w:top w:val="nil"/>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1"/>
                <w:lang w:eastAsia="en-AU"/>
              </w:rPr>
            </w:pPr>
            <w:r w:rsidRPr="00E96950">
              <w:rPr>
                <w:rFonts w:eastAsiaTheme="minorEastAsia"/>
                <w:iCs/>
                <w:color w:val="FFFFFF"/>
                <w:sz w:val="21"/>
                <w:lang w:eastAsia="en-AU"/>
              </w:rPr>
              <w:t>2014</w:t>
            </w:r>
          </w:p>
        </w:tc>
        <w:tc>
          <w:tcPr>
            <w:tcW w:w="1131" w:type="dxa"/>
            <w:gridSpan w:val="2"/>
            <w:tcBorders>
              <w:top w:val="nil"/>
              <w:left w:val="nil"/>
              <w:bottom w:val="single" w:sz="6" w:space="0" w:color="auto"/>
              <w:right w:val="nil"/>
            </w:tcBorders>
            <w:shd w:val="clear" w:color="000000" w:fill="000000"/>
            <w:vAlign w:val="bottom"/>
          </w:tcPr>
          <w:p w:rsidR="00336793" w:rsidRPr="00E96950" w:rsidRDefault="00336793" w:rsidP="00DF0B96">
            <w:pPr>
              <w:pStyle w:val="Tabletextheading"/>
              <w:rPr>
                <w:rFonts w:eastAsiaTheme="minorEastAsia"/>
                <w:iCs/>
                <w:color w:val="FFFFFF"/>
                <w:sz w:val="21"/>
                <w:lang w:eastAsia="en-AU"/>
              </w:rPr>
            </w:pPr>
            <w:r w:rsidRPr="00E96950">
              <w:rPr>
                <w:rFonts w:eastAsiaTheme="minorEastAsia"/>
                <w:iCs/>
                <w:color w:val="FFFFFF"/>
                <w:sz w:val="21"/>
                <w:lang w:eastAsia="en-AU"/>
              </w:rPr>
              <w:t>2015</w:t>
            </w:r>
          </w:p>
        </w:tc>
        <w:tc>
          <w:tcPr>
            <w:tcW w:w="1132" w:type="dxa"/>
            <w:tcBorders>
              <w:top w:val="nil"/>
              <w:left w:val="nil"/>
              <w:bottom w:val="single" w:sz="6" w:space="0" w:color="auto"/>
              <w:right w:val="single" w:sz="6" w:space="0" w:color="auto"/>
            </w:tcBorders>
            <w:shd w:val="clear" w:color="000000" w:fill="000000"/>
            <w:vAlign w:val="bottom"/>
          </w:tcPr>
          <w:p w:rsidR="00336793" w:rsidRPr="00E96950" w:rsidRDefault="00336793" w:rsidP="00DF0B96">
            <w:pPr>
              <w:pStyle w:val="Tabletextheading"/>
              <w:rPr>
                <w:rFonts w:eastAsiaTheme="minorEastAsia"/>
                <w:iCs/>
                <w:color w:val="FFFFFF"/>
                <w:sz w:val="21"/>
                <w:lang w:eastAsia="en-AU"/>
              </w:rPr>
            </w:pPr>
            <w:r w:rsidRPr="00E96950">
              <w:rPr>
                <w:rFonts w:eastAsiaTheme="minorEastAsia"/>
                <w:iCs/>
                <w:color w:val="FFFFFF"/>
                <w:sz w:val="21"/>
                <w:lang w:eastAsia="en-AU"/>
              </w:rPr>
              <w:t>2014</w:t>
            </w:r>
          </w:p>
        </w:tc>
      </w:tr>
      <w:tr w:rsidR="00336793" w:rsidRPr="00E96950" w:rsidTr="00DF0B96">
        <w:tc>
          <w:tcPr>
            <w:tcW w:w="3257" w:type="dxa"/>
            <w:tcBorders>
              <w:top w:val="single" w:sz="6" w:space="0" w:color="auto"/>
              <w:left w:val="nil"/>
              <w:bottom w:val="nil"/>
              <w:right w:val="nil"/>
            </w:tcBorders>
          </w:tcPr>
          <w:p w:rsidR="00336793" w:rsidRPr="00E96950" w:rsidRDefault="00336793" w:rsidP="00DF0B96">
            <w:pPr>
              <w:pStyle w:val="Tabletext"/>
              <w:rPr>
                <w:rFonts w:eastAsiaTheme="minorEastAsia"/>
                <w:b/>
                <w:sz w:val="21"/>
                <w:vertAlign w:val="superscript"/>
                <w:lang w:eastAsia="en-AU"/>
              </w:rPr>
            </w:pPr>
            <w:r w:rsidRPr="00E96950">
              <w:rPr>
                <w:rFonts w:eastAsiaTheme="minorEastAsia"/>
                <w:b/>
                <w:sz w:val="21"/>
                <w:lang w:eastAsia="en-AU"/>
              </w:rPr>
              <w:t>Net result from transactions – net operating balance</w:t>
            </w:r>
            <w:r w:rsidRPr="00E96950">
              <w:rPr>
                <w:rFonts w:eastAsiaTheme="minorEastAsia"/>
                <w:b/>
                <w:sz w:val="21"/>
                <w:vertAlign w:val="superscript"/>
                <w:lang w:eastAsia="en-AU"/>
              </w:rPr>
              <w:t xml:space="preserve"> (c)</w:t>
            </w:r>
          </w:p>
        </w:tc>
        <w:tc>
          <w:tcPr>
            <w:tcW w:w="1131" w:type="dxa"/>
            <w:gridSpan w:val="2"/>
            <w:tcBorders>
              <w:top w:val="single" w:sz="6" w:space="0" w:color="auto"/>
              <w:left w:val="nil"/>
              <w:bottom w:val="nil"/>
              <w:right w:val="nil"/>
            </w:tcBorders>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1 214.0</w:t>
            </w:r>
          </w:p>
        </w:tc>
        <w:tc>
          <w:tcPr>
            <w:tcW w:w="1131" w:type="dxa"/>
            <w:tcBorders>
              <w:top w:val="single" w:sz="6" w:space="0" w:color="auto"/>
              <w:left w:val="nil"/>
              <w:bottom w:val="nil"/>
              <w:right w:val="nil"/>
            </w:tcBorders>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1 979.8</w:t>
            </w:r>
          </w:p>
        </w:tc>
        <w:tc>
          <w:tcPr>
            <w:tcW w:w="1131" w:type="dxa"/>
            <w:gridSpan w:val="2"/>
            <w:tcBorders>
              <w:top w:val="single" w:sz="6" w:space="0" w:color="auto"/>
              <w:left w:val="nil"/>
              <w:bottom w:val="nil"/>
              <w:right w:val="nil"/>
            </w:tcBorders>
          </w:tcPr>
          <w:p w:rsidR="00336793" w:rsidRPr="00E96950" w:rsidRDefault="00336793" w:rsidP="00DF0B96">
            <w:pPr>
              <w:pStyle w:val="TableofFigures"/>
              <w:rPr>
                <w:rFonts w:eastAsiaTheme="minorEastAsia" w:cs="Calibri"/>
                <w:color w:val="000000"/>
                <w:sz w:val="21"/>
                <w:szCs w:val="22"/>
                <w:lang w:eastAsia="en-AU"/>
              </w:rPr>
            </w:pPr>
            <w:r w:rsidRPr="00E96950">
              <w:rPr>
                <w:rFonts w:eastAsiaTheme="minorEastAsia"/>
                <w:b/>
                <w:sz w:val="21"/>
                <w:lang w:eastAsia="en-AU"/>
              </w:rPr>
              <w:t>(</w:t>
            </w:r>
            <w:r w:rsidRPr="00E96950">
              <w:rPr>
                <w:rFonts w:eastAsiaTheme="minorEastAsia" w:cs="Calibri"/>
                <w:color w:val="000000"/>
                <w:sz w:val="21"/>
                <w:szCs w:val="22"/>
                <w:lang w:eastAsia="en-AU"/>
              </w:rPr>
              <w:t>161.9)</w:t>
            </w:r>
          </w:p>
        </w:tc>
        <w:tc>
          <w:tcPr>
            <w:tcW w:w="1132" w:type="dxa"/>
            <w:tcBorders>
              <w:top w:val="single" w:sz="6" w:space="0" w:color="auto"/>
              <w:left w:val="nil"/>
              <w:bottom w:val="nil"/>
              <w:right w:val="nil"/>
            </w:tcBorders>
          </w:tcPr>
          <w:p w:rsidR="00336793" w:rsidRPr="00E96950" w:rsidRDefault="00336793" w:rsidP="00DF0B96">
            <w:pPr>
              <w:pStyle w:val="TableofFigures"/>
              <w:rPr>
                <w:rFonts w:eastAsiaTheme="minorEastAsia" w:cs="Calibri"/>
                <w:color w:val="000000"/>
                <w:sz w:val="21"/>
                <w:szCs w:val="22"/>
                <w:lang w:eastAsia="en-AU"/>
              </w:rPr>
            </w:pPr>
            <w:r w:rsidRPr="00E96950">
              <w:rPr>
                <w:rFonts w:eastAsiaTheme="minorEastAsia"/>
                <w:b/>
                <w:sz w:val="21"/>
                <w:lang w:eastAsia="en-AU"/>
              </w:rPr>
              <w:t>(</w:t>
            </w:r>
            <w:r w:rsidRPr="00E96950">
              <w:rPr>
                <w:rFonts w:eastAsiaTheme="minorEastAsia" w:cs="Calibri"/>
                <w:color w:val="000000"/>
                <w:sz w:val="21"/>
                <w:szCs w:val="22"/>
                <w:lang w:eastAsia="en-AU"/>
              </w:rPr>
              <w:t>183.8)</w:t>
            </w:r>
          </w:p>
        </w:tc>
        <w:tc>
          <w:tcPr>
            <w:tcW w:w="1131" w:type="dxa"/>
            <w:gridSpan w:val="2"/>
            <w:tcBorders>
              <w:top w:val="single" w:sz="6" w:space="0" w:color="auto"/>
              <w:left w:val="nil"/>
              <w:bottom w:val="nil"/>
              <w:right w:val="nil"/>
            </w:tcBorders>
          </w:tcPr>
          <w:p w:rsidR="00336793" w:rsidRPr="00E96950" w:rsidRDefault="00336793" w:rsidP="00DF0B96">
            <w:pPr>
              <w:pStyle w:val="TableofFigures"/>
              <w:rPr>
                <w:rFonts w:eastAsiaTheme="minorEastAsia" w:cs="Calibri"/>
                <w:color w:val="000000"/>
                <w:sz w:val="21"/>
                <w:szCs w:val="22"/>
                <w:lang w:eastAsia="en-AU"/>
              </w:rPr>
            </w:pPr>
            <w:r w:rsidRPr="00E96950">
              <w:rPr>
                <w:rFonts w:eastAsiaTheme="minorEastAsia"/>
                <w:b/>
                <w:sz w:val="21"/>
                <w:lang w:eastAsia="en-AU"/>
              </w:rPr>
              <w:t>(892.4</w:t>
            </w:r>
            <w:r w:rsidRPr="00E96950">
              <w:rPr>
                <w:rFonts w:eastAsiaTheme="minorEastAsia" w:cs="Calibri"/>
                <w:color w:val="000000"/>
                <w:sz w:val="21"/>
                <w:szCs w:val="22"/>
                <w:lang w:eastAsia="en-AU"/>
              </w:rPr>
              <w:t>)</w:t>
            </w:r>
          </w:p>
        </w:tc>
        <w:tc>
          <w:tcPr>
            <w:tcW w:w="1274" w:type="dxa"/>
            <w:tcBorders>
              <w:top w:val="single" w:sz="6" w:space="0" w:color="auto"/>
              <w:left w:val="nil"/>
              <w:bottom w:val="nil"/>
              <w:right w:val="nil"/>
            </w:tcBorders>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(1 095.0)</w:t>
            </w:r>
          </w:p>
        </w:tc>
        <w:tc>
          <w:tcPr>
            <w:tcW w:w="989" w:type="dxa"/>
            <w:gridSpan w:val="2"/>
            <w:tcBorders>
              <w:top w:val="single" w:sz="6" w:space="0" w:color="auto"/>
              <w:left w:val="nil"/>
              <w:bottom w:val="nil"/>
              <w:right w:val="nil"/>
            </w:tcBorders>
          </w:tcPr>
          <w:p w:rsidR="00336793" w:rsidRPr="00E96950" w:rsidRDefault="00336793" w:rsidP="00DF0B96">
            <w:pPr>
              <w:pStyle w:val="TableofFigures"/>
              <w:rPr>
                <w:rFonts w:eastAsiaTheme="minorEastAsia" w:cs="Calibri"/>
                <w:color w:val="000000"/>
                <w:sz w:val="21"/>
                <w:szCs w:val="22"/>
                <w:lang w:eastAsia="en-AU"/>
              </w:rPr>
            </w:pPr>
            <w:r w:rsidRPr="00E96950">
              <w:rPr>
                <w:rFonts w:eastAsiaTheme="minorEastAsia"/>
                <w:b/>
                <w:sz w:val="21"/>
                <w:lang w:eastAsia="en-AU"/>
              </w:rPr>
              <w:t>(</w:t>
            </w:r>
            <w:r w:rsidRPr="00E96950">
              <w:rPr>
                <w:rFonts w:eastAsiaTheme="minorEastAsia" w:cs="Calibri"/>
                <w:color w:val="000000"/>
                <w:sz w:val="21"/>
                <w:szCs w:val="22"/>
                <w:lang w:eastAsia="en-AU"/>
              </w:rPr>
              <w:t>770.4)</w:t>
            </w:r>
          </w:p>
        </w:tc>
        <w:tc>
          <w:tcPr>
            <w:tcW w:w="1131" w:type="dxa"/>
            <w:tcBorders>
              <w:top w:val="single" w:sz="6" w:space="0" w:color="auto"/>
              <w:left w:val="nil"/>
              <w:bottom w:val="nil"/>
              <w:right w:val="nil"/>
            </w:tcBorders>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 xml:space="preserve"> 86.7</w:t>
            </w:r>
          </w:p>
        </w:tc>
        <w:tc>
          <w:tcPr>
            <w:tcW w:w="1131" w:type="dxa"/>
            <w:gridSpan w:val="2"/>
            <w:tcBorders>
              <w:top w:val="single" w:sz="6" w:space="0" w:color="auto"/>
              <w:left w:val="nil"/>
              <w:bottom w:val="nil"/>
              <w:right w:val="nil"/>
            </w:tcBorders>
          </w:tcPr>
          <w:p w:rsidR="00336793" w:rsidRPr="00E96950" w:rsidRDefault="00336793" w:rsidP="00DF0B96">
            <w:pPr>
              <w:pStyle w:val="TableofFigures"/>
              <w:rPr>
                <w:rFonts w:eastAsiaTheme="minorEastAsia" w:cs="Calibri"/>
                <w:color w:val="000000"/>
                <w:sz w:val="21"/>
                <w:szCs w:val="22"/>
                <w:lang w:eastAsia="en-AU"/>
              </w:rPr>
            </w:pPr>
            <w:r w:rsidRPr="00E96950">
              <w:rPr>
                <w:rFonts w:eastAsiaTheme="minorEastAsia"/>
                <w:b/>
                <w:sz w:val="21"/>
                <w:lang w:eastAsia="en-AU"/>
              </w:rPr>
              <w:t>(</w:t>
            </w:r>
            <w:r w:rsidRPr="00E96950">
              <w:rPr>
                <w:rFonts w:eastAsiaTheme="minorEastAsia" w:cs="Calibri"/>
                <w:color w:val="000000"/>
                <w:sz w:val="21"/>
                <w:szCs w:val="22"/>
                <w:lang w:eastAsia="en-AU"/>
              </w:rPr>
              <w:t>610.7)</w:t>
            </w:r>
          </w:p>
        </w:tc>
        <w:tc>
          <w:tcPr>
            <w:tcW w:w="1132" w:type="dxa"/>
            <w:tcBorders>
              <w:top w:val="single" w:sz="6" w:space="0" w:color="auto"/>
              <w:left w:val="nil"/>
              <w:bottom w:val="nil"/>
              <w:right w:val="nil"/>
            </w:tcBorders>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 xml:space="preserve"> 787.6</w:t>
            </w:r>
          </w:p>
        </w:tc>
      </w:tr>
      <w:tr w:rsidR="00336793" w:rsidRPr="00E96950" w:rsidTr="00DF0B96">
        <w:tc>
          <w:tcPr>
            <w:tcW w:w="3257" w:type="dxa"/>
            <w:tcBorders>
              <w:top w:val="nil"/>
              <w:left w:val="nil"/>
              <w:bottom w:val="nil"/>
              <w:right w:val="nil"/>
            </w:tcBorders>
          </w:tcPr>
          <w:p w:rsidR="00336793" w:rsidRPr="00E96950" w:rsidRDefault="00336793" w:rsidP="00DF0B96">
            <w:pPr>
              <w:pStyle w:val="Tabletext"/>
              <w:rPr>
                <w:rFonts w:eastAsiaTheme="minorEastAsia" w:cs="Calibri"/>
                <w:color w:val="000000"/>
                <w:sz w:val="21"/>
                <w:szCs w:val="22"/>
                <w:vertAlign w:val="superscript"/>
                <w:lang w:eastAsia="en-AU"/>
              </w:rPr>
            </w:pPr>
            <w:r w:rsidRPr="00E96950">
              <w:rPr>
                <w:rFonts w:eastAsiaTheme="minorEastAsia"/>
                <w:i/>
                <w:iCs/>
                <w:sz w:val="21"/>
                <w:lang w:eastAsia="en-AU"/>
              </w:rPr>
              <w:t xml:space="preserve">Convergence differences: </w:t>
            </w:r>
          </w:p>
        </w:tc>
        <w:tc>
          <w:tcPr>
            <w:tcW w:w="1131" w:type="dxa"/>
            <w:gridSpan w:val="2"/>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w:t>
            </w:r>
          </w:p>
        </w:tc>
        <w:tc>
          <w:tcPr>
            <w:tcW w:w="1131" w:type="dxa"/>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w:t>
            </w:r>
          </w:p>
        </w:tc>
        <w:tc>
          <w:tcPr>
            <w:tcW w:w="1131" w:type="dxa"/>
            <w:gridSpan w:val="2"/>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w:t>
            </w:r>
          </w:p>
        </w:tc>
        <w:tc>
          <w:tcPr>
            <w:tcW w:w="1132" w:type="dxa"/>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w:t>
            </w:r>
          </w:p>
        </w:tc>
        <w:tc>
          <w:tcPr>
            <w:tcW w:w="1131" w:type="dxa"/>
            <w:gridSpan w:val="2"/>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w:t>
            </w:r>
          </w:p>
        </w:tc>
        <w:tc>
          <w:tcPr>
            <w:tcW w:w="1274" w:type="dxa"/>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w:t>
            </w:r>
          </w:p>
        </w:tc>
        <w:tc>
          <w:tcPr>
            <w:tcW w:w="989" w:type="dxa"/>
            <w:gridSpan w:val="2"/>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w:t>
            </w:r>
          </w:p>
        </w:tc>
        <w:tc>
          <w:tcPr>
            <w:tcW w:w="1131" w:type="dxa"/>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w:t>
            </w:r>
          </w:p>
        </w:tc>
        <w:tc>
          <w:tcPr>
            <w:tcW w:w="1131" w:type="dxa"/>
            <w:gridSpan w:val="2"/>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w:t>
            </w:r>
          </w:p>
        </w:tc>
        <w:tc>
          <w:tcPr>
            <w:tcW w:w="1132" w:type="dxa"/>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w:t>
            </w:r>
          </w:p>
        </w:tc>
      </w:tr>
      <w:tr w:rsidR="00336793" w:rsidRPr="00E96950" w:rsidTr="00DF0B96">
        <w:tc>
          <w:tcPr>
            <w:tcW w:w="3257" w:type="dxa"/>
            <w:tcBorders>
              <w:top w:val="nil"/>
              <w:left w:val="nil"/>
              <w:bottom w:val="nil"/>
              <w:right w:val="nil"/>
            </w:tcBorders>
          </w:tcPr>
          <w:p w:rsidR="00336793" w:rsidRPr="00E96950" w:rsidRDefault="00336793" w:rsidP="00DF0B96">
            <w:pPr>
              <w:pStyle w:val="Tabletext"/>
              <w:rPr>
                <w:rFonts w:eastAsiaTheme="minorEastAsia"/>
                <w:sz w:val="21"/>
                <w:lang w:eastAsia="en-AU"/>
              </w:rPr>
            </w:pPr>
            <w:r w:rsidRPr="00E96950">
              <w:rPr>
                <w:rFonts w:eastAsiaTheme="minorEastAsia"/>
                <w:sz w:val="21"/>
                <w:lang w:eastAsia="en-AU"/>
              </w:rPr>
              <w:t xml:space="preserve">PNFC/PFC dividends </w:t>
            </w:r>
          </w:p>
        </w:tc>
        <w:tc>
          <w:tcPr>
            <w:tcW w:w="1131" w:type="dxa"/>
            <w:gridSpan w:val="2"/>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w:t>
            </w:r>
          </w:p>
        </w:tc>
        <w:tc>
          <w:tcPr>
            <w:tcW w:w="1131" w:type="dxa"/>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w:t>
            </w:r>
          </w:p>
        </w:tc>
        <w:tc>
          <w:tcPr>
            <w:tcW w:w="1131" w:type="dxa"/>
            <w:gridSpan w:val="2"/>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255.5</w:t>
            </w:r>
          </w:p>
        </w:tc>
        <w:tc>
          <w:tcPr>
            <w:tcW w:w="1132" w:type="dxa"/>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84.5</w:t>
            </w:r>
          </w:p>
        </w:tc>
        <w:tc>
          <w:tcPr>
            <w:tcW w:w="1131" w:type="dxa"/>
            <w:gridSpan w:val="2"/>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566.2</w:t>
            </w:r>
          </w:p>
        </w:tc>
        <w:tc>
          <w:tcPr>
            <w:tcW w:w="1274" w:type="dxa"/>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136.0</w:t>
            </w:r>
          </w:p>
        </w:tc>
        <w:tc>
          <w:tcPr>
            <w:tcW w:w="989" w:type="dxa"/>
            <w:gridSpan w:val="2"/>
            <w:tcBorders>
              <w:top w:val="nil"/>
              <w:left w:val="nil"/>
              <w:bottom w:val="nil"/>
              <w:right w:val="nil"/>
            </w:tcBorders>
          </w:tcPr>
          <w:p w:rsidR="00336793" w:rsidRPr="00E96950" w:rsidRDefault="00336793" w:rsidP="00DF0B96">
            <w:pPr>
              <w:pStyle w:val="TableofFigures"/>
              <w:rPr>
                <w:rFonts w:eastAsiaTheme="minorEastAsia" w:cs="Calibri"/>
                <w:b/>
                <w:bCs/>
                <w:color w:val="000000"/>
                <w:sz w:val="21"/>
                <w:szCs w:val="22"/>
                <w:lang w:eastAsia="en-AU"/>
              </w:rPr>
            </w:pPr>
            <w:r w:rsidRPr="00E96950">
              <w:rPr>
                <w:rFonts w:eastAsiaTheme="minorEastAsia"/>
                <w:sz w:val="21"/>
                <w:lang w:eastAsia="en-AU"/>
              </w:rPr>
              <w:t>(</w:t>
            </w:r>
            <w:r w:rsidRPr="00E96950">
              <w:rPr>
                <w:rFonts w:eastAsiaTheme="minorEastAsia" w:cs="Calibri"/>
                <w:bCs/>
                <w:color w:val="000000"/>
                <w:sz w:val="21"/>
                <w:szCs w:val="22"/>
                <w:lang w:eastAsia="en-AU"/>
              </w:rPr>
              <w:t>821.7)</w:t>
            </w:r>
          </w:p>
        </w:tc>
        <w:tc>
          <w:tcPr>
            <w:tcW w:w="1131" w:type="dxa"/>
            <w:tcBorders>
              <w:top w:val="nil"/>
              <w:left w:val="nil"/>
              <w:bottom w:val="nil"/>
              <w:right w:val="nil"/>
            </w:tcBorders>
          </w:tcPr>
          <w:p w:rsidR="00336793" w:rsidRPr="00E96950" w:rsidRDefault="00336793" w:rsidP="00DF0B96">
            <w:pPr>
              <w:pStyle w:val="TableofFigures"/>
              <w:rPr>
                <w:rFonts w:eastAsiaTheme="minorEastAsia" w:cs="Calibri"/>
                <w:b/>
                <w:bCs/>
                <w:color w:val="000000"/>
                <w:sz w:val="21"/>
                <w:szCs w:val="22"/>
                <w:lang w:eastAsia="en-AU"/>
              </w:rPr>
            </w:pPr>
            <w:r w:rsidRPr="00E96950">
              <w:rPr>
                <w:rFonts w:eastAsiaTheme="minorEastAsia"/>
                <w:sz w:val="21"/>
                <w:lang w:eastAsia="en-AU"/>
              </w:rPr>
              <w:t>(</w:t>
            </w:r>
            <w:r w:rsidRPr="00E96950">
              <w:rPr>
                <w:rFonts w:eastAsiaTheme="minorEastAsia" w:cs="Calibri"/>
                <w:bCs/>
                <w:color w:val="000000"/>
                <w:sz w:val="21"/>
                <w:szCs w:val="22"/>
                <w:lang w:eastAsia="en-AU"/>
              </w:rPr>
              <w:t>220.5)</w:t>
            </w:r>
          </w:p>
        </w:tc>
        <w:tc>
          <w:tcPr>
            <w:tcW w:w="1131" w:type="dxa"/>
            <w:gridSpan w:val="2"/>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w:t>
            </w:r>
          </w:p>
        </w:tc>
        <w:tc>
          <w:tcPr>
            <w:tcW w:w="1132" w:type="dxa"/>
            <w:tcBorders>
              <w:top w:val="nil"/>
              <w:left w:val="nil"/>
              <w:bottom w:val="nil"/>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w:t>
            </w:r>
          </w:p>
        </w:tc>
      </w:tr>
      <w:tr w:rsidR="00336793" w:rsidRPr="00E96950" w:rsidTr="00DF0B96">
        <w:tc>
          <w:tcPr>
            <w:tcW w:w="3257" w:type="dxa"/>
            <w:tcBorders>
              <w:top w:val="single" w:sz="6" w:space="0" w:color="auto"/>
              <w:left w:val="nil"/>
              <w:bottom w:val="single" w:sz="6" w:space="0" w:color="auto"/>
              <w:right w:val="nil"/>
            </w:tcBorders>
          </w:tcPr>
          <w:p w:rsidR="00336793" w:rsidRPr="00E96950" w:rsidRDefault="00336793" w:rsidP="00DF0B96">
            <w:pPr>
              <w:pStyle w:val="Tabletext"/>
              <w:rPr>
                <w:rFonts w:eastAsiaTheme="minorEastAsia"/>
                <w:i/>
                <w:iCs/>
                <w:sz w:val="21"/>
                <w:lang w:eastAsia="en-AU"/>
              </w:rPr>
            </w:pPr>
            <w:r w:rsidRPr="00E96950">
              <w:rPr>
                <w:rFonts w:eastAsiaTheme="minorEastAsia"/>
                <w:i/>
                <w:iCs/>
                <w:sz w:val="21"/>
                <w:lang w:eastAsia="en-AU"/>
              </w:rPr>
              <w:t>plus total convergence difference:</w:t>
            </w:r>
          </w:p>
        </w:tc>
        <w:tc>
          <w:tcPr>
            <w:tcW w:w="1131" w:type="dxa"/>
            <w:gridSpan w:val="2"/>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w:t>
            </w:r>
          </w:p>
        </w:tc>
        <w:tc>
          <w:tcPr>
            <w:tcW w:w="1131"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w:t>
            </w:r>
          </w:p>
        </w:tc>
        <w:tc>
          <w:tcPr>
            <w:tcW w:w="1131" w:type="dxa"/>
            <w:gridSpan w:val="2"/>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cs="Calibri"/>
                <w:color w:val="000000"/>
                <w:sz w:val="21"/>
                <w:szCs w:val="22"/>
                <w:lang w:eastAsia="en-AU"/>
              </w:rPr>
            </w:pPr>
            <w:r w:rsidRPr="00E96950">
              <w:rPr>
                <w:rFonts w:eastAsiaTheme="minorEastAsia"/>
                <w:sz w:val="21"/>
                <w:lang w:eastAsia="en-AU"/>
              </w:rPr>
              <w:t>(</w:t>
            </w:r>
            <w:r w:rsidRPr="00E96950">
              <w:rPr>
                <w:rFonts w:eastAsiaTheme="minorEastAsia" w:cs="Calibri"/>
                <w:color w:val="000000"/>
                <w:sz w:val="21"/>
                <w:szCs w:val="22"/>
                <w:lang w:eastAsia="en-AU"/>
              </w:rPr>
              <w:t>255.5)</w:t>
            </w:r>
          </w:p>
        </w:tc>
        <w:tc>
          <w:tcPr>
            <w:tcW w:w="1132"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cs="Calibri"/>
                <w:color w:val="000000"/>
                <w:sz w:val="21"/>
                <w:szCs w:val="22"/>
                <w:lang w:eastAsia="en-AU"/>
              </w:rPr>
            </w:pPr>
            <w:r w:rsidRPr="00E96950">
              <w:rPr>
                <w:rFonts w:eastAsiaTheme="minorEastAsia"/>
                <w:sz w:val="21"/>
                <w:lang w:eastAsia="en-AU"/>
              </w:rPr>
              <w:t>(</w:t>
            </w:r>
            <w:r w:rsidRPr="00E96950">
              <w:rPr>
                <w:rFonts w:eastAsiaTheme="minorEastAsia" w:cs="Calibri"/>
                <w:color w:val="000000"/>
                <w:sz w:val="21"/>
                <w:szCs w:val="22"/>
                <w:lang w:eastAsia="en-AU"/>
              </w:rPr>
              <w:t>84.5)</w:t>
            </w:r>
          </w:p>
        </w:tc>
        <w:tc>
          <w:tcPr>
            <w:tcW w:w="1131" w:type="dxa"/>
            <w:gridSpan w:val="2"/>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cs="Calibri"/>
                <w:color w:val="000000"/>
                <w:sz w:val="21"/>
                <w:szCs w:val="22"/>
                <w:lang w:eastAsia="en-AU"/>
              </w:rPr>
            </w:pPr>
            <w:r w:rsidRPr="00E96950">
              <w:rPr>
                <w:rFonts w:eastAsiaTheme="minorEastAsia"/>
                <w:sz w:val="21"/>
                <w:lang w:eastAsia="en-AU"/>
              </w:rPr>
              <w:t>(</w:t>
            </w:r>
            <w:r w:rsidRPr="00E96950">
              <w:rPr>
                <w:rFonts w:eastAsiaTheme="minorEastAsia" w:cs="Calibri"/>
                <w:color w:val="000000"/>
                <w:sz w:val="21"/>
                <w:szCs w:val="22"/>
                <w:lang w:eastAsia="en-AU"/>
              </w:rPr>
              <w:t>566.2)</w:t>
            </w:r>
          </w:p>
        </w:tc>
        <w:tc>
          <w:tcPr>
            <w:tcW w:w="1274"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cs="Calibri"/>
                <w:color w:val="000000"/>
                <w:sz w:val="21"/>
                <w:szCs w:val="22"/>
                <w:lang w:eastAsia="en-AU"/>
              </w:rPr>
            </w:pPr>
            <w:r w:rsidRPr="00E96950">
              <w:rPr>
                <w:rFonts w:eastAsiaTheme="minorEastAsia"/>
                <w:sz w:val="21"/>
                <w:lang w:eastAsia="en-AU"/>
              </w:rPr>
              <w:t>(</w:t>
            </w:r>
            <w:r w:rsidRPr="00E96950">
              <w:rPr>
                <w:rFonts w:eastAsiaTheme="minorEastAsia" w:cs="Calibri"/>
                <w:color w:val="000000"/>
                <w:sz w:val="21"/>
                <w:szCs w:val="22"/>
                <w:lang w:eastAsia="en-AU"/>
              </w:rPr>
              <w:t>136.0)</w:t>
            </w:r>
          </w:p>
        </w:tc>
        <w:tc>
          <w:tcPr>
            <w:tcW w:w="989" w:type="dxa"/>
            <w:gridSpan w:val="2"/>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821.7</w:t>
            </w:r>
          </w:p>
        </w:tc>
        <w:tc>
          <w:tcPr>
            <w:tcW w:w="1131"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 xml:space="preserve"> 220.5</w:t>
            </w:r>
          </w:p>
        </w:tc>
        <w:tc>
          <w:tcPr>
            <w:tcW w:w="1131" w:type="dxa"/>
            <w:gridSpan w:val="2"/>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w:t>
            </w:r>
          </w:p>
        </w:tc>
        <w:tc>
          <w:tcPr>
            <w:tcW w:w="1132"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sz w:val="21"/>
                <w:lang w:eastAsia="en-AU"/>
              </w:rPr>
            </w:pPr>
            <w:r w:rsidRPr="00E96950">
              <w:rPr>
                <w:rFonts w:eastAsiaTheme="minorEastAsia"/>
                <w:sz w:val="21"/>
                <w:lang w:eastAsia="en-AU"/>
              </w:rPr>
              <w:t>..</w:t>
            </w:r>
          </w:p>
        </w:tc>
      </w:tr>
      <w:tr w:rsidR="00336793" w:rsidRPr="00E96950" w:rsidTr="00DF0B96">
        <w:tc>
          <w:tcPr>
            <w:tcW w:w="3257"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text"/>
              <w:rPr>
                <w:rFonts w:eastAsiaTheme="minorEastAsia"/>
                <w:b/>
                <w:sz w:val="21"/>
                <w:lang w:eastAsia="en-AU"/>
              </w:rPr>
            </w:pPr>
            <w:r w:rsidRPr="00E96950">
              <w:rPr>
                <w:rFonts w:eastAsiaTheme="minorEastAsia"/>
                <w:b/>
                <w:sz w:val="21"/>
                <w:lang w:eastAsia="en-AU"/>
              </w:rPr>
              <w:t>GFS net operating balance</w:t>
            </w:r>
          </w:p>
        </w:tc>
        <w:tc>
          <w:tcPr>
            <w:tcW w:w="1131" w:type="dxa"/>
            <w:gridSpan w:val="2"/>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1 214.0</w:t>
            </w:r>
          </w:p>
        </w:tc>
        <w:tc>
          <w:tcPr>
            <w:tcW w:w="1131"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1 979.8</w:t>
            </w:r>
          </w:p>
        </w:tc>
        <w:tc>
          <w:tcPr>
            <w:tcW w:w="1131" w:type="dxa"/>
            <w:gridSpan w:val="2"/>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cs="Calibri"/>
                <w:b/>
                <w:bCs/>
                <w:color w:val="000000"/>
                <w:sz w:val="21"/>
                <w:szCs w:val="22"/>
                <w:lang w:eastAsia="en-AU"/>
              </w:rPr>
            </w:pPr>
            <w:r w:rsidRPr="00E96950">
              <w:rPr>
                <w:rFonts w:eastAsiaTheme="minorEastAsia"/>
                <w:b/>
                <w:sz w:val="21"/>
                <w:lang w:eastAsia="en-AU"/>
              </w:rPr>
              <w:t>(</w:t>
            </w:r>
            <w:r w:rsidRPr="00E96950">
              <w:rPr>
                <w:rFonts w:eastAsiaTheme="minorEastAsia" w:cs="Calibri"/>
                <w:b/>
                <w:bCs/>
                <w:color w:val="000000"/>
                <w:sz w:val="21"/>
                <w:szCs w:val="22"/>
                <w:lang w:eastAsia="en-AU"/>
              </w:rPr>
              <w:t>417.4)</w:t>
            </w:r>
          </w:p>
        </w:tc>
        <w:tc>
          <w:tcPr>
            <w:tcW w:w="1132"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cs="Calibri"/>
                <w:b/>
                <w:bCs/>
                <w:color w:val="000000"/>
                <w:sz w:val="21"/>
                <w:szCs w:val="22"/>
                <w:lang w:eastAsia="en-AU"/>
              </w:rPr>
            </w:pPr>
            <w:r w:rsidRPr="00E96950">
              <w:rPr>
                <w:rFonts w:eastAsiaTheme="minorEastAsia"/>
                <w:b/>
                <w:sz w:val="21"/>
                <w:lang w:eastAsia="en-AU"/>
              </w:rPr>
              <w:t>(</w:t>
            </w:r>
            <w:r w:rsidRPr="00E96950">
              <w:rPr>
                <w:rFonts w:eastAsiaTheme="minorEastAsia" w:cs="Calibri"/>
                <w:b/>
                <w:bCs/>
                <w:color w:val="000000"/>
                <w:sz w:val="21"/>
                <w:szCs w:val="22"/>
                <w:lang w:eastAsia="en-AU"/>
              </w:rPr>
              <w:t>268.3)</w:t>
            </w:r>
          </w:p>
        </w:tc>
        <w:tc>
          <w:tcPr>
            <w:tcW w:w="1131" w:type="dxa"/>
            <w:gridSpan w:val="2"/>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(1 458.7)</w:t>
            </w:r>
          </w:p>
        </w:tc>
        <w:tc>
          <w:tcPr>
            <w:tcW w:w="1274"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(1 231.1)</w:t>
            </w:r>
          </w:p>
        </w:tc>
        <w:tc>
          <w:tcPr>
            <w:tcW w:w="989" w:type="dxa"/>
            <w:gridSpan w:val="2"/>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 xml:space="preserve"> 51.3</w:t>
            </w:r>
          </w:p>
        </w:tc>
        <w:tc>
          <w:tcPr>
            <w:tcW w:w="1131"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 xml:space="preserve"> 307.2</w:t>
            </w:r>
          </w:p>
        </w:tc>
        <w:tc>
          <w:tcPr>
            <w:tcW w:w="1131" w:type="dxa"/>
            <w:gridSpan w:val="2"/>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cs="Calibri"/>
                <w:b/>
                <w:bCs/>
                <w:color w:val="000000"/>
                <w:sz w:val="21"/>
                <w:szCs w:val="22"/>
                <w:lang w:eastAsia="en-AU"/>
              </w:rPr>
            </w:pPr>
            <w:r w:rsidRPr="00E96950">
              <w:rPr>
                <w:rFonts w:eastAsiaTheme="minorEastAsia"/>
                <w:b/>
                <w:sz w:val="21"/>
                <w:lang w:eastAsia="en-AU"/>
              </w:rPr>
              <w:t>(</w:t>
            </w:r>
            <w:r w:rsidRPr="00E96950">
              <w:rPr>
                <w:rFonts w:eastAsiaTheme="minorEastAsia" w:cs="Calibri"/>
                <w:b/>
                <w:bCs/>
                <w:color w:val="000000"/>
                <w:sz w:val="21"/>
                <w:szCs w:val="22"/>
                <w:lang w:eastAsia="en-AU"/>
              </w:rPr>
              <w:t>610.7)</w:t>
            </w:r>
          </w:p>
        </w:tc>
        <w:tc>
          <w:tcPr>
            <w:tcW w:w="1132"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sz w:val="21"/>
                <w:lang w:eastAsia="en-AU"/>
              </w:rPr>
            </w:pPr>
            <w:r w:rsidRPr="00E96950">
              <w:rPr>
                <w:rFonts w:eastAsiaTheme="minorEastAsia"/>
                <w:b/>
                <w:sz w:val="21"/>
                <w:lang w:eastAsia="en-AU"/>
              </w:rPr>
              <w:t xml:space="preserve"> 787.6</w:t>
            </w:r>
          </w:p>
        </w:tc>
      </w:tr>
    </w:tbl>
    <w:p w:rsidR="00336793" w:rsidRDefault="00336793" w:rsidP="00DF0B96">
      <w:pPr>
        <w:pStyle w:val="Notes"/>
      </w:pPr>
      <w:r>
        <w:t>Notes:</w:t>
      </w:r>
    </w:p>
    <w:p w:rsidR="00336793" w:rsidRDefault="00336793" w:rsidP="00DF0B96">
      <w:pPr>
        <w:pStyle w:val="Notes"/>
      </w:pPr>
      <w:r>
        <w:t>(a)</w:t>
      </w:r>
      <w:r>
        <w:tab/>
        <w:t>Determined in accordance with the ABS GFS Manual.</w:t>
      </w:r>
    </w:p>
    <w:p w:rsidR="00336793" w:rsidRDefault="00336793" w:rsidP="00DF0B96">
      <w:pPr>
        <w:pStyle w:val="Notes"/>
      </w:pPr>
      <w:r>
        <w:t>(b)</w:t>
      </w:r>
      <w:r>
        <w:tab/>
        <w:t xml:space="preserve">June 2014 </w:t>
      </w:r>
      <w:r w:rsidRPr="006A75A2">
        <w:t>comparative figures have been restated. See Note 37.</w:t>
      </w:r>
    </w:p>
    <w:p w:rsidR="00336793" w:rsidRDefault="00336793" w:rsidP="00DF0B96">
      <w:pPr>
        <w:pStyle w:val="Notes"/>
      </w:pPr>
      <w:r>
        <w:t>(c)</w:t>
      </w:r>
      <w:r>
        <w:tab/>
        <w:t>The convergence difference arises because GFS recognised dividends paid/ payable as an expense from transactions on the operating statement whereas, under accounting standards, dividends are classified as after</w:t>
      </w:r>
      <w:r>
        <w:noBreakHyphen/>
        <w:t>profit distributions to owner.</w:t>
      </w:r>
    </w:p>
    <w:p w:rsidR="00336793" w:rsidRDefault="00336793" w:rsidP="00DF0B96">
      <w:pPr>
        <w:pStyle w:val="Notes"/>
      </w:pPr>
    </w:p>
    <w:p w:rsidR="00336793" w:rsidRDefault="00336793" w:rsidP="00DF0B96">
      <w:pPr>
        <w:pStyle w:val="Notes"/>
      </w:pPr>
    </w:p>
    <w:p w:rsidR="00336793" w:rsidRPr="006A75A2" w:rsidRDefault="00336793" w:rsidP="00DF0B96">
      <w:pPr>
        <w:pStyle w:val="Heading5"/>
      </w:pPr>
      <w:r w:rsidRPr="006A75A2">
        <w:t>(</w:t>
      </w:r>
      <w:r>
        <w:t>b</w:t>
      </w:r>
      <w:r w:rsidRPr="006A75A2">
        <w:t>)</w:t>
      </w:r>
      <w:r w:rsidRPr="006A75A2">
        <w:tab/>
        <w:t>Reconciliation to GFS net lending/(borrowing)</w:t>
      </w:r>
      <w:r w:rsidRPr="006A75A2">
        <w:rPr>
          <w:vertAlign w:val="superscript"/>
        </w:rPr>
        <w:t>(a)</w:t>
      </w:r>
      <w:r>
        <w:rPr>
          <w:vertAlign w:val="superscript"/>
        </w:rPr>
        <w:t>(c)</w:t>
      </w:r>
    </w:p>
    <w:p w:rsidR="00336793" w:rsidRPr="00C333E0" w:rsidRDefault="00336793" w:rsidP="00DF0B96">
      <w:pPr>
        <w:pStyle w:val="million"/>
      </w:pPr>
      <w:r w:rsidRPr="006A75A2">
        <w:t>($</w:t>
      </w: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3257"/>
        <w:gridCol w:w="270"/>
        <w:gridCol w:w="861"/>
        <w:gridCol w:w="1131"/>
        <w:gridCol w:w="258"/>
        <w:gridCol w:w="873"/>
        <w:gridCol w:w="1132"/>
        <w:gridCol w:w="245"/>
        <w:gridCol w:w="886"/>
        <w:gridCol w:w="1274"/>
        <w:gridCol w:w="270"/>
        <w:gridCol w:w="719"/>
        <w:gridCol w:w="1131"/>
        <w:gridCol w:w="236"/>
        <w:gridCol w:w="895"/>
        <w:gridCol w:w="1132"/>
      </w:tblGrid>
      <w:tr w:rsidR="00336793" w:rsidRPr="00C333E0" w:rsidTr="00DF0B96">
        <w:tc>
          <w:tcPr>
            <w:tcW w:w="3257" w:type="dxa"/>
            <w:tcBorders>
              <w:top w:val="single" w:sz="6" w:space="0" w:color="auto"/>
              <w:left w:val="single" w:sz="6" w:space="0" w:color="auto"/>
              <w:bottom w:val="nil"/>
              <w:right w:val="nil"/>
            </w:tcBorders>
            <w:shd w:val="clear" w:color="000000" w:fill="000000"/>
          </w:tcPr>
          <w:p w:rsidR="00336793" w:rsidRPr="00C333E0" w:rsidRDefault="00336793" w:rsidP="00DF0B96">
            <w:pPr>
              <w:pStyle w:val="Tabletextheading"/>
              <w:jc w:val="left"/>
              <w:rPr>
                <w:rFonts w:eastAsiaTheme="minorEastAsia"/>
                <w:color w:val="FFFFFF"/>
                <w:sz w:val="21"/>
                <w:lang w:eastAsia="en-AU"/>
              </w:rPr>
            </w:pPr>
            <w:r w:rsidRPr="00C333E0">
              <w:rPr>
                <w:rFonts w:eastAsiaTheme="minorEastAsia"/>
                <w:color w:val="FFFFFF"/>
                <w:sz w:val="21"/>
                <w:lang w:eastAsia="en-AU"/>
              </w:rPr>
              <w:t xml:space="preserve"> </w:t>
            </w:r>
          </w:p>
        </w:tc>
        <w:tc>
          <w:tcPr>
            <w:tcW w:w="270" w:type="dxa"/>
            <w:tcBorders>
              <w:top w:val="single" w:sz="6" w:space="0" w:color="auto"/>
              <w:left w:val="nil"/>
              <w:bottom w:val="nil"/>
              <w:right w:val="nil"/>
            </w:tcBorders>
            <w:shd w:val="clear" w:color="000000" w:fill="000000"/>
          </w:tcPr>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 xml:space="preserve"> </w:t>
            </w:r>
          </w:p>
        </w:tc>
        <w:tc>
          <w:tcPr>
            <w:tcW w:w="1992" w:type="dxa"/>
            <w:gridSpan w:val="2"/>
            <w:tcBorders>
              <w:top w:val="single" w:sz="6" w:space="0" w:color="auto"/>
              <w:left w:val="nil"/>
              <w:bottom w:val="nil"/>
              <w:right w:val="nil"/>
            </w:tcBorders>
            <w:shd w:val="clear" w:color="000000" w:fill="000000"/>
          </w:tcPr>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 xml:space="preserve">General </w:t>
            </w:r>
          </w:p>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government sector</w:t>
            </w:r>
          </w:p>
        </w:tc>
        <w:tc>
          <w:tcPr>
            <w:tcW w:w="258" w:type="dxa"/>
            <w:tcBorders>
              <w:top w:val="single" w:sz="6" w:space="0" w:color="auto"/>
              <w:left w:val="nil"/>
              <w:bottom w:val="nil"/>
              <w:right w:val="nil"/>
            </w:tcBorders>
            <w:shd w:val="clear" w:color="000000" w:fill="000000"/>
          </w:tcPr>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 xml:space="preserve"> </w:t>
            </w:r>
          </w:p>
        </w:tc>
        <w:tc>
          <w:tcPr>
            <w:tcW w:w="2005" w:type="dxa"/>
            <w:gridSpan w:val="2"/>
            <w:tcBorders>
              <w:top w:val="single" w:sz="6" w:space="0" w:color="auto"/>
              <w:left w:val="nil"/>
              <w:bottom w:val="nil"/>
              <w:right w:val="nil"/>
            </w:tcBorders>
            <w:shd w:val="clear" w:color="000000" w:fill="000000"/>
          </w:tcPr>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Public non</w:t>
            </w:r>
            <w:r>
              <w:rPr>
                <w:rFonts w:eastAsiaTheme="minorEastAsia"/>
                <w:iCs/>
                <w:color w:val="FFFFFF"/>
                <w:sz w:val="21"/>
                <w:lang w:eastAsia="en-AU"/>
              </w:rPr>
              <w:noBreakHyphen/>
            </w:r>
            <w:r w:rsidRPr="00C333E0">
              <w:rPr>
                <w:rFonts w:eastAsiaTheme="minorEastAsia"/>
                <w:iCs/>
                <w:color w:val="FFFFFF"/>
                <w:sz w:val="21"/>
                <w:lang w:eastAsia="en-AU"/>
              </w:rPr>
              <w:t>financial corporations</w:t>
            </w:r>
          </w:p>
        </w:tc>
        <w:tc>
          <w:tcPr>
            <w:tcW w:w="245" w:type="dxa"/>
            <w:tcBorders>
              <w:top w:val="single" w:sz="6" w:space="0" w:color="auto"/>
              <w:left w:val="nil"/>
              <w:bottom w:val="nil"/>
              <w:right w:val="nil"/>
            </w:tcBorders>
            <w:shd w:val="clear" w:color="000000" w:fill="000000"/>
          </w:tcPr>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 xml:space="preserve"> </w:t>
            </w:r>
          </w:p>
        </w:tc>
        <w:tc>
          <w:tcPr>
            <w:tcW w:w="2160" w:type="dxa"/>
            <w:gridSpan w:val="2"/>
            <w:tcBorders>
              <w:top w:val="single" w:sz="6" w:space="0" w:color="auto"/>
              <w:left w:val="nil"/>
              <w:bottom w:val="nil"/>
              <w:right w:val="nil"/>
            </w:tcBorders>
            <w:shd w:val="clear" w:color="000000" w:fill="000000"/>
          </w:tcPr>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 xml:space="preserve">Public </w:t>
            </w:r>
          </w:p>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financial corporations</w:t>
            </w:r>
          </w:p>
        </w:tc>
        <w:tc>
          <w:tcPr>
            <w:tcW w:w="270" w:type="dxa"/>
            <w:tcBorders>
              <w:top w:val="single" w:sz="6" w:space="0" w:color="auto"/>
              <w:left w:val="nil"/>
              <w:bottom w:val="nil"/>
              <w:right w:val="nil"/>
            </w:tcBorders>
            <w:shd w:val="clear" w:color="000000" w:fill="000000"/>
          </w:tcPr>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 xml:space="preserve"> </w:t>
            </w:r>
          </w:p>
        </w:tc>
        <w:tc>
          <w:tcPr>
            <w:tcW w:w="1850" w:type="dxa"/>
            <w:gridSpan w:val="2"/>
            <w:tcBorders>
              <w:top w:val="single" w:sz="6" w:space="0" w:color="auto"/>
              <w:left w:val="nil"/>
              <w:bottom w:val="nil"/>
              <w:right w:val="nil"/>
            </w:tcBorders>
            <w:shd w:val="clear" w:color="000000" w:fill="000000"/>
          </w:tcPr>
          <w:p w:rsidR="00336793" w:rsidRPr="00C333E0" w:rsidRDefault="00336793" w:rsidP="00DF0B96">
            <w:pPr>
              <w:pStyle w:val="Tabletextheading"/>
              <w:jc w:val="center"/>
              <w:rPr>
                <w:rFonts w:eastAsiaTheme="minorEastAsia"/>
                <w:iCs/>
                <w:color w:val="FFFFFF"/>
                <w:sz w:val="21"/>
                <w:lang w:eastAsia="en-AU"/>
              </w:rPr>
            </w:pPr>
          </w:p>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Eliminations</w:t>
            </w:r>
          </w:p>
        </w:tc>
        <w:tc>
          <w:tcPr>
            <w:tcW w:w="236" w:type="dxa"/>
            <w:tcBorders>
              <w:top w:val="single" w:sz="6" w:space="0" w:color="auto"/>
              <w:left w:val="nil"/>
              <w:bottom w:val="nil"/>
              <w:right w:val="nil"/>
            </w:tcBorders>
            <w:shd w:val="clear" w:color="000000" w:fill="000000"/>
          </w:tcPr>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 xml:space="preserve"> </w:t>
            </w:r>
          </w:p>
        </w:tc>
        <w:tc>
          <w:tcPr>
            <w:tcW w:w="2027" w:type="dxa"/>
            <w:gridSpan w:val="2"/>
            <w:tcBorders>
              <w:top w:val="single" w:sz="6" w:space="0" w:color="auto"/>
              <w:left w:val="nil"/>
              <w:bottom w:val="nil"/>
              <w:right w:val="single" w:sz="6" w:space="0" w:color="auto"/>
            </w:tcBorders>
            <w:shd w:val="clear" w:color="000000" w:fill="000000"/>
          </w:tcPr>
          <w:p w:rsidR="00336793" w:rsidRPr="00C333E0" w:rsidRDefault="00336793" w:rsidP="00DF0B96">
            <w:pPr>
              <w:pStyle w:val="Tabletextheading"/>
              <w:jc w:val="center"/>
              <w:rPr>
                <w:rFonts w:eastAsiaTheme="minorEastAsia"/>
                <w:iCs/>
                <w:color w:val="FFFFFF"/>
                <w:sz w:val="21"/>
                <w:lang w:eastAsia="en-AU"/>
              </w:rPr>
            </w:pPr>
          </w:p>
          <w:p w:rsidR="00336793" w:rsidRPr="00C333E0" w:rsidRDefault="00336793" w:rsidP="00DF0B96">
            <w:pPr>
              <w:pStyle w:val="Tabletextheading"/>
              <w:jc w:val="center"/>
              <w:rPr>
                <w:rFonts w:eastAsiaTheme="minorEastAsia"/>
                <w:iCs/>
                <w:color w:val="FFFFFF"/>
                <w:sz w:val="21"/>
                <w:lang w:eastAsia="en-AU"/>
              </w:rPr>
            </w:pPr>
            <w:r w:rsidRPr="00C333E0">
              <w:rPr>
                <w:rFonts w:eastAsiaTheme="minorEastAsia"/>
                <w:iCs/>
                <w:color w:val="FFFFFF"/>
                <w:sz w:val="21"/>
                <w:lang w:eastAsia="en-AU"/>
              </w:rPr>
              <w:t>State of Victoria</w:t>
            </w:r>
          </w:p>
        </w:tc>
      </w:tr>
      <w:tr w:rsidR="00336793" w:rsidRPr="00C333E0" w:rsidTr="00DF0B96">
        <w:tc>
          <w:tcPr>
            <w:tcW w:w="3257" w:type="dxa"/>
            <w:tcBorders>
              <w:top w:val="nil"/>
              <w:left w:val="single" w:sz="6" w:space="0" w:color="auto"/>
              <w:bottom w:val="single" w:sz="6" w:space="0" w:color="auto"/>
              <w:right w:val="nil"/>
            </w:tcBorders>
            <w:shd w:val="clear" w:color="000000" w:fill="000000"/>
          </w:tcPr>
          <w:p w:rsidR="00336793" w:rsidRPr="00C333E0" w:rsidRDefault="00336793" w:rsidP="00DF0B96">
            <w:pPr>
              <w:pStyle w:val="Tabletextheading"/>
              <w:jc w:val="left"/>
              <w:rPr>
                <w:rFonts w:eastAsiaTheme="minorEastAsia"/>
                <w:color w:val="FFFFFF"/>
                <w:sz w:val="21"/>
                <w:lang w:eastAsia="en-AU"/>
              </w:rPr>
            </w:pPr>
            <w:r w:rsidRPr="00C333E0">
              <w:rPr>
                <w:rFonts w:eastAsiaTheme="minorEastAsia"/>
                <w:color w:val="FFFFFF"/>
                <w:sz w:val="21"/>
                <w:lang w:eastAsia="en-AU"/>
              </w:rPr>
              <w:t xml:space="preserve"> </w:t>
            </w:r>
          </w:p>
        </w:tc>
        <w:tc>
          <w:tcPr>
            <w:tcW w:w="1131" w:type="dxa"/>
            <w:gridSpan w:val="2"/>
            <w:tcBorders>
              <w:top w:val="nil"/>
              <w:left w:val="nil"/>
              <w:bottom w:val="single" w:sz="6" w:space="0" w:color="auto"/>
              <w:right w:val="nil"/>
            </w:tcBorders>
            <w:shd w:val="clear" w:color="000000" w:fill="000000"/>
          </w:tcPr>
          <w:p w:rsidR="00336793" w:rsidRPr="00C333E0" w:rsidRDefault="00336793" w:rsidP="00DF0B96">
            <w:pPr>
              <w:pStyle w:val="Tabletextheading"/>
              <w:rPr>
                <w:rFonts w:eastAsiaTheme="minorEastAsia"/>
                <w:iCs/>
                <w:color w:val="FFFFFF"/>
                <w:sz w:val="21"/>
                <w:lang w:eastAsia="en-AU"/>
              </w:rPr>
            </w:pPr>
            <w:r w:rsidRPr="00C333E0">
              <w:rPr>
                <w:rFonts w:eastAsiaTheme="minorEastAsia"/>
                <w:iCs/>
                <w:color w:val="FFFFFF"/>
                <w:sz w:val="21"/>
                <w:lang w:eastAsia="en-AU"/>
              </w:rPr>
              <w:t>2015</w:t>
            </w:r>
          </w:p>
        </w:tc>
        <w:tc>
          <w:tcPr>
            <w:tcW w:w="1131" w:type="dxa"/>
            <w:tcBorders>
              <w:top w:val="nil"/>
              <w:left w:val="nil"/>
              <w:bottom w:val="single" w:sz="6" w:space="0" w:color="auto"/>
              <w:right w:val="nil"/>
            </w:tcBorders>
            <w:shd w:val="clear" w:color="000000" w:fill="000000"/>
          </w:tcPr>
          <w:p w:rsidR="00336793" w:rsidRPr="00C333E0" w:rsidRDefault="00336793" w:rsidP="00DF0B96">
            <w:pPr>
              <w:pStyle w:val="Tabletextheading"/>
              <w:rPr>
                <w:rFonts w:eastAsiaTheme="minorEastAsia"/>
                <w:iCs/>
                <w:color w:val="FFFFFF"/>
                <w:sz w:val="21"/>
                <w:lang w:eastAsia="en-AU"/>
              </w:rPr>
            </w:pPr>
            <w:r w:rsidRPr="00C333E0">
              <w:rPr>
                <w:rFonts w:eastAsiaTheme="minorEastAsia"/>
                <w:iCs/>
                <w:color w:val="FFFFFF"/>
                <w:sz w:val="21"/>
                <w:lang w:eastAsia="en-AU"/>
              </w:rPr>
              <w:t>2014</w:t>
            </w:r>
          </w:p>
        </w:tc>
        <w:tc>
          <w:tcPr>
            <w:tcW w:w="1131" w:type="dxa"/>
            <w:gridSpan w:val="2"/>
            <w:tcBorders>
              <w:top w:val="nil"/>
              <w:left w:val="nil"/>
              <w:bottom w:val="single" w:sz="6" w:space="0" w:color="auto"/>
              <w:right w:val="nil"/>
            </w:tcBorders>
            <w:shd w:val="clear" w:color="000000" w:fill="000000"/>
          </w:tcPr>
          <w:p w:rsidR="00336793" w:rsidRPr="00C333E0" w:rsidRDefault="00336793" w:rsidP="00DF0B96">
            <w:pPr>
              <w:pStyle w:val="Tabletextheading"/>
              <w:rPr>
                <w:rFonts w:eastAsiaTheme="minorEastAsia"/>
                <w:iCs/>
                <w:color w:val="FFFFFF"/>
                <w:sz w:val="21"/>
                <w:lang w:eastAsia="en-AU"/>
              </w:rPr>
            </w:pPr>
            <w:r w:rsidRPr="00C333E0">
              <w:rPr>
                <w:rFonts w:eastAsiaTheme="minorEastAsia"/>
                <w:iCs/>
                <w:color w:val="FFFFFF"/>
                <w:sz w:val="21"/>
                <w:lang w:eastAsia="en-AU"/>
              </w:rPr>
              <w:t>2015</w:t>
            </w:r>
          </w:p>
        </w:tc>
        <w:tc>
          <w:tcPr>
            <w:tcW w:w="1132" w:type="dxa"/>
            <w:tcBorders>
              <w:top w:val="nil"/>
              <w:left w:val="nil"/>
              <w:bottom w:val="single" w:sz="6" w:space="0" w:color="auto"/>
              <w:right w:val="nil"/>
            </w:tcBorders>
            <w:shd w:val="clear" w:color="000000" w:fill="000000"/>
          </w:tcPr>
          <w:p w:rsidR="00336793" w:rsidRPr="00C333E0" w:rsidRDefault="00336793" w:rsidP="00DF0B96">
            <w:pPr>
              <w:pStyle w:val="Tabletextheading"/>
              <w:rPr>
                <w:rFonts w:eastAsiaTheme="minorEastAsia"/>
                <w:iCs/>
                <w:color w:val="FFFFFF"/>
                <w:sz w:val="21"/>
                <w:lang w:eastAsia="en-AU"/>
              </w:rPr>
            </w:pPr>
            <w:r w:rsidRPr="00C333E0">
              <w:rPr>
                <w:rFonts w:eastAsiaTheme="minorEastAsia"/>
                <w:iCs/>
                <w:color w:val="FFFFFF"/>
                <w:sz w:val="21"/>
                <w:lang w:eastAsia="en-AU"/>
              </w:rPr>
              <w:t>2014</w:t>
            </w:r>
          </w:p>
        </w:tc>
        <w:tc>
          <w:tcPr>
            <w:tcW w:w="1131" w:type="dxa"/>
            <w:gridSpan w:val="2"/>
            <w:tcBorders>
              <w:top w:val="nil"/>
              <w:left w:val="nil"/>
              <w:bottom w:val="single" w:sz="6" w:space="0" w:color="auto"/>
              <w:right w:val="nil"/>
            </w:tcBorders>
            <w:shd w:val="clear" w:color="000000" w:fill="000000"/>
          </w:tcPr>
          <w:p w:rsidR="00336793" w:rsidRPr="00C333E0" w:rsidRDefault="00336793" w:rsidP="00DF0B96">
            <w:pPr>
              <w:pStyle w:val="Tabletextheading"/>
              <w:rPr>
                <w:rFonts w:eastAsiaTheme="minorEastAsia"/>
                <w:iCs/>
                <w:color w:val="FFFFFF"/>
                <w:sz w:val="21"/>
                <w:lang w:eastAsia="en-AU"/>
              </w:rPr>
            </w:pPr>
            <w:r w:rsidRPr="00C333E0">
              <w:rPr>
                <w:rFonts w:eastAsiaTheme="minorEastAsia"/>
                <w:iCs/>
                <w:color w:val="FFFFFF"/>
                <w:sz w:val="21"/>
                <w:lang w:eastAsia="en-AU"/>
              </w:rPr>
              <w:t>2015</w:t>
            </w:r>
          </w:p>
        </w:tc>
        <w:tc>
          <w:tcPr>
            <w:tcW w:w="1274" w:type="dxa"/>
            <w:tcBorders>
              <w:top w:val="nil"/>
              <w:left w:val="nil"/>
              <w:bottom w:val="single" w:sz="6" w:space="0" w:color="auto"/>
              <w:right w:val="nil"/>
            </w:tcBorders>
            <w:shd w:val="clear" w:color="000000" w:fill="000000"/>
          </w:tcPr>
          <w:p w:rsidR="00336793" w:rsidRPr="00C333E0" w:rsidRDefault="00336793" w:rsidP="00DF0B96">
            <w:pPr>
              <w:pStyle w:val="Tabletextheading"/>
              <w:rPr>
                <w:rFonts w:eastAsiaTheme="minorEastAsia"/>
                <w:iCs/>
                <w:color w:val="FFFFFF"/>
                <w:sz w:val="21"/>
                <w:lang w:eastAsia="en-AU"/>
              </w:rPr>
            </w:pPr>
            <w:r w:rsidRPr="00C333E0">
              <w:rPr>
                <w:rFonts w:eastAsiaTheme="minorEastAsia"/>
                <w:iCs/>
                <w:color w:val="FFFFFF"/>
                <w:sz w:val="21"/>
                <w:lang w:eastAsia="en-AU"/>
              </w:rPr>
              <w:t>2014</w:t>
            </w:r>
          </w:p>
        </w:tc>
        <w:tc>
          <w:tcPr>
            <w:tcW w:w="989" w:type="dxa"/>
            <w:gridSpan w:val="2"/>
            <w:tcBorders>
              <w:top w:val="nil"/>
              <w:left w:val="nil"/>
              <w:bottom w:val="single" w:sz="6" w:space="0" w:color="auto"/>
              <w:right w:val="nil"/>
            </w:tcBorders>
            <w:shd w:val="clear" w:color="000000" w:fill="000000"/>
          </w:tcPr>
          <w:p w:rsidR="00336793" w:rsidRPr="00C333E0" w:rsidRDefault="00336793" w:rsidP="00DF0B96">
            <w:pPr>
              <w:pStyle w:val="Tabletextheading"/>
              <w:rPr>
                <w:rFonts w:eastAsiaTheme="minorEastAsia"/>
                <w:iCs/>
                <w:color w:val="FFFFFF"/>
                <w:sz w:val="21"/>
                <w:lang w:eastAsia="en-AU"/>
              </w:rPr>
            </w:pPr>
            <w:r w:rsidRPr="00C333E0">
              <w:rPr>
                <w:rFonts w:eastAsiaTheme="minorEastAsia"/>
                <w:iCs/>
                <w:color w:val="FFFFFF"/>
                <w:sz w:val="21"/>
                <w:lang w:eastAsia="en-AU"/>
              </w:rPr>
              <w:t>2015</w:t>
            </w:r>
          </w:p>
        </w:tc>
        <w:tc>
          <w:tcPr>
            <w:tcW w:w="1131" w:type="dxa"/>
            <w:tcBorders>
              <w:top w:val="nil"/>
              <w:left w:val="nil"/>
              <w:bottom w:val="single" w:sz="6" w:space="0" w:color="auto"/>
              <w:right w:val="nil"/>
            </w:tcBorders>
            <w:shd w:val="clear" w:color="000000" w:fill="000000"/>
          </w:tcPr>
          <w:p w:rsidR="00336793" w:rsidRPr="00C333E0" w:rsidRDefault="00336793" w:rsidP="00DF0B96">
            <w:pPr>
              <w:pStyle w:val="Tabletextheading"/>
              <w:rPr>
                <w:rFonts w:eastAsiaTheme="minorEastAsia"/>
                <w:iCs/>
                <w:color w:val="FFFFFF"/>
                <w:sz w:val="21"/>
                <w:lang w:eastAsia="en-AU"/>
              </w:rPr>
            </w:pPr>
            <w:r w:rsidRPr="00C333E0">
              <w:rPr>
                <w:rFonts w:eastAsiaTheme="minorEastAsia"/>
                <w:iCs/>
                <w:color w:val="FFFFFF"/>
                <w:sz w:val="21"/>
                <w:lang w:eastAsia="en-AU"/>
              </w:rPr>
              <w:t>2014</w:t>
            </w:r>
          </w:p>
        </w:tc>
        <w:tc>
          <w:tcPr>
            <w:tcW w:w="1131" w:type="dxa"/>
            <w:gridSpan w:val="2"/>
            <w:tcBorders>
              <w:top w:val="nil"/>
              <w:left w:val="nil"/>
              <w:bottom w:val="single" w:sz="6" w:space="0" w:color="auto"/>
              <w:right w:val="nil"/>
            </w:tcBorders>
            <w:shd w:val="clear" w:color="000000" w:fill="000000"/>
          </w:tcPr>
          <w:p w:rsidR="00336793" w:rsidRPr="00C333E0" w:rsidRDefault="00336793" w:rsidP="00DF0B96">
            <w:pPr>
              <w:pStyle w:val="Tabletextheading"/>
              <w:rPr>
                <w:rFonts w:eastAsiaTheme="minorEastAsia"/>
                <w:iCs/>
                <w:color w:val="FFFFFF"/>
                <w:sz w:val="21"/>
                <w:lang w:eastAsia="en-AU"/>
              </w:rPr>
            </w:pPr>
            <w:r w:rsidRPr="00C333E0">
              <w:rPr>
                <w:rFonts w:eastAsiaTheme="minorEastAsia"/>
                <w:iCs/>
                <w:color w:val="FFFFFF"/>
                <w:sz w:val="21"/>
                <w:lang w:eastAsia="en-AU"/>
              </w:rPr>
              <w:t>2015</w:t>
            </w:r>
          </w:p>
        </w:tc>
        <w:tc>
          <w:tcPr>
            <w:tcW w:w="1132" w:type="dxa"/>
            <w:tcBorders>
              <w:top w:val="nil"/>
              <w:left w:val="nil"/>
              <w:bottom w:val="single" w:sz="6" w:space="0" w:color="auto"/>
              <w:right w:val="single" w:sz="6" w:space="0" w:color="auto"/>
            </w:tcBorders>
            <w:shd w:val="clear" w:color="000000" w:fill="000000"/>
          </w:tcPr>
          <w:p w:rsidR="00336793" w:rsidRPr="00C333E0" w:rsidRDefault="00336793" w:rsidP="00DF0B96">
            <w:pPr>
              <w:pStyle w:val="Tabletextheading"/>
              <w:rPr>
                <w:rFonts w:eastAsiaTheme="minorEastAsia"/>
                <w:iCs/>
                <w:color w:val="FFFFFF"/>
                <w:sz w:val="21"/>
                <w:lang w:eastAsia="en-AU"/>
              </w:rPr>
            </w:pPr>
            <w:r w:rsidRPr="00C333E0">
              <w:rPr>
                <w:rFonts w:eastAsiaTheme="minorEastAsia"/>
                <w:iCs/>
                <w:color w:val="FFFFFF"/>
                <w:sz w:val="21"/>
                <w:lang w:eastAsia="en-AU"/>
              </w:rPr>
              <w:t>2014</w:t>
            </w:r>
          </w:p>
        </w:tc>
      </w:tr>
      <w:tr w:rsidR="00336793" w:rsidRPr="00C333E0" w:rsidTr="00DF0B96">
        <w:tc>
          <w:tcPr>
            <w:tcW w:w="3257" w:type="dxa"/>
            <w:tcBorders>
              <w:top w:val="single" w:sz="6" w:space="0" w:color="auto"/>
              <w:left w:val="nil"/>
              <w:bottom w:val="nil"/>
              <w:right w:val="nil"/>
            </w:tcBorders>
            <w:shd w:val="solid" w:color="FFFFFF" w:fill="auto"/>
          </w:tcPr>
          <w:p w:rsidR="00336793" w:rsidRPr="00C333E0" w:rsidRDefault="00336793" w:rsidP="00DF0B96">
            <w:pPr>
              <w:autoSpaceDE w:val="0"/>
              <w:autoSpaceDN w:val="0"/>
              <w:adjustRightInd w:val="0"/>
              <w:spacing w:after="0"/>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Net lending/(borrowing)</w:t>
            </w:r>
          </w:p>
        </w:tc>
        <w:tc>
          <w:tcPr>
            <w:tcW w:w="1131" w:type="dxa"/>
            <w:gridSpan w:val="2"/>
            <w:tcBorders>
              <w:top w:val="single" w:sz="6" w:space="0" w:color="auto"/>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 xml:space="preserve"> 921.7</w:t>
            </w:r>
          </w:p>
        </w:tc>
        <w:tc>
          <w:tcPr>
            <w:tcW w:w="1131" w:type="dxa"/>
            <w:tcBorders>
              <w:top w:val="single" w:sz="6" w:space="0" w:color="auto"/>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1 353.9</w:t>
            </w:r>
          </w:p>
        </w:tc>
        <w:tc>
          <w:tcPr>
            <w:tcW w:w="1131" w:type="dxa"/>
            <w:gridSpan w:val="2"/>
            <w:tcBorders>
              <w:top w:val="single" w:sz="6" w:space="0" w:color="auto"/>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(1 717.5)</w:t>
            </w:r>
          </w:p>
        </w:tc>
        <w:tc>
          <w:tcPr>
            <w:tcW w:w="1132" w:type="dxa"/>
            <w:tcBorders>
              <w:top w:val="single" w:sz="6" w:space="0" w:color="auto"/>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(2 357.4)</w:t>
            </w:r>
          </w:p>
        </w:tc>
        <w:tc>
          <w:tcPr>
            <w:tcW w:w="1131" w:type="dxa"/>
            <w:gridSpan w:val="2"/>
            <w:tcBorders>
              <w:top w:val="single" w:sz="6" w:space="0" w:color="auto"/>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C333E0">
              <w:rPr>
                <w:rFonts w:ascii="Calibri" w:eastAsiaTheme="minorEastAsia" w:hAnsi="Calibri" w:cs="Calibri"/>
                <w:b/>
                <w:bCs/>
                <w:sz w:val="21"/>
                <w:szCs w:val="22"/>
                <w:lang w:eastAsia="en-AU"/>
              </w:rPr>
              <w:t>872.9</w:t>
            </w:r>
            <w:r w:rsidRPr="00C333E0">
              <w:rPr>
                <w:rFonts w:ascii="Calibri" w:eastAsiaTheme="minorEastAsia" w:hAnsi="Calibri" w:cs="Calibri"/>
                <w:b/>
                <w:bCs/>
                <w:color w:val="000000"/>
                <w:sz w:val="21"/>
                <w:szCs w:val="22"/>
                <w:lang w:eastAsia="en-AU"/>
              </w:rPr>
              <w:t>)</w:t>
            </w:r>
          </w:p>
        </w:tc>
        <w:tc>
          <w:tcPr>
            <w:tcW w:w="1274" w:type="dxa"/>
            <w:tcBorders>
              <w:top w:val="single" w:sz="6" w:space="0" w:color="auto"/>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(1 070.1)</w:t>
            </w:r>
          </w:p>
        </w:tc>
        <w:tc>
          <w:tcPr>
            <w:tcW w:w="989" w:type="dxa"/>
            <w:gridSpan w:val="2"/>
            <w:tcBorders>
              <w:top w:val="single" w:sz="6" w:space="0" w:color="auto"/>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C333E0">
              <w:rPr>
                <w:rFonts w:ascii="Calibri" w:eastAsiaTheme="minorEastAsia" w:hAnsi="Calibri" w:cs="Calibri"/>
                <w:b/>
                <w:bCs/>
                <w:sz w:val="21"/>
                <w:szCs w:val="22"/>
                <w:lang w:eastAsia="en-AU"/>
              </w:rPr>
              <w:t>749.8</w:t>
            </w:r>
            <w:r w:rsidRPr="00C333E0">
              <w:rPr>
                <w:rFonts w:ascii="Calibri" w:eastAsiaTheme="minorEastAsia" w:hAnsi="Calibri" w:cs="Calibri"/>
                <w:b/>
                <w:bCs/>
                <w:color w:val="000000"/>
                <w:sz w:val="21"/>
                <w:szCs w:val="22"/>
                <w:lang w:eastAsia="en-AU"/>
              </w:rPr>
              <w:t>)</w:t>
            </w:r>
          </w:p>
        </w:tc>
        <w:tc>
          <w:tcPr>
            <w:tcW w:w="1131" w:type="dxa"/>
            <w:tcBorders>
              <w:top w:val="single" w:sz="6" w:space="0" w:color="auto"/>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 xml:space="preserve"> 86.7</w:t>
            </w:r>
          </w:p>
        </w:tc>
        <w:tc>
          <w:tcPr>
            <w:tcW w:w="1131" w:type="dxa"/>
            <w:gridSpan w:val="2"/>
            <w:tcBorders>
              <w:top w:val="single" w:sz="6" w:space="0" w:color="auto"/>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(2 418.5)</w:t>
            </w:r>
          </w:p>
        </w:tc>
        <w:tc>
          <w:tcPr>
            <w:tcW w:w="1132" w:type="dxa"/>
            <w:tcBorders>
              <w:top w:val="single" w:sz="6" w:space="0" w:color="auto"/>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(1 986.9)</w:t>
            </w:r>
          </w:p>
        </w:tc>
      </w:tr>
      <w:tr w:rsidR="00336793" w:rsidRPr="00C333E0" w:rsidTr="00DF0B96">
        <w:tc>
          <w:tcPr>
            <w:tcW w:w="3257" w:type="dxa"/>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C333E0">
              <w:rPr>
                <w:rFonts w:ascii="Calibri" w:eastAsiaTheme="minorEastAsia" w:hAnsi="Calibri" w:cs="Calibri"/>
                <w:i/>
                <w:iCs/>
                <w:sz w:val="21"/>
                <w:szCs w:val="22"/>
                <w:lang w:eastAsia="en-AU"/>
              </w:rPr>
              <w:t xml:space="preserve">Convergence differences: </w:t>
            </w:r>
            <w:r w:rsidRPr="00C333E0">
              <w:rPr>
                <w:rFonts w:ascii="Calibri" w:eastAsiaTheme="minorEastAsia" w:hAnsi="Calibri" w:cs="Calibri"/>
                <w:sz w:val="21"/>
                <w:szCs w:val="22"/>
                <w:vertAlign w:val="superscript"/>
                <w:lang w:eastAsia="en-AU"/>
              </w:rPr>
              <w:t>(b)</w:t>
            </w:r>
          </w:p>
        </w:tc>
        <w:tc>
          <w:tcPr>
            <w:tcW w:w="1131" w:type="dxa"/>
            <w:gridSpan w:val="2"/>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w:t>
            </w:r>
          </w:p>
        </w:tc>
        <w:tc>
          <w:tcPr>
            <w:tcW w:w="1131" w:type="dxa"/>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w:t>
            </w:r>
          </w:p>
        </w:tc>
        <w:tc>
          <w:tcPr>
            <w:tcW w:w="1131" w:type="dxa"/>
            <w:gridSpan w:val="2"/>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w:t>
            </w:r>
          </w:p>
        </w:tc>
        <w:tc>
          <w:tcPr>
            <w:tcW w:w="1132" w:type="dxa"/>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w:t>
            </w:r>
          </w:p>
        </w:tc>
        <w:tc>
          <w:tcPr>
            <w:tcW w:w="1131" w:type="dxa"/>
            <w:gridSpan w:val="2"/>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w:t>
            </w:r>
          </w:p>
        </w:tc>
        <w:tc>
          <w:tcPr>
            <w:tcW w:w="1274" w:type="dxa"/>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w:t>
            </w:r>
          </w:p>
        </w:tc>
        <w:tc>
          <w:tcPr>
            <w:tcW w:w="989" w:type="dxa"/>
            <w:gridSpan w:val="2"/>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w:t>
            </w:r>
          </w:p>
        </w:tc>
        <w:tc>
          <w:tcPr>
            <w:tcW w:w="1131" w:type="dxa"/>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w:t>
            </w:r>
          </w:p>
        </w:tc>
        <w:tc>
          <w:tcPr>
            <w:tcW w:w="1131" w:type="dxa"/>
            <w:gridSpan w:val="2"/>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w:t>
            </w:r>
          </w:p>
        </w:tc>
        <w:tc>
          <w:tcPr>
            <w:tcW w:w="1132" w:type="dxa"/>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w:t>
            </w:r>
          </w:p>
        </w:tc>
      </w:tr>
      <w:tr w:rsidR="00336793" w:rsidRPr="00C333E0" w:rsidTr="00DF0B96">
        <w:tc>
          <w:tcPr>
            <w:tcW w:w="3257" w:type="dxa"/>
            <w:tcBorders>
              <w:top w:val="nil"/>
              <w:left w:val="nil"/>
              <w:bottom w:val="nil"/>
              <w:right w:val="nil"/>
            </w:tcBorders>
            <w:shd w:val="solid" w:color="FFFFFF" w:fill="auto"/>
          </w:tcPr>
          <w:p w:rsidR="00336793" w:rsidRPr="00C333E0" w:rsidRDefault="00336793" w:rsidP="00DF0B96">
            <w:pPr>
              <w:autoSpaceDE w:val="0"/>
              <w:autoSpaceDN w:val="0"/>
              <w:adjustRightInd w:val="0"/>
              <w:spacing w:after="0"/>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Relating to net operating balance – PNFC/PFC dividends </w:t>
            </w:r>
          </w:p>
        </w:tc>
        <w:tc>
          <w:tcPr>
            <w:tcW w:w="1131" w:type="dxa"/>
            <w:gridSpan w:val="2"/>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w:t>
            </w:r>
          </w:p>
        </w:tc>
        <w:tc>
          <w:tcPr>
            <w:tcW w:w="1131" w:type="dxa"/>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w:t>
            </w:r>
          </w:p>
        </w:tc>
        <w:tc>
          <w:tcPr>
            <w:tcW w:w="1131" w:type="dxa"/>
            <w:gridSpan w:val="2"/>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255.5</w:t>
            </w:r>
          </w:p>
        </w:tc>
        <w:tc>
          <w:tcPr>
            <w:tcW w:w="1132" w:type="dxa"/>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84.5</w:t>
            </w:r>
          </w:p>
        </w:tc>
        <w:tc>
          <w:tcPr>
            <w:tcW w:w="1131" w:type="dxa"/>
            <w:gridSpan w:val="2"/>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566.2</w:t>
            </w:r>
          </w:p>
        </w:tc>
        <w:tc>
          <w:tcPr>
            <w:tcW w:w="1274" w:type="dxa"/>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136.0</w:t>
            </w:r>
          </w:p>
        </w:tc>
        <w:tc>
          <w:tcPr>
            <w:tcW w:w="989" w:type="dxa"/>
            <w:gridSpan w:val="2"/>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C333E0">
              <w:rPr>
                <w:rFonts w:ascii="Calibri" w:eastAsiaTheme="minorEastAsia" w:hAnsi="Calibri" w:cs="Calibri"/>
                <w:sz w:val="21"/>
                <w:szCs w:val="22"/>
                <w:lang w:eastAsia="en-AU"/>
              </w:rPr>
              <w:t>821.7</w:t>
            </w:r>
            <w:r w:rsidRPr="00C333E0">
              <w:rPr>
                <w:rFonts w:ascii="Calibri" w:eastAsiaTheme="minorEastAsia" w:hAnsi="Calibri" w:cs="Calibri"/>
                <w:color w:val="000000"/>
                <w:sz w:val="21"/>
                <w:szCs w:val="22"/>
                <w:lang w:eastAsia="en-AU"/>
              </w:rPr>
              <w:t>)</w:t>
            </w:r>
          </w:p>
        </w:tc>
        <w:tc>
          <w:tcPr>
            <w:tcW w:w="1131" w:type="dxa"/>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C333E0">
              <w:rPr>
                <w:rFonts w:ascii="Calibri" w:eastAsiaTheme="minorEastAsia" w:hAnsi="Calibri" w:cs="Calibri"/>
                <w:sz w:val="21"/>
                <w:szCs w:val="22"/>
                <w:lang w:eastAsia="en-AU"/>
              </w:rPr>
              <w:t>220.5</w:t>
            </w:r>
            <w:r w:rsidRPr="00C333E0">
              <w:rPr>
                <w:rFonts w:ascii="Calibri" w:eastAsiaTheme="minorEastAsia" w:hAnsi="Calibri" w:cs="Calibri"/>
                <w:color w:val="000000"/>
                <w:sz w:val="21"/>
                <w:szCs w:val="22"/>
                <w:lang w:eastAsia="en-AU"/>
              </w:rPr>
              <w:t>)</w:t>
            </w:r>
          </w:p>
        </w:tc>
        <w:tc>
          <w:tcPr>
            <w:tcW w:w="1131" w:type="dxa"/>
            <w:gridSpan w:val="2"/>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w:t>
            </w:r>
          </w:p>
        </w:tc>
        <w:tc>
          <w:tcPr>
            <w:tcW w:w="1132" w:type="dxa"/>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w:t>
            </w:r>
          </w:p>
        </w:tc>
      </w:tr>
      <w:tr w:rsidR="00336793" w:rsidRPr="00C333E0" w:rsidTr="00DF0B96">
        <w:tc>
          <w:tcPr>
            <w:tcW w:w="3257" w:type="dxa"/>
            <w:tcBorders>
              <w:top w:val="single" w:sz="6" w:space="0" w:color="auto"/>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rPr>
                <w:rFonts w:ascii="Calibri" w:eastAsiaTheme="minorEastAsia" w:hAnsi="Calibri" w:cs="Calibri"/>
                <w:i/>
                <w:iCs/>
                <w:sz w:val="21"/>
                <w:szCs w:val="22"/>
                <w:lang w:eastAsia="en-AU"/>
              </w:rPr>
            </w:pPr>
            <w:r w:rsidRPr="00C333E0">
              <w:rPr>
                <w:rFonts w:ascii="Calibri" w:eastAsiaTheme="minorEastAsia" w:hAnsi="Calibri" w:cs="Calibri"/>
                <w:i/>
                <w:iCs/>
                <w:sz w:val="21"/>
                <w:szCs w:val="22"/>
                <w:lang w:eastAsia="en-AU"/>
              </w:rPr>
              <w:t>plus total convergence difference:</w:t>
            </w:r>
          </w:p>
        </w:tc>
        <w:tc>
          <w:tcPr>
            <w:tcW w:w="1131" w:type="dxa"/>
            <w:gridSpan w:val="2"/>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w:t>
            </w:r>
          </w:p>
        </w:tc>
        <w:tc>
          <w:tcPr>
            <w:tcW w:w="1131" w:type="dxa"/>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w:t>
            </w:r>
          </w:p>
        </w:tc>
        <w:tc>
          <w:tcPr>
            <w:tcW w:w="1131" w:type="dxa"/>
            <w:gridSpan w:val="2"/>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C333E0">
              <w:rPr>
                <w:rFonts w:ascii="Calibri" w:eastAsiaTheme="minorEastAsia" w:hAnsi="Calibri" w:cs="Calibri"/>
                <w:sz w:val="21"/>
                <w:szCs w:val="22"/>
                <w:lang w:eastAsia="en-AU"/>
              </w:rPr>
              <w:t>255.5</w:t>
            </w:r>
            <w:r w:rsidRPr="00C333E0">
              <w:rPr>
                <w:rFonts w:ascii="Calibri" w:eastAsiaTheme="minorEastAsia" w:hAnsi="Calibri" w:cs="Calibri"/>
                <w:color w:val="000000"/>
                <w:sz w:val="21"/>
                <w:szCs w:val="22"/>
                <w:lang w:eastAsia="en-AU"/>
              </w:rPr>
              <w:t>)</w:t>
            </w:r>
          </w:p>
        </w:tc>
        <w:tc>
          <w:tcPr>
            <w:tcW w:w="1132" w:type="dxa"/>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C333E0">
              <w:rPr>
                <w:rFonts w:ascii="Calibri" w:eastAsiaTheme="minorEastAsia" w:hAnsi="Calibri" w:cs="Calibri"/>
                <w:sz w:val="21"/>
                <w:szCs w:val="22"/>
                <w:lang w:eastAsia="en-AU"/>
              </w:rPr>
              <w:t>84.5</w:t>
            </w:r>
            <w:r w:rsidRPr="00C333E0">
              <w:rPr>
                <w:rFonts w:ascii="Calibri" w:eastAsiaTheme="minorEastAsia" w:hAnsi="Calibri" w:cs="Calibri"/>
                <w:color w:val="000000"/>
                <w:sz w:val="21"/>
                <w:szCs w:val="22"/>
                <w:lang w:eastAsia="en-AU"/>
              </w:rPr>
              <w:t>)</w:t>
            </w:r>
          </w:p>
        </w:tc>
        <w:tc>
          <w:tcPr>
            <w:tcW w:w="1131" w:type="dxa"/>
            <w:gridSpan w:val="2"/>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C333E0">
              <w:rPr>
                <w:rFonts w:ascii="Calibri" w:eastAsiaTheme="minorEastAsia" w:hAnsi="Calibri" w:cs="Calibri"/>
                <w:sz w:val="21"/>
                <w:szCs w:val="22"/>
                <w:lang w:eastAsia="en-AU"/>
              </w:rPr>
              <w:t>566.2</w:t>
            </w:r>
            <w:r w:rsidRPr="00C333E0">
              <w:rPr>
                <w:rFonts w:ascii="Calibri" w:eastAsiaTheme="minorEastAsia" w:hAnsi="Calibri" w:cs="Calibri"/>
                <w:color w:val="000000"/>
                <w:sz w:val="21"/>
                <w:szCs w:val="22"/>
                <w:lang w:eastAsia="en-AU"/>
              </w:rPr>
              <w:t>)</w:t>
            </w:r>
          </w:p>
        </w:tc>
        <w:tc>
          <w:tcPr>
            <w:tcW w:w="1274" w:type="dxa"/>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C333E0">
              <w:rPr>
                <w:rFonts w:ascii="Calibri" w:eastAsiaTheme="minorEastAsia" w:hAnsi="Calibri" w:cs="Calibri"/>
                <w:sz w:val="21"/>
                <w:szCs w:val="22"/>
                <w:lang w:eastAsia="en-AU"/>
              </w:rPr>
              <w:t>136.0</w:t>
            </w:r>
            <w:r w:rsidRPr="00C333E0">
              <w:rPr>
                <w:rFonts w:ascii="Calibri" w:eastAsiaTheme="minorEastAsia" w:hAnsi="Calibri" w:cs="Calibri"/>
                <w:color w:val="000000"/>
                <w:sz w:val="21"/>
                <w:szCs w:val="22"/>
                <w:lang w:eastAsia="en-AU"/>
              </w:rPr>
              <w:t>)</w:t>
            </w:r>
          </w:p>
        </w:tc>
        <w:tc>
          <w:tcPr>
            <w:tcW w:w="989" w:type="dxa"/>
            <w:gridSpan w:val="2"/>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821.7</w:t>
            </w:r>
          </w:p>
        </w:tc>
        <w:tc>
          <w:tcPr>
            <w:tcW w:w="1131" w:type="dxa"/>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 xml:space="preserve"> 220.5</w:t>
            </w:r>
          </w:p>
        </w:tc>
        <w:tc>
          <w:tcPr>
            <w:tcW w:w="1131" w:type="dxa"/>
            <w:gridSpan w:val="2"/>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w:t>
            </w:r>
          </w:p>
        </w:tc>
        <w:tc>
          <w:tcPr>
            <w:tcW w:w="1132" w:type="dxa"/>
            <w:tcBorders>
              <w:top w:val="nil"/>
              <w:left w:val="nil"/>
              <w:bottom w:val="single" w:sz="6" w:space="0" w:color="auto"/>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C333E0">
              <w:rPr>
                <w:rFonts w:ascii="Calibri" w:eastAsiaTheme="minorEastAsia" w:hAnsi="Calibri" w:cs="Calibri"/>
                <w:sz w:val="21"/>
                <w:szCs w:val="22"/>
                <w:lang w:eastAsia="en-AU"/>
              </w:rPr>
              <w:t>..</w:t>
            </w:r>
          </w:p>
        </w:tc>
      </w:tr>
      <w:tr w:rsidR="00336793" w:rsidRPr="00C333E0" w:rsidTr="00DF0B96">
        <w:tc>
          <w:tcPr>
            <w:tcW w:w="3257" w:type="dxa"/>
            <w:tcBorders>
              <w:top w:val="single" w:sz="6" w:space="0" w:color="auto"/>
              <w:left w:val="nil"/>
              <w:bottom w:val="single" w:sz="12" w:space="0" w:color="000000"/>
              <w:right w:val="nil"/>
            </w:tcBorders>
            <w:shd w:val="solid" w:color="FFFFFF" w:fill="auto"/>
          </w:tcPr>
          <w:p w:rsidR="00336793" w:rsidRPr="00C333E0" w:rsidRDefault="00336793" w:rsidP="00DF0B96">
            <w:pPr>
              <w:autoSpaceDE w:val="0"/>
              <w:autoSpaceDN w:val="0"/>
              <w:adjustRightInd w:val="0"/>
              <w:spacing w:after="0"/>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GFS net lending/(borrowing)</w:t>
            </w:r>
          </w:p>
        </w:tc>
        <w:tc>
          <w:tcPr>
            <w:tcW w:w="1131" w:type="dxa"/>
            <w:gridSpan w:val="2"/>
            <w:tcBorders>
              <w:top w:val="single" w:sz="6" w:space="0" w:color="auto"/>
              <w:left w:val="nil"/>
              <w:bottom w:val="single" w:sz="12" w:space="0" w:color="000000"/>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 xml:space="preserve"> 921.7</w:t>
            </w:r>
          </w:p>
        </w:tc>
        <w:tc>
          <w:tcPr>
            <w:tcW w:w="1131" w:type="dxa"/>
            <w:tcBorders>
              <w:top w:val="single" w:sz="6" w:space="0" w:color="auto"/>
              <w:left w:val="nil"/>
              <w:bottom w:val="single" w:sz="12" w:space="0" w:color="000000"/>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1 353.9</w:t>
            </w:r>
          </w:p>
        </w:tc>
        <w:tc>
          <w:tcPr>
            <w:tcW w:w="1131" w:type="dxa"/>
            <w:gridSpan w:val="2"/>
            <w:tcBorders>
              <w:top w:val="single" w:sz="6" w:space="0" w:color="auto"/>
              <w:left w:val="nil"/>
              <w:bottom w:val="single" w:sz="12" w:space="0" w:color="000000"/>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(1 973.0)</w:t>
            </w:r>
          </w:p>
        </w:tc>
        <w:tc>
          <w:tcPr>
            <w:tcW w:w="1132" w:type="dxa"/>
            <w:tcBorders>
              <w:top w:val="single" w:sz="6" w:space="0" w:color="auto"/>
              <w:left w:val="nil"/>
              <w:bottom w:val="single" w:sz="12" w:space="0" w:color="000000"/>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(2 441.9)</w:t>
            </w:r>
          </w:p>
        </w:tc>
        <w:tc>
          <w:tcPr>
            <w:tcW w:w="1131" w:type="dxa"/>
            <w:gridSpan w:val="2"/>
            <w:tcBorders>
              <w:top w:val="single" w:sz="6" w:space="0" w:color="auto"/>
              <w:left w:val="nil"/>
              <w:bottom w:val="single" w:sz="12" w:space="0" w:color="000000"/>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(1 439.1)</w:t>
            </w:r>
          </w:p>
        </w:tc>
        <w:tc>
          <w:tcPr>
            <w:tcW w:w="1274" w:type="dxa"/>
            <w:tcBorders>
              <w:top w:val="single" w:sz="6" w:space="0" w:color="auto"/>
              <w:left w:val="nil"/>
              <w:bottom w:val="single" w:sz="12" w:space="0" w:color="000000"/>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(1 206.1)</w:t>
            </w:r>
          </w:p>
        </w:tc>
        <w:tc>
          <w:tcPr>
            <w:tcW w:w="989" w:type="dxa"/>
            <w:gridSpan w:val="2"/>
            <w:tcBorders>
              <w:top w:val="single" w:sz="6" w:space="0" w:color="auto"/>
              <w:left w:val="nil"/>
              <w:bottom w:val="single" w:sz="12" w:space="0" w:color="000000"/>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 xml:space="preserve"> 71.9</w:t>
            </w:r>
          </w:p>
        </w:tc>
        <w:tc>
          <w:tcPr>
            <w:tcW w:w="1131" w:type="dxa"/>
            <w:tcBorders>
              <w:top w:val="single" w:sz="6" w:space="0" w:color="auto"/>
              <w:left w:val="nil"/>
              <w:bottom w:val="single" w:sz="12" w:space="0" w:color="000000"/>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 xml:space="preserve"> 307.2</w:t>
            </w:r>
          </w:p>
        </w:tc>
        <w:tc>
          <w:tcPr>
            <w:tcW w:w="1131" w:type="dxa"/>
            <w:gridSpan w:val="2"/>
            <w:tcBorders>
              <w:top w:val="single" w:sz="6" w:space="0" w:color="auto"/>
              <w:left w:val="nil"/>
              <w:bottom w:val="single" w:sz="12" w:space="0" w:color="000000"/>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(2 418.5)</w:t>
            </w:r>
          </w:p>
        </w:tc>
        <w:tc>
          <w:tcPr>
            <w:tcW w:w="1132" w:type="dxa"/>
            <w:tcBorders>
              <w:top w:val="single" w:sz="6" w:space="0" w:color="auto"/>
              <w:left w:val="nil"/>
              <w:bottom w:val="single" w:sz="12" w:space="0" w:color="000000"/>
              <w:right w:val="nil"/>
            </w:tcBorders>
            <w:shd w:val="solid" w:color="FFFFFF" w:fill="auto"/>
          </w:tcPr>
          <w:p w:rsidR="00336793" w:rsidRPr="00C333E0"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C333E0">
              <w:rPr>
                <w:rFonts w:ascii="Calibri" w:eastAsiaTheme="minorEastAsia" w:hAnsi="Calibri" w:cs="Calibri"/>
                <w:b/>
                <w:bCs/>
                <w:sz w:val="21"/>
                <w:szCs w:val="22"/>
                <w:lang w:eastAsia="en-AU"/>
              </w:rPr>
              <w:t>(1 986.9)</w:t>
            </w:r>
          </w:p>
        </w:tc>
      </w:tr>
    </w:tbl>
    <w:p w:rsidR="00336793" w:rsidRDefault="00336793" w:rsidP="00DF0B96">
      <w:pPr>
        <w:pStyle w:val="Notes"/>
      </w:pPr>
      <w:r>
        <w:t>Notes:</w:t>
      </w:r>
    </w:p>
    <w:p w:rsidR="00336793" w:rsidRDefault="00336793" w:rsidP="00DF0B96">
      <w:pPr>
        <w:pStyle w:val="Notes"/>
      </w:pPr>
      <w:r>
        <w:t>(a)</w:t>
      </w:r>
      <w:r>
        <w:tab/>
        <w:t>Determined in accordance with the ABS GFS Manual.</w:t>
      </w:r>
    </w:p>
    <w:p w:rsidR="00336793" w:rsidRDefault="00336793" w:rsidP="00DF0B96">
      <w:pPr>
        <w:pStyle w:val="Notes"/>
      </w:pPr>
      <w:r>
        <w:t>(b)</w:t>
      </w:r>
      <w:r>
        <w:tab/>
        <w:t>The convergence difference arises because GFS recognised dividends paid/ payable as an expense from transactions on the operating statement whereas, under accounting standards, dividends are classified as after</w:t>
      </w:r>
      <w:r>
        <w:noBreakHyphen/>
        <w:t>profit distributions to owner.</w:t>
      </w:r>
    </w:p>
    <w:p w:rsidR="00336793" w:rsidRDefault="00336793" w:rsidP="00DF0B96">
      <w:pPr>
        <w:pStyle w:val="Notes"/>
      </w:pPr>
      <w:r>
        <w:t>(c)</w:t>
      </w:r>
      <w:r>
        <w:tab/>
        <w:t xml:space="preserve">June 2014 </w:t>
      </w:r>
      <w:r w:rsidRPr="006A75A2">
        <w:t>comparative figures have been restated. See Note 37.</w:t>
      </w:r>
    </w:p>
    <w:p w:rsidR="00336793" w:rsidRDefault="00336793" w:rsidP="00DF0B96">
      <w:pPr>
        <w:spacing w:after="0"/>
        <w:rPr>
          <w:rFonts w:ascii="Calibri" w:hAnsi="Calibri"/>
          <w:i/>
          <w:sz w:val="16"/>
          <w:lang w:eastAsia="en-AU"/>
        </w:rPr>
      </w:pPr>
      <w:r>
        <w:br w:type="page"/>
      </w:r>
    </w:p>
    <w:p w:rsidR="00336793" w:rsidRPr="006A75A2" w:rsidRDefault="00336793" w:rsidP="00DF0B96">
      <w:pPr>
        <w:pStyle w:val="Heading2NotesContd"/>
      </w:pPr>
      <w:r w:rsidRPr="006A75A2">
        <w:lastRenderedPageBreak/>
        <w:t>Note 31:</w:t>
      </w:r>
      <w:r w:rsidRPr="006A75A2">
        <w:tab/>
        <w:t>Reconciliations</w:t>
      </w:r>
      <w:r>
        <w:t xml:space="preserve"> </w:t>
      </w:r>
      <w:r w:rsidRPr="008D0741">
        <w:rPr>
          <w:i/>
        </w:rPr>
        <w:t>(continued)</w:t>
      </w:r>
    </w:p>
    <w:p w:rsidR="00336793" w:rsidRPr="006A75A2" w:rsidRDefault="00336793" w:rsidP="00DF0B96">
      <w:pPr>
        <w:pStyle w:val="Heading5"/>
      </w:pPr>
      <w:r w:rsidRPr="006A75A2">
        <w:t>(</w:t>
      </w:r>
      <w:r>
        <w:t>c</w:t>
      </w:r>
      <w:r w:rsidRPr="006A75A2">
        <w:t>)</w:t>
      </w:r>
      <w:r w:rsidRPr="006A75A2">
        <w:tab/>
        <w:t>Reconciliation to GFS total change in net worth</w:t>
      </w:r>
      <w:r w:rsidRPr="006A75A2">
        <w:rPr>
          <w:vertAlign w:val="superscript"/>
        </w:rPr>
        <w:t>(a)</w:t>
      </w:r>
      <w:r>
        <w:rPr>
          <w:vertAlign w:val="superscript"/>
        </w:rPr>
        <w:t>(b)</w:t>
      </w:r>
    </w:p>
    <w:p w:rsidR="00336793" w:rsidRPr="00A10A3B" w:rsidRDefault="00336793" w:rsidP="00DF0B96">
      <w:pPr>
        <w:pStyle w:val="million"/>
        <w:rPr>
          <w:rFonts w:ascii="Times New Roman" w:hAnsi="Times New Roman"/>
          <w:i w:val="0"/>
          <w:szCs w:val="20"/>
          <w:lang w:eastAsia="en-AU"/>
        </w:rPr>
      </w:pPr>
      <w:r w:rsidRPr="006A75A2">
        <w:t>($</w:t>
      </w:r>
      <w:r>
        <w:t> million)</w:t>
      </w:r>
    </w:p>
    <w:tbl>
      <w:tblPr>
        <w:tblW w:w="14616" w:type="dxa"/>
        <w:tblInd w:w="28" w:type="dxa"/>
        <w:tblLayout w:type="fixed"/>
        <w:tblCellMar>
          <w:left w:w="45" w:type="dxa"/>
          <w:right w:w="45" w:type="dxa"/>
        </w:tblCellMar>
        <w:tblLook w:val="0000" w:firstRow="0" w:lastRow="0" w:firstColumn="0" w:lastColumn="0" w:noHBand="0" w:noVBand="0"/>
      </w:tblPr>
      <w:tblGrid>
        <w:gridCol w:w="3437"/>
        <w:gridCol w:w="177"/>
        <w:gridCol w:w="201"/>
        <w:gridCol w:w="570"/>
        <w:gridCol w:w="1131"/>
        <w:gridCol w:w="258"/>
        <w:gridCol w:w="873"/>
        <w:gridCol w:w="1132"/>
        <w:gridCol w:w="236"/>
        <w:gridCol w:w="9"/>
        <w:gridCol w:w="227"/>
        <w:gridCol w:w="236"/>
        <w:gridCol w:w="236"/>
        <w:gridCol w:w="187"/>
        <w:gridCol w:w="49"/>
        <w:gridCol w:w="1225"/>
        <w:gridCol w:w="49"/>
        <w:gridCol w:w="221"/>
        <w:gridCol w:w="719"/>
        <w:gridCol w:w="49"/>
        <w:gridCol w:w="1082"/>
        <w:gridCol w:w="49"/>
        <w:gridCol w:w="187"/>
        <w:gridCol w:w="895"/>
        <w:gridCol w:w="49"/>
        <w:gridCol w:w="1083"/>
        <w:gridCol w:w="49"/>
      </w:tblGrid>
      <w:tr w:rsidR="00336793" w:rsidRPr="005A7A46" w:rsidTr="00DF0B96">
        <w:trPr>
          <w:gridAfter w:val="1"/>
          <w:wAfter w:w="49" w:type="dxa"/>
          <w:tblHeader/>
        </w:trPr>
        <w:tc>
          <w:tcPr>
            <w:tcW w:w="3437" w:type="dxa"/>
            <w:tcBorders>
              <w:top w:val="single" w:sz="6" w:space="0" w:color="auto"/>
              <w:left w:val="single" w:sz="6" w:space="0" w:color="auto"/>
              <w:bottom w:val="nil"/>
              <w:right w:val="nil"/>
            </w:tcBorders>
            <w:shd w:val="clear" w:color="000000" w:fill="000000"/>
            <w:vAlign w:val="bottom"/>
          </w:tcPr>
          <w:p w:rsidR="00336793" w:rsidRPr="005A7A46" w:rsidRDefault="00336793" w:rsidP="00DF0B96">
            <w:pPr>
              <w:pStyle w:val="Tabletext"/>
              <w:rPr>
                <w:rFonts w:eastAsiaTheme="minorEastAsia"/>
                <w:b/>
                <w:sz w:val="20"/>
                <w:lang w:eastAsia="en-AU"/>
              </w:rPr>
            </w:pPr>
            <w:r w:rsidRPr="005A7A46">
              <w:rPr>
                <w:rFonts w:eastAsiaTheme="minorEastAsia"/>
                <w:b/>
                <w:sz w:val="20"/>
                <w:lang w:eastAsia="en-AU"/>
              </w:rPr>
              <w:t xml:space="preserve"> </w:t>
            </w:r>
          </w:p>
        </w:tc>
        <w:tc>
          <w:tcPr>
            <w:tcW w:w="177" w:type="dxa"/>
            <w:tcBorders>
              <w:top w:val="single" w:sz="6" w:space="0" w:color="auto"/>
              <w:left w:val="nil"/>
              <w:bottom w:val="nil"/>
              <w:right w:val="nil"/>
            </w:tcBorders>
            <w:shd w:val="clear" w:color="000000" w:fill="000000"/>
            <w:vAlign w:val="bottom"/>
          </w:tcPr>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 xml:space="preserve"> </w:t>
            </w:r>
          </w:p>
        </w:tc>
        <w:tc>
          <w:tcPr>
            <w:tcW w:w="1902" w:type="dxa"/>
            <w:gridSpan w:val="3"/>
            <w:tcBorders>
              <w:top w:val="single" w:sz="6" w:space="0" w:color="auto"/>
              <w:left w:val="nil"/>
              <w:bottom w:val="nil"/>
              <w:right w:val="nil"/>
            </w:tcBorders>
            <w:shd w:val="clear" w:color="000000" w:fill="000000"/>
            <w:vAlign w:val="bottom"/>
          </w:tcPr>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 xml:space="preserve">General </w:t>
            </w:r>
          </w:p>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government sector</w:t>
            </w:r>
          </w:p>
        </w:tc>
        <w:tc>
          <w:tcPr>
            <w:tcW w:w="258" w:type="dxa"/>
            <w:tcBorders>
              <w:top w:val="single" w:sz="6" w:space="0" w:color="auto"/>
              <w:left w:val="nil"/>
              <w:bottom w:val="nil"/>
              <w:right w:val="nil"/>
            </w:tcBorders>
            <w:shd w:val="clear" w:color="000000" w:fill="000000"/>
            <w:vAlign w:val="bottom"/>
          </w:tcPr>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 xml:space="preserve"> </w:t>
            </w:r>
          </w:p>
        </w:tc>
        <w:tc>
          <w:tcPr>
            <w:tcW w:w="2005" w:type="dxa"/>
            <w:gridSpan w:val="2"/>
            <w:tcBorders>
              <w:top w:val="single" w:sz="6" w:space="0" w:color="auto"/>
              <w:left w:val="nil"/>
              <w:bottom w:val="nil"/>
              <w:right w:val="nil"/>
            </w:tcBorders>
            <w:shd w:val="clear" w:color="000000" w:fill="000000"/>
            <w:vAlign w:val="bottom"/>
          </w:tcPr>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Public non</w:t>
            </w:r>
            <w:r>
              <w:rPr>
                <w:rFonts w:eastAsiaTheme="minorEastAsia"/>
                <w:sz w:val="20"/>
                <w:lang w:eastAsia="en-AU"/>
              </w:rPr>
              <w:noBreakHyphen/>
            </w:r>
            <w:r w:rsidRPr="005A7A46">
              <w:rPr>
                <w:rFonts w:eastAsiaTheme="minorEastAsia"/>
                <w:sz w:val="20"/>
                <w:lang w:eastAsia="en-AU"/>
              </w:rPr>
              <w:t>financial corporations</w:t>
            </w:r>
          </w:p>
        </w:tc>
        <w:tc>
          <w:tcPr>
            <w:tcW w:w="245" w:type="dxa"/>
            <w:gridSpan w:val="2"/>
            <w:tcBorders>
              <w:top w:val="single" w:sz="6" w:space="0" w:color="auto"/>
              <w:left w:val="nil"/>
              <w:bottom w:val="nil"/>
              <w:right w:val="nil"/>
            </w:tcBorders>
            <w:shd w:val="clear" w:color="000000" w:fill="000000"/>
            <w:vAlign w:val="bottom"/>
          </w:tcPr>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 xml:space="preserve"> </w:t>
            </w:r>
          </w:p>
        </w:tc>
        <w:tc>
          <w:tcPr>
            <w:tcW w:w="2160" w:type="dxa"/>
            <w:gridSpan w:val="6"/>
            <w:tcBorders>
              <w:top w:val="single" w:sz="6" w:space="0" w:color="auto"/>
              <w:left w:val="nil"/>
              <w:bottom w:val="nil"/>
              <w:right w:val="nil"/>
            </w:tcBorders>
            <w:shd w:val="clear" w:color="000000" w:fill="000000"/>
            <w:vAlign w:val="bottom"/>
          </w:tcPr>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 xml:space="preserve">Public </w:t>
            </w:r>
          </w:p>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financial corporations</w:t>
            </w:r>
          </w:p>
        </w:tc>
        <w:tc>
          <w:tcPr>
            <w:tcW w:w="270" w:type="dxa"/>
            <w:gridSpan w:val="2"/>
            <w:tcBorders>
              <w:top w:val="single" w:sz="6" w:space="0" w:color="auto"/>
              <w:left w:val="nil"/>
              <w:bottom w:val="nil"/>
              <w:right w:val="nil"/>
            </w:tcBorders>
            <w:shd w:val="clear" w:color="000000" w:fill="000000"/>
            <w:vAlign w:val="bottom"/>
          </w:tcPr>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 xml:space="preserve"> </w:t>
            </w:r>
          </w:p>
        </w:tc>
        <w:tc>
          <w:tcPr>
            <w:tcW w:w="1850" w:type="dxa"/>
            <w:gridSpan w:val="3"/>
            <w:tcBorders>
              <w:top w:val="single" w:sz="6" w:space="0" w:color="auto"/>
              <w:left w:val="nil"/>
              <w:bottom w:val="nil"/>
              <w:right w:val="nil"/>
            </w:tcBorders>
            <w:shd w:val="clear" w:color="000000" w:fill="000000"/>
            <w:vAlign w:val="bottom"/>
          </w:tcPr>
          <w:p w:rsidR="00336793" w:rsidRPr="005A7A46" w:rsidRDefault="00336793" w:rsidP="00DF0B96">
            <w:pPr>
              <w:pStyle w:val="TabletextheadingCentred"/>
              <w:rPr>
                <w:rFonts w:eastAsiaTheme="minorEastAsia"/>
                <w:sz w:val="20"/>
                <w:lang w:eastAsia="en-AU"/>
              </w:rPr>
            </w:pPr>
          </w:p>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Eliminations</w:t>
            </w:r>
          </w:p>
        </w:tc>
        <w:tc>
          <w:tcPr>
            <w:tcW w:w="236" w:type="dxa"/>
            <w:gridSpan w:val="2"/>
            <w:tcBorders>
              <w:top w:val="single" w:sz="6" w:space="0" w:color="auto"/>
              <w:left w:val="nil"/>
              <w:bottom w:val="nil"/>
              <w:right w:val="nil"/>
            </w:tcBorders>
            <w:shd w:val="clear" w:color="000000" w:fill="000000"/>
            <w:vAlign w:val="bottom"/>
          </w:tcPr>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 xml:space="preserve"> </w:t>
            </w:r>
          </w:p>
        </w:tc>
        <w:tc>
          <w:tcPr>
            <w:tcW w:w="2027" w:type="dxa"/>
            <w:gridSpan w:val="3"/>
            <w:tcBorders>
              <w:top w:val="single" w:sz="6" w:space="0" w:color="auto"/>
              <w:left w:val="nil"/>
              <w:bottom w:val="nil"/>
              <w:right w:val="single" w:sz="6" w:space="0" w:color="auto"/>
            </w:tcBorders>
            <w:shd w:val="clear" w:color="000000" w:fill="000000"/>
            <w:vAlign w:val="bottom"/>
          </w:tcPr>
          <w:p w:rsidR="00336793" w:rsidRPr="005A7A46" w:rsidRDefault="00336793" w:rsidP="00DF0B96">
            <w:pPr>
              <w:pStyle w:val="TabletextheadingCentred"/>
              <w:rPr>
                <w:rFonts w:eastAsiaTheme="minorEastAsia"/>
                <w:sz w:val="20"/>
                <w:lang w:eastAsia="en-AU"/>
              </w:rPr>
            </w:pPr>
          </w:p>
          <w:p w:rsidR="00336793" w:rsidRPr="005A7A46" w:rsidRDefault="00336793" w:rsidP="00DF0B96">
            <w:pPr>
              <w:pStyle w:val="TabletextheadingCentred"/>
              <w:rPr>
                <w:rFonts w:eastAsiaTheme="minorEastAsia"/>
                <w:sz w:val="20"/>
                <w:lang w:eastAsia="en-AU"/>
              </w:rPr>
            </w:pPr>
            <w:r w:rsidRPr="005A7A46">
              <w:rPr>
                <w:rFonts w:eastAsiaTheme="minorEastAsia"/>
                <w:sz w:val="20"/>
                <w:lang w:eastAsia="en-AU"/>
              </w:rPr>
              <w:t>State of Victoria</w:t>
            </w:r>
          </w:p>
        </w:tc>
      </w:tr>
      <w:tr w:rsidR="00336793" w:rsidRPr="005A7A46" w:rsidTr="00DF0B96">
        <w:trPr>
          <w:gridAfter w:val="1"/>
          <w:wAfter w:w="49" w:type="dxa"/>
          <w:tblHeader/>
        </w:trPr>
        <w:tc>
          <w:tcPr>
            <w:tcW w:w="3437" w:type="dxa"/>
            <w:tcBorders>
              <w:top w:val="nil"/>
              <w:left w:val="single" w:sz="6" w:space="0" w:color="auto"/>
              <w:bottom w:val="single" w:sz="6" w:space="0" w:color="auto"/>
              <w:right w:val="nil"/>
            </w:tcBorders>
            <w:shd w:val="clear" w:color="000000" w:fill="000000"/>
            <w:vAlign w:val="bottom"/>
          </w:tcPr>
          <w:p w:rsidR="00336793" w:rsidRPr="005A7A46" w:rsidRDefault="00336793" w:rsidP="00DF0B96">
            <w:pPr>
              <w:pStyle w:val="Tabletext"/>
              <w:rPr>
                <w:rFonts w:eastAsiaTheme="minorEastAsia"/>
                <w:b/>
                <w:sz w:val="20"/>
                <w:lang w:eastAsia="en-AU"/>
              </w:rPr>
            </w:pPr>
            <w:r w:rsidRPr="005A7A46">
              <w:rPr>
                <w:rFonts w:eastAsiaTheme="minorEastAsia"/>
                <w:b/>
                <w:sz w:val="20"/>
                <w:lang w:eastAsia="en-AU"/>
              </w:rPr>
              <w:t xml:space="preserve"> </w:t>
            </w:r>
          </w:p>
        </w:tc>
        <w:tc>
          <w:tcPr>
            <w:tcW w:w="948" w:type="dxa"/>
            <w:gridSpan w:val="3"/>
            <w:tcBorders>
              <w:top w:val="nil"/>
              <w:left w:val="nil"/>
              <w:bottom w:val="single" w:sz="6" w:space="0" w:color="auto"/>
              <w:right w:val="nil"/>
            </w:tcBorders>
            <w:shd w:val="clear" w:color="000000" w:fill="000000"/>
            <w:vAlign w:val="bottom"/>
          </w:tcPr>
          <w:p w:rsidR="00336793" w:rsidRPr="005A7A46" w:rsidRDefault="00336793" w:rsidP="00DF0B96">
            <w:pPr>
              <w:pStyle w:val="Tabletextheading"/>
              <w:rPr>
                <w:rFonts w:eastAsiaTheme="minorEastAsia"/>
                <w:b/>
                <w:iCs/>
                <w:color w:val="FFFFFF"/>
                <w:sz w:val="20"/>
                <w:lang w:eastAsia="en-AU"/>
              </w:rPr>
            </w:pPr>
            <w:r w:rsidRPr="005A7A46">
              <w:rPr>
                <w:rFonts w:eastAsiaTheme="minorEastAsia"/>
                <w:b/>
                <w:iCs/>
                <w:color w:val="FFFFFF"/>
                <w:sz w:val="20"/>
                <w:lang w:eastAsia="en-AU"/>
              </w:rPr>
              <w:t>2015</w:t>
            </w:r>
          </w:p>
        </w:tc>
        <w:tc>
          <w:tcPr>
            <w:tcW w:w="1131" w:type="dxa"/>
            <w:tcBorders>
              <w:top w:val="nil"/>
              <w:left w:val="nil"/>
              <w:bottom w:val="single" w:sz="6" w:space="0" w:color="auto"/>
              <w:right w:val="nil"/>
            </w:tcBorders>
            <w:shd w:val="clear" w:color="000000" w:fill="000000"/>
            <w:vAlign w:val="bottom"/>
          </w:tcPr>
          <w:p w:rsidR="00336793" w:rsidRPr="005A7A46" w:rsidRDefault="00336793" w:rsidP="00DF0B96">
            <w:pPr>
              <w:pStyle w:val="Tabletextheading"/>
              <w:rPr>
                <w:rFonts w:eastAsiaTheme="minorEastAsia"/>
                <w:b/>
                <w:iCs/>
                <w:color w:val="FFFFFF"/>
                <w:sz w:val="20"/>
                <w:lang w:eastAsia="en-AU"/>
              </w:rPr>
            </w:pPr>
            <w:r w:rsidRPr="005A7A46">
              <w:rPr>
                <w:rFonts w:eastAsiaTheme="minorEastAsia"/>
                <w:b/>
                <w:iCs/>
                <w:color w:val="FFFFFF"/>
                <w:sz w:val="20"/>
                <w:lang w:eastAsia="en-AU"/>
              </w:rPr>
              <w:t>2014</w:t>
            </w:r>
          </w:p>
        </w:tc>
        <w:tc>
          <w:tcPr>
            <w:tcW w:w="1131" w:type="dxa"/>
            <w:gridSpan w:val="2"/>
            <w:tcBorders>
              <w:top w:val="nil"/>
              <w:left w:val="nil"/>
              <w:bottom w:val="single" w:sz="6" w:space="0" w:color="auto"/>
              <w:right w:val="nil"/>
            </w:tcBorders>
            <w:shd w:val="clear" w:color="000000" w:fill="000000"/>
            <w:vAlign w:val="bottom"/>
          </w:tcPr>
          <w:p w:rsidR="00336793" w:rsidRPr="005A7A46" w:rsidRDefault="00336793" w:rsidP="00DF0B96">
            <w:pPr>
              <w:pStyle w:val="Tabletextheading"/>
              <w:rPr>
                <w:rFonts w:eastAsiaTheme="minorEastAsia"/>
                <w:b/>
                <w:iCs/>
                <w:color w:val="FFFFFF"/>
                <w:sz w:val="20"/>
                <w:lang w:eastAsia="en-AU"/>
              </w:rPr>
            </w:pPr>
            <w:r w:rsidRPr="005A7A46">
              <w:rPr>
                <w:rFonts w:eastAsiaTheme="minorEastAsia"/>
                <w:b/>
                <w:iCs/>
                <w:color w:val="FFFFFF"/>
                <w:sz w:val="20"/>
                <w:lang w:eastAsia="en-AU"/>
              </w:rPr>
              <w:t>2015</w:t>
            </w:r>
          </w:p>
        </w:tc>
        <w:tc>
          <w:tcPr>
            <w:tcW w:w="1132" w:type="dxa"/>
            <w:tcBorders>
              <w:top w:val="nil"/>
              <w:left w:val="nil"/>
              <w:bottom w:val="single" w:sz="6" w:space="0" w:color="auto"/>
              <w:right w:val="nil"/>
            </w:tcBorders>
            <w:shd w:val="clear" w:color="000000" w:fill="000000"/>
            <w:vAlign w:val="bottom"/>
          </w:tcPr>
          <w:p w:rsidR="00336793" w:rsidRPr="005A7A46" w:rsidRDefault="00336793" w:rsidP="00DF0B96">
            <w:pPr>
              <w:pStyle w:val="Tabletextheading"/>
              <w:rPr>
                <w:rFonts w:eastAsiaTheme="minorEastAsia"/>
                <w:b/>
                <w:iCs/>
                <w:color w:val="FFFFFF"/>
                <w:sz w:val="20"/>
                <w:lang w:eastAsia="en-AU"/>
              </w:rPr>
            </w:pPr>
            <w:r w:rsidRPr="005A7A46">
              <w:rPr>
                <w:rFonts w:eastAsiaTheme="minorEastAsia"/>
                <w:b/>
                <w:iCs/>
                <w:color w:val="FFFFFF"/>
                <w:sz w:val="20"/>
                <w:lang w:eastAsia="en-AU"/>
              </w:rPr>
              <w:t>2014</w:t>
            </w:r>
          </w:p>
        </w:tc>
        <w:tc>
          <w:tcPr>
            <w:tcW w:w="1131" w:type="dxa"/>
            <w:gridSpan w:val="6"/>
            <w:tcBorders>
              <w:top w:val="nil"/>
              <w:left w:val="nil"/>
              <w:bottom w:val="single" w:sz="6" w:space="0" w:color="auto"/>
              <w:right w:val="nil"/>
            </w:tcBorders>
            <w:shd w:val="clear" w:color="000000" w:fill="000000"/>
            <w:vAlign w:val="bottom"/>
          </w:tcPr>
          <w:p w:rsidR="00336793" w:rsidRPr="005A7A46" w:rsidRDefault="00336793" w:rsidP="00DF0B96">
            <w:pPr>
              <w:pStyle w:val="Tabletextheading"/>
              <w:rPr>
                <w:rFonts w:eastAsiaTheme="minorEastAsia"/>
                <w:b/>
                <w:iCs/>
                <w:color w:val="FFFFFF"/>
                <w:sz w:val="20"/>
                <w:lang w:eastAsia="en-AU"/>
              </w:rPr>
            </w:pPr>
            <w:r w:rsidRPr="005A7A46">
              <w:rPr>
                <w:rFonts w:eastAsiaTheme="minorEastAsia"/>
                <w:b/>
                <w:iCs/>
                <w:color w:val="FFFFFF"/>
                <w:sz w:val="20"/>
                <w:lang w:eastAsia="en-AU"/>
              </w:rPr>
              <w:t>2015</w:t>
            </w:r>
          </w:p>
        </w:tc>
        <w:tc>
          <w:tcPr>
            <w:tcW w:w="1274" w:type="dxa"/>
            <w:gridSpan w:val="2"/>
            <w:tcBorders>
              <w:top w:val="nil"/>
              <w:left w:val="nil"/>
              <w:bottom w:val="single" w:sz="6" w:space="0" w:color="auto"/>
              <w:right w:val="nil"/>
            </w:tcBorders>
            <w:shd w:val="clear" w:color="000000" w:fill="000000"/>
            <w:vAlign w:val="bottom"/>
          </w:tcPr>
          <w:p w:rsidR="00336793" w:rsidRPr="005A7A46" w:rsidRDefault="00336793" w:rsidP="00DF0B96">
            <w:pPr>
              <w:pStyle w:val="Tabletextheading"/>
              <w:rPr>
                <w:rFonts w:eastAsiaTheme="minorEastAsia"/>
                <w:b/>
                <w:iCs/>
                <w:color w:val="FFFFFF"/>
                <w:sz w:val="20"/>
                <w:lang w:eastAsia="en-AU"/>
              </w:rPr>
            </w:pPr>
            <w:r w:rsidRPr="005A7A46">
              <w:rPr>
                <w:rFonts w:eastAsiaTheme="minorEastAsia"/>
                <w:b/>
                <w:iCs/>
                <w:color w:val="FFFFFF"/>
                <w:sz w:val="20"/>
                <w:lang w:eastAsia="en-AU"/>
              </w:rPr>
              <w:t>2014</w:t>
            </w:r>
          </w:p>
        </w:tc>
        <w:tc>
          <w:tcPr>
            <w:tcW w:w="989" w:type="dxa"/>
            <w:gridSpan w:val="3"/>
            <w:tcBorders>
              <w:top w:val="nil"/>
              <w:left w:val="nil"/>
              <w:bottom w:val="single" w:sz="6" w:space="0" w:color="auto"/>
              <w:right w:val="nil"/>
            </w:tcBorders>
            <w:shd w:val="clear" w:color="000000" w:fill="000000"/>
            <w:vAlign w:val="bottom"/>
          </w:tcPr>
          <w:p w:rsidR="00336793" w:rsidRPr="005A7A46" w:rsidRDefault="00336793" w:rsidP="00DF0B96">
            <w:pPr>
              <w:pStyle w:val="Tabletextheading"/>
              <w:rPr>
                <w:rFonts w:eastAsiaTheme="minorEastAsia"/>
                <w:b/>
                <w:iCs/>
                <w:color w:val="FFFFFF"/>
                <w:sz w:val="20"/>
                <w:lang w:eastAsia="en-AU"/>
              </w:rPr>
            </w:pPr>
            <w:r w:rsidRPr="005A7A46">
              <w:rPr>
                <w:rFonts w:eastAsiaTheme="minorEastAsia"/>
                <w:b/>
                <w:iCs/>
                <w:color w:val="FFFFFF"/>
                <w:sz w:val="20"/>
                <w:lang w:eastAsia="en-AU"/>
              </w:rPr>
              <w:t>2015</w:t>
            </w:r>
          </w:p>
        </w:tc>
        <w:tc>
          <w:tcPr>
            <w:tcW w:w="1131" w:type="dxa"/>
            <w:gridSpan w:val="2"/>
            <w:tcBorders>
              <w:top w:val="nil"/>
              <w:left w:val="nil"/>
              <w:bottom w:val="single" w:sz="6" w:space="0" w:color="auto"/>
              <w:right w:val="nil"/>
            </w:tcBorders>
            <w:shd w:val="clear" w:color="000000" w:fill="000000"/>
            <w:vAlign w:val="bottom"/>
          </w:tcPr>
          <w:p w:rsidR="00336793" w:rsidRPr="005A7A46" w:rsidRDefault="00336793" w:rsidP="00DF0B96">
            <w:pPr>
              <w:pStyle w:val="Tabletextheading"/>
              <w:rPr>
                <w:rFonts w:eastAsiaTheme="minorEastAsia"/>
                <w:b/>
                <w:iCs/>
                <w:color w:val="FFFFFF"/>
                <w:sz w:val="20"/>
                <w:lang w:eastAsia="en-AU"/>
              </w:rPr>
            </w:pPr>
            <w:r w:rsidRPr="005A7A46">
              <w:rPr>
                <w:rFonts w:eastAsiaTheme="minorEastAsia"/>
                <w:b/>
                <w:iCs/>
                <w:color w:val="FFFFFF"/>
                <w:sz w:val="20"/>
                <w:lang w:eastAsia="en-AU"/>
              </w:rPr>
              <w:t>2014</w:t>
            </w:r>
          </w:p>
        </w:tc>
        <w:tc>
          <w:tcPr>
            <w:tcW w:w="1131" w:type="dxa"/>
            <w:gridSpan w:val="3"/>
            <w:tcBorders>
              <w:top w:val="nil"/>
              <w:left w:val="nil"/>
              <w:bottom w:val="single" w:sz="6" w:space="0" w:color="auto"/>
              <w:right w:val="nil"/>
            </w:tcBorders>
            <w:shd w:val="clear" w:color="000000" w:fill="000000"/>
            <w:vAlign w:val="bottom"/>
          </w:tcPr>
          <w:p w:rsidR="00336793" w:rsidRPr="005A7A46" w:rsidRDefault="00336793" w:rsidP="00DF0B96">
            <w:pPr>
              <w:pStyle w:val="Tabletextheading"/>
              <w:rPr>
                <w:rFonts w:eastAsiaTheme="minorEastAsia"/>
                <w:b/>
                <w:iCs/>
                <w:color w:val="FFFFFF"/>
                <w:sz w:val="20"/>
                <w:lang w:eastAsia="en-AU"/>
              </w:rPr>
            </w:pPr>
            <w:r w:rsidRPr="005A7A46">
              <w:rPr>
                <w:rFonts w:eastAsiaTheme="minorEastAsia"/>
                <w:b/>
                <w:iCs/>
                <w:color w:val="FFFFFF"/>
                <w:sz w:val="20"/>
                <w:lang w:eastAsia="en-AU"/>
              </w:rPr>
              <w:t>2015</w:t>
            </w:r>
          </w:p>
        </w:tc>
        <w:tc>
          <w:tcPr>
            <w:tcW w:w="1132" w:type="dxa"/>
            <w:gridSpan w:val="2"/>
            <w:tcBorders>
              <w:top w:val="nil"/>
              <w:left w:val="nil"/>
              <w:bottom w:val="single" w:sz="6" w:space="0" w:color="auto"/>
              <w:right w:val="single" w:sz="6" w:space="0" w:color="auto"/>
            </w:tcBorders>
            <w:shd w:val="clear" w:color="000000" w:fill="000000"/>
            <w:vAlign w:val="bottom"/>
          </w:tcPr>
          <w:p w:rsidR="00336793" w:rsidRPr="005A7A46" w:rsidRDefault="00336793" w:rsidP="00DF0B96">
            <w:pPr>
              <w:pStyle w:val="Tabletextheading"/>
              <w:rPr>
                <w:rFonts w:eastAsiaTheme="minorEastAsia"/>
                <w:b/>
                <w:iCs/>
                <w:color w:val="FFFFFF"/>
                <w:sz w:val="20"/>
                <w:lang w:eastAsia="en-AU"/>
              </w:rPr>
            </w:pPr>
            <w:r w:rsidRPr="005A7A46">
              <w:rPr>
                <w:rFonts w:eastAsiaTheme="minorEastAsia"/>
                <w:b/>
                <w:iCs/>
                <w:color w:val="FFFFFF"/>
                <w:sz w:val="20"/>
                <w:lang w:eastAsia="en-AU"/>
              </w:rPr>
              <w:t>2014</w:t>
            </w:r>
          </w:p>
        </w:tc>
      </w:tr>
      <w:tr w:rsidR="00336793" w:rsidRPr="005A7A46" w:rsidTr="00DF0B96">
        <w:trPr>
          <w:gridAfter w:val="1"/>
          <w:wAfter w:w="49" w:type="dxa"/>
        </w:trPr>
        <w:tc>
          <w:tcPr>
            <w:tcW w:w="3437" w:type="dxa"/>
            <w:tcBorders>
              <w:top w:val="single" w:sz="6" w:space="0" w:color="auto"/>
              <w:left w:val="nil"/>
              <w:bottom w:val="nil"/>
              <w:right w:val="nil"/>
            </w:tcBorders>
            <w:shd w:val="solid" w:color="FFFFFF" w:fill="auto"/>
          </w:tcPr>
          <w:p w:rsidR="00336793" w:rsidRPr="005A7A46" w:rsidRDefault="00336793" w:rsidP="00DF0B96">
            <w:pPr>
              <w:pStyle w:val="Tabletext"/>
              <w:rPr>
                <w:rFonts w:eastAsiaTheme="minorEastAsia"/>
                <w:b/>
                <w:i/>
                <w:iCs/>
                <w:sz w:val="20"/>
                <w:vertAlign w:val="superscript"/>
                <w:lang w:eastAsia="en-AU"/>
              </w:rPr>
            </w:pPr>
            <w:r w:rsidRPr="005A7A46">
              <w:rPr>
                <w:rFonts w:eastAsiaTheme="minorEastAsia"/>
                <w:b/>
                <w:i/>
                <w:iCs/>
                <w:sz w:val="20"/>
                <w:lang w:eastAsia="en-AU"/>
              </w:rPr>
              <w:t xml:space="preserve">Comprehensive result – total change in net worth </w:t>
            </w:r>
          </w:p>
        </w:tc>
        <w:tc>
          <w:tcPr>
            <w:tcW w:w="948" w:type="dxa"/>
            <w:gridSpan w:val="3"/>
            <w:tcBorders>
              <w:top w:val="single" w:sz="6" w:space="0" w:color="auto"/>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7 857.1</w:t>
            </w:r>
          </w:p>
        </w:tc>
        <w:tc>
          <w:tcPr>
            <w:tcW w:w="1131" w:type="dxa"/>
            <w:tcBorders>
              <w:top w:val="single" w:sz="6" w:space="0" w:color="auto"/>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6 741.4</w:t>
            </w:r>
          </w:p>
        </w:tc>
        <w:tc>
          <w:tcPr>
            <w:tcW w:w="1131" w:type="dxa"/>
            <w:gridSpan w:val="2"/>
            <w:tcBorders>
              <w:top w:val="single" w:sz="6" w:space="0" w:color="auto"/>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3 847.7</w:t>
            </w:r>
          </w:p>
        </w:tc>
        <w:tc>
          <w:tcPr>
            <w:tcW w:w="1132" w:type="dxa"/>
            <w:tcBorders>
              <w:top w:val="single" w:sz="6" w:space="0" w:color="auto"/>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2 954.1</w:t>
            </w:r>
          </w:p>
        </w:tc>
        <w:tc>
          <w:tcPr>
            <w:tcW w:w="1131" w:type="dxa"/>
            <w:gridSpan w:val="6"/>
            <w:tcBorders>
              <w:top w:val="single" w:sz="6" w:space="0" w:color="auto"/>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161.7</w:t>
            </w:r>
          </w:p>
        </w:tc>
        <w:tc>
          <w:tcPr>
            <w:tcW w:w="1274" w:type="dxa"/>
            <w:gridSpan w:val="2"/>
            <w:tcBorders>
              <w:top w:val="single" w:sz="6" w:space="0" w:color="auto"/>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674.0</w:t>
            </w:r>
          </w:p>
        </w:tc>
        <w:tc>
          <w:tcPr>
            <w:tcW w:w="989" w:type="dxa"/>
            <w:gridSpan w:val="3"/>
            <w:tcBorders>
              <w:top w:val="single" w:sz="6" w:space="0" w:color="auto"/>
              <w:left w:val="nil"/>
              <w:bottom w:val="nil"/>
              <w:right w:val="nil"/>
            </w:tcBorders>
            <w:shd w:val="solid" w:color="FFFFFF" w:fill="auto"/>
          </w:tcPr>
          <w:p w:rsidR="00336793" w:rsidRPr="005A7A46" w:rsidRDefault="00336793" w:rsidP="00DF0B96">
            <w:pPr>
              <w:pStyle w:val="TableofFigures"/>
              <w:rPr>
                <w:rFonts w:eastAsiaTheme="minorEastAsia" w:cs="Calibri"/>
                <w:b/>
                <w:bCs/>
                <w:color w:val="000000"/>
                <w:sz w:val="20"/>
                <w:szCs w:val="22"/>
                <w:lang w:eastAsia="en-AU"/>
              </w:rPr>
            </w:pPr>
            <w:r w:rsidRPr="005A7A46">
              <w:rPr>
                <w:rFonts w:eastAsiaTheme="minorEastAsia"/>
                <w:b/>
                <w:sz w:val="20"/>
                <w:lang w:eastAsia="en-AU"/>
              </w:rPr>
              <w:t>(4 040.5)</w:t>
            </w:r>
          </w:p>
        </w:tc>
        <w:tc>
          <w:tcPr>
            <w:tcW w:w="1131" w:type="dxa"/>
            <w:gridSpan w:val="2"/>
            <w:tcBorders>
              <w:top w:val="single" w:sz="6" w:space="0" w:color="auto"/>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(3 471.8)</w:t>
            </w:r>
          </w:p>
        </w:tc>
        <w:tc>
          <w:tcPr>
            <w:tcW w:w="1131" w:type="dxa"/>
            <w:gridSpan w:val="3"/>
            <w:tcBorders>
              <w:top w:val="single" w:sz="6" w:space="0" w:color="auto"/>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7 826.0</w:t>
            </w:r>
          </w:p>
        </w:tc>
        <w:tc>
          <w:tcPr>
            <w:tcW w:w="1132" w:type="dxa"/>
            <w:gridSpan w:val="2"/>
            <w:tcBorders>
              <w:top w:val="single" w:sz="6" w:space="0" w:color="auto"/>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6 897.6</w:t>
            </w:r>
          </w:p>
        </w:tc>
      </w:tr>
      <w:tr w:rsidR="00336793" w:rsidRPr="005A7A46" w:rsidTr="00DF0B96">
        <w:trPr>
          <w:gridAfter w:val="1"/>
          <w:wAfter w:w="49" w:type="dxa"/>
        </w:trPr>
        <w:tc>
          <w:tcPr>
            <w:tcW w:w="3437" w:type="dxa"/>
            <w:tcBorders>
              <w:top w:val="nil"/>
              <w:left w:val="nil"/>
              <w:bottom w:val="nil"/>
              <w:right w:val="nil"/>
            </w:tcBorders>
            <w:shd w:val="solid" w:color="FFFFFF" w:fill="auto"/>
          </w:tcPr>
          <w:p w:rsidR="00336793" w:rsidRPr="005A7A46" w:rsidRDefault="00336793" w:rsidP="00DF0B96">
            <w:pPr>
              <w:pStyle w:val="Tabletext"/>
              <w:rPr>
                <w:rFonts w:eastAsiaTheme="minorEastAsia"/>
                <w:i/>
                <w:iCs/>
                <w:sz w:val="20"/>
                <w:lang w:eastAsia="en-AU"/>
              </w:rPr>
            </w:pPr>
            <w:r w:rsidRPr="005A7A46">
              <w:rPr>
                <w:rFonts w:eastAsiaTheme="minorEastAsia"/>
                <w:i/>
                <w:iCs/>
                <w:sz w:val="20"/>
                <w:lang w:eastAsia="en-AU"/>
              </w:rPr>
              <w:t>Convergence differences:</w:t>
            </w:r>
          </w:p>
        </w:tc>
        <w:tc>
          <w:tcPr>
            <w:tcW w:w="948"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i/>
                <w:sz w:val="20"/>
                <w:lang w:eastAsia="en-AU"/>
              </w:rPr>
            </w:pPr>
            <w:r w:rsidRPr="005A7A46">
              <w:rPr>
                <w:rFonts w:eastAsiaTheme="minorEastAsia"/>
                <w:i/>
                <w:sz w:val="20"/>
                <w:lang w:eastAsia="en-AU"/>
              </w:rPr>
              <w:t xml:space="preserve"> </w:t>
            </w:r>
          </w:p>
        </w:tc>
        <w:tc>
          <w:tcPr>
            <w:tcW w:w="1131"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i/>
                <w:sz w:val="20"/>
                <w:lang w:eastAsia="en-AU"/>
              </w:rPr>
            </w:pPr>
            <w:r w:rsidRPr="005A7A46">
              <w:rPr>
                <w:rFonts w:eastAsiaTheme="minorEastAsia"/>
                <w:i/>
                <w:sz w:val="20"/>
                <w:lang w:eastAsia="en-AU"/>
              </w:rPr>
              <w:t xml:space="preserve"> </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i/>
                <w:sz w:val="20"/>
                <w:lang w:eastAsia="en-AU"/>
              </w:rPr>
            </w:pPr>
            <w:r w:rsidRPr="005A7A46">
              <w:rPr>
                <w:rFonts w:eastAsiaTheme="minorEastAsia"/>
                <w:i/>
                <w:sz w:val="20"/>
                <w:lang w:eastAsia="en-AU"/>
              </w:rPr>
              <w:t xml:space="preserve"> </w:t>
            </w:r>
          </w:p>
        </w:tc>
        <w:tc>
          <w:tcPr>
            <w:tcW w:w="1132"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i/>
                <w:sz w:val="20"/>
                <w:lang w:eastAsia="en-AU"/>
              </w:rPr>
            </w:pPr>
            <w:r w:rsidRPr="005A7A46">
              <w:rPr>
                <w:rFonts w:eastAsiaTheme="minorEastAsia"/>
                <w:i/>
                <w:sz w:val="20"/>
                <w:lang w:eastAsia="en-AU"/>
              </w:rPr>
              <w:t xml:space="preserve"> </w:t>
            </w:r>
          </w:p>
        </w:tc>
        <w:tc>
          <w:tcPr>
            <w:tcW w:w="1131" w:type="dxa"/>
            <w:gridSpan w:val="6"/>
            <w:tcBorders>
              <w:top w:val="nil"/>
              <w:left w:val="nil"/>
              <w:bottom w:val="nil"/>
              <w:right w:val="nil"/>
            </w:tcBorders>
            <w:shd w:val="solid" w:color="FFFFFF" w:fill="auto"/>
          </w:tcPr>
          <w:p w:rsidR="00336793" w:rsidRPr="005A7A46" w:rsidRDefault="00336793" w:rsidP="00DF0B96">
            <w:pPr>
              <w:pStyle w:val="TableofFigures"/>
              <w:rPr>
                <w:rFonts w:eastAsiaTheme="minorEastAsia"/>
                <w:i/>
                <w:sz w:val="20"/>
                <w:lang w:eastAsia="en-AU"/>
              </w:rPr>
            </w:pPr>
            <w:r w:rsidRPr="005A7A46">
              <w:rPr>
                <w:rFonts w:eastAsiaTheme="minorEastAsia"/>
                <w:i/>
                <w:sz w:val="20"/>
                <w:lang w:eastAsia="en-AU"/>
              </w:rPr>
              <w:t xml:space="preserve"> </w:t>
            </w:r>
          </w:p>
        </w:tc>
        <w:tc>
          <w:tcPr>
            <w:tcW w:w="1274"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i/>
                <w:sz w:val="20"/>
                <w:lang w:eastAsia="en-AU"/>
              </w:rPr>
            </w:pPr>
            <w:r w:rsidRPr="005A7A46">
              <w:rPr>
                <w:rFonts w:eastAsiaTheme="minorEastAsia"/>
                <w:i/>
                <w:sz w:val="20"/>
                <w:lang w:eastAsia="en-AU"/>
              </w:rPr>
              <w:t xml:space="preserve"> </w:t>
            </w:r>
          </w:p>
        </w:tc>
        <w:tc>
          <w:tcPr>
            <w:tcW w:w="989"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i/>
                <w:sz w:val="20"/>
                <w:lang w:eastAsia="en-AU"/>
              </w:rPr>
            </w:pPr>
            <w:r w:rsidRPr="005A7A46">
              <w:rPr>
                <w:rFonts w:eastAsiaTheme="minorEastAsia"/>
                <w:i/>
                <w:sz w:val="20"/>
                <w:lang w:eastAsia="en-AU"/>
              </w:rPr>
              <w:t xml:space="preserve"> </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i/>
                <w:sz w:val="20"/>
                <w:lang w:eastAsia="en-AU"/>
              </w:rPr>
            </w:pPr>
            <w:r w:rsidRPr="005A7A46">
              <w:rPr>
                <w:rFonts w:eastAsiaTheme="minorEastAsia"/>
                <w:i/>
                <w:sz w:val="20"/>
                <w:lang w:eastAsia="en-AU"/>
              </w:rPr>
              <w:t xml:space="preserve"> </w:t>
            </w:r>
          </w:p>
        </w:tc>
        <w:tc>
          <w:tcPr>
            <w:tcW w:w="1131"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i/>
                <w:sz w:val="20"/>
                <w:lang w:eastAsia="en-AU"/>
              </w:rPr>
            </w:pPr>
            <w:r w:rsidRPr="005A7A46">
              <w:rPr>
                <w:rFonts w:eastAsiaTheme="minorEastAsia"/>
                <w:i/>
                <w:sz w:val="20"/>
                <w:lang w:eastAsia="en-AU"/>
              </w:rPr>
              <w:t xml:space="preserve"> </w:t>
            </w:r>
          </w:p>
        </w:tc>
        <w:tc>
          <w:tcPr>
            <w:tcW w:w="1132"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i/>
                <w:sz w:val="20"/>
                <w:lang w:eastAsia="en-AU"/>
              </w:rPr>
            </w:pPr>
            <w:r w:rsidRPr="005A7A46">
              <w:rPr>
                <w:rFonts w:eastAsiaTheme="minorEastAsia"/>
                <w:i/>
                <w:sz w:val="20"/>
                <w:lang w:eastAsia="en-AU"/>
              </w:rPr>
              <w:t xml:space="preserve"> </w:t>
            </w:r>
          </w:p>
        </w:tc>
      </w:tr>
      <w:tr w:rsidR="00336793" w:rsidRPr="005A7A46" w:rsidTr="00DF0B96">
        <w:trPr>
          <w:gridAfter w:val="1"/>
          <w:wAfter w:w="49" w:type="dxa"/>
        </w:trPr>
        <w:tc>
          <w:tcPr>
            <w:tcW w:w="3437" w:type="dxa"/>
            <w:tcBorders>
              <w:top w:val="nil"/>
              <w:left w:val="nil"/>
              <w:bottom w:val="nil"/>
              <w:right w:val="nil"/>
            </w:tcBorders>
            <w:shd w:val="solid" w:color="FFFFFF" w:fill="auto"/>
          </w:tcPr>
          <w:p w:rsidR="00336793" w:rsidRPr="005A7A46" w:rsidRDefault="00336793" w:rsidP="00DF0B96">
            <w:pPr>
              <w:pStyle w:val="Tabletext"/>
              <w:rPr>
                <w:rFonts w:eastAsiaTheme="minorEastAsia"/>
                <w:sz w:val="20"/>
                <w:lang w:eastAsia="en-AU"/>
              </w:rPr>
            </w:pPr>
            <w:r w:rsidRPr="005A7A46">
              <w:rPr>
                <w:rFonts w:eastAsiaTheme="minorEastAsia"/>
                <w:sz w:val="20"/>
                <w:lang w:eastAsia="en-AU"/>
              </w:rPr>
              <w:t xml:space="preserve">Relating to net operating balance – PNFC/PFC dividends </w:t>
            </w:r>
          </w:p>
        </w:tc>
        <w:tc>
          <w:tcPr>
            <w:tcW w:w="948"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255.5</w:t>
            </w:r>
          </w:p>
        </w:tc>
        <w:tc>
          <w:tcPr>
            <w:tcW w:w="1132"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84.5</w:t>
            </w:r>
          </w:p>
        </w:tc>
        <w:tc>
          <w:tcPr>
            <w:tcW w:w="1131" w:type="dxa"/>
            <w:gridSpan w:val="6"/>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566.2</w:t>
            </w:r>
          </w:p>
        </w:tc>
        <w:tc>
          <w:tcPr>
            <w:tcW w:w="1274"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136.0</w:t>
            </w:r>
          </w:p>
        </w:tc>
        <w:tc>
          <w:tcPr>
            <w:tcW w:w="989"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821.7)</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220.5)</w:t>
            </w:r>
          </w:p>
        </w:tc>
        <w:tc>
          <w:tcPr>
            <w:tcW w:w="1131"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2"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r>
      <w:tr w:rsidR="00336793" w:rsidRPr="005A7A46" w:rsidTr="00DF0B96">
        <w:trPr>
          <w:gridAfter w:val="1"/>
          <w:wAfter w:w="49" w:type="dxa"/>
        </w:trPr>
        <w:tc>
          <w:tcPr>
            <w:tcW w:w="3437" w:type="dxa"/>
            <w:tcBorders>
              <w:top w:val="nil"/>
              <w:left w:val="nil"/>
              <w:bottom w:val="nil"/>
              <w:right w:val="nil"/>
            </w:tcBorders>
            <w:shd w:val="solid" w:color="FFFFFF" w:fill="auto"/>
          </w:tcPr>
          <w:p w:rsidR="00336793" w:rsidRPr="005A7A46" w:rsidRDefault="00336793" w:rsidP="00DF0B96">
            <w:pPr>
              <w:pStyle w:val="Tabletext"/>
              <w:rPr>
                <w:rFonts w:eastAsiaTheme="minorEastAsia"/>
                <w:sz w:val="20"/>
                <w:vertAlign w:val="superscript"/>
                <w:lang w:eastAsia="en-AU"/>
              </w:rPr>
            </w:pPr>
            <w:r w:rsidRPr="005A7A46">
              <w:rPr>
                <w:rFonts w:eastAsiaTheme="minorEastAsia"/>
                <w:sz w:val="20"/>
                <w:lang w:eastAsia="en-AU"/>
              </w:rPr>
              <w:t>Relating to other economic flows:</w:t>
            </w:r>
            <w:r w:rsidRPr="00E96950">
              <w:rPr>
                <w:rFonts w:eastAsiaTheme="minorEastAsia"/>
                <w:sz w:val="20"/>
                <w:vertAlign w:val="superscript"/>
                <w:lang w:eastAsia="en-AU"/>
              </w:rPr>
              <w:t xml:space="preserve"> </w:t>
            </w:r>
            <w:r w:rsidRPr="005A7A46">
              <w:rPr>
                <w:rFonts w:eastAsiaTheme="minorEastAsia"/>
                <w:sz w:val="20"/>
                <w:vertAlign w:val="superscript"/>
                <w:lang w:eastAsia="en-AU"/>
              </w:rPr>
              <w:t>(c)</w:t>
            </w:r>
          </w:p>
        </w:tc>
        <w:tc>
          <w:tcPr>
            <w:tcW w:w="948"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c>
          <w:tcPr>
            <w:tcW w:w="1131"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c>
          <w:tcPr>
            <w:tcW w:w="1132"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c>
          <w:tcPr>
            <w:tcW w:w="1131" w:type="dxa"/>
            <w:gridSpan w:val="6"/>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c>
          <w:tcPr>
            <w:tcW w:w="1274"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c>
          <w:tcPr>
            <w:tcW w:w="989"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c>
          <w:tcPr>
            <w:tcW w:w="1131"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c>
          <w:tcPr>
            <w:tcW w:w="1132"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r>
      <w:tr w:rsidR="00336793" w:rsidRPr="005A7A46" w:rsidTr="00DF0B96">
        <w:tc>
          <w:tcPr>
            <w:tcW w:w="7779" w:type="dxa"/>
            <w:gridSpan w:val="8"/>
            <w:tcBorders>
              <w:top w:val="nil"/>
              <w:left w:val="nil"/>
              <w:bottom w:val="nil"/>
              <w:right w:val="nil"/>
            </w:tcBorders>
          </w:tcPr>
          <w:p w:rsidR="00336793" w:rsidRPr="005A7A46" w:rsidRDefault="00336793" w:rsidP="00DF0B96">
            <w:pPr>
              <w:pStyle w:val="Tabletext"/>
              <w:rPr>
                <w:rFonts w:eastAsiaTheme="minorEastAsia"/>
                <w:b/>
                <w:sz w:val="20"/>
                <w:lang w:eastAsia="en-AU"/>
              </w:rPr>
            </w:pPr>
            <w:r w:rsidRPr="005A7A46">
              <w:rPr>
                <w:rFonts w:eastAsiaTheme="minorEastAsia"/>
                <w:b/>
                <w:sz w:val="20"/>
                <w:lang w:eastAsia="en-AU"/>
              </w:rPr>
              <w:t>Contribution by non</w:t>
            </w:r>
            <w:r>
              <w:rPr>
                <w:rFonts w:eastAsiaTheme="minorEastAsia"/>
                <w:b/>
                <w:sz w:val="20"/>
                <w:lang w:eastAsia="en-AU"/>
              </w:rPr>
              <w:noBreakHyphen/>
            </w:r>
            <w:r w:rsidRPr="005A7A46">
              <w:rPr>
                <w:rFonts w:eastAsiaTheme="minorEastAsia"/>
                <w:b/>
                <w:sz w:val="20"/>
                <w:lang w:eastAsia="en-AU"/>
              </w:rPr>
              <w:t>controlling interest</w:t>
            </w:r>
          </w:p>
        </w:tc>
        <w:tc>
          <w:tcPr>
            <w:tcW w:w="236"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w:t>
            </w:r>
          </w:p>
        </w:tc>
        <w:tc>
          <w:tcPr>
            <w:tcW w:w="236"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w:t>
            </w:r>
          </w:p>
        </w:tc>
        <w:tc>
          <w:tcPr>
            <w:tcW w:w="236"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w:t>
            </w:r>
          </w:p>
        </w:tc>
        <w:tc>
          <w:tcPr>
            <w:tcW w:w="236"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w:t>
            </w:r>
          </w:p>
        </w:tc>
        <w:tc>
          <w:tcPr>
            <w:tcW w:w="236"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w:t>
            </w:r>
          </w:p>
        </w:tc>
        <w:tc>
          <w:tcPr>
            <w:tcW w:w="1274"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w:t>
            </w:r>
          </w:p>
        </w:tc>
        <w:tc>
          <w:tcPr>
            <w:tcW w:w="989"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w:t>
            </w:r>
          </w:p>
        </w:tc>
        <w:tc>
          <w:tcPr>
            <w:tcW w:w="1131"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w:t>
            </w:r>
          </w:p>
        </w:tc>
        <w:tc>
          <w:tcPr>
            <w:tcW w:w="1132"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 xml:space="preserve"> </w:t>
            </w:r>
          </w:p>
        </w:tc>
      </w:tr>
      <w:tr w:rsidR="00336793" w:rsidRPr="005A7A46" w:rsidTr="00DF0B96">
        <w:trPr>
          <w:gridAfter w:val="1"/>
          <w:wAfter w:w="49" w:type="dxa"/>
        </w:trPr>
        <w:tc>
          <w:tcPr>
            <w:tcW w:w="3437" w:type="dxa"/>
            <w:tcBorders>
              <w:top w:val="nil"/>
              <w:left w:val="nil"/>
              <w:bottom w:val="nil"/>
              <w:right w:val="nil"/>
            </w:tcBorders>
          </w:tcPr>
          <w:p w:rsidR="00336793" w:rsidRPr="005A7A46" w:rsidRDefault="00336793" w:rsidP="00DF0B96">
            <w:pPr>
              <w:pStyle w:val="Tabletext"/>
              <w:rPr>
                <w:rFonts w:eastAsiaTheme="minorEastAsia"/>
                <w:sz w:val="20"/>
                <w:vertAlign w:val="superscript"/>
                <w:lang w:eastAsia="en-AU"/>
              </w:rPr>
            </w:pPr>
            <w:r w:rsidRPr="005A7A46">
              <w:rPr>
                <w:rFonts w:eastAsiaTheme="minorEastAsia"/>
                <w:sz w:val="20"/>
                <w:lang w:eastAsia="en-AU"/>
              </w:rPr>
              <w:t xml:space="preserve">Doubtful receivables of the general government sector </w:t>
            </w:r>
            <w:r w:rsidRPr="005A7A46">
              <w:rPr>
                <w:rFonts w:eastAsiaTheme="minorEastAsia"/>
                <w:sz w:val="20"/>
                <w:vertAlign w:val="superscript"/>
                <w:lang w:eastAsia="en-AU"/>
              </w:rPr>
              <w:t>(d)</w:t>
            </w:r>
          </w:p>
        </w:tc>
        <w:tc>
          <w:tcPr>
            <w:tcW w:w="948"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7.2)</w:t>
            </w:r>
          </w:p>
        </w:tc>
        <w:tc>
          <w:tcPr>
            <w:tcW w:w="1131"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21.1</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2"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gridSpan w:val="6"/>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274"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989"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7.2)</w:t>
            </w:r>
          </w:p>
        </w:tc>
        <w:tc>
          <w:tcPr>
            <w:tcW w:w="1132"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21.1</w:t>
            </w:r>
          </w:p>
        </w:tc>
      </w:tr>
      <w:tr w:rsidR="00336793" w:rsidRPr="005A7A46" w:rsidTr="00DF0B96">
        <w:trPr>
          <w:gridAfter w:val="1"/>
          <w:wAfter w:w="49" w:type="dxa"/>
        </w:trPr>
        <w:tc>
          <w:tcPr>
            <w:tcW w:w="3815" w:type="dxa"/>
            <w:gridSpan w:val="3"/>
            <w:tcBorders>
              <w:top w:val="nil"/>
              <w:left w:val="nil"/>
              <w:bottom w:val="nil"/>
              <w:right w:val="nil"/>
            </w:tcBorders>
          </w:tcPr>
          <w:p w:rsidR="00336793" w:rsidRPr="005A7A46" w:rsidRDefault="00336793" w:rsidP="00DF0B96">
            <w:pPr>
              <w:pStyle w:val="Tabletext"/>
              <w:rPr>
                <w:rFonts w:eastAsiaTheme="minorEastAsia"/>
                <w:sz w:val="20"/>
                <w:lang w:eastAsia="en-AU"/>
              </w:rPr>
            </w:pPr>
            <w:r w:rsidRPr="005A7A46">
              <w:rPr>
                <w:rFonts w:eastAsiaTheme="minorEastAsia"/>
                <w:sz w:val="20"/>
                <w:lang w:eastAsia="en-AU"/>
              </w:rPr>
              <w:t>Doubtful receivables of the PNFC/PFC sector</w:t>
            </w:r>
          </w:p>
        </w:tc>
        <w:tc>
          <w:tcPr>
            <w:tcW w:w="570"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0.4)</w:t>
            </w:r>
          </w:p>
        </w:tc>
        <w:tc>
          <w:tcPr>
            <w:tcW w:w="1132"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0.6)</w:t>
            </w:r>
          </w:p>
        </w:tc>
        <w:tc>
          <w:tcPr>
            <w:tcW w:w="1131" w:type="dxa"/>
            <w:gridSpan w:val="6"/>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sz w:val="20"/>
                <w:lang w:eastAsia="en-AU"/>
              </w:rPr>
              <w:t>5.0</w:t>
            </w:r>
            <w:r w:rsidRPr="005A7A46">
              <w:rPr>
                <w:rFonts w:eastAsiaTheme="minorEastAsia" w:cs="Calibri"/>
                <w:color w:val="000000"/>
                <w:sz w:val="20"/>
                <w:szCs w:val="22"/>
                <w:lang w:eastAsia="en-AU"/>
              </w:rPr>
              <w:t>)</w:t>
            </w:r>
          </w:p>
        </w:tc>
        <w:tc>
          <w:tcPr>
            <w:tcW w:w="1274"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sz w:val="20"/>
                <w:lang w:eastAsia="en-AU"/>
              </w:rPr>
              <w:t>5.0</w:t>
            </w:r>
            <w:r w:rsidRPr="005A7A46">
              <w:rPr>
                <w:rFonts w:eastAsiaTheme="minorEastAsia" w:cs="Calibri"/>
                <w:color w:val="000000"/>
                <w:sz w:val="20"/>
                <w:szCs w:val="22"/>
                <w:lang w:eastAsia="en-AU"/>
              </w:rPr>
              <w:t>)</w:t>
            </w:r>
          </w:p>
        </w:tc>
        <w:tc>
          <w:tcPr>
            <w:tcW w:w="989"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sz w:val="20"/>
                <w:lang w:eastAsia="en-AU"/>
              </w:rPr>
              <w:t>5.5</w:t>
            </w:r>
            <w:r w:rsidRPr="005A7A46">
              <w:rPr>
                <w:rFonts w:eastAsiaTheme="minorEastAsia" w:cs="Calibri"/>
                <w:color w:val="000000"/>
                <w:sz w:val="20"/>
                <w:szCs w:val="22"/>
                <w:lang w:eastAsia="en-AU"/>
              </w:rPr>
              <w:t>)</w:t>
            </w:r>
          </w:p>
        </w:tc>
        <w:tc>
          <w:tcPr>
            <w:tcW w:w="1132"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sz w:val="20"/>
                <w:lang w:eastAsia="en-AU"/>
              </w:rPr>
              <w:t>5.6</w:t>
            </w:r>
            <w:r w:rsidRPr="005A7A46">
              <w:rPr>
                <w:rFonts w:eastAsiaTheme="minorEastAsia" w:cs="Calibri"/>
                <w:color w:val="000000"/>
                <w:sz w:val="20"/>
                <w:szCs w:val="22"/>
                <w:lang w:eastAsia="en-AU"/>
              </w:rPr>
              <w:t>)</w:t>
            </w:r>
          </w:p>
        </w:tc>
      </w:tr>
      <w:tr w:rsidR="00336793" w:rsidRPr="005A7A46" w:rsidTr="00DF0B96">
        <w:trPr>
          <w:gridAfter w:val="1"/>
          <w:wAfter w:w="49" w:type="dxa"/>
        </w:trPr>
        <w:tc>
          <w:tcPr>
            <w:tcW w:w="3815" w:type="dxa"/>
            <w:gridSpan w:val="3"/>
            <w:tcBorders>
              <w:top w:val="nil"/>
              <w:left w:val="nil"/>
              <w:bottom w:val="nil"/>
              <w:right w:val="nil"/>
            </w:tcBorders>
          </w:tcPr>
          <w:p w:rsidR="00336793" w:rsidRPr="005A7A46" w:rsidRDefault="00336793" w:rsidP="00DF0B96">
            <w:pPr>
              <w:pStyle w:val="Tabletext"/>
              <w:rPr>
                <w:rFonts w:eastAsiaTheme="minorEastAsia"/>
                <w:sz w:val="20"/>
                <w:lang w:eastAsia="en-AU"/>
              </w:rPr>
            </w:pPr>
            <w:r w:rsidRPr="005A7A46">
              <w:rPr>
                <w:rFonts w:eastAsiaTheme="minorEastAsia"/>
                <w:sz w:val="20"/>
                <w:lang w:eastAsia="en-AU"/>
              </w:rPr>
              <w:t>Future tax benefits of the PNFC/PFC sector</w:t>
            </w:r>
          </w:p>
        </w:tc>
        <w:tc>
          <w:tcPr>
            <w:tcW w:w="570"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16.6)</w:t>
            </w:r>
          </w:p>
        </w:tc>
        <w:tc>
          <w:tcPr>
            <w:tcW w:w="1132"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13.7</w:t>
            </w:r>
          </w:p>
        </w:tc>
        <w:tc>
          <w:tcPr>
            <w:tcW w:w="1131" w:type="dxa"/>
            <w:gridSpan w:val="6"/>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58.3</w:t>
            </w:r>
          </w:p>
        </w:tc>
        <w:tc>
          <w:tcPr>
            <w:tcW w:w="1274"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602.3</w:t>
            </w:r>
          </w:p>
        </w:tc>
        <w:tc>
          <w:tcPr>
            <w:tcW w:w="989"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41.6)</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615.9)</w:t>
            </w:r>
          </w:p>
        </w:tc>
        <w:tc>
          <w:tcPr>
            <w:tcW w:w="1131"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2"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r>
      <w:tr w:rsidR="00336793" w:rsidRPr="005A7A46" w:rsidTr="00D96F49">
        <w:trPr>
          <w:gridAfter w:val="1"/>
          <w:wAfter w:w="49" w:type="dxa"/>
        </w:trPr>
        <w:tc>
          <w:tcPr>
            <w:tcW w:w="3815" w:type="dxa"/>
            <w:gridSpan w:val="3"/>
            <w:tcBorders>
              <w:top w:val="nil"/>
              <w:left w:val="nil"/>
              <w:bottom w:val="nil"/>
              <w:right w:val="nil"/>
            </w:tcBorders>
          </w:tcPr>
          <w:p w:rsidR="00336793" w:rsidRPr="005A7A46" w:rsidRDefault="00336793" w:rsidP="00DF0B96">
            <w:pPr>
              <w:pStyle w:val="Tabletext"/>
              <w:rPr>
                <w:rFonts w:eastAsiaTheme="minorEastAsia"/>
                <w:sz w:val="20"/>
                <w:vertAlign w:val="superscript"/>
                <w:lang w:eastAsia="en-AU"/>
              </w:rPr>
            </w:pPr>
            <w:r w:rsidRPr="005A7A46">
              <w:rPr>
                <w:rFonts w:eastAsiaTheme="minorEastAsia"/>
                <w:sz w:val="20"/>
                <w:lang w:eastAsia="en-AU"/>
              </w:rPr>
              <w:t xml:space="preserve">Deferred tax liability of the PNFC/PFC sector </w:t>
            </w:r>
          </w:p>
        </w:tc>
        <w:tc>
          <w:tcPr>
            <w:tcW w:w="570"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702.8</w:t>
            </w:r>
          </w:p>
        </w:tc>
        <w:tc>
          <w:tcPr>
            <w:tcW w:w="1132"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100.8</w:t>
            </w:r>
          </w:p>
        </w:tc>
        <w:tc>
          <w:tcPr>
            <w:tcW w:w="1131" w:type="dxa"/>
            <w:gridSpan w:val="6"/>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0.6</w:t>
            </w:r>
          </w:p>
        </w:tc>
        <w:tc>
          <w:tcPr>
            <w:tcW w:w="1274"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83.1)</w:t>
            </w:r>
          </w:p>
        </w:tc>
        <w:tc>
          <w:tcPr>
            <w:tcW w:w="989"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703.3)</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17.8)</w:t>
            </w:r>
          </w:p>
        </w:tc>
        <w:tc>
          <w:tcPr>
            <w:tcW w:w="1131"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2"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Pr>
                <w:rFonts w:eastAsiaTheme="minorEastAsia"/>
                <w:sz w:val="20"/>
                <w:lang w:eastAsia="en-AU"/>
              </w:rPr>
              <w:t>..</w:t>
            </w:r>
          </w:p>
        </w:tc>
      </w:tr>
      <w:tr w:rsidR="00336793" w:rsidRPr="005A7A46" w:rsidTr="00DF0B96">
        <w:trPr>
          <w:gridAfter w:val="1"/>
          <w:wAfter w:w="49" w:type="dxa"/>
        </w:trPr>
        <w:tc>
          <w:tcPr>
            <w:tcW w:w="3437" w:type="dxa"/>
            <w:tcBorders>
              <w:top w:val="nil"/>
              <w:left w:val="nil"/>
              <w:bottom w:val="nil"/>
              <w:right w:val="nil"/>
            </w:tcBorders>
          </w:tcPr>
          <w:p w:rsidR="00336793" w:rsidRPr="005A7A46" w:rsidRDefault="00336793" w:rsidP="00DF0B96">
            <w:pPr>
              <w:pStyle w:val="Tabletext"/>
              <w:rPr>
                <w:rFonts w:eastAsiaTheme="minorEastAsia"/>
                <w:sz w:val="20"/>
                <w:vertAlign w:val="superscript"/>
                <w:lang w:eastAsia="en-AU"/>
              </w:rPr>
            </w:pPr>
            <w:r w:rsidRPr="005A7A46">
              <w:rPr>
                <w:rFonts w:eastAsiaTheme="minorEastAsia"/>
                <w:sz w:val="20"/>
                <w:lang w:eastAsia="en-AU"/>
              </w:rPr>
              <w:t>Net gain on equity investments in other sector entities measured at proportional share of the carrying amount of net assets/(liabilities)</w:t>
            </w:r>
            <w:r w:rsidRPr="00E96950">
              <w:rPr>
                <w:rFonts w:eastAsiaTheme="minorEastAsia"/>
                <w:sz w:val="20"/>
                <w:vertAlign w:val="superscript"/>
                <w:lang w:eastAsia="en-AU"/>
              </w:rPr>
              <w:t xml:space="preserve"> </w:t>
            </w:r>
            <w:r w:rsidRPr="005A7A46">
              <w:rPr>
                <w:rFonts w:eastAsiaTheme="minorEastAsia"/>
                <w:sz w:val="20"/>
                <w:vertAlign w:val="superscript"/>
                <w:lang w:eastAsia="en-AU"/>
              </w:rPr>
              <w:t>(e)(f)</w:t>
            </w:r>
          </w:p>
        </w:tc>
        <w:tc>
          <w:tcPr>
            <w:tcW w:w="948" w:type="dxa"/>
            <w:gridSpan w:val="3"/>
            <w:tcBorders>
              <w:top w:val="nil"/>
              <w:left w:val="nil"/>
              <w:bottom w:val="nil"/>
              <w:right w:val="nil"/>
            </w:tcBorders>
            <w:shd w:val="solid" w:color="FFFFFF" w:fill="auto"/>
          </w:tcPr>
          <w:p w:rsidR="00336793" w:rsidRPr="00D96F49" w:rsidRDefault="00336793" w:rsidP="00DF0B96">
            <w:pPr>
              <w:pStyle w:val="TableofFigures"/>
              <w:rPr>
                <w:rFonts w:eastAsiaTheme="minorEastAsia"/>
                <w:sz w:val="20"/>
                <w:lang w:eastAsia="en-AU"/>
              </w:rPr>
            </w:pPr>
            <w:r w:rsidRPr="00D96F49">
              <w:rPr>
                <w:rFonts w:eastAsiaTheme="minorEastAsia"/>
                <w:sz w:val="20"/>
                <w:lang w:eastAsia="en-AU"/>
              </w:rPr>
              <w:t xml:space="preserve"> 739.5</w:t>
            </w:r>
          </w:p>
        </w:tc>
        <w:tc>
          <w:tcPr>
            <w:tcW w:w="1131"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628.2</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c>
          <w:tcPr>
            <w:tcW w:w="1132" w:type="dxa"/>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w:t>
            </w:r>
          </w:p>
        </w:tc>
        <w:tc>
          <w:tcPr>
            <w:tcW w:w="1131" w:type="dxa"/>
            <w:gridSpan w:val="6"/>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274"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989"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739.5)</w:t>
            </w:r>
          </w:p>
        </w:tc>
        <w:tc>
          <w:tcPr>
            <w:tcW w:w="1131"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628.2)</w:t>
            </w:r>
          </w:p>
        </w:tc>
        <w:tc>
          <w:tcPr>
            <w:tcW w:w="1131" w:type="dxa"/>
            <w:gridSpan w:val="3"/>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2" w:type="dxa"/>
            <w:gridSpan w:val="2"/>
            <w:tcBorders>
              <w:top w:val="nil"/>
              <w:left w:val="nil"/>
              <w:bottom w:val="nil"/>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r>
      <w:tr w:rsidR="00336793" w:rsidRPr="005A7A46" w:rsidTr="00DF0B96">
        <w:trPr>
          <w:gridAfter w:val="1"/>
          <w:wAfter w:w="49" w:type="dxa"/>
        </w:trPr>
        <w:tc>
          <w:tcPr>
            <w:tcW w:w="3437" w:type="dxa"/>
            <w:tcBorders>
              <w:top w:val="nil"/>
              <w:left w:val="nil"/>
              <w:bottom w:val="nil"/>
              <w:right w:val="nil"/>
            </w:tcBorders>
          </w:tcPr>
          <w:p w:rsidR="00336793" w:rsidRPr="005A7A46" w:rsidRDefault="00336793" w:rsidP="00DF0B96">
            <w:pPr>
              <w:pStyle w:val="Tabletext"/>
              <w:rPr>
                <w:rFonts w:eastAsiaTheme="minorEastAsia"/>
                <w:sz w:val="20"/>
                <w:lang w:eastAsia="en-AU"/>
              </w:rPr>
            </w:pPr>
            <w:r w:rsidRPr="005A7A46">
              <w:rPr>
                <w:rFonts w:eastAsiaTheme="minorEastAsia"/>
                <w:sz w:val="20"/>
                <w:lang w:eastAsia="en-AU"/>
              </w:rPr>
              <w:t>Change in shares and other contributed capital</w:t>
            </w:r>
          </w:p>
        </w:tc>
        <w:tc>
          <w:tcPr>
            <w:tcW w:w="948" w:type="dxa"/>
            <w:gridSpan w:val="3"/>
            <w:tcBorders>
              <w:top w:val="nil"/>
              <w:left w:val="nil"/>
              <w:bottom w:val="single" w:sz="6" w:space="0" w:color="auto"/>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tcBorders>
              <w:top w:val="nil"/>
              <w:left w:val="nil"/>
              <w:bottom w:val="single" w:sz="6" w:space="0" w:color="auto"/>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1" w:type="dxa"/>
            <w:gridSpan w:val="2"/>
            <w:tcBorders>
              <w:top w:val="nil"/>
              <w:left w:val="nil"/>
              <w:bottom w:val="single" w:sz="6" w:space="0" w:color="auto"/>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(4 788.9)</w:t>
            </w:r>
          </w:p>
        </w:tc>
        <w:tc>
          <w:tcPr>
            <w:tcW w:w="1132" w:type="dxa"/>
            <w:tcBorders>
              <w:top w:val="nil"/>
              <w:left w:val="nil"/>
              <w:bottom w:val="single" w:sz="6" w:space="0" w:color="auto"/>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(3 152.5)</w:t>
            </w:r>
          </w:p>
        </w:tc>
        <w:tc>
          <w:tcPr>
            <w:tcW w:w="1131" w:type="dxa"/>
            <w:gridSpan w:val="6"/>
            <w:tcBorders>
              <w:top w:val="nil"/>
              <w:left w:val="nil"/>
              <w:bottom w:val="single" w:sz="6" w:space="0" w:color="auto"/>
              <w:right w:val="nil"/>
            </w:tcBorders>
            <w:shd w:val="solid" w:color="FFFFFF" w:fill="auto"/>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781.7)</w:t>
            </w:r>
          </w:p>
        </w:tc>
        <w:tc>
          <w:tcPr>
            <w:tcW w:w="1274" w:type="dxa"/>
            <w:gridSpan w:val="2"/>
            <w:tcBorders>
              <w:top w:val="nil"/>
              <w:left w:val="nil"/>
              <w:bottom w:val="single" w:sz="6" w:space="0" w:color="auto"/>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(1 324.3)</w:t>
            </w:r>
          </w:p>
        </w:tc>
        <w:tc>
          <w:tcPr>
            <w:tcW w:w="989" w:type="dxa"/>
            <w:gridSpan w:val="3"/>
            <w:tcBorders>
              <w:top w:val="nil"/>
              <w:left w:val="nil"/>
              <w:bottom w:val="single" w:sz="6" w:space="0" w:color="auto"/>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5 570.6</w:t>
            </w:r>
          </w:p>
        </w:tc>
        <w:tc>
          <w:tcPr>
            <w:tcW w:w="1131" w:type="dxa"/>
            <w:gridSpan w:val="2"/>
            <w:tcBorders>
              <w:top w:val="nil"/>
              <w:left w:val="nil"/>
              <w:bottom w:val="single" w:sz="6" w:space="0" w:color="auto"/>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4 476.8</w:t>
            </w:r>
          </w:p>
        </w:tc>
        <w:tc>
          <w:tcPr>
            <w:tcW w:w="1131" w:type="dxa"/>
            <w:gridSpan w:val="3"/>
            <w:tcBorders>
              <w:top w:val="nil"/>
              <w:left w:val="nil"/>
              <w:bottom w:val="single" w:sz="6" w:space="0" w:color="auto"/>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c>
          <w:tcPr>
            <w:tcW w:w="1132" w:type="dxa"/>
            <w:gridSpan w:val="2"/>
            <w:tcBorders>
              <w:top w:val="nil"/>
              <w:left w:val="nil"/>
              <w:bottom w:val="single" w:sz="6" w:space="0" w:color="auto"/>
              <w:right w:val="nil"/>
            </w:tcBorders>
            <w:shd w:val="solid" w:color="FFFFFF" w:fill="auto"/>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w:t>
            </w:r>
          </w:p>
        </w:tc>
      </w:tr>
      <w:tr w:rsidR="00336793" w:rsidRPr="005A7A46" w:rsidTr="00DF0B96">
        <w:trPr>
          <w:gridAfter w:val="1"/>
          <w:wAfter w:w="49" w:type="dxa"/>
        </w:trPr>
        <w:tc>
          <w:tcPr>
            <w:tcW w:w="3437" w:type="dxa"/>
            <w:tcBorders>
              <w:top w:val="single" w:sz="6" w:space="0" w:color="auto"/>
              <w:left w:val="nil"/>
              <w:bottom w:val="single" w:sz="6" w:space="0" w:color="auto"/>
              <w:right w:val="nil"/>
            </w:tcBorders>
          </w:tcPr>
          <w:p w:rsidR="00336793" w:rsidRPr="005A7A46" w:rsidRDefault="00336793" w:rsidP="00DF0B96">
            <w:pPr>
              <w:pStyle w:val="Tabletext"/>
              <w:rPr>
                <w:rFonts w:eastAsiaTheme="minorEastAsia"/>
                <w:i/>
                <w:iCs/>
                <w:sz w:val="20"/>
                <w:vertAlign w:val="superscript"/>
                <w:lang w:eastAsia="en-AU"/>
              </w:rPr>
            </w:pPr>
            <w:r w:rsidRPr="005A7A46">
              <w:rPr>
                <w:rFonts w:eastAsiaTheme="minorEastAsia"/>
                <w:i/>
                <w:iCs/>
                <w:sz w:val="20"/>
                <w:lang w:eastAsia="en-AU"/>
              </w:rPr>
              <w:t xml:space="preserve">plus total convergence differences </w:t>
            </w:r>
          </w:p>
        </w:tc>
        <w:tc>
          <w:tcPr>
            <w:tcW w:w="948" w:type="dxa"/>
            <w:gridSpan w:val="3"/>
            <w:tcBorders>
              <w:top w:val="nil"/>
              <w:left w:val="nil"/>
              <w:bottom w:val="single" w:sz="6" w:space="0" w:color="auto"/>
              <w:right w:val="nil"/>
            </w:tcBorders>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732.3</w:t>
            </w:r>
          </w:p>
        </w:tc>
        <w:tc>
          <w:tcPr>
            <w:tcW w:w="1131" w:type="dxa"/>
            <w:tcBorders>
              <w:top w:val="nil"/>
              <w:left w:val="nil"/>
              <w:bottom w:val="single" w:sz="6" w:space="0" w:color="auto"/>
              <w:right w:val="nil"/>
            </w:tcBorders>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649.2</w:t>
            </w:r>
          </w:p>
        </w:tc>
        <w:tc>
          <w:tcPr>
            <w:tcW w:w="1131" w:type="dxa"/>
            <w:gridSpan w:val="2"/>
            <w:tcBorders>
              <w:top w:val="nil"/>
              <w:left w:val="nil"/>
              <w:bottom w:val="single" w:sz="6" w:space="0" w:color="auto"/>
              <w:right w:val="nil"/>
            </w:tcBorders>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(3 847.7)</w:t>
            </w:r>
          </w:p>
        </w:tc>
        <w:tc>
          <w:tcPr>
            <w:tcW w:w="1132" w:type="dxa"/>
            <w:tcBorders>
              <w:top w:val="nil"/>
              <w:left w:val="nil"/>
              <w:bottom w:val="single" w:sz="6" w:space="0" w:color="auto"/>
              <w:right w:val="nil"/>
            </w:tcBorders>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(2 954.1)</w:t>
            </w:r>
          </w:p>
        </w:tc>
        <w:tc>
          <w:tcPr>
            <w:tcW w:w="1131" w:type="dxa"/>
            <w:gridSpan w:val="6"/>
            <w:tcBorders>
              <w:top w:val="nil"/>
              <w:left w:val="nil"/>
              <w:bottom w:val="single" w:sz="6" w:space="0" w:color="auto"/>
              <w:right w:val="nil"/>
            </w:tcBorders>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161.7)</w:t>
            </w:r>
          </w:p>
        </w:tc>
        <w:tc>
          <w:tcPr>
            <w:tcW w:w="1274" w:type="dxa"/>
            <w:gridSpan w:val="2"/>
            <w:tcBorders>
              <w:top w:val="nil"/>
              <w:left w:val="nil"/>
              <w:bottom w:val="single" w:sz="6" w:space="0" w:color="auto"/>
              <w:right w:val="nil"/>
            </w:tcBorders>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cs="Calibri"/>
                <w:color w:val="000000"/>
                <w:sz w:val="20"/>
                <w:szCs w:val="22"/>
                <w:lang w:eastAsia="en-AU"/>
              </w:rPr>
              <w:t>674.0)</w:t>
            </w:r>
          </w:p>
        </w:tc>
        <w:tc>
          <w:tcPr>
            <w:tcW w:w="989" w:type="dxa"/>
            <w:gridSpan w:val="3"/>
            <w:tcBorders>
              <w:top w:val="nil"/>
              <w:left w:val="nil"/>
              <w:bottom w:val="single" w:sz="6" w:space="0" w:color="auto"/>
              <w:right w:val="nil"/>
            </w:tcBorders>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3 264.4</w:t>
            </w:r>
          </w:p>
        </w:tc>
        <w:tc>
          <w:tcPr>
            <w:tcW w:w="1131" w:type="dxa"/>
            <w:gridSpan w:val="2"/>
            <w:tcBorders>
              <w:top w:val="nil"/>
              <w:left w:val="nil"/>
              <w:bottom w:val="single" w:sz="6" w:space="0" w:color="auto"/>
              <w:right w:val="nil"/>
            </w:tcBorders>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2 994.4</w:t>
            </w:r>
          </w:p>
        </w:tc>
        <w:tc>
          <w:tcPr>
            <w:tcW w:w="1131" w:type="dxa"/>
            <w:gridSpan w:val="3"/>
            <w:tcBorders>
              <w:top w:val="nil"/>
              <w:left w:val="nil"/>
              <w:bottom w:val="single" w:sz="6" w:space="0" w:color="auto"/>
              <w:right w:val="nil"/>
            </w:tcBorders>
          </w:tcPr>
          <w:p w:rsidR="00336793" w:rsidRPr="005A7A46"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5A7A46">
              <w:rPr>
                <w:rFonts w:eastAsiaTheme="minorEastAsia"/>
                <w:sz w:val="20"/>
                <w:lang w:eastAsia="en-AU"/>
              </w:rPr>
              <w:t>12.7</w:t>
            </w:r>
            <w:r w:rsidRPr="005A7A46">
              <w:rPr>
                <w:rFonts w:eastAsiaTheme="minorEastAsia" w:cs="Calibri"/>
                <w:color w:val="000000"/>
                <w:sz w:val="20"/>
                <w:szCs w:val="22"/>
                <w:lang w:eastAsia="en-AU"/>
              </w:rPr>
              <w:t>)</w:t>
            </w:r>
          </w:p>
        </w:tc>
        <w:tc>
          <w:tcPr>
            <w:tcW w:w="1132" w:type="dxa"/>
            <w:gridSpan w:val="2"/>
            <w:tcBorders>
              <w:top w:val="nil"/>
              <w:left w:val="nil"/>
              <w:bottom w:val="single" w:sz="6" w:space="0" w:color="auto"/>
              <w:right w:val="nil"/>
            </w:tcBorders>
          </w:tcPr>
          <w:p w:rsidR="00336793" w:rsidRPr="005A7A46" w:rsidRDefault="00336793" w:rsidP="00DF0B96">
            <w:pPr>
              <w:pStyle w:val="TableofFigures"/>
              <w:rPr>
                <w:rFonts w:eastAsiaTheme="minorEastAsia"/>
                <w:sz w:val="20"/>
                <w:lang w:eastAsia="en-AU"/>
              </w:rPr>
            </w:pPr>
            <w:r w:rsidRPr="005A7A46">
              <w:rPr>
                <w:rFonts w:eastAsiaTheme="minorEastAsia"/>
                <w:sz w:val="20"/>
                <w:lang w:eastAsia="en-AU"/>
              </w:rPr>
              <w:t xml:space="preserve"> 15.5</w:t>
            </w:r>
          </w:p>
        </w:tc>
      </w:tr>
      <w:tr w:rsidR="00336793" w:rsidRPr="005A7A46" w:rsidTr="00DF0B96">
        <w:trPr>
          <w:gridAfter w:val="1"/>
          <w:wAfter w:w="49" w:type="dxa"/>
        </w:trPr>
        <w:tc>
          <w:tcPr>
            <w:tcW w:w="3437" w:type="dxa"/>
            <w:tcBorders>
              <w:top w:val="single" w:sz="6" w:space="0" w:color="auto"/>
              <w:left w:val="nil"/>
              <w:bottom w:val="single" w:sz="12" w:space="0" w:color="000000"/>
              <w:right w:val="nil"/>
            </w:tcBorders>
            <w:shd w:val="clear" w:color="auto" w:fill="auto"/>
          </w:tcPr>
          <w:p w:rsidR="00336793" w:rsidRPr="005A7A46" w:rsidRDefault="00336793" w:rsidP="00DF0B96">
            <w:pPr>
              <w:pStyle w:val="Tabletext"/>
              <w:rPr>
                <w:rFonts w:eastAsiaTheme="minorEastAsia"/>
                <w:b/>
                <w:sz w:val="20"/>
                <w:lang w:eastAsia="en-AU"/>
              </w:rPr>
            </w:pPr>
            <w:r w:rsidRPr="005A7A46">
              <w:rPr>
                <w:rFonts w:eastAsiaTheme="minorEastAsia"/>
                <w:b/>
                <w:sz w:val="20"/>
                <w:lang w:eastAsia="en-AU"/>
              </w:rPr>
              <w:t xml:space="preserve">GFS total change in net worth </w:t>
            </w:r>
          </w:p>
        </w:tc>
        <w:tc>
          <w:tcPr>
            <w:tcW w:w="948" w:type="dxa"/>
            <w:gridSpan w:val="3"/>
            <w:tcBorders>
              <w:top w:val="single" w:sz="6" w:space="0" w:color="auto"/>
              <w:left w:val="nil"/>
              <w:bottom w:val="single" w:sz="12" w:space="0" w:color="000000"/>
              <w:right w:val="nil"/>
            </w:tcBorders>
            <w:shd w:val="clear" w:color="auto"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8 589.4</w:t>
            </w:r>
          </w:p>
        </w:tc>
        <w:tc>
          <w:tcPr>
            <w:tcW w:w="1131" w:type="dxa"/>
            <w:tcBorders>
              <w:top w:val="single" w:sz="6" w:space="0" w:color="auto"/>
              <w:left w:val="nil"/>
              <w:bottom w:val="single" w:sz="12" w:space="0" w:color="000000"/>
              <w:right w:val="nil"/>
            </w:tcBorders>
            <w:shd w:val="clear" w:color="auto"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7 390.6</w:t>
            </w:r>
          </w:p>
        </w:tc>
        <w:tc>
          <w:tcPr>
            <w:tcW w:w="1131" w:type="dxa"/>
            <w:gridSpan w:val="2"/>
            <w:tcBorders>
              <w:top w:val="single" w:sz="6" w:space="0" w:color="auto"/>
              <w:left w:val="nil"/>
              <w:bottom w:val="single" w:sz="12" w:space="0" w:color="000000"/>
              <w:right w:val="nil"/>
            </w:tcBorders>
            <w:shd w:val="clear" w:color="auto"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w:t>
            </w:r>
          </w:p>
        </w:tc>
        <w:tc>
          <w:tcPr>
            <w:tcW w:w="1132" w:type="dxa"/>
            <w:tcBorders>
              <w:top w:val="single" w:sz="6" w:space="0" w:color="auto"/>
              <w:left w:val="nil"/>
              <w:bottom w:val="single" w:sz="12" w:space="0" w:color="000000"/>
              <w:right w:val="nil"/>
            </w:tcBorders>
            <w:shd w:val="clear" w:color="auto"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w:t>
            </w:r>
          </w:p>
        </w:tc>
        <w:tc>
          <w:tcPr>
            <w:tcW w:w="1131" w:type="dxa"/>
            <w:gridSpan w:val="6"/>
            <w:tcBorders>
              <w:top w:val="single" w:sz="6" w:space="0" w:color="auto"/>
              <w:left w:val="nil"/>
              <w:bottom w:val="single" w:sz="12" w:space="0" w:color="000000"/>
              <w:right w:val="nil"/>
            </w:tcBorders>
            <w:shd w:val="clear" w:color="auto"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w:t>
            </w:r>
          </w:p>
        </w:tc>
        <w:tc>
          <w:tcPr>
            <w:tcW w:w="1274" w:type="dxa"/>
            <w:gridSpan w:val="2"/>
            <w:tcBorders>
              <w:top w:val="single" w:sz="6" w:space="0" w:color="auto"/>
              <w:left w:val="nil"/>
              <w:bottom w:val="single" w:sz="12" w:space="0" w:color="000000"/>
              <w:right w:val="nil"/>
            </w:tcBorders>
            <w:shd w:val="clear" w:color="auto"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w:t>
            </w:r>
          </w:p>
        </w:tc>
        <w:tc>
          <w:tcPr>
            <w:tcW w:w="989" w:type="dxa"/>
            <w:gridSpan w:val="3"/>
            <w:tcBorders>
              <w:top w:val="single" w:sz="6" w:space="0" w:color="auto"/>
              <w:left w:val="nil"/>
              <w:bottom w:val="single" w:sz="12" w:space="0" w:color="000000"/>
              <w:right w:val="nil"/>
            </w:tcBorders>
            <w:shd w:val="clear" w:color="auto" w:fill="auto"/>
          </w:tcPr>
          <w:p w:rsidR="00336793" w:rsidRPr="005A7A46" w:rsidRDefault="00336793" w:rsidP="00DF0B96">
            <w:pPr>
              <w:pStyle w:val="TableofFigures"/>
              <w:rPr>
                <w:rFonts w:eastAsiaTheme="minorEastAsia" w:cs="Calibri"/>
                <w:b/>
                <w:bCs/>
                <w:color w:val="000000"/>
                <w:sz w:val="20"/>
                <w:szCs w:val="22"/>
                <w:lang w:eastAsia="en-AU"/>
              </w:rPr>
            </w:pPr>
            <w:r>
              <w:rPr>
                <w:rFonts w:eastAsiaTheme="minorEastAsia"/>
                <w:b/>
                <w:sz w:val="20"/>
                <w:lang w:eastAsia="en-AU"/>
              </w:rPr>
              <w:t>(</w:t>
            </w:r>
            <w:r w:rsidRPr="005A7A46">
              <w:rPr>
                <w:rFonts w:eastAsiaTheme="minorEastAsia" w:cs="Calibri"/>
                <w:b/>
                <w:bCs/>
                <w:color w:val="000000"/>
                <w:sz w:val="20"/>
                <w:szCs w:val="22"/>
                <w:lang w:eastAsia="en-AU"/>
              </w:rPr>
              <w:t>776.1)</w:t>
            </w:r>
          </w:p>
        </w:tc>
        <w:tc>
          <w:tcPr>
            <w:tcW w:w="1131" w:type="dxa"/>
            <w:gridSpan w:val="2"/>
            <w:tcBorders>
              <w:top w:val="single" w:sz="6" w:space="0" w:color="auto"/>
              <w:left w:val="nil"/>
              <w:bottom w:val="single" w:sz="12" w:space="0" w:color="000000"/>
              <w:right w:val="nil"/>
            </w:tcBorders>
            <w:shd w:val="clear" w:color="auto" w:fill="auto"/>
          </w:tcPr>
          <w:p w:rsidR="00336793" w:rsidRPr="005A7A46" w:rsidRDefault="00336793" w:rsidP="00DF0B96">
            <w:pPr>
              <w:pStyle w:val="TableofFigures"/>
              <w:rPr>
                <w:rFonts w:eastAsiaTheme="minorEastAsia" w:cs="Calibri"/>
                <w:b/>
                <w:bCs/>
                <w:color w:val="000000"/>
                <w:sz w:val="20"/>
                <w:szCs w:val="22"/>
                <w:lang w:eastAsia="en-AU"/>
              </w:rPr>
            </w:pPr>
            <w:r>
              <w:rPr>
                <w:rFonts w:eastAsiaTheme="minorEastAsia"/>
                <w:b/>
                <w:sz w:val="20"/>
                <w:lang w:eastAsia="en-AU"/>
              </w:rPr>
              <w:t>(</w:t>
            </w:r>
            <w:r w:rsidRPr="005A7A46">
              <w:rPr>
                <w:rFonts w:eastAsiaTheme="minorEastAsia" w:cs="Calibri"/>
                <w:b/>
                <w:bCs/>
                <w:color w:val="000000"/>
                <w:sz w:val="20"/>
                <w:szCs w:val="22"/>
                <w:lang w:eastAsia="en-AU"/>
              </w:rPr>
              <w:t>477.5)</w:t>
            </w:r>
          </w:p>
        </w:tc>
        <w:tc>
          <w:tcPr>
            <w:tcW w:w="1131" w:type="dxa"/>
            <w:gridSpan w:val="3"/>
            <w:tcBorders>
              <w:top w:val="single" w:sz="6" w:space="0" w:color="auto"/>
              <w:left w:val="nil"/>
              <w:bottom w:val="single" w:sz="12" w:space="0" w:color="000000"/>
              <w:right w:val="nil"/>
            </w:tcBorders>
            <w:shd w:val="clear" w:color="auto"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7 813.3</w:t>
            </w:r>
          </w:p>
        </w:tc>
        <w:tc>
          <w:tcPr>
            <w:tcW w:w="1132" w:type="dxa"/>
            <w:gridSpan w:val="2"/>
            <w:tcBorders>
              <w:top w:val="single" w:sz="6" w:space="0" w:color="auto"/>
              <w:left w:val="nil"/>
              <w:bottom w:val="single" w:sz="12" w:space="0" w:color="000000"/>
              <w:right w:val="nil"/>
            </w:tcBorders>
            <w:shd w:val="clear" w:color="auto" w:fill="auto"/>
          </w:tcPr>
          <w:p w:rsidR="00336793" w:rsidRPr="005A7A46" w:rsidRDefault="00336793" w:rsidP="00DF0B96">
            <w:pPr>
              <w:pStyle w:val="TableofFigures"/>
              <w:rPr>
                <w:rFonts w:eastAsiaTheme="minorEastAsia"/>
                <w:b/>
                <w:sz w:val="20"/>
                <w:lang w:eastAsia="en-AU"/>
              </w:rPr>
            </w:pPr>
            <w:r w:rsidRPr="005A7A46">
              <w:rPr>
                <w:rFonts w:eastAsiaTheme="minorEastAsia"/>
                <w:b/>
                <w:sz w:val="20"/>
                <w:lang w:eastAsia="en-AU"/>
              </w:rPr>
              <w:t>6 913.1</w:t>
            </w:r>
          </w:p>
        </w:tc>
      </w:tr>
    </w:tbl>
    <w:p w:rsidR="00336793" w:rsidRDefault="00336793" w:rsidP="00DF0B96">
      <w:pPr>
        <w:pStyle w:val="Notes"/>
      </w:pPr>
      <w:r>
        <w:t>Notes:</w:t>
      </w:r>
    </w:p>
    <w:p w:rsidR="00336793" w:rsidRDefault="00336793" w:rsidP="00DF0B96">
      <w:pPr>
        <w:pStyle w:val="Notes"/>
      </w:pPr>
      <w:r>
        <w:t>(a)</w:t>
      </w:r>
      <w:r>
        <w:tab/>
        <w:t>Determined in accordance with the ABS GFS Manual.</w:t>
      </w:r>
    </w:p>
    <w:p w:rsidR="00336793" w:rsidRDefault="00336793" w:rsidP="00DF0B96">
      <w:pPr>
        <w:pStyle w:val="Notes"/>
      </w:pPr>
      <w:r>
        <w:t>(b)</w:t>
      </w:r>
      <w:r>
        <w:tab/>
        <w:t>June 2014 comparative figures have been restated. See Note 37.</w:t>
      </w:r>
    </w:p>
    <w:p w:rsidR="00336793" w:rsidRDefault="00336793" w:rsidP="00DF0B96">
      <w:pPr>
        <w:pStyle w:val="Notes"/>
      </w:pPr>
      <w:r>
        <w:t>(c)</w:t>
      </w:r>
      <w:r>
        <w:tab/>
        <w:t>Excludes transactions with owners as owner, therefore excluding Non</w:t>
      </w:r>
      <w:r>
        <w:noBreakHyphen/>
        <w:t xml:space="preserve">controlling Interest. </w:t>
      </w:r>
    </w:p>
    <w:p w:rsidR="00336793" w:rsidRDefault="00336793" w:rsidP="00DF0B96">
      <w:pPr>
        <w:pStyle w:val="Notes"/>
      </w:pPr>
      <w:r>
        <w:t>(d)</w:t>
      </w:r>
      <w:r>
        <w:tab/>
        <w:t>The convergence difference arises because GFS does not recognise doubtful receivables, whereas the operating statement recognises it and classifies doubtful receivables as other economic flows.</w:t>
      </w:r>
    </w:p>
    <w:p w:rsidR="00336793" w:rsidRDefault="00336793" w:rsidP="00DF0B96">
      <w:pPr>
        <w:pStyle w:val="Notes"/>
      </w:pPr>
      <w:r>
        <w:t>(e)</w:t>
      </w:r>
      <w:r>
        <w:tab/>
        <w:t>The convergence difference arises because the amount of net assets (and therefore the change in carrying amount of net assets) of other sector entities determined under GFS principles and rules differs from the carrying amount of net assets.</w:t>
      </w:r>
    </w:p>
    <w:p w:rsidR="00336793" w:rsidRDefault="00336793" w:rsidP="00DF0B96">
      <w:pPr>
        <w:pStyle w:val="Notes"/>
      </w:pPr>
      <w:r>
        <w:t>(f)</w:t>
      </w:r>
      <w:r>
        <w:tab/>
        <w:t xml:space="preserve">Net gain on equity investments in other sector entities includes doubtful receivables, future tax benefits and deferred tax liability of the PNFC and PFC sectors. </w:t>
      </w:r>
    </w:p>
    <w:p w:rsidR="00336793" w:rsidRDefault="00336793" w:rsidP="00DF0B96">
      <w:pPr>
        <w:pStyle w:val="Notes"/>
      </w:pPr>
    </w:p>
    <w:p w:rsidR="00336793" w:rsidRDefault="00336793">
      <w:pPr>
        <w:spacing w:after="0"/>
        <w:rPr>
          <w:rFonts w:ascii="Calibri" w:hAnsi="Calibri"/>
          <w:b/>
        </w:rPr>
      </w:pPr>
      <w:r>
        <w:br w:type="page"/>
      </w:r>
    </w:p>
    <w:p w:rsidR="00336793" w:rsidRPr="006A75A2" w:rsidRDefault="00336793" w:rsidP="00DF0B96">
      <w:pPr>
        <w:pStyle w:val="Heading2NotesContd"/>
      </w:pPr>
      <w:r w:rsidRPr="006A75A2">
        <w:lastRenderedPageBreak/>
        <w:t>Note 31:</w:t>
      </w:r>
      <w:r w:rsidRPr="006A75A2">
        <w:tab/>
        <w:t>Reconciliations</w:t>
      </w:r>
      <w:r>
        <w:t xml:space="preserve"> </w:t>
      </w:r>
      <w:r w:rsidRPr="008D0741">
        <w:rPr>
          <w:i/>
        </w:rPr>
        <w:t>(continued)</w:t>
      </w:r>
    </w:p>
    <w:p w:rsidR="00336793" w:rsidRPr="006A75A2" w:rsidRDefault="00336793" w:rsidP="00DF0B96">
      <w:pPr>
        <w:pStyle w:val="Heading5"/>
      </w:pPr>
      <w:r w:rsidRPr="006A75A2">
        <w:t>(d)</w:t>
      </w:r>
      <w:r w:rsidRPr="006A75A2">
        <w:tab/>
        <w:t>Reconciliation to GFS net worth</w:t>
      </w:r>
      <w:r w:rsidRPr="006A75A2">
        <w:rPr>
          <w:vertAlign w:val="superscript"/>
        </w:rPr>
        <w:t>(a)</w:t>
      </w:r>
      <w:r>
        <w:rPr>
          <w:vertAlign w:val="superscript"/>
        </w:rPr>
        <w:t>(b)</w:t>
      </w:r>
    </w:p>
    <w:p w:rsidR="00336793" w:rsidRPr="00A10A3B" w:rsidRDefault="00336793" w:rsidP="00DF0B96">
      <w:pPr>
        <w:pStyle w:val="million"/>
        <w:rPr>
          <w:rFonts w:ascii="Times New Roman" w:hAnsi="Times New Roman"/>
          <w:i w:val="0"/>
          <w:szCs w:val="20"/>
          <w:lang w:eastAsia="en-AU"/>
        </w:rPr>
      </w:pPr>
      <w:r w:rsidRPr="006A75A2">
        <w:t>($</w:t>
      </w: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3095"/>
        <w:gridCol w:w="252"/>
        <w:gridCol w:w="270"/>
        <w:gridCol w:w="765"/>
        <w:gridCol w:w="1143"/>
        <w:gridCol w:w="252"/>
        <w:gridCol w:w="873"/>
        <w:gridCol w:w="1125"/>
        <w:gridCol w:w="252"/>
        <w:gridCol w:w="873"/>
        <w:gridCol w:w="1287"/>
        <w:gridCol w:w="270"/>
        <w:gridCol w:w="746"/>
        <w:gridCol w:w="1122"/>
        <w:gridCol w:w="236"/>
        <w:gridCol w:w="886"/>
        <w:gridCol w:w="1123"/>
      </w:tblGrid>
      <w:tr w:rsidR="00336793" w:rsidRPr="00545B6B" w:rsidTr="00DF0B96">
        <w:trPr>
          <w:tblHeader/>
        </w:trPr>
        <w:tc>
          <w:tcPr>
            <w:tcW w:w="3347" w:type="dxa"/>
            <w:gridSpan w:val="2"/>
            <w:tcBorders>
              <w:top w:val="single" w:sz="6" w:space="0" w:color="auto"/>
              <w:left w:val="single" w:sz="6" w:space="0" w:color="auto"/>
              <w:bottom w:val="nil"/>
              <w:right w:val="nil"/>
            </w:tcBorders>
            <w:shd w:val="clear" w:color="000000" w:fill="000000"/>
            <w:vAlign w:val="bottom"/>
          </w:tcPr>
          <w:p w:rsidR="00336793" w:rsidRPr="00545B6B" w:rsidRDefault="00336793" w:rsidP="00DF0B96">
            <w:pPr>
              <w:pStyle w:val="Tabletext"/>
              <w:rPr>
                <w:rFonts w:eastAsiaTheme="minorEastAsia"/>
                <w:b/>
                <w:sz w:val="21"/>
                <w:lang w:eastAsia="en-AU"/>
              </w:rPr>
            </w:pPr>
            <w:r w:rsidRPr="00545B6B">
              <w:rPr>
                <w:rFonts w:eastAsiaTheme="minorEastAsia"/>
                <w:b/>
                <w:sz w:val="21"/>
                <w:lang w:eastAsia="en-AU"/>
              </w:rPr>
              <w:t xml:space="preserve"> </w:t>
            </w:r>
          </w:p>
        </w:tc>
        <w:tc>
          <w:tcPr>
            <w:tcW w:w="270" w:type="dxa"/>
            <w:tcBorders>
              <w:top w:val="single" w:sz="6" w:space="0" w:color="auto"/>
              <w:left w:val="nil"/>
              <w:bottom w:val="nil"/>
              <w:right w:val="nil"/>
            </w:tcBorders>
            <w:shd w:val="clear" w:color="000000" w:fill="000000"/>
            <w:vAlign w:val="bottom"/>
          </w:tcPr>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 xml:space="preserve"> </w:t>
            </w:r>
          </w:p>
        </w:tc>
        <w:tc>
          <w:tcPr>
            <w:tcW w:w="1908" w:type="dxa"/>
            <w:gridSpan w:val="2"/>
            <w:tcBorders>
              <w:top w:val="single" w:sz="6" w:space="0" w:color="auto"/>
              <w:left w:val="nil"/>
              <w:bottom w:val="nil"/>
              <w:right w:val="nil"/>
            </w:tcBorders>
            <w:shd w:val="clear" w:color="000000" w:fill="000000"/>
            <w:vAlign w:val="bottom"/>
          </w:tcPr>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 xml:space="preserve">General </w:t>
            </w:r>
          </w:p>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government sector</w:t>
            </w:r>
          </w:p>
        </w:tc>
        <w:tc>
          <w:tcPr>
            <w:tcW w:w="252" w:type="dxa"/>
            <w:tcBorders>
              <w:top w:val="single" w:sz="6" w:space="0" w:color="auto"/>
              <w:left w:val="nil"/>
              <w:bottom w:val="nil"/>
              <w:right w:val="nil"/>
            </w:tcBorders>
            <w:shd w:val="clear" w:color="000000" w:fill="000000"/>
            <w:vAlign w:val="bottom"/>
          </w:tcPr>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 xml:space="preserve"> </w:t>
            </w:r>
          </w:p>
        </w:tc>
        <w:tc>
          <w:tcPr>
            <w:tcW w:w="1998" w:type="dxa"/>
            <w:gridSpan w:val="2"/>
            <w:tcBorders>
              <w:top w:val="single" w:sz="6" w:space="0" w:color="auto"/>
              <w:left w:val="nil"/>
              <w:bottom w:val="nil"/>
              <w:right w:val="nil"/>
            </w:tcBorders>
            <w:shd w:val="clear" w:color="000000" w:fill="000000"/>
            <w:vAlign w:val="bottom"/>
          </w:tcPr>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Public non</w:t>
            </w:r>
            <w:r w:rsidRPr="00545B6B">
              <w:rPr>
                <w:rFonts w:eastAsiaTheme="minorEastAsia"/>
                <w:sz w:val="21"/>
                <w:lang w:eastAsia="en-AU"/>
              </w:rPr>
              <w:noBreakHyphen/>
              <w:t>financial corporations</w:t>
            </w:r>
          </w:p>
        </w:tc>
        <w:tc>
          <w:tcPr>
            <w:tcW w:w="252" w:type="dxa"/>
            <w:tcBorders>
              <w:top w:val="single" w:sz="6" w:space="0" w:color="auto"/>
              <w:left w:val="nil"/>
              <w:bottom w:val="nil"/>
              <w:right w:val="nil"/>
            </w:tcBorders>
            <w:shd w:val="clear" w:color="000000" w:fill="000000"/>
            <w:vAlign w:val="bottom"/>
          </w:tcPr>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 xml:space="preserve"> </w:t>
            </w:r>
          </w:p>
        </w:tc>
        <w:tc>
          <w:tcPr>
            <w:tcW w:w="2160" w:type="dxa"/>
            <w:gridSpan w:val="2"/>
            <w:tcBorders>
              <w:top w:val="single" w:sz="6" w:space="0" w:color="auto"/>
              <w:left w:val="nil"/>
              <w:bottom w:val="nil"/>
              <w:right w:val="nil"/>
            </w:tcBorders>
            <w:shd w:val="clear" w:color="000000" w:fill="000000"/>
            <w:vAlign w:val="bottom"/>
          </w:tcPr>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 xml:space="preserve">Public </w:t>
            </w:r>
          </w:p>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financial corporations</w:t>
            </w:r>
          </w:p>
        </w:tc>
        <w:tc>
          <w:tcPr>
            <w:tcW w:w="270" w:type="dxa"/>
            <w:tcBorders>
              <w:top w:val="single" w:sz="6" w:space="0" w:color="auto"/>
              <w:left w:val="nil"/>
              <w:bottom w:val="nil"/>
              <w:right w:val="nil"/>
            </w:tcBorders>
            <w:shd w:val="clear" w:color="000000" w:fill="000000"/>
            <w:vAlign w:val="bottom"/>
          </w:tcPr>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 xml:space="preserve"> </w:t>
            </w:r>
          </w:p>
        </w:tc>
        <w:tc>
          <w:tcPr>
            <w:tcW w:w="1868" w:type="dxa"/>
            <w:gridSpan w:val="2"/>
            <w:tcBorders>
              <w:top w:val="single" w:sz="6" w:space="0" w:color="auto"/>
              <w:left w:val="nil"/>
              <w:bottom w:val="nil"/>
              <w:right w:val="nil"/>
            </w:tcBorders>
            <w:shd w:val="clear" w:color="000000" w:fill="000000"/>
            <w:vAlign w:val="bottom"/>
          </w:tcPr>
          <w:p w:rsidR="00336793" w:rsidRPr="00545B6B" w:rsidRDefault="00336793" w:rsidP="00DF0B96">
            <w:pPr>
              <w:pStyle w:val="TabletextheadingCentred"/>
              <w:rPr>
                <w:rFonts w:eastAsiaTheme="minorEastAsia"/>
                <w:sz w:val="21"/>
                <w:lang w:eastAsia="en-AU"/>
              </w:rPr>
            </w:pPr>
          </w:p>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Eliminations</w:t>
            </w:r>
          </w:p>
        </w:tc>
        <w:tc>
          <w:tcPr>
            <w:tcW w:w="236" w:type="dxa"/>
            <w:tcBorders>
              <w:top w:val="single" w:sz="6" w:space="0" w:color="auto"/>
              <w:left w:val="nil"/>
              <w:bottom w:val="nil"/>
              <w:right w:val="nil"/>
            </w:tcBorders>
            <w:shd w:val="clear" w:color="000000" w:fill="000000"/>
            <w:vAlign w:val="bottom"/>
          </w:tcPr>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 xml:space="preserve"> </w:t>
            </w:r>
          </w:p>
        </w:tc>
        <w:tc>
          <w:tcPr>
            <w:tcW w:w="2009" w:type="dxa"/>
            <w:gridSpan w:val="2"/>
            <w:tcBorders>
              <w:top w:val="single" w:sz="6" w:space="0" w:color="auto"/>
              <w:left w:val="nil"/>
              <w:bottom w:val="nil"/>
              <w:right w:val="single" w:sz="6" w:space="0" w:color="auto"/>
            </w:tcBorders>
            <w:shd w:val="clear" w:color="000000" w:fill="000000"/>
            <w:vAlign w:val="bottom"/>
          </w:tcPr>
          <w:p w:rsidR="00336793" w:rsidRPr="00545B6B" w:rsidRDefault="00336793" w:rsidP="00DF0B96">
            <w:pPr>
              <w:pStyle w:val="TabletextheadingCentred"/>
              <w:rPr>
                <w:rFonts w:eastAsiaTheme="minorEastAsia"/>
                <w:sz w:val="21"/>
                <w:lang w:eastAsia="en-AU"/>
              </w:rPr>
            </w:pPr>
          </w:p>
          <w:p w:rsidR="00336793" w:rsidRPr="00545B6B" w:rsidRDefault="00336793" w:rsidP="00DF0B96">
            <w:pPr>
              <w:pStyle w:val="TabletextheadingCentred"/>
              <w:rPr>
                <w:rFonts w:eastAsiaTheme="minorEastAsia"/>
                <w:sz w:val="21"/>
                <w:lang w:eastAsia="en-AU"/>
              </w:rPr>
            </w:pPr>
            <w:r w:rsidRPr="00545B6B">
              <w:rPr>
                <w:rFonts w:eastAsiaTheme="minorEastAsia"/>
                <w:sz w:val="21"/>
                <w:lang w:eastAsia="en-AU"/>
              </w:rPr>
              <w:t>State of Victoria</w:t>
            </w:r>
          </w:p>
        </w:tc>
      </w:tr>
      <w:tr w:rsidR="00336793" w:rsidRPr="00545B6B" w:rsidTr="00DF0B96">
        <w:trPr>
          <w:tblHeader/>
        </w:trPr>
        <w:tc>
          <w:tcPr>
            <w:tcW w:w="3347" w:type="dxa"/>
            <w:gridSpan w:val="2"/>
            <w:tcBorders>
              <w:top w:val="nil"/>
              <w:left w:val="single" w:sz="6" w:space="0" w:color="auto"/>
              <w:bottom w:val="single" w:sz="6" w:space="0" w:color="auto"/>
              <w:right w:val="nil"/>
            </w:tcBorders>
            <w:shd w:val="clear" w:color="000000" w:fill="000000"/>
            <w:vAlign w:val="bottom"/>
          </w:tcPr>
          <w:p w:rsidR="00336793" w:rsidRPr="00545B6B" w:rsidRDefault="00336793" w:rsidP="00DF0B96">
            <w:pPr>
              <w:pStyle w:val="Tabletext"/>
              <w:rPr>
                <w:rFonts w:eastAsiaTheme="minorEastAsia"/>
                <w:sz w:val="21"/>
                <w:lang w:eastAsia="en-AU"/>
              </w:rPr>
            </w:pPr>
            <w:r w:rsidRPr="00545B6B">
              <w:rPr>
                <w:rFonts w:eastAsiaTheme="minorEastAsia"/>
                <w:sz w:val="21"/>
                <w:lang w:eastAsia="en-AU"/>
              </w:rPr>
              <w:t xml:space="preserve"> </w:t>
            </w:r>
          </w:p>
        </w:tc>
        <w:tc>
          <w:tcPr>
            <w:tcW w:w="1035" w:type="dxa"/>
            <w:gridSpan w:val="2"/>
            <w:tcBorders>
              <w:top w:val="nil"/>
              <w:left w:val="nil"/>
              <w:bottom w:val="single" w:sz="6" w:space="0" w:color="auto"/>
              <w:right w:val="nil"/>
            </w:tcBorders>
            <w:shd w:val="clear" w:color="000000" w:fill="000000"/>
            <w:vAlign w:val="bottom"/>
          </w:tcPr>
          <w:p w:rsidR="00336793" w:rsidRPr="00545B6B" w:rsidRDefault="00336793" w:rsidP="00DF0B96">
            <w:pPr>
              <w:pStyle w:val="Tabletextheading"/>
              <w:rPr>
                <w:rFonts w:eastAsiaTheme="minorEastAsia"/>
                <w:iCs/>
                <w:color w:val="FFFFFF"/>
                <w:sz w:val="21"/>
                <w:lang w:eastAsia="en-AU"/>
              </w:rPr>
            </w:pPr>
            <w:r w:rsidRPr="00545B6B">
              <w:rPr>
                <w:rFonts w:eastAsiaTheme="minorEastAsia"/>
                <w:iCs/>
                <w:color w:val="FFFFFF"/>
                <w:sz w:val="21"/>
                <w:lang w:eastAsia="en-AU"/>
              </w:rPr>
              <w:t>2015</w:t>
            </w:r>
          </w:p>
        </w:tc>
        <w:tc>
          <w:tcPr>
            <w:tcW w:w="1143" w:type="dxa"/>
            <w:tcBorders>
              <w:top w:val="nil"/>
              <w:left w:val="nil"/>
              <w:bottom w:val="single" w:sz="6" w:space="0" w:color="auto"/>
              <w:right w:val="nil"/>
            </w:tcBorders>
            <w:shd w:val="clear" w:color="000000" w:fill="000000"/>
            <w:vAlign w:val="bottom"/>
          </w:tcPr>
          <w:p w:rsidR="00336793" w:rsidRPr="00545B6B" w:rsidRDefault="00336793" w:rsidP="00DF0B96">
            <w:pPr>
              <w:pStyle w:val="Tabletextheading"/>
              <w:rPr>
                <w:rFonts w:eastAsiaTheme="minorEastAsia"/>
                <w:iCs/>
                <w:color w:val="FFFFFF"/>
                <w:sz w:val="21"/>
                <w:lang w:eastAsia="en-AU"/>
              </w:rPr>
            </w:pPr>
            <w:r w:rsidRPr="00545B6B">
              <w:rPr>
                <w:rFonts w:eastAsiaTheme="minorEastAsia"/>
                <w:iCs/>
                <w:color w:val="FFFFFF"/>
                <w:sz w:val="21"/>
                <w:lang w:eastAsia="en-AU"/>
              </w:rPr>
              <w:t>2014</w:t>
            </w:r>
          </w:p>
        </w:tc>
        <w:tc>
          <w:tcPr>
            <w:tcW w:w="1125" w:type="dxa"/>
            <w:gridSpan w:val="2"/>
            <w:tcBorders>
              <w:top w:val="nil"/>
              <w:left w:val="nil"/>
              <w:bottom w:val="single" w:sz="6" w:space="0" w:color="auto"/>
              <w:right w:val="nil"/>
            </w:tcBorders>
            <w:shd w:val="clear" w:color="000000" w:fill="000000"/>
            <w:vAlign w:val="bottom"/>
          </w:tcPr>
          <w:p w:rsidR="00336793" w:rsidRPr="00545B6B" w:rsidRDefault="00336793" w:rsidP="00DF0B96">
            <w:pPr>
              <w:pStyle w:val="Tabletextheading"/>
              <w:rPr>
                <w:rFonts w:eastAsiaTheme="minorEastAsia"/>
                <w:iCs/>
                <w:color w:val="FFFFFF"/>
                <w:sz w:val="21"/>
                <w:lang w:eastAsia="en-AU"/>
              </w:rPr>
            </w:pPr>
            <w:r w:rsidRPr="00545B6B">
              <w:rPr>
                <w:rFonts w:eastAsiaTheme="minorEastAsia"/>
                <w:iCs/>
                <w:color w:val="FFFFFF"/>
                <w:sz w:val="21"/>
                <w:lang w:eastAsia="en-AU"/>
              </w:rPr>
              <w:t>2015</w:t>
            </w:r>
          </w:p>
        </w:tc>
        <w:tc>
          <w:tcPr>
            <w:tcW w:w="1125" w:type="dxa"/>
            <w:tcBorders>
              <w:top w:val="nil"/>
              <w:left w:val="nil"/>
              <w:bottom w:val="single" w:sz="6" w:space="0" w:color="auto"/>
              <w:right w:val="nil"/>
            </w:tcBorders>
            <w:shd w:val="clear" w:color="000000" w:fill="000000"/>
            <w:vAlign w:val="bottom"/>
          </w:tcPr>
          <w:p w:rsidR="00336793" w:rsidRPr="00545B6B" w:rsidRDefault="00336793" w:rsidP="00DF0B96">
            <w:pPr>
              <w:pStyle w:val="Tabletextheading"/>
              <w:rPr>
                <w:rFonts w:eastAsiaTheme="minorEastAsia"/>
                <w:iCs/>
                <w:color w:val="FFFFFF"/>
                <w:sz w:val="21"/>
                <w:lang w:eastAsia="en-AU"/>
              </w:rPr>
            </w:pPr>
            <w:r w:rsidRPr="00545B6B">
              <w:rPr>
                <w:rFonts w:eastAsiaTheme="minorEastAsia"/>
                <w:iCs/>
                <w:color w:val="FFFFFF"/>
                <w:sz w:val="21"/>
                <w:lang w:eastAsia="en-AU"/>
              </w:rPr>
              <w:t>2014</w:t>
            </w:r>
          </w:p>
        </w:tc>
        <w:tc>
          <w:tcPr>
            <w:tcW w:w="1125" w:type="dxa"/>
            <w:gridSpan w:val="2"/>
            <w:tcBorders>
              <w:top w:val="nil"/>
              <w:left w:val="nil"/>
              <w:bottom w:val="single" w:sz="6" w:space="0" w:color="auto"/>
              <w:right w:val="nil"/>
            </w:tcBorders>
            <w:shd w:val="clear" w:color="000000" w:fill="000000"/>
            <w:vAlign w:val="bottom"/>
          </w:tcPr>
          <w:p w:rsidR="00336793" w:rsidRPr="00545B6B" w:rsidRDefault="00336793" w:rsidP="00DF0B96">
            <w:pPr>
              <w:pStyle w:val="Tabletextheading"/>
              <w:rPr>
                <w:rFonts w:eastAsiaTheme="minorEastAsia"/>
                <w:iCs/>
                <w:color w:val="FFFFFF"/>
                <w:sz w:val="21"/>
                <w:lang w:eastAsia="en-AU"/>
              </w:rPr>
            </w:pPr>
            <w:r w:rsidRPr="00545B6B">
              <w:rPr>
                <w:rFonts w:eastAsiaTheme="minorEastAsia"/>
                <w:iCs/>
                <w:color w:val="FFFFFF"/>
                <w:sz w:val="21"/>
                <w:lang w:eastAsia="en-AU"/>
              </w:rPr>
              <w:t>2015</w:t>
            </w:r>
          </w:p>
        </w:tc>
        <w:tc>
          <w:tcPr>
            <w:tcW w:w="1287" w:type="dxa"/>
            <w:tcBorders>
              <w:top w:val="nil"/>
              <w:left w:val="nil"/>
              <w:bottom w:val="single" w:sz="6" w:space="0" w:color="auto"/>
              <w:right w:val="nil"/>
            </w:tcBorders>
            <w:shd w:val="clear" w:color="000000" w:fill="000000"/>
            <w:vAlign w:val="bottom"/>
          </w:tcPr>
          <w:p w:rsidR="00336793" w:rsidRPr="00545B6B" w:rsidRDefault="00336793" w:rsidP="00DF0B96">
            <w:pPr>
              <w:pStyle w:val="Tabletextheading"/>
              <w:rPr>
                <w:rFonts w:eastAsiaTheme="minorEastAsia"/>
                <w:iCs/>
                <w:color w:val="FFFFFF"/>
                <w:sz w:val="21"/>
                <w:lang w:eastAsia="en-AU"/>
              </w:rPr>
            </w:pPr>
            <w:r w:rsidRPr="00545B6B">
              <w:rPr>
                <w:rFonts w:eastAsiaTheme="minorEastAsia"/>
                <w:iCs/>
                <w:color w:val="FFFFFF"/>
                <w:sz w:val="21"/>
                <w:lang w:eastAsia="en-AU"/>
              </w:rPr>
              <w:t>2014</w:t>
            </w:r>
          </w:p>
        </w:tc>
        <w:tc>
          <w:tcPr>
            <w:tcW w:w="1016" w:type="dxa"/>
            <w:gridSpan w:val="2"/>
            <w:tcBorders>
              <w:top w:val="nil"/>
              <w:left w:val="nil"/>
              <w:bottom w:val="single" w:sz="6" w:space="0" w:color="auto"/>
              <w:right w:val="nil"/>
            </w:tcBorders>
            <w:shd w:val="clear" w:color="000000" w:fill="000000"/>
            <w:vAlign w:val="bottom"/>
          </w:tcPr>
          <w:p w:rsidR="00336793" w:rsidRPr="00545B6B" w:rsidRDefault="00336793" w:rsidP="00DF0B96">
            <w:pPr>
              <w:pStyle w:val="Tabletextheading"/>
              <w:rPr>
                <w:rFonts w:eastAsiaTheme="minorEastAsia"/>
                <w:iCs/>
                <w:color w:val="FFFFFF"/>
                <w:sz w:val="21"/>
                <w:lang w:eastAsia="en-AU"/>
              </w:rPr>
            </w:pPr>
            <w:r w:rsidRPr="00545B6B">
              <w:rPr>
                <w:rFonts w:eastAsiaTheme="minorEastAsia"/>
                <w:iCs/>
                <w:color w:val="FFFFFF"/>
                <w:sz w:val="21"/>
                <w:lang w:eastAsia="en-AU"/>
              </w:rPr>
              <w:t>2015</w:t>
            </w:r>
          </w:p>
        </w:tc>
        <w:tc>
          <w:tcPr>
            <w:tcW w:w="1122" w:type="dxa"/>
            <w:tcBorders>
              <w:top w:val="nil"/>
              <w:left w:val="nil"/>
              <w:bottom w:val="single" w:sz="6" w:space="0" w:color="auto"/>
              <w:right w:val="nil"/>
            </w:tcBorders>
            <w:shd w:val="clear" w:color="000000" w:fill="000000"/>
            <w:vAlign w:val="bottom"/>
          </w:tcPr>
          <w:p w:rsidR="00336793" w:rsidRPr="00545B6B" w:rsidRDefault="00336793" w:rsidP="00DF0B96">
            <w:pPr>
              <w:pStyle w:val="Tabletextheading"/>
              <w:rPr>
                <w:rFonts w:eastAsiaTheme="minorEastAsia"/>
                <w:iCs/>
                <w:color w:val="FFFFFF"/>
                <w:sz w:val="21"/>
                <w:lang w:eastAsia="en-AU"/>
              </w:rPr>
            </w:pPr>
            <w:r w:rsidRPr="00545B6B">
              <w:rPr>
                <w:rFonts w:eastAsiaTheme="minorEastAsia"/>
                <w:iCs/>
                <w:color w:val="FFFFFF"/>
                <w:sz w:val="21"/>
                <w:lang w:eastAsia="en-AU"/>
              </w:rPr>
              <w:t>2014</w:t>
            </w:r>
          </w:p>
        </w:tc>
        <w:tc>
          <w:tcPr>
            <w:tcW w:w="1122" w:type="dxa"/>
            <w:gridSpan w:val="2"/>
            <w:tcBorders>
              <w:top w:val="nil"/>
              <w:left w:val="nil"/>
              <w:bottom w:val="single" w:sz="6" w:space="0" w:color="auto"/>
              <w:right w:val="nil"/>
            </w:tcBorders>
            <w:shd w:val="clear" w:color="000000" w:fill="000000"/>
            <w:vAlign w:val="bottom"/>
          </w:tcPr>
          <w:p w:rsidR="00336793" w:rsidRPr="00545B6B" w:rsidRDefault="00336793" w:rsidP="00DF0B96">
            <w:pPr>
              <w:pStyle w:val="Tabletextheading"/>
              <w:rPr>
                <w:rFonts w:eastAsiaTheme="minorEastAsia"/>
                <w:iCs/>
                <w:color w:val="FFFFFF"/>
                <w:sz w:val="21"/>
                <w:lang w:eastAsia="en-AU"/>
              </w:rPr>
            </w:pPr>
            <w:r w:rsidRPr="00545B6B">
              <w:rPr>
                <w:rFonts w:eastAsiaTheme="minorEastAsia"/>
                <w:iCs/>
                <w:color w:val="FFFFFF"/>
                <w:sz w:val="21"/>
                <w:lang w:eastAsia="en-AU"/>
              </w:rPr>
              <w:t>2015</w:t>
            </w:r>
          </w:p>
        </w:tc>
        <w:tc>
          <w:tcPr>
            <w:tcW w:w="1123" w:type="dxa"/>
            <w:tcBorders>
              <w:top w:val="nil"/>
              <w:left w:val="nil"/>
              <w:bottom w:val="single" w:sz="6" w:space="0" w:color="auto"/>
              <w:right w:val="single" w:sz="6" w:space="0" w:color="auto"/>
            </w:tcBorders>
            <w:shd w:val="clear" w:color="000000" w:fill="000000"/>
            <w:vAlign w:val="bottom"/>
          </w:tcPr>
          <w:p w:rsidR="00336793" w:rsidRPr="00545B6B" w:rsidRDefault="00336793" w:rsidP="00DF0B96">
            <w:pPr>
              <w:pStyle w:val="Tabletextheading"/>
              <w:rPr>
                <w:rFonts w:eastAsiaTheme="minorEastAsia"/>
                <w:iCs/>
                <w:color w:val="FFFFFF"/>
                <w:sz w:val="21"/>
                <w:lang w:eastAsia="en-AU"/>
              </w:rPr>
            </w:pPr>
            <w:r w:rsidRPr="00545B6B">
              <w:rPr>
                <w:rFonts w:eastAsiaTheme="minorEastAsia"/>
                <w:iCs/>
                <w:color w:val="FFFFFF"/>
                <w:sz w:val="21"/>
                <w:lang w:eastAsia="en-AU"/>
              </w:rPr>
              <w:t>2014</w:t>
            </w:r>
          </w:p>
        </w:tc>
      </w:tr>
      <w:tr w:rsidR="00336793" w:rsidRPr="00545B6B" w:rsidTr="00DF0B96">
        <w:tc>
          <w:tcPr>
            <w:tcW w:w="3347" w:type="dxa"/>
            <w:gridSpan w:val="2"/>
            <w:tcBorders>
              <w:top w:val="single" w:sz="6" w:space="0" w:color="auto"/>
              <w:left w:val="nil"/>
              <w:bottom w:val="nil"/>
              <w:right w:val="nil"/>
            </w:tcBorders>
          </w:tcPr>
          <w:p w:rsidR="00336793" w:rsidRPr="00545B6B" w:rsidRDefault="00336793" w:rsidP="00DF0B96">
            <w:pPr>
              <w:pStyle w:val="Tabletext"/>
              <w:rPr>
                <w:rFonts w:eastAsiaTheme="minorEastAsia"/>
                <w:b/>
                <w:sz w:val="21"/>
                <w:vertAlign w:val="superscript"/>
                <w:lang w:eastAsia="en-AU"/>
              </w:rPr>
            </w:pPr>
            <w:r w:rsidRPr="00545B6B">
              <w:rPr>
                <w:rFonts w:eastAsiaTheme="minorEastAsia"/>
                <w:b/>
                <w:sz w:val="21"/>
                <w:lang w:eastAsia="en-AU"/>
              </w:rPr>
              <w:t xml:space="preserve">Net worth </w:t>
            </w:r>
          </w:p>
        </w:tc>
        <w:tc>
          <w:tcPr>
            <w:tcW w:w="1035" w:type="dxa"/>
            <w:gridSpan w:val="2"/>
            <w:tcBorders>
              <w:top w:val="single" w:sz="6" w:space="0" w:color="auto"/>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136 334.5</w:t>
            </w:r>
          </w:p>
        </w:tc>
        <w:tc>
          <w:tcPr>
            <w:tcW w:w="1143" w:type="dxa"/>
            <w:tcBorders>
              <w:top w:val="single" w:sz="6" w:space="0" w:color="auto"/>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128 477.4</w:t>
            </w:r>
          </w:p>
        </w:tc>
        <w:tc>
          <w:tcPr>
            <w:tcW w:w="1125" w:type="dxa"/>
            <w:gridSpan w:val="2"/>
            <w:tcBorders>
              <w:top w:val="single" w:sz="6" w:space="0" w:color="auto"/>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78 971.5</w:t>
            </w:r>
          </w:p>
        </w:tc>
        <w:tc>
          <w:tcPr>
            <w:tcW w:w="1125" w:type="dxa"/>
            <w:tcBorders>
              <w:top w:val="single" w:sz="6" w:space="0" w:color="auto"/>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72 973.2</w:t>
            </w:r>
          </w:p>
        </w:tc>
        <w:tc>
          <w:tcPr>
            <w:tcW w:w="1125" w:type="dxa"/>
            <w:gridSpan w:val="2"/>
            <w:tcBorders>
              <w:top w:val="single" w:sz="6" w:space="0" w:color="auto"/>
              <w:left w:val="nil"/>
              <w:bottom w:val="nil"/>
              <w:right w:val="nil"/>
            </w:tcBorders>
          </w:tcPr>
          <w:p w:rsidR="00336793" w:rsidRPr="00545B6B" w:rsidRDefault="00336793" w:rsidP="00DF0B96">
            <w:pPr>
              <w:pStyle w:val="TableofFigures"/>
              <w:rPr>
                <w:rFonts w:eastAsiaTheme="minorEastAsia" w:cs="Calibri"/>
                <w:b/>
                <w:bCs/>
                <w:color w:val="000000"/>
                <w:sz w:val="21"/>
                <w:szCs w:val="22"/>
                <w:lang w:eastAsia="en-AU"/>
              </w:rPr>
            </w:pPr>
            <w:r w:rsidRPr="00545B6B">
              <w:rPr>
                <w:rFonts w:eastAsiaTheme="minorEastAsia"/>
                <w:b/>
                <w:sz w:val="21"/>
                <w:lang w:eastAsia="en-AU"/>
              </w:rPr>
              <w:t>(</w:t>
            </w:r>
            <w:r w:rsidRPr="00545B6B">
              <w:rPr>
                <w:rFonts w:eastAsiaTheme="minorEastAsia" w:cs="Calibri"/>
                <w:b/>
                <w:bCs/>
                <w:color w:val="000000"/>
                <w:sz w:val="21"/>
                <w:szCs w:val="22"/>
                <w:lang w:eastAsia="en-AU"/>
              </w:rPr>
              <w:t>794.0)</w:t>
            </w:r>
          </w:p>
        </w:tc>
        <w:tc>
          <w:tcPr>
            <w:tcW w:w="1287" w:type="dxa"/>
            <w:tcBorders>
              <w:top w:val="single" w:sz="6" w:space="0" w:color="auto"/>
              <w:left w:val="nil"/>
              <w:bottom w:val="nil"/>
              <w:right w:val="nil"/>
            </w:tcBorders>
          </w:tcPr>
          <w:p w:rsidR="00336793" w:rsidRPr="00545B6B" w:rsidRDefault="00336793" w:rsidP="00DF0B96">
            <w:pPr>
              <w:pStyle w:val="TableofFigures"/>
              <w:rPr>
                <w:rFonts w:eastAsiaTheme="minorEastAsia" w:cs="Calibri"/>
                <w:b/>
                <w:bCs/>
                <w:color w:val="000000"/>
                <w:sz w:val="21"/>
                <w:szCs w:val="22"/>
                <w:lang w:eastAsia="en-AU"/>
              </w:rPr>
            </w:pPr>
            <w:r w:rsidRPr="00545B6B">
              <w:rPr>
                <w:rFonts w:eastAsiaTheme="minorEastAsia"/>
                <w:b/>
                <w:sz w:val="21"/>
                <w:lang w:eastAsia="en-AU"/>
              </w:rPr>
              <w:t>(</w:t>
            </w:r>
            <w:r w:rsidRPr="00545B6B">
              <w:rPr>
                <w:rFonts w:eastAsiaTheme="minorEastAsia" w:cs="Calibri"/>
                <w:b/>
                <w:bCs/>
                <w:color w:val="000000"/>
                <w:sz w:val="21"/>
                <w:szCs w:val="22"/>
                <w:lang w:eastAsia="en-AU"/>
              </w:rPr>
              <w:t>312.3)</w:t>
            </w:r>
          </w:p>
        </w:tc>
        <w:tc>
          <w:tcPr>
            <w:tcW w:w="1016" w:type="dxa"/>
            <w:gridSpan w:val="2"/>
            <w:tcBorders>
              <w:top w:val="single" w:sz="6" w:space="0" w:color="auto"/>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(74 602.8)</w:t>
            </w:r>
          </w:p>
        </w:tc>
        <w:tc>
          <w:tcPr>
            <w:tcW w:w="1122" w:type="dxa"/>
            <w:tcBorders>
              <w:top w:val="single" w:sz="6" w:space="0" w:color="auto"/>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(69 055.1)</w:t>
            </w:r>
          </w:p>
        </w:tc>
        <w:tc>
          <w:tcPr>
            <w:tcW w:w="1122" w:type="dxa"/>
            <w:gridSpan w:val="2"/>
            <w:tcBorders>
              <w:top w:val="single" w:sz="6" w:space="0" w:color="auto"/>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139 909.2</w:t>
            </w:r>
          </w:p>
        </w:tc>
        <w:tc>
          <w:tcPr>
            <w:tcW w:w="1123" w:type="dxa"/>
            <w:tcBorders>
              <w:top w:val="single" w:sz="6" w:space="0" w:color="auto"/>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132 083.2</w:t>
            </w:r>
          </w:p>
        </w:tc>
      </w:tr>
      <w:tr w:rsidR="00336793" w:rsidRPr="00545B6B" w:rsidTr="00DF0B96">
        <w:trPr>
          <w:trHeight w:hRule="exact" w:val="120"/>
        </w:trPr>
        <w:tc>
          <w:tcPr>
            <w:tcW w:w="3347" w:type="dxa"/>
            <w:gridSpan w:val="2"/>
            <w:tcBorders>
              <w:top w:val="nil"/>
              <w:left w:val="nil"/>
              <w:bottom w:val="nil"/>
              <w:right w:val="nil"/>
            </w:tcBorders>
          </w:tcPr>
          <w:p w:rsidR="00336793" w:rsidRPr="00545B6B" w:rsidRDefault="00336793" w:rsidP="00DF0B96">
            <w:pPr>
              <w:pStyle w:val="Tabletext"/>
              <w:rPr>
                <w:rFonts w:eastAsiaTheme="minorEastAsia"/>
                <w:b/>
                <w:sz w:val="21"/>
                <w:lang w:eastAsia="en-AU"/>
              </w:rPr>
            </w:pPr>
            <w:r w:rsidRPr="00545B6B">
              <w:rPr>
                <w:rFonts w:eastAsiaTheme="minorEastAsia"/>
                <w:b/>
                <w:sz w:val="21"/>
                <w:lang w:eastAsia="en-AU"/>
              </w:rPr>
              <w:t xml:space="preserve"> </w:t>
            </w:r>
          </w:p>
        </w:tc>
        <w:tc>
          <w:tcPr>
            <w:tcW w:w="1035" w:type="dxa"/>
            <w:gridSpan w:val="2"/>
            <w:tcBorders>
              <w:top w:val="nil"/>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 xml:space="preserve"> </w:t>
            </w:r>
          </w:p>
        </w:tc>
        <w:tc>
          <w:tcPr>
            <w:tcW w:w="1143" w:type="dxa"/>
            <w:tcBorders>
              <w:top w:val="nil"/>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 xml:space="preserve"> </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 xml:space="preserve"> </w:t>
            </w:r>
          </w:p>
        </w:tc>
        <w:tc>
          <w:tcPr>
            <w:tcW w:w="1125" w:type="dxa"/>
            <w:tcBorders>
              <w:top w:val="nil"/>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 xml:space="preserve"> </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 xml:space="preserve"> </w:t>
            </w:r>
          </w:p>
        </w:tc>
        <w:tc>
          <w:tcPr>
            <w:tcW w:w="1287" w:type="dxa"/>
            <w:tcBorders>
              <w:top w:val="nil"/>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 xml:space="preserve"> </w:t>
            </w:r>
          </w:p>
        </w:tc>
        <w:tc>
          <w:tcPr>
            <w:tcW w:w="1016" w:type="dxa"/>
            <w:gridSpan w:val="2"/>
            <w:tcBorders>
              <w:top w:val="nil"/>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 xml:space="preserve"> </w:t>
            </w:r>
          </w:p>
        </w:tc>
        <w:tc>
          <w:tcPr>
            <w:tcW w:w="1122" w:type="dxa"/>
            <w:tcBorders>
              <w:top w:val="nil"/>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 xml:space="preserve"> </w:t>
            </w:r>
          </w:p>
        </w:tc>
        <w:tc>
          <w:tcPr>
            <w:tcW w:w="1122" w:type="dxa"/>
            <w:gridSpan w:val="2"/>
            <w:tcBorders>
              <w:top w:val="nil"/>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 xml:space="preserve"> </w:t>
            </w:r>
          </w:p>
        </w:tc>
        <w:tc>
          <w:tcPr>
            <w:tcW w:w="1123" w:type="dxa"/>
            <w:tcBorders>
              <w:top w:val="nil"/>
              <w:left w:val="nil"/>
              <w:bottom w:val="nil"/>
              <w:right w:val="nil"/>
            </w:tcBorders>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 xml:space="preserve"> </w:t>
            </w:r>
          </w:p>
        </w:tc>
      </w:tr>
      <w:tr w:rsidR="00336793" w:rsidRPr="00545B6B" w:rsidTr="00DF0B96">
        <w:tc>
          <w:tcPr>
            <w:tcW w:w="3347" w:type="dxa"/>
            <w:gridSpan w:val="2"/>
            <w:tcBorders>
              <w:top w:val="nil"/>
              <w:left w:val="nil"/>
              <w:bottom w:val="nil"/>
              <w:right w:val="nil"/>
            </w:tcBorders>
          </w:tcPr>
          <w:p w:rsidR="00336793" w:rsidRPr="00545B6B" w:rsidRDefault="00336793" w:rsidP="00DF0B96">
            <w:pPr>
              <w:pStyle w:val="Tabletext"/>
              <w:rPr>
                <w:rFonts w:eastAsiaTheme="minorEastAsia"/>
                <w:i/>
                <w:iCs/>
                <w:sz w:val="21"/>
                <w:lang w:eastAsia="en-AU"/>
              </w:rPr>
            </w:pPr>
            <w:r w:rsidRPr="00545B6B">
              <w:rPr>
                <w:rFonts w:eastAsiaTheme="minorEastAsia"/>
                <w:i/>
                <w:iCs/>
                <w:sz w:val="21"/>
                <w:lang w:eastAsia="en-AU"/>
              </w:rPr>
              <w:t>Convergence differences:</w:t>
            </w:r>
          </w:p>
        </w:tc>
        <w:tc>
          <w:tcPr>
            <w:tcW w:w="1035" w:type="dxa"/>
            <w:gridSpan w:val="2"/>
            <w:tcBorders>
              <w:top w:val="nil"/>
              <w:left w:val="nil"/>
              <w:bottom w:val="nil"/>
              <w:right w:val="nil"/>
            </w:tcBorders>
          </w:tcPr>
          <w:p w:rsidR="00336793" w:rsidRPr="00545B6B" w:rsidRDefault="00336793" w:rsidP="00DF0B96">
            <w:pPr>
              <w:pStyle w:val="TableofFigures"/>
              <w:rPr>
                <w:rFonts w:eastAsiaTheme="minorEastAsia"/>
                <w:i/>
                <w:sz w:val="21"/>
                <w:lang w:eastAsia="en-AU"/>
              </w:rPr>
            </w:pPr>
            <w:r w:rsidRPr="00545B6B">
              <w:rPr>
                <w:rFonts w:eastAsiaTheme="minorEastAsia"/>
                <w:i/>
                <w:sz w:val="21"/>
                <w:lang w:eastAsia="en-AU"/>
              </w:rPr>
              <w:t xml:space="preserve">              </w:t>
            </w:r>
          </w:p>
        </w:tc>
        <w:tc>
          <w:tcPr>
            <w:tcW w:w="1143" w:type="dxa"/>
            <w:tcBorders>
              <w:top w:val="nil"/>
              <w:left w:val="nil"/>
              <w:bottom w:val="nil"/>
              <w:right w:val="nil"/>
            </w:tcBorders>
          </w:tcPr>
          <w:p w:rsidR="00336793" w:rsidRPr="00545B6B" w:rsidRDefault="00336793" w:rsidP="00DF0B96">
            <w:pPr>
              <w:pStyle w:val="TableofFigures"/>
              <w:rPr>
                <w:rFonts w:eastAsiaTheme="minorEastAsia"/>
                <w:i/>
                <w:sz w:val="21"/>
                <w:lang w:eastAsia="en-AU"/>
              </w:rPr>
            </w:pPr>
            <w:r w:rsidRPr="00545B6B">
              <w:rPr>
                <w:rFonts w:eastAsiaTheme="minorEastAsia"/>
                <w:i/>
                <w:sz w:val="21"/>
                <w:lang w:eastAsia="en-AU"/>
              </w:rPr>
              <w:t xml:space="preserve">          </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i/>
                <w:sz w:val="21"/>
                <w:lang w:eastAsia="en-AU"/>
              </w:rPr>
            </w:pPr>
            <w:r w:rsidRPr="00545B6B">
              <w:rPr>
                <w:rFonts w:eastAsiaTheme="minorEastAsia"/>
                <w:i/>
                <w:sz w:val="21"/>
                <w:lang w:eastAsia="en-AU"/>
              </w:rPr>
              <w:t xml:space="preserve">         </w:t>
            </w:r>
          </w:p>
        </w:tc>
        <w:tc>
          <w:tcPr>
            <w:tcW w:w="1125" w:type="dxa"/>
            <w:tcBorders>
              <w:top w:val="nil"/>
              <w:left w:val="nil"/>
              <w:bottom w:val="nil"/>
              <w:right w:val="nil"/>
            </w:tcBorders>
          </w:tcPr>
          <w:p w:rsidR="00336793" w:rsidRPr="00545B6B" w:rsidRDefault="00336793" w:rsidP="00DF0B96">
            <w:pPr>
              <w:pStyle w:val="TableofFigures"/>
              <w:rPr>
                <w:rFonts w:eastAsiaTheme="minorEastAsia"/>
                <w:i/>
                <w:sz w:val="21"/>
                <w:lang w:eastAsia="en-AU"/>
              </w:rPr>
            </w:pPr>
            <w:r w:rsidRPr="00545B6B">
              <w:rPr>
                <w:rFonts w:eastAsiaTheme="minorEastAsia"/>
                <w:i/>
                <w:sz w:val="21"/>
                <w:lang w:eastAsia="en-AU"/>
              </w:rPr>
              <w:t xml:space="preserve">         </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i/>
                <w:sz w:val="21"/>
                <w:lang w:eastAsia="en-AU"/>
              </w:rPr>
            </w:pPr>
            <w:r w:rsidRPr="00545B6B">
              <w:rPr>
                <w:rFonts w:eastAsiaTheme="minorEastAsia"/>
                <w:i/>
                <w:sz w:val="21"/>
                <w:lang w:eastAsia="en-AU"/>
              </w:rPr>
              <w:t xml:space="preserve"> </w:t>
            </w:r>
          </w:p>
        </w:tc>
        <w:tc>
          <w:tcPr>
            <w:tcW w:w="1287" w:type="dxa"/>
            <w:tcBorders>
              <w:top w:val="nil"/>
              <w:left w:val="nil"/>
              <w:bottom w:val="nil"/>
              <w:right w:val="nil"/>
            </w:tcBorders>
          </w:tcPr>
          <w:p w:rsidR="00336793" w:rsidRPr="00545B6B" w:rsidRDefault="00336793" w:rsidP="00DF0B96">
            <w:pPr>
              <w:pStyle w:val="TableofFigures"/>
              <w:rPr>
                <w:rFonts w:eastAsiaTheme="minorEastAsia"/>
                <w:i/>
                <w:sz w:val="21"/>
                <w:lang w:eastAsia="en-AU"/>
              </w:rPr>
            </w:pPr>
            <w:r w:rsidRPr="00545B6B">
              <w:rPr>
                <w:rFonts w:eastAsiaTheme="minorEastAsia"/>
                <w:i/>
                <w:sz w:val="21"/>
                <w:lang w:eastAsia="en-AU"/>
              </w:rPr>
              <w:t xml:space="preserve"> </w:t>
            </w:r>
          </w:p>
        </w:tc>
        <w:tc>
          <w:tcPr>
            <w:tcW w:w="1016" w:type="dxa"/>
            <w:gridSpan w:val="2"/>
            <w:tcBorders>
              <w:top w:val="nil"/>
              <w:left w:val="nil"/>
              <w:bottom w:val="nil"/>
              <w:right w:val="nil"/>
            </w:tcBorders>
          </w:tcPr>
          <w:p w:rsidR="00336793" w:rsidRPr="00545B6B" w:rsidRDefault="00336793" w:rsidP="00DF0B96">
            <w:pPr>
              <w:pStyle w:val="TableofFigures"/>
              <w:rPr>
                <w:rFonts w:eastAsiaTheme="minorEastAsia"/>
                <w:i/>
                <w:sz w:val="21"/>
                <w:lang w:eastAsia="en-AU"/>
              </w:rPr>
            </w:pPr>
            <w:r w:rsidRPr="00545B6B">
              <w:rPr>
                <w:rFonts w:eastAsiaTheme="minorEastAsia"/>
                <w:i/>
                <w:sz w:val="21"/>
                <w:lang w:eastAsia="en-AU"/>
              </w:rPr>
              <w:t xml:space="preserve"> </w:t>
            </w:r>
          </w:p>
        </w:tc>
        <w:tc>
          <w:tcPr>
            <w:tcW w:w="1122" w:type="dxa"/>
            <w:tcBorders>
              <w:top w:val="nil"/>
              <w:left w:val="nil"/>
              <w:bottom w:val="nil"/>
              <w:right w:val="nil"/>
            </w:tcBorders>
          </w:tcPr>
          <w:p w:rsidR="00336793" w:rsidRPr="00545B6B" w:rsidRDefault="00336793" w:rsidP="00DF0B96">
            <w:pPr>
              <w:pStyle w:val="TableofFigures"/>
              <w:rPr>
                <w:rFonts w:eastAsiaTheme="minorEastAsia"/>
                <w:i/>
                <w:sz w:val="21"/>
                <w:lang w:eastAsia="en-AU"/>
              </w:rPr>
            </w:pPr>
            <w:r w:rsidRPr="00545B6B">
              <w:rPr>
                <w:rFonts w:eastAsiaTheme="minorEastAsia"/>
                <w:i/>
                <w:sz w:val="21"/>
                <w:lang w:eastAsia="en-AU"/>
              </w:rPr>
              <w:t xml:space="preserve"> </w:t>
            </w:r>
          </w:p>
        </w:tc>
        <w:tc>
          <w:tcPr>
            <w:tcW w:w="1122" w:type="dxa"/>
            <w:gridSpan w:val="2"/>
            <w:tcBorders>
              <w:top w:val="nil"/>
              <w:left w:val="nil"/>
              <w:bottom w:val="nil"/>
              <w:right w:val="nil"/>
            </w:tcBorders>
          </w:tcPr>
          <w:p w:rsidR="00336793" w:rsidRPr="00545B6B" w:rsidRDefault="00336793" w:rsidP="00DF0B96">
            <w:pPr>
              <w:pStyle w:val="TableofFigures"/>
              <w:rPr>
                <w:rFonts w:eastAsiaTheme="minorEastAsia"/>
                <w:i/>
                <w:sz w:val="21"/>
                <w:lang w:eastAsia="en-AU"/>
              </w:rPr>
            </w:pPr>
            <w:r w:rsidRPr="00545B6B">
              <w:rPr>
                <w:rFonts w:eastAsiaTheme="minorEastAsia"/>
                <w:i/>
                <w:sz w:val="21"/>
                <w:lang w:eastAsia="en-AU"/>
              </w:rPr>
              <w:t xml:space="preserve"> </w:t>
            </w:r>
          </w:p>
        </w:tc>
        <w:tc>
          <w:tcPr>
            <w:tcW w:w="1123" w:type="dxa"/>
            <w:tcBorders>
              <w:top w:val="nil"/>
              <w:left w:val="nil"/>
              <w:bottom w:val="nil"/>
              <w:right w:val="nil"/>
            </w:tcBorders>
          </w:tcPr>
          <w:p w:rsidR="00336793" w:rsidRPr="00545B6B" w:rsidRDefault="00336793" w:rsidP="00DF0B96">
            <w:pPr>
              <w:pStyle w:val="TableofFigures"/>
              <w:rPr>
                <w:rFonts w:eastAsiaTheme="minorEastAsia"/>
                <w:i/>
                <w:sz w:val="21"/>
                <w:lang w:eastAsia="en-AU"/>
              </w:rPr>
            </w:pPr>
            <w:r w:rsidRPr="00545B6B">
              <w:rPr>
                <w:rFonts w:eastAsiaTheme="minorEastAsia"/>
                <w:i/>
                <w:sz w:val="21"/>
                <w:lang w:eastAsia="en-AU"/>
              </w:rPr>
              <w:t xml:space="preserve"> </w:t>
            </w:r>
          </w:p>
        </w:tc>
      </w:tr>
      <w:tr w:rsidR="00336793" w:rsidRPr="00545B6B" w:rsidTr="00DF0B96">
        <w:tc>
          <w:tcPr>
            <w:tcW w:w="3347" w:type="dxa"/>
            <w:gridSpan w:val="2"/>
            <w:tcBorders>
              <w:top w:val="nil"/>
              <w:left w:val="nil"/>
              <w:bottom w:val="nil"/>
              <w:right w:val="nil"/>
            </w:tcBorders>
          </w:tcPr>
          <w:p w:rsidR="00336793" w:rsidRPr="00545B6B" w:rsidRDefault="00336793" w:rsidP="00DF0B96">
            <w:pPr>
              <w:pStyle w:val="Tabletext"/>
              <w:rPr>
                <w:rFonts w:eastAsiaTheme="minorEastAsia"/>
                <w:sz w:val="21"/>
                <w:lang w:eastAsia="en-AU"/>
              </w:rPr>
            </w:pPr>
            <w:r w:rsidRPr="00545B6B">
              <w:rPr>
                <w:rFonts w:eastAsiaTheme="minorEastAsia"/>
                <w:sz w:val="21"/>
                <w:lang w:eastAsia="en-AU"/>
              </w:rPr>
              <w:t xml:space="preserve">Relating to net operating balance – PNFC/PFC dividends </w:t>
            </w:r>
          </w:p>
        </w:tc>
        <w:tc>
          <w:tcPr>
            <w:tcW w:w="103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43"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255.5</w:t>
            </w:r>
          </w:p>
        </w:tc>
        <w:tc>
          <w:tcPr>
            <w:tcW w:w="1125"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84.5</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566.2</w:t>
            </w:r>
          </w:p>
        </w:tc>
        <w:tc>
          <w:tcPr>
            <w:tcW w:w="1287"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136.0</w:t>
            </w:r>
          </w:p>
        </w:tc>
        <w:tc>
          <w:tcPr>
            <w:tcW w:w="1016" w:type="dxa"/>
            <w:gridSpan w:val="2"/>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w:t>
            </w:r>
            <w:r w:rsidRPr="00545B6B">
              <w:rPr>
                <w:rFonts w:eastAsiaTheme="minorEastAsia" w:cs="Calibri"/>
                <w:color w:val="000000"/>
                <w:sz w:val="21"/>
                <w:szCs w:val="22"/>
                <w:lang w:eastAsia="en-AU"/>
              </w:rPr>
              <w:t>821.7)</w:t>
            </w:r>
          </w:p>
        </w:tc>
        <w:tc>
          <w:tcPr>
            <w:tcW w:w="1122" w:type="dxa"/>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w:t>
            </w:r>
            <w:r w:rsidRPr="00545B6B">
              <w:rPr>
                <w:rFonts w:eastAsiaTheme="minorEastAsia" w:cs="Calibri"/>
                <w:color w:val="000000"/>
                <w:sz w:val="21"/>
                <w:szCs w:val="22"/>
                <w:lang w:eastAsia="en-AU"/>
              </w:rPr>
              <w:t>220.5)</w:t>
            </w:r>
          </w:p>
        </w:tc>
        <w:tc>
          <w:tcPr>
            <w:tcW w:w="1122"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3"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r>
      <w:tr w:rsidR="00336793" w:rsidRPr="00545B6B" w:rsidTr="00DF0B96">
        <w:tc>
          <w:tcPr>
            <w:tcW w:w="3347" w:type="dxa"/>
            <w:gridSpan w:val="2"/>
            <w:tcBorders>
              <w:top w:val="nil"/>
              <w:left w:val="nil"/>
              <w:bottom w:val="nil"/>
              <w:right w:val="nil"/>
            </w:tcBorders>
          </w:tcPr>
          <w:p w:rsidR="00336793" w:rsidRPr="00545B6B" w:rsidRDefault="00336793" w:rsidP="00DF0B96">
            <w:pPr>
              <w:pStyle w:val="Tabletext"/>
              <w:rPr>
                <w:rFonts w:eastAsiaTheme="minorEastAsia"/>
                <w:sz w:val="21"/>
                <w:lang w:eastAsia="en-AU"/>
              </w:rPr>
            </w:pPr>
            <w:r w:rsidRPr="00545B6B">
              <w:rPr>
                <w:rFonts w:eastAsiaTheme="minorEastAsia"/>
                <w:sz w:val="21"/>
                <w:lang w:eastAsia="en-AU"/>
              </w:rPr>
              <w:t>Non</w:t>
            </w:r>
            <w:r w:rsidRPr="00545B6B">
              <w:rPr>
                <w:rFonts w:eastAsiaTheme="minorEastAsia"/>
                <w:sz w:val="21"/>
                <w:lang w:eastAsia="en-AU"/>
              </w:rPr>
              <w:noBreakHyphen/>
              <w:t>controlling interest</w:t>
            </w:r>
          </w:p>
        </w:tc>
        <w:tc>
          <w:tcPr>
            <w:tcW w:w="1035" w:type="dxa"/>
            <w:gridSpan w:val="2"/>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w:t>
            </w:r>
            <w:r w:rsidRPr="00545B6B">
              <w:rPr>
                <w:rFonts w:eastAsiaTheme="minorEastAsia" w:cs="Calibri"/>
                <w:color w:val="000000"/>
                <w:sz w:val="21"/>
                <w:szCs w:val="22"/>
                <w:lang w:eastAsia="en-AU"/>
              </w:rPr>
              <w:t>50.0)</w:t>
            </w:r>
          </w:p>
        </w:tc>
        <w:tc>
          <w:tcPr>
            <w:tcW w:w="1143" w:type="dxa"/>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w:t>
            </w:r>
            <w:r w:rsidRPr="00545B6B">
              <w:rPr>
                <w:rFonts w:eastAsiaTheme="minorEastAsia" w:cs="Calibri"/>
                <w:color w:val="000000"/>
                <w:sz w:val="21"/>
                <w:szCs w:val="22"/>
                <w:lang w:eastAsia="en-AU"/>
              </w:rPr>
              <w:t>50.0)</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5"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287"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016"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2"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2" w:type="dxa"/>
            <w:gridSpan w:val="2"/>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w:t>
            </w:r>
            <w:r w:rsidRPr="00545B6B">
              <w:rPr>
                <w:rFonts w:eastAsiaTheme="minorEastAsia" w:cs="Calibri"/>
                <w:color w:val="000000"/>
                <w:sz w:val="21"/>
                <w:szCs w:val="22"/>
                <w:lang w:eastAsia="en-AU"/>
              </w:rPr>
              <w:t>50.0)</w:t>
            </w:r>
          </w:p>
        </w:tc>
        <w:tc>
          <w:tcPr>
            <w:tcW w:w="1123" w:type="dxa"/>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w:t>
            </w:r>
            <w:r w:rsidRPr="00545B6B">
              <w:rPr>
                <w:rFonts w:eastAsiaTheme="minorEastAsia" w:cs="Calibri"/>
                <w:color w:val="000000"/>
                <w:sz w:val="21"/>
                <w:szCs w:val="22"/>
                <w:lang w:eastAsia="en-AU"/>
              </w:rPr>
              <w:t>50.0)</w:t>
            </w:r>
          </w:p>
        </w:tc>
      </w:tr>
      <w:tr w:rsidR="00336793" w:rsidRPr="00545B6B" w:rsidTr="00DF0B96">
        <w:tc>
          <w:tcPr>
            <w:tcW w:w="3347" w:type="dxa"/>
            <w:gridSpan w:val="2"/>
            <w:tcBorders>
              <w:top w:val="nil"/>
              <w:left w:val="nil"/>
              <w:bottom w:val="nil"/>
              <w:right w:val="nil"/>
            </w:tcBorders>
          </w:tcPr>
          <w:p w:rsidR="00336793" w:rsidRPr="00545B6B" w:rsidRDefault="00336793" w:rsidP="00DF0B96">
            <w:pPr>
              <w:pStyle w:val="Tabletext"/>
              <w:rPr>
                <w:rFonts w:eastAsiaTheme="minorEastAsia"/>
                <w:sz w:val="21"/>
                <w:vertAlign w:val="superscript"/>
                <w:lang w:eastAsia="en-AU"/>
              </w:rPr>
            </w:pPr>
            <w:r w:rsidRPr="00545B6B">
              <w:rPr>
                <w:rFonts w:eastAsiaTheme="minorEastAsia"/>
                <w:sz w:val="21"/>
                <w:lang w:eastAsia="en-AU"/>
              </w:rPr>
              <w:t>Doubtful receivables of the general government sector</w:t>
            </w:r>
            <w:r w:rsidRPr="00545B6B">
              <w:rPr>
                <w:rFonts w:eastAsiaTheme="minorEastAsia"/>
                <w:sz w:val="21"/>
                <w:vertAlign w:val="superscript"/>
                <w:lang w:eastAsia="en-AU"/>
              </w:rPr>
              <w:t xml:space="preserve"> (c)</w:t>
            </w:r>
          </w:p>
        </w:tc>
        <w:tc>
          <w:tcPr>
            <w:tcW w:w="103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907.8</w:t>
            </w:r>
          </w:p>
        </w:tc>
        <w:tc>
          <w:tcPr>
            <w:tcW w:w="1143"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915.0</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5"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287"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016"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2"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2"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907.8</w:t>
            </w:r>
          </w:p>
        </w:tc>
        <w:tc>
          <w:tcPr>
            <w:tcW w:w="1123"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915.0</w:t>
            </w:r>
          </w:p>
        </w:tc>
      </w:tr>
      <w:tr w:rsidR="00336793" w:rsidRPr="00545B6B" w:rsidTr="00DF0B96">
        <w:tc>
          <w:tcPr>
            <w:tcW w:w="3347" w:type="dxa"/>
            <w:gridSpan w:val="2"/>
            <w:tcBorders>
              <w:top w:val="nil"/>
              <w:left w:val="nil"/>
              <w:bottom w:val="nil"/>
              <w:right w:val="nil"/>
            </w:tcBorders>
          </w:tcPr>
          <w:p w:rsidR="00336793" w:rsidRPr="00545B6B" w:rsidRDefault="00336793" w:rsidP="00DF0B96">
            <w:pPr>
              <w:pStyle w:val="Tabletext"/>
              <w:rPr>
                <w:rFonts w:eastAsiaTheme="minorEastAsia"/>
                <w:sz w:val="21"/>
                <w:lang w:eastAsia="en-AU"/>
              </w:rPr>
            </w:pPr>
            <w:r w:rsidRPr="00545B6B">
              <w:rPr>
                <w:rFonts w:eastAsiaTheme="minorEastAsia"/>
                <w:sz w:val="21"/>
                <w:lang w:eastAsia="en-AU"/>
              </w:rPr>
              <w:t>Doubtful receivables of the PNFC/PFC sector</w:t>
            </w:r>
          </w:p>
        </w:tc>
        <w:tc>
          <w:tcPr>
            <w:tcW w:w="103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43"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21.0</w:t>
            </w:r>
          </w:p>
        </w:tc>
        <w:tc>
          <w:tcPr>
            <w:tcW w:w="1125"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21.5</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 xml:space="preserve"> 45.4</w:t>
            </w:r>
          </w:p>
        </w:tc>
        <w:tc>
          <w:tcPr>
            <w:tcW w:w="1287" w:type="dxa"/>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 xml:space="preserve"> 50.4</w:t>
            </w:r>
          </w:p>
        </w:tc>
        <w:tc>
          <w:tcPr>
            <w:tcW w:w="1016" w:type="dxa"/>
            <w:gridSpan w:val="2"/>
            <w:tcBorders>
              <w:top w:val="nil"/>
              <w:left w:val="nil"/>
              <w:bottom w:val="nil"/>
              <w:right w:val="nil"/>
            </w:tcBorders>
            <w:shd w:val="solid" w:color="FFFFFF" w:fill="auto"/>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2"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2" w:type="dxa"/>
            <w:gridSpan w:val="2"/>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 xml:space="preserve"> 66.5</w:t>
            </w:r>
          </w:p>
        </w:tc>
        <w:tc>
          <w:tcPr>
            <w:tcW w:w="1123" w:type="dxa"/>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 xml:space="preserve"> 71.9</w:t>
            </w:r>
          </w:p>
        </w:tc>
      </w:tr>
      <w:tr w:rsidR="00336793" w:rsidRPr="00545B6B" w:rsidTr="00DF0B96">
        <w:tc>
          <w:tcPr>
            <w:tcW w:w="3347" w:type="dxa"/>
            <w:gridSpan w:val="2"/>
            <w:tcBorders>
              <w:top w:val="nil"/>
              <w:left w:val="nil"/>
              <w:bottom w:val="nil"/>
              <w:right w:val="nil"/>
            </w:tcBorders>
          </w:tcPr>
          <w:p w:rsidR="00336793" w:rsidRPr="00545B6B" w:rsidRDefault="00336793" w:rsidP="00DF0B96">
            <w:pPr>
              <w:pStyle w:val="Tabletext"/>
              <w:rPr>
                <w:rFonts w:eastAsiaTheme="minorEastAsia"/>
                <w:sz w:val="21"/>
                <w:vertAlign w:val="superscript"/>
                <w:lang w:eastAsia="en-AU"/>
              </w:rPr>
            </w:pPr>
            <w:r w:rsidRPr="00545B6B">
              <w:rPr>
                <w:rFonts w:eastAsiaTheme="minorEastAsia"/>
                <w:sz w:val="21"/>
                <w:lang w:eastAsia="en-AU"/>
              </w:rPr>
              <w:t xml:space="preserve">Future tax benefits of the PNFC/PFC sector </w:t>
            </w:r>
          </w:p>
        </w:tc>
        <w:tc>
          <w:tcPr>
            <w:tcW w:w="103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43"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w:t>
            </w:r>
            <w:r w:rsidRPr="00545B6B">
              <w:rPr>
                <w:rFonts w:eastAsiaTheme="minorEastAsia" w:cs="Calibri"/>
                <w:color w:val="000000"/>
                <w:sz w:val="21"/>
                <w:szCs w:val="22"/>
                <w:lang w:eastAsia="en-AU"/>
              </w:rPr>
              <w:t>192.6)</w:t>
            </w:r>
          </w:p>
        </w:tc>
        <w:tc>
          <w:tcPr>
            <w:tcW w:w="1125" w:type="dxa"/>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w:t>
            </w:r>
            <w:r w:rsidRPr="00545B6B">
              <w:rPr>
                <w:rFonts w:eastAsiaTheme="minorEastAsia" w:cs="Calibri"/>
                <w:color w:val="000000"/>
                <w:sz w:val="21"/>
                <w:szCs w:val="22"/>
                <w:lang w:eastAsia="en-AU"/>
              </w:rPr>
              <w:t>176.0)</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w:t>
            </w:r>
            <w:r w:rsidRPr="00545B6B">
              <w:rPr>
                <w:rFonts w:eastAsiaTheme="minorEastAsia" w:cs="Calibri"/>
                <w:color w:val="000000"/>
                <w:sz w:val="21"/>
                <w:szCs w:val="22"/>
                <w:lang w:eastAsia="en-AU"/>
              </w:rPr>
              <w:t>841.4)</w:t>
            </w:r>
          </w:p>
        </w:tc>
        <w:tc>
          <w:tcPr>
            <w:tcW w:w="1287" w:type="dxa"/>
            <w:tcBorders>
              <w:top w:val="nil"/>
              <w:left w:val="nil"/>
              <w:bottom w:val="nil"/>
              <w:right w:val="nil"/>
            </w:tcBorders>
          </w:tcPr>
          <w:p w:rsidR="00336793" w:rsidRPr="00545B6B" w:rsidRDefault="00336793" w:rsidP="00DF0B96">
            <w:pPr>
              <w:pStyle w:val="TableofFigures"/>
              <w:rPr>
                <w:rFonts w:eastAsiaTheme="minorEastAsia" w:cs="Calibri"/>
                <w:color w:val="000000"/>
                <w:sz w:val="21"/>
                <w:szCs w:val="22"/>
                <w:lang w:eastAsia="en-AU"/>
              </w:rPr>
            </w:pPr>
            <w:r w:rsidRPr="00545B6B">
              <w:rPr>
                <w:rFonts w:eastAsiaTheme="minorEastAsia"/>
                <w:sz w:val="21"/>
                <w:lang w:eastAsia="en-AU"/>
              </w:rPr>
              <w:t>(</w:t>
            </w:r>
            <w:r w:rsidRPr="00545B6B">
              <w:rPr>
                <w:rFonts w:eastAsiaTheme="minorEastAsia" w:cs="Calibri"/>
                <w:color w:val="000000"/>
                <w:sz w:val="21"/>
                <w:szCs w:val="22"/>
                <w:lang w:eastAsia="en-AU"/>
              </w:rPr>
              <w:t>899.6)</w:t>
            </w:r>
          </w:p>
        </w:tc>
        <w:tc>
          <w:tcPr>
            <w:tcW w:w="1016"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1 034.0</w:t>
            </w:r>
          </w:p>
        </w:tc>
        <w:tc>
          <w:tcPr>
            <w:tcW w:w="1122"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1 075.6</w:t>
            </w:r>
          </w:p>
        </w:tc>
        <w:tc>
          <w:tcPr>
            <w:tcW w:w="1122"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3"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r>
      <w:tr w:rsidR="00336793" w:rsidRPr="00545B6B" w:rsidTr="00DF0B96">
        <w:tc>
          <w:tcPr>
            <w:tcW w:w="3347" w:type="dxa"/>
            <w:gridSpan w:val="2"/>
            <w:tcBorders>
              <w:top w:val="nil"/>
              <w:left w:val="nil"/>
              <w:bottom w:val="nil"/>
              <w:right w:val="nil"/>
            </w:tcBorders>
          </w:tcPr>
          <w:p w:rsidR="00336793" w:rsidRPr="00545B6B" w:rsidRDefault="00336793" w:rsidP="00DF0B96">
            <w:pPr>
              <w:pStyle w:val="Tabletext"/>
              <w:rPr>
                <w:rFonts w:eastAsiaTheme="minorEastAsia"/>
                <w:sz w:val="21"/>
                <w:vertAlign w:val="superscript"/>
                <w:lang w:eastAsia="en-AU"/>
              </w:rPr>
            </w:pPr>
            <w:r w:rsidRPr="00545B6B">
              <w:rPr>
                <w:rFonts w:eastAsiaTheme="minorEastAsia"/>
                <w:sz w:val="21"/>
                <w:lang w:eastAsia="en-AU"/>
              </w:rPr>
              <w:t xml:space="preserve">Deferred tax liability of the PNFC/PFC sector </w:t>
            </w:r>
          </w:p>
        </w:tc>
        <w:tc>
          <w:tcPr>
            <w:tcW w:w="103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43"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8 630.3</w:t>
            </w:r>
          </w:p>
        </w:tc>
        <w:tc>
          <w:tcPr>
            <w:tcW w:w="1125"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7 927.5</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7.1</w:t>
            </w:r>
          </w:p>
        </w:tc>
        <w:tc>
          <w:tcPr>
            <w:tcW w:w="1287"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6.5</w:t>
            </w:r>
          </w:p>
        </w:tc>
        <w:tc>
          <w:tcPr>
            <w:tcW w:w="1016"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(8 637.4)</w:t>
            </w:r>
          </w:p>
        </w:tc>
        <w:tc>
          <w:tcPr>
            <w:tcW w:w="1122"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(7 934.1)</w:t>
            </w:r>
          </w:p>
        </w:tc>
        <w:tc>
          <w:tcPr>
            <w:tcW w:w="1122"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3"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r>
      <w:tr w:rsidR="00336793" w:rsidRPr="00545B6B" w:rsidTr="00DF0B96">
        <w:tc>
          <w:tcPr>
            <w:tcW w:w="3095" w:type="dxa"/>
            <w:tcBorders>
              <w:top w:val="nil"/>
              <w:left w:val="nil"/>
              <w:bottom w:val="nil"/>
              <w:right w:val="nil"/>
            </w:tcBorders>
          </w:tcPr>
          <w:p w:rsidR="00336793" w:rsidRPr="00545B6B" w:rsidRDefault="00336793" w:rsidP="00DF0B96">
            <w:pPr>
              <w:pStyle w:val="Tabletext"/>
              <w:rPr>
                <w:rFonts w:eastAsiaTheme="minorEastAsia" w:cs="Calibri"/>
                <w:color w:val="000000"/>
                <w:sz w:val="21"/>
                <w:szCs w:val="22"/>
                <w:vertAlign w:val="superscript"/>
                <w:lang w:eastAsia="en-AU"/>
              </w:rPr>
            </w:pPr>
            <w:r w:rsidRPr="00545B6B">
              <w:rPr>
                <w:rFonts w:eastAsiaTheme="minorEastAsia"/>
                <w:sz w:val="21"/>
                <w:lang w:eastAsia="en-AU"/>
              </w:rPr>
              <w:t>Investments in other sector entities</w:t>
            </w:r>
            <w:r w:rsidRPr="00545B6B">
              <w:rPr>
                <w:rFonts w:eastAsiaTheme="minorEastAsia"/>
                <w:sz w:val="21"/>
                <w:vertAlign w:val="superscript"/>
                <w:lang w:eastAsia="en-AU"/>
              </w:rPr>
              <w:t xml:space="preserve"> (d)(</w:t>
            </w:r>
            <w:r w:rsidRPr="00545B6B">
              <w:rPr>
                <w:rFonts w:eastAsiaTheme="minorEastAsia" w:cs="Calibri"/>
                <w:color w:val="000000"/>
                <w:sz w:val="21"/>
                <w:szCs w:val="22"/>
                <w:vertAlign w:val="superscript"/>
                <w:lang w:eastAsia="en-AU"/>
              </w:rPr>
              <w:t>e)</w:t>
            </w:r>
          </w:p>
        </w:tc>
        <w:tc>
          <w:tcPr>
            <w:tcW w:w="1287" w:type="dxa"/>
            <w:gridSpan w:val="3"/>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7 669.9</w:t>
            </w:r>
          </w:p>
        </w:tc>
        <w:tc>
          <w:tcPr>
            <w:tcW w:w="1143"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6 930.4</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5"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5"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287"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016"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(7 669.9)</w:t>
            </w:r>
          </w:p>
        </w:tc>
        <w:tc>
          <w:tcPr>
            <w:tcW w:w="1122"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(6 930.4)</w:t>
            </w:r>
          </w:p>
        </w:tc>
        <w:tc>
          <w:tcPr>
            <w:tcW w:w="1122" w:type="dxa"/>
            <w:gridSpan w:val="2"/>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3" w:type="dxa"/>
            <w:tcBorders>
              <w:top w:val="nil"/>
              <w:left w:val="nil"/>
              <w:bottom w:val="nil"/>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r>
      <w:tr w:rsidR="00336793" w:rsidRPr="00545B6B" w:rsidTr="00DF0B96">
        <w:tc>
          <w:tcPr>
            <w:tcW w:w="3347" w:type="dxa"/>
            <w:gridSpan w:val="2"/>
            <w:tcBorders>
              <w:top w:val="nil"/>
              <w:left w:val="nil"/>
              <w:bottom w:val="nil"/>
              <w:right w:val="nil"/>
            </w:tcBorders>
          </w:tcPr>
          <w:p w:rsidR="00336793" w:rsidRPr="00545B6B" w:rsidRDefault="00336793" w:rsidP="00DF0B96">
            <w:pPr>
              <w:pStyle w:val="Tabletext"/>
              <w:rPr>
                <w:rFonts w:eastAsiaTheme="minorEastAsia"/>
                <w:sz w:val="21"/>
                <w:lang w:eastAsia="en-AU"/>
              </w:rPr>
            </w:pPr>
            <w:r w:rsidRPr="00545B6B">
              <w:rPr>
                <w:rFonts w:eastAsiaTheme="minorEastAsia"/>
                <w:sz w:val="21"/>
                <w:lang w:eastAsia="en-AU"/>
              </w:rPr>
              <w:t>Shares and other contributed capital</w:t>
            </w:r>
          </w:p>
        </w:tc>
        <w:tc>
          <w:tcPr>
            <w:tcW w:w="1035" w:type="dxa"/>
            <w:gridSpan w:val="2"/>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43" w:type="dxa"/>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5" w:type="dxa"/>
            <w:gridSpan w:val="2"/>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(87 685.8)</w:t>
            </w:r>
          </w:p>
        </w:tc>
        <w:tc>
          <w:tcPr>
            <w:tcW w:w="1125" w:type="dxa"/>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(80 830.8)</w:t>
            </w:r>
          </w:p>
        </w:tc>
        <w:tc>
          <w:tcPr>
            <w:tcW w:w="1125" w:type="dxa"/>
            <w:gridSpan w:val="2"/>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1 016.7</w:t>
            </w:r>
          </w:p>
        </w:tc>
        <w:tc>
          <w:tcPr>
            <w:tcW w:w="1287" w:type="dxa"/>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1 019.0</w:t>
            </w:r>
          </w:p>
        </w:tc>
        <w:tc>
          <w:tcPr>
            <w:tcW w:w="1016" w:type="dxa"/>
            <w:gridSpan w:val="2"/>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86 669.1</w:t>
            </w:r>
          </w:p>
        </w:tc>
        <w:tc>
          <w:tcPr>
            <w:tcW w:w="1122" w:type="dxa"/>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79 811.8</w:t>
            </w:r>
          </w:p>
        </w:tc>
        <w:tc>
          <w:tcPr>
            <w:tcW w:w="1122" w:type="dxa"/>
            <w:gridSpan w:val="2"/>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c>
          <w:tcPr>
            <w:tcW w:w="1123" w:type="dxa"/>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w:t>
            </w:r>
          </w:p>
        </w:tc>
      </w:tr>
      <w:tr w:rsidR="00336793" w:rsidRPr="00545B6B" w:rsidTr="00DF0B96">
        <w:tc>
          <w:tcPr>
            <w:tcW w:w="3347" w:type="dxa"/>
            <w:gridSpan w:val="2"/>
            <w:tcBorders>
              <w:top w:val="single" w:sz="6" w:space="0" w:color="auto"/>
              <w:left w:val="nil"/>
              <w:bottom w:val="single" w:sz="6" w:space="0" w:color="auto"/>
              <w:right w:val="nil"/>
            </w:tcBorders>
          </w:tcPr>
          <w:p w:rsidR="00336793" w:rsidRPr="00545B6B" w:rsidRDefault="00336793" w:rsidP="00DF0B96">
            <w:pPr>
              <w:pStyle w:val="Tabletext"/>
              <w:rPr>
                <w:rFonts w:eastAsiaTheme="minorEastAsia"/>
                <w:i/>
                <w:iCs/>
                <w:sz w:val="21"/>
                <w:vertAlign w:val="superscript"/>
                <w:lang w:eastAsia="en-AU"/>
              </w:rPr>
            </w:pPr>
            <w:r w:rsidRPr="00545B6B">
              <w:rPr>
                <w:rFonts w:eastAsiaTheme="minorEastAsia"/>
                <w:i/>
                <w:iCs/>
                <w:sz w:val="21"/>
                <w:lang w:eastAsia="en-AU"/>
              </w:rPr>
              <w:t xml:space="preserve">plus total convergence difference: </w:t>
            </w:r>
          </w:p>
        </w:tc>
        <w:tc>
          <w:tcPr>
            <w:tcW w:w="1035" w:type="dxa"/>
            <w:gridSpan w:val="2"/>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8 527.7</w:t>
            </w:r>
          </w:p>
        </w:tc>
        <w:tc>
          <w:tcPr>
            <w:tcW w:w="1143" w:type="dxa"/>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7 795.4</w:t>
            </w:r>
          </w:p>
        </w:tc>
        <w:tc>
          <w:tcPr>
            <w:tcW w:w="1125" w:type="dxa"/>
            <w:gridSpan w:val="2"/>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(78 971.5)</w:t>
            </w:r>
          </w:p>
        </w:tc>
        <w:tc>
          <w:tcPr>
            <w:tcW w:w="1125" w:type="dxa"/>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(72 973.2)</w:t>
            </w:r>
          </w:p>
        </w:tc>
        <w:tc>
          <w:tcPr>
            <w:tcW w:w="1125" w:type="dxa"/>
            <w:gridSpan w:val="2"/>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794.0</w:t>
            </w:r>
          </w:p>
        </w:tc>
        <w:tc>
          <w:tcPr>
            <w:tcW w:w="1287" w:type="dxa"/>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312.3</w:t>
            </w:r>
          </w:p>
        </w:tc>
        <w:tc>
          <w:tcPr>
            <w:tcW w:w="1016" w:type="dxa"/>
            <w:gridSpan w:val="2"/>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70 574.0</w:t>
            </w:r>
          </w:p>
        </w:tc>
        <w:tc>
          <w:tcPr>
            <w:tcW w:w="1122" w:type="dxa"/>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65 802.4</w:t>
            </w:r>
          </w:p>
        </w:tc>
        <w:tc>
          <w:tcPr>
            <w:tcW w:w="1122" w:type="dxa"/>
            <w:gridSpan w:val="2"/>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924.3</w:t>
            </w:r>
          </w:p>
        </w:tc>
        <w:tc>
          <w:tcPr>
            <w:tcW w:w="1123" w:type="dxa"/>
            <w:tcBorders>
              <w:top w:val="nil"/>
              <w:left w:val="nil"/>
              <w:bottom w:val="single" w:sz="6" w:space="0" w:color="auto"/>
              <w:right w:val="nil"/>
            </w:tcBorders>
          </w:tcPr>
          <w:p w:rsidR="00336793" w:rsidRPr="00545B6B" w:rsidRDefault="00336793" w:rsidP="00DF0B96">
            <w:pPr>
              <w:pStyle w:val="TableofFigures"/>
              <w:rPr>
                <w:rFonts w:eastAsiaTheme="minorEastAsia"/>
                <w:sz w:val="21"/>
                <w:lang w:eastAsia="en-AU"/>
              </w:rPr>
            </w:pPr>
            <w:r w:rsidRPr="00545B6B">
              <w:rPr>
                <w:rFonts w:eastAsiaTheme="minorEastAsia"/>
                <w:sz w:val="21"/>
                <w:lang w:eastAsia="en-AU"/>
              </w:rPr>
              <w:t xml:space="preserve"> 937.0</w:t>
            </w:r>
          </w:p>
        </w:tc>
      </w:tr>
      <w:tr w:rsidR="00336793" w:rsidRPr="00545B6B" w:rsidTr="00DF0B96">
        <w:tc>
          <w:tcPr>
            <w:tcW w:w="3347" w:type="dxa"/>
            <w:gridSpan w:val="2"/>
            <w:tcBorders>
              <w:top w:val="single" w:sz="6" w:space="0" w:color="auto"/>
              <w:left w:val="nil"/>
              <w:bottom w:val="single" w:sz="12" w:space="0" w:color="000000"/>
              <w:right w:val="nil"/>
            </w:tcBorders>
            <w:shd w:val="clear" w:color="auto" w:fill="auto"/>
          </w:tcPr>
          <w:p w:rsidR="00336793" w:rsidRPr="00545B6B" w:rsidRDefault="00336793" w:rsidP="00DF0B96">
            <w:pPr>
              <w:pStyle w:val="Tabletext"/>
              <w:rPr>
                <w:rFonts w:eastAsiaTheme="minorEastAsia"/>
                <w:b/>
                <w:sz w:val="21"/>
                <w:lang w:eastAsia="en-AU"/>
              </w:rPr>
            </w:pPr>
            <w:r w:rsidRPr="00545B6B">
              <w:rPr>
                <w:rFonts w:eastAsiaTheme="minorEastAsia"/>
                <w:b/>
                <w:sz w:val="21"/>
                <w:lang w:eastAsia="en-AU"/>
              </w:rPr>
              <w:t>GFS net worth</w:t>
            </w:r>
          </w:p>
        </w:tc>
        <w:tc>
          <w:tcPr>
            <w:tcW w:w="1035" w:type="dxa"/>
            <w:gridSpan w:val="2"/>
            <w:tcBorders>
              <w:top w:val="single" w:sz="6" w:space="0" w:color="auto"/>
              <w:left w:val="nil"/>
              <w:bottom w:val="single" w:sz="12" w:space="0" w:color="000000"/>
              <w:right w:val="nil"/>
            </w:tcBorders>
            <w:shd w:val="clear" w:color="auto" w:fill="auto"/>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144 862.2</w:t>
            </w:r>
          </w:p>
        </w:tc>
        <w:tc>
          <w:tcPr>
            <w:tcW w:w="1143" w:type="dxa"/>
            <w:tcBorders>
              <w:top w:val="single" w:sz="6" w:space="0" w:color="auto"/>
              <w:left w:val="nil"/>
              <w:bottom w:val="single" w:sz="12" w:space="0" w:color="000000"/>
              <w:right w:val="nil"/>
            </w:tcBorders>
            <w:shd w:val="clear" w:color="auto" w:fill="auto"/>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136 272.8</w:t>
            </w:r>
          </w:p>
        </w:tc>
        <w:tc>
          <w:tcPr>
            <w:tcW w:w="1125" w:type="dxa"/>
            <w:gridSpan w:val="2"/>
            <w:tcBorders>
              <w:top w:val="single" w:sz="6" w:space="0" w:color="auto"/>
              <w:left w:val="nil"/>
              <w:bottom w:val="single" w:sz="12" w:space="0" w:color="000000"/>
              <w:right w:val="nil"/>
            </w:tcBorders>
            <w:shd w:val="clear" w:color="auto" w:fill="auto"/>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w:t>
            </w:r>
          </w:p>
        </w:tc>
        <w:tc>
          <w:tcPr>
            <w:tcW w:w="1125" w:type="dxa"/>
            <w:tcBorders>
              <w:top w:val="single" w:sz="6" w:space="0" w:color="auto"/>
              <w:left w:val="nil"/>
              <w:bottom w:val="single" w:sz="12" w:space="0" w:color="000000"/>
              <w:right w:val="nil"/>
            </w:tcBorders>
            <w:shd w:val="clear" w:color="auto" w:fill="auto"/>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w:t>
            </w:r>
          </w:p>
        </w:tc>
        <w:tc>
          <w:tcPr>
            <w:tcW w:w="1125" w:type="dxa"/>
            <w:gridSpan w:val="2"/>
            <w:tcBorders>
              <w:top w:val="single" w:sz="6" w:space="0" w:color="auto"/>
              <w:left w:val="nil"/>
              <w:bottom w:val="single" w:sz="12" w:space="0" w:color="000000"/>
              <w:right w:val="nil"/>
            </w:tcBorders>
            <w:shd w:val="clear" w:color="auto" w:fill="auto"/>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w:t>
            </w:r>
          </w:p>
        </w:tc>
        <w:tc>
          <w:tcPr>
            <w:tcW w:w="1287" w:type="dxa"/>
            <w:tcBorders>
              <w:top w:val="single" w:sz="6" w:space="0" w:color="auto"/>
              <w:left w:val="nil"/>
              <w:bottom w:val="single" w:sz="12" w:space="0" w:color="000000"/>
              <w:right w:val="nil"/>
            </w:tcBorders>
            <w:shd w:val="clear" w:color="auto" w:fill="auto"/>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w:t>
            </w:r>
          </w:p>
        </w:tc>
        <w:tc>
          <w:tcPr>
            <w:tcW w:w="1016" w:type="dxa"/>
            <w:gridSpan w:val="2"/>
            <w:tcBorders>
              <w:top w:val="single" w:sz="6" w:space="0" w:color="auto"/>
              <w:left w:val="nil"/>
              <w:bottom w:val="single" w:sz="12" w:space="0" w:color="000000"/>
              <w:right w:val="nil"/>
            </w:tcBorders>
            <w:shd w:val="clear" w:color="auto" w:fill="auto"/>
          </w:tcPr>
          <w:p w:rsidR="00336793" w:rsidRPr="00545B6B" w:rsidRDefault="00336793" w:rsidP="00DF0B96">
            <w:pPr>
              <w:pStyle w:val="TableofFigures"/>
              <w:rPr>
                <w:rFonts w:eastAsiaTheme="minorEastAsia" w:cs="Calibri"/>
                <w:b/>
                <w:bCs/>
                <w:color w:val="000000"/>
                <w:sz w:val="21"/>
                <w:szCs w:val="22"/>
                <w:lang w:eastAsia="en-AU"/>
              </w:rPr>
            </w:pPr>
            <w:r w:rsidRPr="00545B6B">
              <w:rPr>
                <w:rFonts w:eastAsiaTheme="minorEastAsia"/>
                <w:b/>
                <w:sz w:val="21"/>
                <w:lang w:eastAsia="en-AU"/>
              </w:rPr>
              <w:t>(4 028.8</w:t>
            </w:r>
            <w:r w:rsidRPr="00545B6B">
              <w:rPr>
                <w:rFonts w:eastAsiaTheme="minorEastAsia" w:cs="Calibri"/>
                <w:b/>
                <w:bCs/>
                <w:color w:val="000000"/>
                <w:sz w:val="21"/>
                <w:szCs w:val="22"/>
                <w:lang w:eastAsia="en-AU"/>
              </w:rPr>
              <w:t>)</w:t>
            </w:r>
          </w:p>
        </w:tc>
        <w:tc>
          <w:tcPr>
            <w:tcW w:w="1122" w:type="dxa"/>
            <w:tcBorders>
              <w:top w:val="single" w:sz="6" w:space="0" w:color="auto"/>
              <w:left w:val="nil"/>
              <w:bottom w:val="single" w:sz="12" w:space="0" w:color="000000"/>
              <w:right w:val="nil"/>
            </w:tcBorders>
            <w:shd w:val="clear" w:color="auto" w:fill="auto"/>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(3 252.7)</w:t>
            </w:r>
          </w:p>
        </w:tc>
        <w:tc>
          <w:tcPr>
            <w:tcW w:w="1122" w:type="dxa"/>
            <w:gridSpan w:val="2"/>
            <w:tcBorders>
              <w:top w:val="single" w:sz="6" w:space="0" w:color="auto"/>
              <w:left w:val="nil"/>
              <w:bottom w:val="single" w:sz="12" w:space="0" w:color="000000"/>
              <w:right w:val="nil"/>
            </w:tcBorders>
            <w:shd w:val="clear" w:color="auto" w:fill="auto"/>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140 833.4</w:t>
            </w:r>
          </w:p>
        </w:tc>
        <w:tc>
          <w:tcPr>
            <w:tcW w:w="1123" w:type="dxa"/>
            <w:tcBorders>
              <w:top w:val="single" w:sz="6" w:space="0" w:color="auto"/>
              <w:left w:val="nil"/>
              <w:bottom w:val="single" w:sz="12" w:space="0" w:color="000000"/>
              <w:right w:val="nil"/>
            </w:tcBorders>
            <w:shd w:val="clear" w:color="auto" w:fill="auto"/>
          </w:tcPr>
          <w:p w:rsidR="00336793" w:rsidRPr="00545B6B" w:rsidRDefault="00336793" w:rsidP="00DF0B96">
            <w:pPr>
              <w:pStyle w:val="TableofFigures"/>
              <w:rPr>
                <w:rFonts w:eastAsiaTheme="minorEastAsia"/>
                <w:b/>
                <w:sz w:val="21"/>
                <w:lang w:eastAsia="en-AU"/>
              </w:rPr>
            </w:pPr>
            <w:r w:rsidRPr="00545B6B">
              <w:rPr>
                <w:rFonts w:eastAsiaTheme="minorEastAsia"/>
                <w:b/>
                <w:sz w:val="21"/>
                <w:lang w:eastAsia="en-AU"/>
              </w:rPr>
              <w:t>133 020.2</w:t>
            </w:r>
          </w:p>
        </w:tc>
      </w:tr>
    </w:tbl>
    <w:p w:rsidR="00336793" w:rsidRDefault="00336793" w:rsidP="00DF0B96">
      <w:pPr>
        <w:pStyle w:val="Notes"/>
      </w:pPr>
      <w:r>
        <w:t>Notes:</w:t>
      </w:r>
    </w:p>
    <w:p w:rsidR="00336793" w:rsidRPr="0017140D" w:rsidRDefault="00336793" w:rsidP="00DF0B96">
      <w:pPr>
        <w:pStyle w:val="Notes"/>
      </w:pPr>
      <w:r w:rsidRPr="0017140D">
        <w:t>(a)</w:t>
      </w:r>
      <w:r w:rsidRPr="0017140D">
        <w:tab/>
        <w:t>Determined in accordance with the ABS GFS Manual.</w:t>
      </w:r>
    </w:p>
    <w:p w:rsidR="00336793" w:rsidRPr="0017140D" w:rsidRDefault="00336793" w:rsidP="00DF0B96">
      <w:pPr>
        <w:pStyle w:val="Notes"/>
      </w:pPr>
      <w:r w:rsidRPr="0017140D">
        <w:t>(b)</w:t>
      </w:r>
      <w:r w:rsidRPr="0017140D">
        <w:tab/>
      </w:r>
      <w:r>
        <w:t xml:space="preserve">June 2014 </w:t>
      </w:r>
      <w:r w:rsidRPr="006A75A2">
        <w:t>comparative figures have been restated. See Note 37.</w:t>
      </w:r>
    </w:p>
    <w:p w:rsidR="00336793" w:rsidRDefault="00336793" w:rsidP="00DF0B96">
      <w:pPr>
        <w:pStyle w:val="Notes"/>
      </w:pPr>
      <w:r w:rsidRPr="0017140D">
        <w:t>(c)</w:t>
      </w:r>
      <w:r w:rsidRPr="0017140D">
        <w:tab/>
        <w:t>The convergence difference in accounts receivable arises because GFS does not recognise doubtful receivables, whereas a provision for doubtful receivables is recognised in the balance sheet.</w:t>
      </w:r>
    </w:p>
    <w:p w:rsidR="00336793" w:rsidRPr="0017140D" w:rsidRDefault="00336793" w:rsidP="00DF0B96">
      <w:pPr>
        <w:pStyle w:val="Notes"/>
      </w:pPr>
      <w:r>
        <w:t>(d)</w:t>
      </w:r>
      <w:r>
        <w:tab/>
        <w:t>The convergence difference arises because the amount of net assets (and therefore the change in carrying amount of net assets of other sector entities determined under GFS principles and rules differ from the carrying amount of net assets.</w:t>
      </w:r>
    </w:p>
    <w:p w:rsidR="00336793" w:rsidRDefault="00336793" w:rsidP="00DF0B96">
      <w:pPr>
        <w:pStyle w:val="Notes"/>
      </w:pPr>
      <w:r>
        <w:t>(e</w:t>
      </w:r>
      <w:r w:rsidRPr="0017140D">
        <w:t>)</w:t>
      </w:r>
      <w:r w:rsidRPr="0017140D">
        <w:tab/>
        <w:t>Investments</w:t>
      </w:r>
      <w:r>
        <w:t xml:space="preserve"> in other sector entities for general government sector include doubtful receivables, future tax benefits and deferred tax liability of the PNFC and PFC sectors.</w:t>
      </w:r>
    </w:p>
    <w:p w:rsidR="00336793" w:rsidRDefault="00336793" w:rsidP="00DF0B96">
      <w:pPr>
        <w:pStyle w:val="Notes"/>
      </w:pPr>
    </w:p>
    <w:p w:rsidR="00336793" w:rsidRDefault="00336793">
      <w:pPr>
        <w:spacing w:after="0"/>
        <w:rPr>
          <w:rFonts w:ascii="Calibri" w:hAnsi="Calibri"/>
          <w:i/>
          <w:sz w:val="16"/>
          <w:lang w:eastAsia="en-AU"/>
        </w:rPr>
      </w:pPr>
      <w:r>
        <w:br w:type="page"/>
      </w:r>
    </w:p>
    <w:p w:rsidR="00336793" w:rsidRPr="006A75A2" w:rsidRDefault="00336793" w:rsidP="00DF0B96">
      <w:pPr>
        <w:pStyle w:val="Heading2NotesContd"/>
      </w:pPr>
      <w:r w:rsidRPr="006A75A2">
        <w:lastRenderedPageBreak/>
        <w:t>Note 31:</w:t>
      </w:r>
      <w:r w:rsidRPr="006A75A2">
        <w:tab/>
        <w:t>Reconciliations</w:t>
      </w:r>
      <w:r>
        <w:t xml:space="preserve"> </w:t>
      </w:r>
      <w:r w:rsidRPr="008D0741">
        <w:rPr>
          <w:i/>
        </w:rPr>
        <w:t>(continued)</w:t>
      </w:r>
    </w:p>
    <w:p w:rsidR="00336793" w:rsidRPr="006A75A2" w:rsidRDefault="00336793" w:rsidP="00DF0B96">
      <w:pPr>
        <w:pStyle w:val="Heading5"/>
      </w:pPr>
      <w:r w:rsidRPr="006A75A2">
        <w:t>(e)</w:t>
      </w:r>
      <w:r w:rsidRPr="006A75A2">
        <w:tab/>
        <w:t>Reconciliation to GFS cash surplus/(deficit)</w:t>
      </w:r>
      <w:r w:rsidRPr="006A75A2">
        <w:rPr>
          <w:vertAlign w:val="superscript"/>
        </w:rPr>
        <w:t>(a)</w:t>
      </w:r>
      <w:r>
        <w:rPr>
          <w:vertAlign w:val="superscript"/>
        </w:rPr>
        <w:t>(b)</w:t>
      </w:r>
    </w:p>
    <w:p w:rsidR="00336793" w:rsidRPr="00E852F0" w:rsidRDefault="00336793" w:rsidP="00DF0B96">
      <w:pPr>
        <w:pStyle w:val="million"/>
      </w:pPr>
      <w:r w:rsidRPr="006A75A2">
        <w:t>($</w:t>
      </w:r>
      <w:r>
        <w:t> million</w:t>
      </w:r>
      <w:r w:rsidRPr="006A75A2">
        <w:t>)</w:t>
      </w:r>
    </w:p>
    <w:tbl>
      <w:tblPr>
        <w:tblW w:w="14570" w:type="dxa"/>
        <w:tblInd w:w="28" w:type="dxa"/>
        <w:tblLayout w:type="fixed"/>
        <w:tblCellMar>
          <w:left w:w="45" w:type="dxa"/>
          <w:right w:w="45" w:type="dxa"/>
        </w:tblCellMar>
        <w:tblLook w:val="0000" w:firstRow="0" w:lastRow="0" w:firstColumn="0" w:lastColumn="0" w:noHBand="0" w:noVBand="0"/>
      </w:tblPr>
      <w:tblGrid>
        <w:gridCol w:w="4170"/>
        <w:gridCol w:w="242"/>
        <w:gridCol w:w="798"/>
        <w:gridCol w:w="1040"/>
        <w:gridCol w:w="288"/>
        <w:gridCol w:w="752"/>
        <w:gridCol w:w="1040"/>
        <w:gridCol w:w="114"/>
        <w:gridCol w:w="926"/>
        <w:gridCol w:w="1040"/>
        <w:gridCol w:w="239"/>
        <w:gridCol w:w="801"/>
        <w:gridCol w:w="1040"/>
        <w:gridCol w:w="285"/>
        <w:gridCol w:w="755"/>
        <w:gridCol w:w="1040"/>
      </w:tblGrid>
      <w:tr w:rsidR="00336793" w:rsidRPr="00E852F0" w:rsidTr="00DF0B96">
        <w:tc>
          <w:tcPr>
            <w:tcW w:w="4170" w:type="dxa"/>
            <w:tcBorders>
              <w:top w:val="single" w:sz="6" w:space="0" w:color="auto"/>
              <w:left w:val="single" w:sz="6" w:space="0" w:color="auto"/>
              <w:bottom w:val="nil"/>
              <w:right w:val="nil"/>
            </w:tcBorders>
            <w:shd w:val="clear" w:color="000000" w:fill="000000"/>
          </w:tcPr>
          <w:p w:rsidR="00336793" w:rsidRPr="00E852F0" w:rsidRDefault="00336793" w:rsidP="00DF0B96">
            <w:pPr>
              <w:pStyle w:val="Tabletext"/>
              <w:jc w:val="center"/>
              <w:rPr>
                <w:rFonts w:eastAsiaTheme="minorEastAsia" w:cs="Calibri"/>
                <w:b/>
                <w:bCs/>
                <w:color w:val="FFFFFF"/>
                <w:sz w:val="21"/>
                <w:szCs w:val="22"/>
                <w:lang w:eastAsia="en-AU"/>
              </w:rPr>
            </w:pPr>
            <w:r w:rsidRPr="00E852F0">
              <w:rPr>
                <w:rFonts w:eastAsiaTheme="minorEastAsia"/>
                <w:sz w:val="21"/>
                <w:lang w:eastAsia="en-AU"/>
              </w:rPr>
              <w:t xml:space="preserve"> </w:t>
            </w:r>
          </w:p>
        </w:tc>
        <w:tc>
          <w:tcPr>
            <w:tcW w:w="242" w:type="dxa"/>
            <w:tcBorders>
              <w:top w:val="single" w:sz="6" w:space="0" w:color="auto"/>
              <w:left w:val="nil"/>
              <w:bottom w:val="nil"/>
              <w:right w:val="nil"/>
            </w:tcBorders>
            <w:shd w:val="clear" w:color="000000" w:fill="000000"/>
          </w:tcPr>
          <w:p w:rsidR="00336793" w:rsidRPr="00E852F0" w:rsidRDefault="00336793" w:rsidP="00DF0B96">
            <w:pPr>
              <w:pStyle w:val="Tabletextheading"/>
              <w:jc w:val="center"/>
              <w:rPr>
                <w:rFonts w:eastAsiaTheme="minorEastAsia" w:cs="Calibri"/>
                <w:iCs/>
                <w:color w:val="FFFFFF"/>
                <w:sz w:val="21"/>
                <w:szCs w:val="22"/>
                <w:lang w:eastAsia="en-AU"/>
              </w:rPr>
            </w:pPr>
            <w:r w:rsidRPr="00E852F0">
              <w:rPr>
                <w:rFonts w:eastAsiaTheme="minorEastAsia"/>
                <w:iCs/>
                <w:color w:val="FFFFFF"/>
                <w:sz w:val="21"/>
                <w:lang w:eastAsia="en-AU"/>
              </w:rPr>
              <w:t xml:space="preserve"> </w:t>
            </w:r>
          </w:p>
        </w:tc>
        <w:tc>
          <w:tcPr>
            <w:tcW w:w="1838" w:type="dxa"/>
            <w:gridSpan w:val="2"/>
            <w:tcBorders>
              <w:top w:val="single" w:sz="6" w:space="0" w:color="auto"/>
              <w:left w:val="nil"/>
              <w:bottom w:val="nil"/>
              <w:right w:val="nil"/>
            </w:tcBorders>
            <w:shd w:val="clear" w:color="000000" w:fill="000000"/>
          </w:tcPr>
          <w:p w:rsidR="00336793" w:rsidRPr="00E852F0" w:rsidRDefault="00336793" w:rsidP="00DF0B96">
            <w:pPr>
              <w:pStyle w:val="Tabletextheading"/>
              <w:jc w:val="center"/>
              <w:rPr>
                <w:rFonts w:eastAsiaTheme="minorEastAsia" w:cs="Calibri"/>
                <w:iCs/>
                <w:color w:val="FFFFFF"/>
                <w:sz w:val="21"/>
                <w:szCs w:val="22"/>
                <w:lang w:eastAsia="en-AU"/>
              </w:rPr>
            </w:pPr>
            <w:r w:rsidRPr="00E852F0">
              <w:rPr>
                <w:rFonts w:eastAsiaTheme="minorEastAsia"/>
                <w:iCs/>
                <w:color w:val="FFFFFF"/>
                <w:sz w:val="21"/>
                <w:lang w:eastAsia="en-AU"/>
              </w:rPr>
              <w:t>General</w:t>
            </w:r>
            <w:r w:rsidRPr="00E852F0">
              <w:rPr>
                <w:rFonts w:eastAsiaTheme="minorEastAsia" w:cs="Calibri"/>
                <w:iCs/>
                <w:color w:val="FFFFFF"/>
                <w:sz w:val="21"/>
                <w:szCs w:val="22"/>
                <w:lang w:eastAsia="en-AU"/>
              </w:rPr>
              <w:t xml:space="preserve"> </w:t>
            </w:r>
          </w:p>
          <w:p w:rsidR="00336793" w:rsidRPr="00E852F0" w:rsidRDefault="00336793" w:rsidP="00DF0B96">
            <w:pPr>
              <w:pStyle w:val="Tabletextheading"/>
              <w:jc w:val="center"/>
              <w:rPr>
                <w:rFonts w:eastAsiaTheme="minorEastAsia"/>
                <w:iCs/>
                <w:color w:val="FFFFFF"/>
                <w:sz w:val="21"/>
                <w:lang w:eastAsia="en-AU"/>
              </w:rPr>
            </w:pPr>
            <w:r w:rsidRPr="00E852F0">
              <w:rPr>
                <w:rFonts w:eastAsiaTheme="minorEastAsia"/>
                <w:iCs/>
                <w:color w:val="FFFFFF"/>
                <w:sz w:val="21"/>
                <w:lang w:eastAsia="en-AU"/>
              </w:rPr>
              <w:t>government sector</w:t>
            </w:r>
          </w:p>
        </w:tc>
        <w:tc>
          <w:tcPr>
            <w:tcW w:w="288" w:type="dxa"/>
            <w:tcBorders>
              <w:top w:val="single" w:sz="6" w:space="0" w:color="auto"/>
              <w:left w:val="nil"/>
              <w:bottom w:val="nil"/>
              <w:right w:val="nil"/>
            </w:tcBorders>
            <w:shd w:val="clear" w:color="000000" w:fill="000000"/>
          </w:tcPr>
          <w:p w:rsidR="00336793" w:rsidRPr="00E852F0" w:rsidRDefault="00336793" w:rsidP="00DF0B96">
            <w:pPr>
              <w:pStyle w:val="Tabletextheading"/>
              <w:jc w:val="center"/>
              <w:rPr>
                <w:rFonts w:eastAsiaTheme="minorEastAsia" w:cs="Calibri"/>
                <w:iCs/>
                <w:color w:val="FFFFFF"/>
                <w:sz w:val="21"/>
                <w:szCs w:val="22"/>
                <w:lang w:eastAsia="en-AU"/>
              </w:rPr>
            </w:pPr>
            <w:r w:rsidRPr="00E852F0">
              <w:rPr>
                <w:rFonts w:eastAsiaTheme="minorEastAsia" w:cs="Calibri"/>
                <w:iCs/>
                <w:color w:val="FFFFFF"/>
                <w:sz w:val="21"/>
                <w:szCs w:val="22"/>
                <w:lang w:eastAsia="en-AU"/>
              </w:rPr>
              <w:t xml:space="preserve"> </w:t>
            </w:r>
          </w:p>
        </w:tc>
        <w:tc>
          <w:tcPr>
            <w:tcW w:w="1792" w:type="dxa"/>
            <w:gridSpan w:val="2"/>
            <w:tcBorders>
              <w:top w:val="single" w:sz="6" w:space="0" w:color="auto"/>
              <w:left w:val="nil"/>
              <w:bottom w:val="nil"/>
              <w:right w:val="nil"/>
            </w:tcBorders>
            <w:shd w:val="clear" w:color="000000" w:fill="000000"/>
          </w:tcPr>
          <w:p w:rsidR="00336793" w:rsidRPr="00E852F0" w:rsidRDefault="00336793" w:rsidP="00DF0B96">
            <w:pPr>
              <w:pStyle w:val="Tabletextheading"/>
              <w:jc w:val="center"/>
              <w:rPr>
                <w:rFonts w:eastAsiaTheme="minorEastAsia"/>
                <w:iCs/>
                <w:color w:val="FFFFFF"/>
                <w:sz w:val="21"/>
                <w:lang w:eastAsia="en-AU"/>
              </w:rPr>
            </w:pPr>
            <w:r w:rsidRPr="00E852F0">
              <w:rPr>
                <w:rFonts w:eastAsiaTheme="minorEastAsia"/>
                <w:iCs/>
                <w:color w:val="FFFFFF"/>
                <w:sz w:val="21"/>
                <w:lang w:eastAsia="en-AU"/>
              </w:rPr>
              <w:t>Public non</w:t>
            </w:r>
            <w:r>
              <w:rPr>
                <w:rFonts w:eastAsiaTheme="minorEastAsia"/>
                <w:iCs/>
                <w:color w:val="FFFFFF"/>
                <w:sz w:val="21"/>
                <w:lang w:eastAsia="en-AU"/>
              </w:rPr>
              <w:noBreakHyphen/>
            </w:r>
            <w:r w:rsidRPr="00E852F0">
              <w:rPr>
                <w:rFonts w:eastAsiaTheme="minorEastAsia"/>
                <w:iCs/>
                <w:color w:val="FFFFFF"/>
                <w:sz w:val="21"/>
                <w:lang w:eastAsia="en-AU"/>
              </w:rPr>
              <w:t>financial corporations</w:t>
            </w:r>
          </w:p>
        </w:tc>
        <w:tc>
          <w:tcPr>
            <w:tcW w:w="114" w:type="dxa"/>
            <w:tcBorders>
              <w:top w:val="single" w:sz="6" w:space="0" w:color="auto"/>
              <w:left w:val="nil"/>
              <w:bottom w:val="nil"/>
              <w:right w:val="nil"/>
            </w:tcBorders>
            <w:shd w:val="clear" w:color="000000" w:fill="000000"/>
          </w:tcPr>
          <w:p w:rsidR="00336793" w:rsidRPr="00E852F0" w:rsidRDefault="00336793" w:rsidP="00DF0B96">
            <w:pPr>
              <w:pStyle w:val="Tabletextheading"/>
              <w:jc w:val="center"/>
              <w:rPr>
                <w:rFonts w:eastAsiaTheme="minorEastAsia" w:cs="Calibri"/>
                <w:iCs/>
                <w:color w:val="FFFFFF"/>
                <w:sz w:val="21"/>
                <w:szCs w:val="22"/>
                <w:lang w:eastAsia="en-AU"/>
              </w:rPr>
            </w:pPr>
            <w:r w:rsidRPr="00E852F0">
              <w:rPr>
                <w:rFonts w:eastAsiaTheme="minorEastAsia" w:cs="Calibri"/>
                <w:iCs/>
                <w:color w:val="FFFFFF"/>
                <w:sz w:val="21"/>
                <w:szCs w:val="22"/>
                <w:lang w:eastAsia="en-AU"/>
              </w:rPr>
              <w:t xml:space="preserve"> </w:t>
            </w:r>
          </w:p>
        </w:tc>
        <w:tc>
          <w:tcPr>
            <w:tcW w:w="1966" w:type="dxa"/>
            <w:gridSpan w:val="2"/>
            <w:tcBorders>
              <w:top w:val="single" w:sz="6" w:space="0" w:color="auto"/>
              <w:left w:val="nil"/>
              <w:bottom w:val="nil"/>
              <w:right w:val="nil"/>
            </w:tcBorders>
            <w:shd w:val="clear" w:color="000000" w:fill="000000"/>
          </w:tcPr>
          <w:p w:rsidR="00336793" w:rsidRPr="00E852F0" w:rsidRDefault="00336793" w:rsidP="00DF0B96">
            <w:pPr>
              <w:pStyle w:val="Tabletextheading"/>
              <w:jc w:val="center"/>
              <w:rPr>
                <w:rFonts w:eastAsiaTheme="minorEastAsia" w:cs="Calibri"/>
                <w:iCs/>
                <w:color w:val="FFFFFF"/>
                <w:sz w:val="21"/>
                <w:szCs w:val="22"/>
                <w:lang w:eastAsia="en-AU"/>
              </w:rPr>
            </w:pPr>
            <w:r w:rsidRPr="00E852F0">
              <w:rPr>
                <w:rFonts w:eastAsiaTheme="minorEastAsia"/>
                <w:iCs/>
                <w:color w:val="FFFFFF"/>
                <w:sz w:val="21"/>
                <w:lang w:eastAsia="en-AU"/>
              </w:rPr>
              <w:t>Public</w:t>
            </w:r>
            <w:r w:rsidRPr="00E852F0">
              <w:rPr>
                <w:rFonts w:eastAsiaTheme="minorEastAsia" w:cs="Calibri"/>
                <w:iCs/>
                <w:color w:val="FFFFFF"/>
                <w:sz w:val="21"/>
                <w:szCs w:val="22"/>
                <w:lang w:eastAsia="en-AU"/>
              </w:rPr>
              <w:t xml:space="preserve"> </w:t>
            </w:r>
          </w:p>
          <w:p w:rsidR="00336793" w:rsidRPr="00E852F0" w:rsidRDefault="00336793" w:rsidP="00DF0B96">
            <w:pPr>
              <w:pStyle w:val="Tabletextheading"/>
              <w:jc w:val="center"/>
              <w:rPr>
                <w:rFonts w:eastAsiaTheme="minorEastAsia"/>
                <w:iCs/>
                <w:color w:val="FFFFFF"/>
                <w:sz w:val="21"/>
                <w:lang w:eastAsia="en-AU"/>
              </w:rPr>
            </w:pPr>
            <w:r w:rsidRPr="00E852F0">
              <w:rPr>
                <w:rFonts w:eastAsiaTheme="minorEastAsia"/>
                <w:iCs/>
                <w:color w:val="FFFFFF"/>
                <w:sz w:val="21"/>
                <w:lang w:eastAsia="en-AU"/>
              </w:rPr>
              <w:t>financial corporations</w:t>
            </w:r>
          </w:p>
        </w:tc>
        <w:tc>
          <w:tcPr>
            <w:tcW w:w="239" w:type="dxa"/>
            <w:tcBorders>
              <w:top w:val="single" w:sz="6" w:space="0" w:color="auto"/>
              <w:left w:val="nil"/>
              <w:bottom w:val="nil"/>
              <w:right w:val="nil"/>
            </w:tcBorders>
            <w:shd w:val="clear" w:color="000000" w:fill="000000"/>
          </w:tcPr>
          <w:p w:rsidR="00336793" w:rsidRPr="00E852F0" w:rsidRDefault="00336793" w:rsidP="00DF0B96">
            <w:pPr>
              <w:pStyle w:val="Tabletextheading"/>
              <w:jc w:val="center"/>
              <w:rPr>
                <w:rFonts w:eastAsiaTheme="minorEastAsia" w:cs="Calibri"/>
                <w:iCs/>
                <w:color w:val="FFFFFF"/>
                <w:sz w:val="21"/>
                <w:szCs w:val="22"/>
                <w:lang w:eastAsia="en-AU"/>
              </w:rPr>
            </w:pPr>
            <w:r w:rsidRPr="00E852F0">
              <w:rPr>
                <w:rFonts w:eastAsiaTheme="minorEastAsia" w:cs="Calibri"/>
                <w:iCs/>
                <w:color w:val="FFFFFF"/>
                <w:sz w:val="21"/>
                <w:szCs w:val="22"/>
                <w:lang w:eastAsia="en-AU"/>
              </w:rPr>
              <w:t xml:space="preserve"> </w:t>
            </w:r>
          </w:p>
        </w:tc>
        <w:tc>
          <w:tcPr>
            <w:tcW w:w="1841" w:type="dxa"/>
            <w:gridSpan w:val="2"/>
            <w:tcBorders>
              <w:top w:val="single" w:sz="6" w:space="0" w:color="auto"/>
              <w:left w:val="nil"/>
              <w:bottom w:val="nil"/>
              <w:right w:val="nil"/>
            </w:tcBorders>
            <w:shd w:val="clear" w:color="000000" w:fill="000000"/>
          </w:tcPr>
          <w:p w:rsidR="00336793" w:rsidRPr="00E852F0" w:rsidRDefault="00336793" w:rsidP="00DF0B96">
            <w:pPr>
              <w:pStyle w:val="Tabletextheading"/>
              <w:jc w:val="center"/>
              <w:rPr>
                <w:rFonts w:eastAsiaTheme="minorEastAsia"/>
                <w:iCs/>
                <w:color w:val="FFFFFF"/>
                <w:sz w:val="21"/>
                <w:lang w:eastAsia="en-AU"/>
              </w:rPr>
            </w:pPr>
          </w:p>
          <w:p w:rsidR="00336793" w:rsidRPr="00E852F0" w:rsidRDefault="00336793" w:rsidP="00DF0B96">
            <w:pPr>
              <w:pStyle w:val="Tabletextheading"/>
              <w:jc w:val="center"/>
              <w:rPr>
                <w:rFonts w:eastAsiaTheme="minorEastAsia"/>
                <w:iCs/>
                <w:color w:val="FFFFFF"/>
                <w:sz w:val="21"/>
                <w:lang w:eastAsia="en-AU"/>
              </w:rPr>
            </w:pPr>
            <w:r w:rsidRPr="00E852F0">
              <w:rPr>
                <w:rFonts w:eastAsiaTheme="minorEastAsia"/>
                <w:iCs/>
                <w:color w:val="FFFFFF"/>
                <w:sz w:val="21"/>
                <w:lang w:eastAsia="en-AU"/>
              </w:rPr>
              <w:t>Eliminations</w:t>
            </w:r>
          </w:p>
        </w:tc>
        <w:tc>
          <w:tcPr>
            <w:tcW w:w="285" w:type="dxa"/>
            <w:tcBorders>
              <w:top w:val="single" w:sz="6" w:space="0" w:color="auto"/>
              <w:left w:val="nil"/>
              <w:bottom w:val="nil"/>
              <w:right w:val="nil"/>
            </w:tcBorders>
            <w:shd w:val="clear" w:color="000000" w:fill="000000"/>
          </w:tcPr>
          <w:p w:rsidR="00336793" w:rsidRPr="00E852F0" w:rsidRDefault="00336793" w:rsidP="00DF0B96">
            <w:pPr>
              <w:pStyle w:val="Tabletextheading"/>
              <w:jc w:val="center"/>
              <w:rPr>
                <w:rFonts w:eastAsiaTheme="minorEastAsia" w:cs="Calibri"/>
                <w:iCs/>
                <w:color w:val="FFFFFF"/>
                <w:sz w:val="21"/>
                <w:szCs w:val="22"/>
                <w:lang w:eastAsia="en-AU"/>
              </w:rPr>
            </w:pPr>
            <w:r w:rsidRPr="00E852F0">
              <w:rPr>
                <w:rFonts w:eastAsiaTheme="minorEastAsia" w:cs="Calibri"/>
                <w:iCs/>
                <w:color w:val="FFFFFF"/>
                <w:sz w:val="21"/>
                <w:szCs w:val="22"/>
                <w:lang w:eastAsia="en-AU"/>
              </w:rPr>
              <w:t xml:space="preserve"> </w:t>
            </w:r>
          </w:p>
        </w:tc>
        <w:tc>
          <w:tcPr>
            <w:tcW w:w="1795" w:type="dxa"/>
            <w:gridSpan w:val="2"/>
            <w:tcBorders>
              <w:top w:val="single" w:sz="6" w:space="0" w:color="auto"/>
              <w:left w:val="nil"/>
              <w:bottom w:val="nil"/>
              <w:right w:val="single" w:sz="6" w:space="0" w:color="auto"/>
            </w:tcBorders>
            <w:shd w:val="clear" w:color="000000" w:fill="000000"/>
          </w:tcPr>
          <w:p w:rsidR="00336793" w:rsidRPr="00E852F0" w:rsidRDefault="00336793" w:rsidP="00DF0B96">
            <w:pPr>
              <w:pStyle w:val="Tabletextheading"/>
              <w:jc w:val="center"/>
              <w:rPr>
                <w:rFonts w:eastAsiaTheme="minorEastAsia"/>
                <w:iCs/>
                <w:color w:val="FFFFFF"/>
                <w:sz w:val="21"/>
                <w:lang w:eastAsia="en-AU"/>
              </w:rPr>
            </w:pPr>
          </w:p>
          <w:p w:rsidR="00336793" w:rsidRPr="00E852F0" w:rsidRDefault="00336793" w:rsidP="00DF0B96">
            <w:pPr>
              <w:pStyle w:val="Tabletextheading"/>
              <w:jc w:val="center"/>
              <w:rPr>
                <w:rFonts w:eastAsiaTheme="minorEastAsia"/>
                <w:iCs/>
                <w:color w:val="FFFFFF"/>
                <w:sz w:val="21"/>
                <w:lang w:eastAsia="en-AU"/>
              </w:rPr>
            </w:pPr>
            <w:r w:rsidRPr="00E852F0">
              <w:rPr>
                <w:rFonts w:eastAsiaTheme="minorEastAsia"/>
                <w:iCs/>
                <w:color w:val="FFFFFF"/>
                <w:sz w:val="21"/>
                <w:lang w:eastAsia="en-AU"/>
              </w:rPr>
              <w:t>State of Victoria</w:t>
            </w:r>
          </w:p>
        </w:tc>
      </w:tr>
      <w:tr w:rsidR="00336793" w:rsidRPr="00E852F0" w:rsidTr="00DF0B96">
        <w:tc>
          <w:tcPr>
            <w:tcW w:w="4170" w:type="dxa"/>
            <w:tcBorders>
              <w:top w:val="nil"/>
              <w:left w:val="single" w:sz="6" w:space="0" w:color="auto"/>
              <w:bottom w:val="single" w:sz="6" w:space="0" w:color="auto"/>
              <w:right w:val="nil"/>
            </w:tcBorders>
            <w:shd w:val="clear" w:color="000000" w:fill="000000"/>
          </w:tcPr>
          <w:p w:rsidR="00336793" w:rsidRPr="00E852F0" w:rsidRDefault="00336793" w:rsidP="00DF0B96">
            <w:pPr>
              <w:pStyle w:val="Tabletext"/>
              <w:rPr>
                <w:rFonts w:eastAsiaTheme="minorEastAsia"/>
                <w:sz w:val="21"/>
                <w:lang w:eastAsia="en-AU"/>
              </w:rPr>
            </w:pPr>
            <w:r w:rsidRPr="00E852F0">
              <w:rPr>
                <w:rFonts w:eastAsiaTheme="minorEastAsia"/>
                <w:sz w:val="21"/>
                <w:lang w:eastAsia="en-AU"/>
              </w:rPr>
              <w:t xml:space="preserve"> </w:t>
            </w:r>
          </w:p>
        </w:tc>
        <w:tc>
          <w:tcPr>
            <w:tcW w:w="1040" w:type="dxa"/>
            <w:gridSpan w:val="2"/>
            <w:tcBorders>
              <w:top w:val="nil"/>
              <w:left w:val="nil"/>
              <w:bottom w:val="single" w:sz="6" w:space="0" w:color="auto"/>
              <w:right w:val="nil"/>
            </w:tcBorders>
            <w:shd w:val="clear" w:color="000000" w:fill="000000"/>
          </w:tcPr>
          <w:p w:rsidR="00336793" w:rsidRPr="00E852F0" w:rsidRDefault="00336793" w:rsidP="00DF0B96">
            <w:pPr>
              <w:pStyle w:val="Tabletextheading"/>
              <w:rPr>
                <w:rFonts w:eastAsiaTheme="minorEastAsia"/>
                <w:iCs/>
                <w:color w:val="FFFFFF"/>
                <w:sz w:val="21"/>
                <w:lang w:eastAsia="en-AU"/>
              </w:rPr>
            </w:pPr>
            <w:r w:rsidRPr="00E852F0">
              <w:rPr>
                <w:rFonts w:eastAsiaTheme="minorEastAsia"/>
                <w:iCs/>
                <w:color w:val="FFFFFF"/>
                <w:sz w:val="21"/>
                <w:lang w:eastAsia="en-AU"/>
              </w:rPr>
              <w:t>2015</w:t>
            </w:r>
          </w:p>
        </w:tc>
        <w:tc>
          <w:tcPr>
            <w:tcW w:w="1040" w:type="dxa"/>
            <w:tcBorders>
              <w:top w:val="nil"/>
              <w:left w:val="nil"/>
              <w:bottom w:val="single" w:sz="6" w:space="0" w:color="auto"/>
              <w:right w:val="nil"/>
            </w:tcBorders>
            <w:shd w:val="clear" w:color="000000" w:fill="000000"/>
          </w:tcPr>
          <w:p w:rsidR="00336793" w:rsidRPr="00E852F0" w:rsidRDefault="00336793" w:rsidP="00DF0B96">
            <w:pPr>
              <w:pStyle w:val="Tabletextheading"/>
              <w:rPr>
                <w:rFonts w:eastAsiaTheme="minorEastAsia"/>
                <w:iCs/>
                <w:color w:val="FFFFFF"/>
                <w:sz w:val="21"/>
                <w:lang w:eastAsia="en-AU"/>
              </w:rPr>
            </w:pPr>
            <w:r w:rsidRPr="00E852F0">
              <w:rPr>
                <w:rFonts w:eastAsiaTheme="minorEastAsia"/>
                <w:iCs/>
                <w:color w:val="FFFFFF"/>
                <w:sz w:val="21"/>
                <w:lang w:eastAsia="en-AU"/>
              </w:rPr>
              <w:t>2014</w:t>
            </w:r>
          </w:p>
        </w:tc>
        <w:tc>
          <w:tcPr>
            <w:tcW w:w="1040" w:type="dxa"/>
            <w:gridSpan w:val="2"/>
            <w:tcBorders>
              <w:top w:val="nil"/>
              <w:left w:val="nil"/>
              <w:bottom w:val="single" w:sz="6" w:space="0" w:color="auto"/>
              <w:right w:val="nil"/>
            </w:tcBorders>
            <w:shd w:val="clear" w:color="000000" w:fill="000000"/>
          </w:tcPr>
          <w:p w:rsidR="00336793" w:rsidRPr="00E852F0" w:rsidRDefault="00336793" w:rsidP="00DF0B96">
            <w:pPr>
              <w:pStyle w:val="Tabletextheading"/>
              <w:rPr>
                <w:rFonts w:eastAsiaTheme="minorEastAsia"/>
                <w:iCs/>
                <w:color w:val="FFFFFF"/>
                <w:sz w:val="21"/>
                <w:lang w:eastAsia="en-AU"/>
              </w:rPr>
            </w:pPr>
            <w:r w:rsidRPr="00E852F0">
              <w:rPr>
                <w:rFonts w:eastAsiaTheme="minorEastAsia"/>
                <w:iCs/>
                <w:color w:val="FFFFFF"/>
                <w:sz w:val="21"/>
                <w:lang w:eastAsia="en-AU"/>
              </w:rPr>
              <w:t>2015</w:t>
            </w:r>
          </w:p>
        </w:tc>
        <w:tc>
          <w:tcPr>
            <w:tcW w:w="1040" w:type="dxa"/>
            <w:tcBorders>
              <w:top w:val="nil"/>
              <w:left w:val="nil"/>
              <w:bottom w:val="single" w:sz="6" w:space="0" w:color="auto"/>
              <w:right w:val="nil"/>
            </w:tcBorders>
            <w:shd w:val="clear" w:color="000000" w:fill="000000"/>
          </w:tcPr>
          <w:p w:rsidR="00336793" w:rsidRPr="00E852F0" w:rsidRDefault="00336793" w:rsidP="00DF0B96">
            <w:pPr>
              <w:pStyle w:val="Tabletextheading"/>
              <w:rPr>
                <w:rFonts w:eastAsiaTheme="minorEastAsia"/>
                <w:iCs/>
                <w:color w:val="FFFFFF"/>
                <w:sz w:val="21"/>
                <w:lang w:eastAsia="en-AU"/>
              </w:rPr>
            </w:pPr>
            <w:r w:rsidRPr="00E852F0">
              <w:rPr>
                <w:rFonts w:eastAsiaTheme="minorEastAsia"/>
                <w:iCs/>
                <w:color w:val="FFFFFF"/>
                <w:sz w:val="21"/>
                <w:lang w:eastAsia="en-AU"/>
              </w:rPr>
              <w:t>2014</w:t>
            </w:r>
          </w:p>
        </w:tc>
        <w:tc>
          <w:tcPr>
            <w:tcW w:w="1040" w:type="dxa"/>
            <w:gridSpan w:val="2"/>
            <w:tcBorders>
              <w:top w:val="nil"/>
              <w:left w:val="nil"/>
              <w:bottom w:val="single" w:sz="6" w:space="0" w:color="auto"/>
              <w:right w:val="nil"/>
            </w:tcBorders>
            <w:shd w:val="clear" w:color="000000" w:fill="000000"/>
          </w:tcPr>
          <w:p w:rsidR="00336793" w:rsidRPr="00E852F0" w:rsidRDefault="00336793" w:rsidP="00DF0B96">
            <w:pPr>
              <w:pStyle w:val="Tabletextheading"/>
              <w:rPr>
                <w:rFonts w:eastAsiaTheme="minorEastAsia"/>
                <w:iCs/>
                <w:color w:val="FFFFFF"/>
                <w:sz w:val="21"/>
                <w:lang w:eastAsia="en-AU"/>
              </w:rPr>
            </w:pPr>
            <w:r w:rsidRPr="00E852F0">
              <w:rPr>
                <w:rFonts w:eastAsiaTheme="minorEastAsia"/>
                <w:iCs/>
                <w:color w:val="FFFFFF"/>
                <w:sz w:val="21"/>
                <w:lang w:eastAsia="en-AU"/>
              </w:rPr>
              <w:t>2015</w:t>
            </w:r>
          </w:p>
        </w:tc>
        <w:tc>
          <w:tcPr>
            <w:tcW w:w="1040" w:type="dxa"/>
            <w:tcBorders>
              <w:top w:val="nil"/>
              <w:left w:val="nil"/>
              <w:bottom w:val="single" w:sz="6" w:space="0" w:color="auto"/>
              <w:right w:val="nil"/>
            </w:tcBorders>
            <w:shd w:val="clear" w:color="000000" w:fill="000000"/>
          </w:tcPr>
          <w:p w:rsidR="00336793" w:rsidRPr="00E852F0" w:rsidRDefault="00336793" w:rsidP="00DF0B96">
            <w:pPr>
              <w:pStyle w:val="Tabletextheading"/>
              <w:rPr>
                <w:rFonts w:eastAsiaTheme="minorEastAsia"/>
                <w:iCs/>
                <w:color w:val="FFFFFF"/>
                <w:sz w:val="21"/>
                <w:lang w:eastAsia="en-AU"/>
              </w:rPr>
            </w:pPr>
            <w:r w:rsidRPr="00E852F0">
              <w:rPr>
                <w:rFonts w:eastAsiaTheme="minorEastAsia"/>
                <w:iCs/>
                <w:color w:val="FFFFFF"/>
                <w:sz w:val="21"/>
                <w:lang w:eastAsia="en-AU"/>
              </w:rPr>
              <w:t>2014</w:t>
            </w:r>
          </w:p>
        </w:tc>
        <w:tc>
          <w:tcPr>
            <w:tcW w:w="1040" w:type="dxa"/>
            <w:gridSpan w:val="2"/>
            <w:tcBorders>
              <w:top w:val="nil"/>
              <w:left w:val="nil"/>
              <w:bottom w:val="single" w:sz="6" w:space="0" w:color="auto"/>
              <w:right w:val="nil"/>
            </w:tcBorders>
            <w:shd w:val="clear" w:color="000000" w:fill="000000"/>
          </w:tcPr>
          <w:p w:rsidR="00336793" w:rsidRPr="00E852F0" w:rsidRDefault="00336793" w:rsidP="00DF0B96">
            <w:pPr>
              <w:pStyle w:val="Tabletextheading"/>
              <w:rPr>
                <w:rFonts w:eastAsiaTheme="minorEastAsia"/>
                <w:iCs/>
                <w:color w:val="FFFFFF"/>
                <w:sz w:val="21"/>
                <w:lang w:eastAsia="en-AU"/>
              </w:rPr>
            </w:pPr>
            <w:r w:rsidRPr="00E852F0">
              <w:rPr>
                <w:rFonts w:eastAsiaTheme="minorEastAsia"/>
                <w:iCs/>
                <w:color w:val="FFFFFF"/>
                <w:sz w:val="21"/>
                <w:lang w:eastAsia="en-AU"/>
              </w:rPr>
              <w:t>2015</w:t>
            </w:r>
          </w:p>
        </w:tc>
        <w:tc>
          <w:tcPr>
            <w:tcW w:w="1040" w:type="dxa"/>
            <w:tcBorders>
              <w:top w:val="nil"/>
              <w:left w:val="nil"/>
              <w:bottom w:val="single" w:sz="6" w:space="0" w:color="auto"/>
              <w:right w:val="nil"/>
            </w:tcBorders>
            <w:shd w:val="clear" w:color="000000" w:fill="000000"/>
          </w:tcPr>
          <w:p w:rsidR="00336793" w:rsidRPr="00E852F0" w:rsidRDefault="00336793" w:rsidP="00DF0B96">
            <w:pPr>
              <w:pStyle w:val="Tabletextheading"/>
              <w:rPr>
                <w:rFonts w:eastAsiaTheme="minorEastAsia"/>
                <w:iCs/>
                <w:color w:val="FFFFFF"/>
                <w:sz w:val="21"/>
                <w:lang w:eastAsia="en-AU"/>
              </w:rPr>
            </w:pPr>
            <w:r w:rsidRPr="00E852F0">
              <w:rPr>
                <w:rFonts w:eastAsiaTheme="minorEastAsia"/>
                <w:iCs/>
                <w:color w:val="FFFFFF"/>
                <w:sz w:val="21"/>
                <w:lang w:eastAsia="en-AU"/>
              </w:rPr>
              <w:t>2014</w:t>
            </w:r>
          </w:p>
        </w:tc>
        <w:tc>
          <w:tcPr>
            <w:tcW w:w="1040" w:type="dxa"/>
            <w:gridSpan w:val="2"/>
            <w:tcBorders>
              <w:top w:val="nil"/>
              <w:left w:val="nil"/>
              <w:bottom w:val="single" w:sz="6" w:space="0" w:color="auto"/>
              <w:right w:val="nil"/>
            </w:tcBorders>
            <w:shd w:val="clear" w:color="000000" w:fill="000000"/>
          </w:tcPr>
          <w:p w:rsidR="00336793" w:rsidRPr="00E852F0" w:rsidRDefault="00336793" w:rsidP="00DF0B96">
            <w:pPr>
              <w:pStyle w:val="Tabletextheading"/>
              <w:rPr>
                <w:rFonts w:eastAsiaTheme="minorEastAsia"/>
                <w:iCs/>
                <w:color w:val="FFFFFF"/>
                <w:sz w:val="21"/>
                <w:lang w:eastAsia="en-AU"/>
              </w:rPr>
            </w:pPr>
            <w:r w:rsidRPr="00E852F0">
              <w:rPr>
                <w:rFonts w:eastAsiaTheme="minorEastAsia"/>
                <w:iCs/>
                <w:color w:val="FFFFFF"/>
                <w:sz w:val="21"/>
                <w:lang w:eastAsia="en-AU"/>
              </w:rPr>
              <w:t>2015</w:t>
            </w:r>
          </w:p>
        </w:tc>
        <w:tc>
          <w:tcPr>
            <w:tcW w:w="1040" w:type="dxa"/>
            <w:tcBorders>
              <w:top w:val="nil"/>
              <w:left w:val="nil"/>
              <w:bottom w:val="single" w:sz="6" w:space="0" w:color="auto"/>
              <w:right w:val="single" w:sz="6" w:space="0" w:color="auto"/>
            </w:tcBorders>
            <w:shd w:val="clear" w:color="000000" w:fill="000000"/>
          </w:tcPr>
          <w:p w:rsidR="00336793" w:rsidRPr="00E852F0" w:rsidRDefault="00336793" w:rsidP="00DF0B96">
            <w:pPr>
              <w:pStyle w:val="Tabletextheading"/>
              <w:rPr>
                <w:rFonts w:eastAsiaTheme="minorEastAsia"/>
                <w:iCs/>
                <w:color w:val="FFFFFF"/>
                <w:sz w:val="21"/>
                <w:lang w:eastAsia="en-AU"/>
              </w:rPr>
            </w:pPr>
            <w:r w:rsidRPr="00E852F0">
              <w:rPr>
                <w:rFonts w:eastAsiaTheme="minorEastAsia"/>
                <w:iCs/>
                <w:color w:val="FFFFFF"/>
                <w:sz w:val="21"/>
                <w:lang w:eastAsia="en-AU"/>
              </w:rPr>
              <w:t>2014</w:t>
            </w:r>
          </w:p>
        </w:tc>
      </w:tr>
      <w:tr w:rsidR="00336793" w:rsidRPr="00E852F0" w:rsidTr="00DF0B96">
        <w:tc>
          <w:tcPr>
            <w:tcW w:w="4170" w:type="dxa"/>
            <w:tcBorders>
              <w:top w:val="single" w:sz="6" w:space="0" w:color="auto"/>
              <w:left w:val="nil"/>
              <w:bottom w:val="nil"/>
              <w:right w:val="nil"/>
            </w:tcBorders>
            <w:shd w:val="solid" w:color="FFFFFF" w:fill="auto"/>
          </w:tcPr>
          <w:p w:rsidR="00336793" w:rsidRPr="00E852F0" w:rsidRDefault="00336793" w:rsidP="00DF0B96">
            <w:pPr>
              <w:pStyle w:val="Tabletext"/>
              <w:rPr>
                <w:rFonts w:eastAsiaTheme="minorEastAsia"/>
                <w:b/>
                <w:sz w:val="21"/>
                <w:lang w:eastAsia="en-AU"/>
              </w:rPr>
            </w:pPr>
            <w:r w:rsidRPr="00E852F0">
              <w:rPr>
                <w:rFonts w:eastAsiaTheme="minorEastAsia"/>
                <w:b/>
                <w:sz w:val="21"/>
                <w:lang w:eastAsia="en-AU"/>
              </w:rPr>
              <w:t>Cash surplus/(deficit)</w:t>
            </w:r>
          </w:p>
        </w:tc>
        <w:tc>
          <w:tcPr>
            <w:tcW w:w="1040" w:type="dxa"/>
            <w:gridSpan w:val="2"/>
            <w:tcBorders>
              <w:top w:val="single" w:sz="6" w:space="0" w:color="auto"/>
              <w:left w:val="nil"/>
              <w:bottom w:val="nil"/>
              <w:right w:val="nil"/>
            </w:tcBorders>
          </w:tcPr>
          <w:p w:rsidR="00336793" w:rsidRPr="00E852F0" w:rsidRDefault="00336793" w:rsidP="00DF0B96">
            <w:pPr>
              <w:pStyle w:val="TableofFigures"/>
              <w:rPr>
                <w:rFonts w:eastAsiaTheme="minorEastAsia" w:cs="Calibri"/>
                <w:b/>
                <w:bCs/>
                <w:color w:val="000000"/>
                <w:szCs w:val="22"/>
                <w:lang w:eastAsia="en-AU"/>
              </w:rPr>
            </w:pPr>
            <w:r>
              <w:rPr>
                <w:rFonts w:eastAsiaTheme="minorEastAsia"/>
                <w:b/>
                <w:sz w:val="21"/>
                <w:lang w:eastAsia="en-AU"/>
              </w:rPr>
              <w:t>(</w:t>
            </w:r>
            <w:r w:rsidRPr="00E852F0">
              <w:rPr>
                <w:rFonts w:eastAsiaTheme="minorEastAsia" w:cs="Calibri"/>
                <w:b/>
                <w:bCs/>
                <w:color w:val="000000"/>
                <w:sz w:val="21"/>
                <w:szCs w:val="22"/>
                <w:lang w:eastAsia="en-AU"/>
              </w:rPr>
              <w:t>176.9)</w:t>
            </w:r>
          </w:p>
        </w:tc>
        <w:tc>
          <w:tcPr>
            <w:tcW w:w="1040" w:type="dxa"/>
            <w:tcBorders>
              <w:top w:val="single" w:sz="6" w:space="0" w:color="auto"/>
              <w:left w:val="nil"/>
              <w:bottom w:val="nil"/>
              <w:right w:val="nil"/>
            </w:tcBorders>
          </w:tcPr>
          <w:p w:rsidR="00336793" w:rsidRPr="00E852F0" w:rsidRDefault="00336793" w:rsidP="00DF0B96">
            <w:pPr>
              <w:pStyle w:val="TableofFigures"/>
              <w:rPr>
                <w:rFonts w:eastAsiaTheme="minorEastAsia"/>
                <w:b/>
                <w:sz w:val="21"/>
                <w:lang w:eastAsia="en-AU"/>
              </w:rPr>
            </w:pPr>
            <w:r w:rsidRPr="00E852F0">
              <w:rPr>
                <w:rFonts w:eastAsiaTheme="minorEastAsia"/>
                <w:b/>
                <w:sz w:val="21"/>
                <w:lang w:eastAsia="en-AU"/>
              </w:rPr>
              <w:t xml:space="preserve"> 216.2</w:t>
            </w:r>
          </w:p>
        </w:tc>
        <w:tc>
          <w:tcPr>
            <w:tcW w:w="1040" w:type="dxa"/>
            <w:gridSpan w:val="2"/>
            <w:tcBorders>
              <w:top w:val="single" w:sz="6" w:space="0" w:color="auto"/>
              <w:left w:val="nil"/>
              <w:bottom w:val="nil"/>
              <w:right w:val="nil"/>
            </w:tcBorders>
          </w:tcPr>
          <w:p w:rsidR="00336793" w:rsidRPr="00E852F0" w:rsidRDefault="00336793" w:rsidP="00DF0B96">
            <w:pPr>
              <w:pStyle w:val="TableofFigures"/>
              <w:rPr>
                <w:rFonts w:eastAsiaTheme="minorEastAsia" w:cs="Calibri"/>
                <w:b/>
                <w:bCs/>
                <w:color w:val="000000"/>
                <w:szCs w:val="22"/>
                <w:lang w:eastAsia="en-AU"/>
              </w:rPr>
            </w:pPr>
            <w:r>
              <w:rPr>
                <w:rFonts w:eastAsiaTheme="minorEastAsia"/>
                <w:b/>
                <w:sz w:val="21"/>
                <w:lang w:eastAsia="en-AU"/>
              </w:rPr>
              <w:t>(</w:t>
            </w:r>
            <w:r w:rsidRPr="00E852F0">
              <w:rPr>
                <w:rFonts w:eastAsiaTheme="minorEastAsia" w:cs="Calibri"/>
                <w:b/>
                <w:bCs/>
                <w:color w:val="000000"/>
                <w:sz w:val="21"/>
                <w:szCs w:val="22"/>
                <w:lang w:eastAsia="en-AU"/>
              </w:rPr>
              <w:t>614.7)</w:t>
            </w:r>
          </w:p>
        </w:tc>
        <w:tc>
          <w:tcPr>
            <w:tcW w:w="1040" w:type="dxa"/>
            <w:tcBorders>
              <w:top w:val="single" w:sz="6" w:space="0" w:color="auto"/>
              <w:left w:val="nil"/>
              <w:bottom w:val="nil"/>
              <w:right w:val="nil"/>
            </w:tcBorders>
          </w:tcPr>
          <w:p w:rsidR="00336793" w:rsidRPr="00E852F0" w:rsidRDefault="00336793" w:rsidP="00DF0B96">
            <w:pPr>
              <w:pStyle w:val="TableofFigures"/>
              <w:rPr>
                <w:rFonts w:eastAsiaTheme="minorEastAsia"/>
                <w:b/>
                <w:sz w:val="21"/>
                <w:lang w:eastAsia="en-AU"/>
              </w:rPr>
            </w:pPr>
            <w:r w:rsidRPr="00E852F0">
              <w:rPr>
                <w:rFonts w:eastAsiaTheme="minorEastAsia"/>
                <w:b/>
                <w:sz w:val="21"/>
                <w:lang w:eastAsia="en-AU"/>
              </w:rPr>
              <w:t>(1 280.9)</w:t>
            </w:r>
          </w:p>
        </w:tc>
        <w:tc>
          <w:tcPr>
            <w:tcW w:w="1040" w:type="dxa"/>
            <w:gridSpan w:val="2"/>
            <w:tcBorders>
              <w:top w:val="single" w:sz="6" w:space="0" w:color="auto"/>
              <w:left w:val="nil"/>
              <w:bottom w:val="nil"/>
              <w:right w:val="nil"/>
            </w:tcBorders>
          </w:tcPr>
          <w:p w:rsidR="00336793" w:rsidRPr="00E852F0" w:rsidRDefault="00336793" w:rsidP="00DF0B96">
            <w:pPr>
              <w:pStyle w:val="TableofFigures"/>
              <w:rPr>
                <w:rFonts w:eastAsiaTheme="minorEastAsia"/>
                <w:b/>
                <w:sz w:val="21"/>
                <w:lang w:eastAsia="en-AU"/>
              </w:rPr>
            </w:pPr>
            <w:r w:rsidRPr="00E852F0">
              <w:rPr>
                <w:rFonts w:eastAsiaTheme="minorEastAsia"/>
                <w:b/>
                <w:sz w:val="21"/>
                <w:lang w:eastAsia="en-AU"/>
              </w:rPr>
              <w:t xml:space="preserve"> 399.1</w:t>
            </w:r>
          </w:p>
        </w:tc>
        <w:tc>
          <w:tcPr>
            <w:tcW w:w="1040" w:type="dxa"/>
            <w:tcBorders>
              <w:top w:val="single" w:sz="6" w:space="0" w:color="auto"/>
              <w:left w:val="nil"/>
              <w:bottom w:val="nil"/>
              <w:right w:val="nil"/>
            </w:tcBorders>
          </w:tcPr>
          <w:p w:rsidR="00336793" w:rsidRPr="00E852F0" w:rsidRDefault="00336793" w:rsidP="00DF0B96">
            <w:pPr>
              <w:pStyle w:val="TableofFigures"/>
              <w:rPr>
                <w:rFonts w:eastAsiaTheme="minorEastAsia"/>
                <w:b/>
                <w:sz w:val="21"/>
                <w:lang w:eastAsia="en-AU"/>
              </w:rPr>
            </w:pPr>
            <w:r w:rsidRPr="00E852F0">
              <w:rPr>
                <w:rFonts w:eastAsiaTheme="minorEastAsia"/>
                <w:b/>
                <w:sz w:val="21"/>
                <w:lang w:eastAsia="en-AU"/>
              </w:rPr>
              <w:t>1 246.7</w:t>
            </w:r>
          </w:p>
        </w:tc>
        <w:tc>
          <w:tcPr>
            <w:tcW w:w="1040" w:type="dxa"/>
            <w:gridSpan w:val="2"/>
            <w:tcBorders>
              <w:top w:val="single" w:sz="6" w:space="0" w:color="auto"/>
              <w:left w:val="nil"/>
              <w:bottom w:val="nil"/>
              <w:right w:val="nil"/>
            </w:tcBorders>
          </w:tcPr>
          <w:p w:rsidR="00336793" w:rsidRPr="00E852F0" w:rsidRDefault="00336793" w:rsidP="00DF0B96">
            <w:pPr>
              <w:pStyle w:val="TableofFigures"/>
              <w:rPr>
                <w:rFonts w:eastAsiaTheme="minorEastAsia"/>
                <w:b/>
                <w:sz w:val="21"/>
                <w:lang w:eastAsia="en-AU"/>
              </w:rPr>
            </w:pPr>
            <w:r w:rsidRPr="00E852F0">
              <w:rPr>
                <w:rFonts w:eastAsiaTheme="minorEastAsia"/>
                <w:b/>
                <w:sz w:val="21"/>
                <w:lang w:eastAsia="en-AU"/>
              </w:rPr>
              <w:t xml:space="preserve"> 24.5</w:t>
            </w:r>
          </w:p>
        </w:tc>
        <w:tc>
          <w:tcPr>
            <w:tcW w:w="1040" w:type="dxa"/>
            <w:tcBorders>
              <w:top w:val="single" w:sz="6" w:space="0" w:color="auto"/>
              <w:left w:val="nil"/>
              <w:bottom w:val="nil"/>
              <w:right w:val="nil"/>
            </w:tcBorders>
          </w:tcPr>
          <w:p w:rsidR="00336793" w:rsidRPr="00E852F0" w:rsidRDefault="00336793" w:rsidP="00DF0B96">
            <w:pPr>
              <w:pStyle w:val="TableofFigures"/>
              <w:rPr>
                <w:rFonts w:eastAsiaTheme="minorEastAsia" w:cs="Calibri"/>
                <w:b/>
                <w:bCs/>
                <w:color w:val="000000"/>
                <w:szCs w:val="22"/>
                <w:lang w:eastAsia="en-AU"/>
              </w:rPr>
            </w:pPr>
            <w:r>
              <w:rPr>
                <w:rFonts w:eastAsiaTheme="minorEastAsia"/>
                <w:b/>
                <w:sz w:val="21"/>
                <w:lang w:eastAsia="en-AU"/>
              </w:rPr>
              <w:t>(</w:t>
            </w:r>
            <w:r w:rsidRPr="00E852F0">
              <w:rPr>
                <w:rFonts w:eastAsiaTheme="minorEastAsia" w:cs="Calibri"/>
                <w:b/>
                <w:bCs/>
                <w:color w:val="000000"/>
                <w:sz w:val="21"/>
                <w:szCs w:val="22"/>
                <w:lang w:eastAsia="en-AU"/>
              </w:rPr>
              <w:t>164.0)</w:t>
            </w:r>
          </w:p>
        </w:tc>
        <w:tc>
          <w:tcPr>
            <w:tcW w:w="1040" w:type="dxa"/>
            <w:gridSpan w:val="2"/>
            <w:tcBorders>
              <w:top w:val="single" w:sz="6" w:space="0" w:color="auto"/>
              <w:left w:val="nil"/>
              <w:bottom w:val="nil"/>
              <w:right w:val="nil"/>
            </w:tcBorders>
          </w:tcPr>
          <w:p w:rsidR="00336793" w:rsidRPr="00E852F0" w:rsidRDefault="00336793" w:rsidP="00DF0B96">
            <w:pPr>
              <w:pStyle w:val="TableofFigures"/>
              <w:rPr>
                <w:rFonts w:eastAsiaTheme="minorEastAsia" w:cs="Calibri"/>
                <w:b/>
                <w:bCs/>
                <w:color w:val="000000"/>
                <w:szCs w:val="22"/>
                <w:lang w:eastAsia="en-AU"/>
              </w:rPr>
            </w:pPr>
            <w:r>
              <w:rPr>
                <w:rFonts w:eastAsiaTheme="minorEastAsia"/>
                <w:b/>
                <w:sz w:val="21"/>
                <w:lang w:eastAsia="en-AU"/>
              </w:rPr>
              <w:t>(</w:t>
            </w:r>
            <w:r w:rsidRPr="00E852F0">
              <w:rPr>
                <w:rFonts w:eastAsiaTheme="minorEastAsia" w:cs="Calibri"/>
                <w:b/>
                <w:bCs/>
                <w:color w:val="000000"/>
                <w:sz w:val="21"/>
                <w:szCs w:val="22"/>
                <w:lang w:eastAsia="en-AU"/>
              </w:rPr>
              <w:t>368.0)</w:t>
            </w:r>
          </w:p>
        </w:tc>
        <w:tc>
          <w:tcPr>
            <w:tcW w:w="1040" w:type="dxa"/>
            <w:tcBorders>
              <w:top w:val="single" w:sz="6" w:space="0" w:color="auto"/>
              <w:left w:val="nil"/>
              <w:bottom w:val="nil"/>
              <w:right w:val="nil"/>
            </w:tcBorders>
          </w:tcPr>
          <w:p w:rsidR="00336793" w:rsidRPr="00E852F0" w:rsidRDefault="00336793" w:rsidP="00DF0B96">
            <w:pPr>
              <w:pStyle w:val="TableofFigures"/>
              <w:rPr>
                <w:rFonts w:eastAsiaTheme="minorEastAsia"/>
                <w:b/>
                <w:sz w:val="21"/>
                <w:lang w:eastAsia="en-AU"/>
              </w:rPr>
            </w:pPr>
            <w:r w:rsidRPr="00E852F0">
              <w:rPr>
                <w:rFonts w:eastAsiaTheme="minorEastAsia"/>
                <w:b/>
                <w:sz w:val="21"/>
                <w:lang w:eastAsia="en-AU"/>
              </w:rPr>
              <w:t xml:space="preserve"> 17.9</w:t>
            </w:r>
          </w:p>
        </w:tc>
      </w:tr>
      <w:tr w:rsidR="00336793" w:rsidRPr="00E852F0" w:rsidTr="00DF0B96">
        <w:tc>
          <w:tcPr>
            <w:tcW w:w="4170" w:type="dxa"/>
            <w:tcBorders>
              <w:top w:val="nil"/>
              <w:left w:val="nil"/>
              <w:bottom w:val="nil"/>
              <w:right w:val="nil"/>
            </w:tcBorders>
            <w:shd w:val="solid" w:color="FFFFFF" w:fill="auto"/>
          </w:tcPr>
          <w:p w:rsidR="00336793" w:rsidRPr="00E852F0" w:rsidRDefault="00336793" w:rsidP="00DF0B96">
            <w:pPr>
              <w:pStyle w:val="Tabletext"/>
              <w:rPr>
                <w:rFonts w:eastAsiaTheme="minorEastAsia"/>
                <w:i/>
                <w:iCs/>
                <w:sz w:val="21"/>
                <w:lang w:eastAsia="en-AU"/>
              </w:rPr>
            </w:pPr>
            <w:r w:rsidRPr="00E852F0">
              <w:rPr>
                <w:rFonts w:eastAsiaTheme="minorEastAsia"/>
                <w:i/>
                <w:iCs/>
                <w:sz w:val="21"/>
                <w:lang w:eastAsia="en-AU"/>
              </w:rPr>
              <w:t>Convergence differences:</w:t>
            </w:r>
          </w:p>
        </w:tc>
        <w:tc>
          <w:tcPr>
            <w:tcW w:w="1040" w:type="dxa"/>
            <w:gridSpan w:val="2"/>
            <w:tcBorders>
              <w:top w:val="nil"/>
              <w:left w:val="nil"/>
              <w:bottom w:val="nil"/>
              <w:right w:val="nil"/>
            </w:tcBorders>
            <w:shd w:val="solid" w:color="FFFFFF" w:fill="auto"/>
          </w:tcPr>
          <w:p w:rsidR="00336793" w:rsidRPr="00E852F0" w:rsidRDefault="00336793" w:rsidP="00DF0B96">
            <w:pPr>
              <w:pStyle w:val="TableofFigures"/>
              <w:rPr>
                <w:rFonts w:eastAsiaTheme="minorEastAsia"/>
                <w:i/>
                <w:sz w:val="21"/>
                <w:lang w:eastAsia="en-AU"/>
              </w:rPr>
            </w:pPr>
            <w:r w:rsidRPr="00E852F0">
              <w:rPr>
                <w:rFonts w:eastAsiaTheme="minorEastAsia"/>
                <w:i/>
                <w:sz w:val="21"/>
                <w:lang w:eastAsia="en-AU"/>
              </w:rPr>
              <w:t xml:space="preserve">          </w:t>
            </w:r>
          </w:p>
        </w:tc>
        <w:tc>
          <w:tcPr>
            <w:tcW w:w="1040" w:type="dxa"/>
            <w:tcBorders>
              <w:top w:val="nil"/>
              <w:left w:val="nil"/>
              <w:bottom w:val="nil"/>
              <w:right w:val="nil"/>
            </w:tcBorders>
            <w:shd w:val="solid" w:color="FFFFFF" w:fill="auto"/>
          </w:tcPr>
          <w:p w:rsidR="00336793" w:rsidRPr="00E852F0" w:rsidRDefault="00336793" w:rsidP="00DF0B96">
            <w:pPr>
              <w:pStyle w:val="TableofFigures"/>
              <w:rPr>
                <w:rFonts w:eastAsiaTheme="minorEastAsia"/>
                <w:i/>
                <w:sz w:val="21"/>
                <w:lang w:eastAsia="en-AU"/>
              </w:rPr>
            </w:pPr>
            <w:r w:rsidRPr="00E852F0">
              <w:rPr>
                <w:rFonts w:eastAsiaTheme="minorEastAsia"/>
                <w:i/>
                <w:sz w:val="21"/>
                <w:lang w:eastAsia="en-AU"/>
              </w:rPr>
              <w:t xml:space="preserve">         </w:t>
            </w:r>
          </w:p>
        </w:tc>
        <w:tc>
          <w:tcPr>
            <w:tcW w:w="1040" w:type="dxa"/>
            <w:gridSpan w:val="2"/>
            <w:tcBorders>
              <w:top w:val="nil"/>
              <w:left w:val="nil"/>
              <w:bottom w:val="nil"/>
              <w:right w:val="nil"/>
            </w:tcBorders>
            <w:shd w:val="solid" w:color="FFFFFF" w:fill="auto"/>
          </w:tcPr>
          <w:p w:rsidR="00336793" w:rsidRPr="00E852F0" w:rsidRDefault="00336793" w:rsidP="00DF0B96">
            <w:pPr>
              <w:pStyle w:val="TableofFigures"/>
              <w:rPr>
                <w:rFonts w:eastAsiaTheme="minorEastAsia"/>
                <w:i/>
                <w:sz w:val="21"/>
                <w:lang w:eastAsia="en-AU"/>
              </w:rPr>
            </w:pPr>
            <w:r w:rsidRPr="00E852F0">
              <w:rPr>
                <w:rFonts w:eastAsiaTheme="minorEastAsia"/>
                <w:i/>
                <w:sz w:val="21"/>
                <w:lang w:eastAsia="en-AU"/>
              </w:rPr>
              <w:t xml:space="preserve">        </w:t>
            </w:r>
          </w:p>
        </w:tc>
        <w:tc>
          <w:tcPr>
            <w:tcW w:w="1040" w:type="dxa"/>
            <w:tcBorders>
              <w:top w:val="nil"/>
              <w:left w:val="nil"/>
              <w:bottom w:val="nil"/>
              <w:right w:val="nil"/>
            </w:tcBorders>
            <w:shd w:val="solid" w:color="FFFFFF" w:fill="auto"/>
          </w:tcPr>
          <w:p w:rsidR="00336793" w:rsidRPr="00E852F0" w:rsidRDefault="00336793" w:rsidP="00DF0B96">
            <w:pPr>
              <w:pStyle w:val="TableofFigures"/>
              <w:rPr>
                <w:rFonts w:eastAsiaTheme="minorEastAsia"/>
                <w:i/>
                <w:sz w:val="21"/>
                <w:lang w:eastAsia="en-AU"/>
              </w:rPr>
            </w:pPr>
            <w:r w:rsidRPr="00E852F0">
              <w:rPr>
                <w:rFonts w:eastAsiaTheme="minorEastAsia"/>
                <w:i/>
                <w:sz w:val="21"/>
                <w:lang w:eastAsia="en-AU"/>
              </w:rPr>
              <w:t xml:space="preserve">        </w:t>
            </w:r>
          </w:p>
        </w:tc>
        <w:tc>
          <w:tcPr>
            <w:tcW w:w="1040" w:type="dxa"/>
            <w:gridSpan w:val="2"/>
            <w:tcBorders>
              <w:top w:val="nil"/>
              <w:left w:val="nil"/>
              <w:bottom w:val="nil"/>
              <w:right w:val="nil"/>
            </w:tcBorders>
            <w:shd w:val="solid" w:color="FFFFFF" w:fill="auto"/>
          </w:tcPr>
          <w:p w:rsidR="00336793" w:rsidRPr="00E852F0" w:rsidRDefault="00336793" w:rsidP="00DF0B96">
            <w:pPr>
              <w:pStyle w:val="TableofFigures"/>
              <w:rPr>
                <w:rFonts w:eastAsiaTheme="minorEastAsia"/>
                <w:i/>
                <w:sz w:val="21"/>
                <w:lang w:eastAsia="en-AU"/>
              </w:rPr>
            </w:pPr>
            <w:r w:rsidRPr="00E852F0">
              <w:rPr>
                <w:rFonts w:eastAsiaTheme="minorEastAsia"/>
                <w:i/>
                <w:sz w:val="21"/>
                <w:lang w:eastAsia="en-AU"/>
              </w:rPr>
              <w:t xml:space="preserve">       </w:t>
            </w:r>
          </w:p>
        </w:tc>
        <w:tc>
          <w:tcPr>
            <w:tcW w:w="1040" w:type="dxa"/>
            <w:tcBorders>
              <w:top w:val="nil"/>
              <w:left w:val="nil"/>
              <w:bottom w:val="nil"/>
              <w:right w:val="nil"/>
            </w:tcBorders>
            <w:shd w:val="solid" w:color="FFFFFF" w:fill="auto"/>
          </w:tcPr>
          <w:p w:rsidR="00336793" w:rsidRPr="00E852F0" w:rsidRDefault="00336793" w:rsidP="00DF0B96">
            <w:pPr>
              <w:pStyle w:val="TableofFigures"/>
              <w:rPr>
                <w:rFonts w:eastAsiaTheme="minorEastAsia"/>
                <w:i/>
                <w:sz w:val="21"/>
                <w:lang w:eastAsia="en-AU"/>
              </w:rPr>
            </w:pPr>
            <w:r w:rsidRPr="00E852F0">
              <w:rPr>
                <w:rFonts w:eastAsiaTheme="minorEastAsia"/>
                <w:i/>
                <w:sz w:val="21"/>
                <w:lang w:eastAsia="en-AU"/>
              </w:rPr>
              <w:t xml:space="preserve">        </w:t>
            </w:r>
          </w:p>
        </w:tc>
        <w:tc>
          <w:tcPr>
            <w:tcW w:w="1040" w:type="dxa"/>
            <w:gridSpan w:val="2"/>
            <w:tcBorders>
              <w:top w:val="nil"/>
              <w:left w:val="nil"/>
              <w:bottom w:val="nil"/>
              <w:right w:val="nil"/>
            </w:tcBorders>
            <w:shd w:val="solid" w:color="FFFFFF" w:fill="auto"/>
          </w:tcPr>
          <w:p w:rsidR="00336793" w:rsidRPr="00E852F0" w:rsidRDefault="00336793" w:rsidP="00DF0B96">
            <w:pPr>
              <w:pStyle w:val="TableofFigures"/>
              <w:rPr>
                <w:rFonts w:eastAsiaTheme="minorEastAsia"/>
                <w:i/>
                <w:sz w:val="21"/>
                <w:lang w:eastAsia="en-AU"/>
              </w:rPr>
            </w:pPr>
            <w:r w:rsidRPr="00E852F0">
              <w:rPr>
                <w:rFonts w:eastAsiaTheme="minorEastAsia"/>
                <w:i/>
                <w:sz w:val="21"/>
                <w:lang w:eastAsia="en-AU"/>
              </w:rPr>
              <w:t xml:space="preserve">        </w:t>
            </w:r>
          </w:p>
        </w:tc>
        <w:tc>
          <w:tcPr>
            <w:tcW w:w="1040" w:type="dxa"/>
            <w:tcBorders>
              <w:top w:val="nil"/>
              <w:left w:val="nil"/>
              <w:bottom w:val="nil"/>
              <w:right w:val="nil"/>
            </w:tcBorders>
            <w:shd w:val="solid" w:color="FFFFFF" w:fill="auto"/>
          </w:tcPr>
          <w:p w:rsidR="00336793" w:rsidRPr="00E852F0" w:rsidRDefault="00336793" w:rsidP="00DF0B96">
            <w:pPr>
              <w:pStyle w:val="TableofFigures"/>
              <w:rPr>
                <w:rFonts w:eastAsiaTheme="minorEastAsia"/>
                <w:i/>
                <w:sz w:val="21"/>
                <w:lang w:eastAsia="en-AU"/>
              </w:rPr>
            </w:pPr>
            <w:r w:rsidRPr="00E852F0">
              <w:rPr>
                <w:rFonts w:eastAsiaTheme="minorEastAsia"/>
                <w:i/>
                <w:sz w:val="21"/>
                <w:lang w:eastAsia="en-AU"/>
              </w:rPr>
              <w:t xml:space="preserve">        </w:t>
            </w:r>
          </w:p>
        </w:tc>
        <w:tc>
          <w:tcPr>
            <w:tcW w:w="1040" w:type="dxa"/>
            <w:gridSpan w:val="2"/>
            <w:tcBorders>
              <w:top w:val="nil"/>
              <w:left w:val="nil"/>
              <w:bottom w:val="nil"/>
              <w:right w:val="nil"/>
            </w:tcBorders>
            <w:shd w:val="solid" w:color="FFFFFF" w:fill="auto"/>
          </w:tcPr>
          <w:p w:rsidR="00336793" w:rsidRPr="00E852F0" w:rsidRDefault="00336793" w:rsidP="00DF0B96">
            <w:pPr>
              <w:pStyle w:val="TableofFigures"/>
              <w:rPr>
                <w:rFonts w:eastAsiaTheme="minorEastAsia"/>
                <w:i/>
                <w:sz w:val="21"/>
                <w:lang w:eastAsia="en-AU"/>
              </w:rPr>
            </w:pPr>
            <w:r w:rsidRPr="00E852F0">
              <w:rPr>
                <w:rFonts w:eastAsiaTheme="minorEastAsia"/>
                <w:i/>
                <w:sz w:val="21"/>
                <w:lang w:eastAsia="en-AU"/>
              </w:rPr>
              <w:t xml:space="preserve">        </w:t>
            </w:r>
          </w:p>
        </w:tc>
        <w:tc>
          <w:tcPr>
            <w:tcW w:w="1040" w:type="dxa"/>
            <w:tcBorders>
              <w:top w:val="nil"/>
              <w:left w:val="nil"/>
              <w:bottom w:val="nil"/>
              <w:right w:val="nil"/>
            </w:tcBorders>
            <w:shd w:val="solid" w:color="FFFFFF" w:fill="auto"/>
          </w:tcPr>
          <w:p w:rsidR="00336793" w:rsidRPr="00E852F0" w:rsidRDefault="00336793" w:rsidP="00DF0B96">
            <w:pPr>
              <w:pStyle w:val="TableofFigures"/>
              <w:rPr>
                <w:rFonts w:eastAsiaTheme="minorEastAsia"/>
                <w:i/>
                <w:sz w:val="21"/>
                <w:lang w:eastAsia="en-AU"/>
              </w:rPr>
            </w:pPr>
            <w:r w:rsidRPr="00E852F0">
              <w:rPr>
                <w:rFonts w:eastAsiaTheme="minorEastAsia"/>
                <w:i/>
                <w:sz w:val="21"/>
                <w:lang w:eastAsia="en-AU"/>
              </w:rPr>
              <w:t xml:space="preserve">        </w:t>
            </w:r>
          </w:p>
        </w:tc>
      </w:tr>
      <w:tr w:rsidR="00336793" w:rsidRPr="00E852F0" w:rsidTr="00DF0B96">
        <w:tc>
          <w:tcPr>
            <w:tcW w:w="4170" w:type="dxa"/>
            <w:tcBorders>
              <w:top w:val="nil"/>
              <w:left w:val="nil"/>
              <w:bottom w:val="single" w:sz="6" w:space="0" w:color="auto"/>
              <w:right w:val="nil"/>
            </w:tcBorders>
            <w:shd w:val="solid" w:color="FFFFFF" w:fill="auto"/>
          </w:tcPr>
          <w:p w:rsidR="00336793" w:rsidRPr="00E852F0" w:rsidRDefault="00336793" w:rsidP="00DF0B96">
            <w:pPr>
              <w:pStyle w:val="Tabletext"/>
              <w:rPr>
                <w:rFonts w:eastAsiaTheme="minorEastAsia"/>
                <w:sz w:val="21"/>
                <w:lang w:eastAsia="en-AU"/>
              </w:rPr>
            </w:pPr>
            <w:r w:rsidRPr="00E852F0">
              <w:rPr>
                <w:rFonts w:eastAsiaTheme="minorEastAsia"/>
                <w:sz w:val="21"/>
                <w:lang w:eastAsia="en-AU"/>
              </w:rPr>
              <w:t>Less: Acquisitions under finance leases and similar arrangements</w:t>
            </w:r>
          </w:p>
        </w:tc>
        <w:tc>
          <w:tcPr>
            <w:tcW w:w="1040" w:type="dxa"/>
            <w:gridSpan w:val="2"/>
            <w:tcBorders>
              <w:top w:val="nil"/>
              <w:left w:val="nil"/>
              <w:bottom w:val="single" w:sz="6" w:space="0" w:color="auto"/>
              <w:right w:val="nil"/>
            </w:tcBorders>
            <w:shd w:val="solid" w:color="FFFFFF" w:fill="auto"/>
          </w:tcPr>
          <w:p w:rsidR="00336793" w:rsidRPr="00E852F0"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E852F0">
              <w:rPr>
                <w:rFonts w:eastAsiaTheme="minorEastAsia" w:cs="Calibri"/>
                <w:color w:val="000000"/>
                <w:sz w:val="21"/>
                <w:szCs w:val="22"/>
                <w:lang w:eastAsia="en-AU"/>
              </w:rPr>
              <w:t>98.5)</w:t>
            </w:r>
          </w:p>
        </w:tc>
        <w:tc>
          <w:tcPr>
            <w:tcW w:w="1040" w:type="dxa"/>
            <w:tcBorders>
              <w:top w:val="nil"/>
              <w:left w:val="nil"/>
              <w:bottom w:val="single" w:sz="6" w:space="0" w:color="auto"/>
              <w:right w:val="nil"/>
            </w:tcBorders>
            <w:shd w:val="solid" w:color="FFFFFF" w:fill="auto"/>
          </w:tcPr>
          <w:p w:rsidR="00336793" w:rsidRPr="00E852F0"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E852F0">
              <w:rPr>
                <w:rFonts w:eastAsiaTheme="minorEastAsia" w:cs="Calibri"/>
                <w:color w:val="000000"/>
                <w:sz w:val="21"/>
                <w:szCs w:val="22"/>
                <w:lang w:eastAsia="en-AU"/>
              </w:rPr>
              <w:t>109.5)</w:t>
            </w:r>
          </w:p>
        </w:tc>
        <w:tc>
          <w:tcPr>
            <w:tcW w:w="1040" w:type="dxa"/>
            <w:gridSpan w:val="2"/>
            <w:tcBorders>
              <w:top w:val="nil"/>
              <w:left w:val="nil"/>
              <w:bottom w:val="single" w:sz="6" w:space="0" w:color="auto"/>
              <w:right w:val="nil"/>
            </w:tcBorders>
            <w:shd w:val="solid" w:color="FFFFFF" w:fill="auto"/>
          </w:tcPr>
          <w:p w:rsidR="00336793" w:rsidRPr="00E852F0" w:rsidRDefault="00336793" w:rsidP="00DF0B96">
            <w:pPr>
              <w:pStyle w:val="TableofFigures"/>
              <w:rPr>
                <w:rFonts w:eastAsiaTheme="minorEastAsia"/>
                <w:sz w:val="21"/>
                <w:lang w:eastAsia="en-AU"/>
              </w:rPr>
            </w:pPr>
            <w:r w:rsidRPr="00E852F0">
              <w:rPr>
                <w:rFonts w:eastAsiaTheme="minorEastAsia"/>
                <w:sz w:val="21"/>
                <w:lang w:eastAsia="en-AU"/>
              </w:rPr>
              <w:t>..</w:t>
            </w:r>
          </w:p>
        </w:tc>
        <w:tc>
          <w:tcPr>
            <w:tcW w:w="1040" w:type="dxa"/>
            <w:tcBorders>
              <w:top w:val="nil"/>
              <w:left w:val="nil"/>
              <w:bottom w:val="single" w:sz="6" w:space="0" w:color="auto"/>
              <w:right w:val="nil"/>
            </w:tcBorders>
            <w:shd w:val="solid" w:color="FFFFFF" w:fill="auto"/>
          </w:tcPr>
          <w:p w:rsidR="00336793" w:rsidRPr="00E852F0" w:rsidRDefault="00336793" w:rsidP="00DF0B96">
            <w:pPr>
              <w:pStyle w:val="TableofFigures"/>
              <w:rPr>
                <w:rFonts w:eastAsiaTheme="minorEastAsia"/>
                <w:sz w:val="21"/>
                <w:lang w:eastAsia="en-AU"/>
              </w:rPr>
            </w:pPr>
            <w:r w:rsidRPr="00E852F0">
              <w:rPr>
                <w:rFonts w:eastAsiaTheme="minorEastAsia"/>
                <w:sz w:val="21"/>
                <w:lang w:eastAsia="en-AU"/>
              </w:rPr>
              <w:t>..</w:t>
            </w:r>
          </w:p>
        </w:tc>
        <w:tc>
          <w:tcPr>
            <w:tcW w:w="1040" w:type="dxa"/>
            <w:gridSpan w:val="2"/>
            <w:tcBorders>
              <w:top w:val="nil"/>
              <w:left w:val="nil"/>
              <w:bottom w:val="single" w:sz="6" w:space="0" w:color="auto"/>
              <w:right w:val="nil"/>
            </w:tcBorders>
            <w:shd w:val="solid" w:color="FFFFFF" w:fill="auto"/>
          </w:tcPr>
          <w:p w:rsidR="00336793" w:rsidRPr="00E852F0" w:rsidRDefault="00336793" w:rsidP="00DF0B96">
            <w:pPr>
              <w:pStyle w:val="TableofFigures"/>
              <w:rPr>
                <w:rFonts w:eastAsiaTheme="minorEastAsia"/>
                <w:sz w:val="21"/>
                <w:lang w:eastAsia="en-AU"/>
              </w:rPr>
            </w:pPr>
            <w:r w:rsidRPr="00E852F0">
              <w:rPr>
                <w:rFonts w:eastAsiaTheme="minorEastAsia"/>
                <w:sz w:val="21"/>
                <w:lang w:eastAsia="en-AU"/>
              </w:rPr>
              <w:t>..</w:t>
            </w:r>
          </w:p>
        </w:tc>
        <w:tc>
          <w:tcPr>
            <w:tcW w:w="1040" w:type="dxa"/>
            <w:tcBorders>
              <w:top w:val="nil"/>
              <w:left w:val="nil"/>
              <w:bottom w:val="single" w:sz="6" w:space="0" w:color="auto"/>
              <w:right w:val="nil"/>
            </w:tcBorders>
            <w:shd w:val="solid" w:color="FFFFFF" w:fill="auto"/>
          </w:tcPr>
          <w:p w:rsidR="00336793" w:rsidRPr="00E852F0" w:rsidRDefault="00336793" w:rsidP="00DF0B96">
            <w:pPr>
              <w:pStyle w:val="TableofFigures"/>
              <w:rPr>
                <w:rFonts w:eastAsiaTheme="minorEastAsia"/>
                <w:sz w:val="21"/>
                <w:lang w:eastAsia="en-AU"/>
              </w:rPr>
            </w:pPr>
            <w:r w:rsidRPr="00E852F0">
              <w:rPr>
                <w:rFonts w:eastAsiaTheme="minorEastAsia"/>
                <w:sz w:val="21"/>
                <w:lang w:eastAsia="en-AU"/>
              </w:rPr>
              <w:t>..</w:t>
            </w:r>
          </w:p>
        </w:tc>
        <w:tc>
          <w:tcPr>
            <w:tcW w:w="1040" w:type="dxa"/>
            <w:gridSpan w:val="2"/>
            <w:tcBorders>
              <w:top w:val="nil"/>
              <w:left w:val="nil"/>
              <w:bottom w:val="single" w:sz="6" w:space="0" w:color="auto"/>
              <w:right w:val="nil"/>
            </w:tcBorders>
            <w:shd w:val="solid" w:color="FFFFFF" w:fill="auto"/>
          </w:tcPr>
          <w:p w:rsidR="00336793" w:rsidRPr="00E852F0" w:rsidRDefault="00336793" w:rsidP="00DF0B96">
            <w:pPr>
              <w:pStyle w:val="TableofFigures"/>
              <w:rPr>
                <w:rFonts w:eastAsiaTheme="minorEastAsia"/>
                <w:sz w:val="21"/>
                <w:lang w:eastAsia="en-AU"/>
              </w:rPr>
            </w:pPr>
            <w:r w:rsidRPr="00E852F0">
              <w:rPr>
                <w:rFonts w:eastAsiaTheme="minorEastAsia"/>
                <w:sz w:val="21"/>
                <w:lang w:eastAsia="en-AU"/>
              </w:rPr>
              <w:t>..</w:t>
            </w:r>
          </w:p>
        </w:tc>
        <w:tc>
          <w:tcPr>
            <w:tcW w:w="1040" w:type="dxa"/>
            <w:tcBorders>
              <w:top w:val="nil"/>
              <w:left w:val="nil"/>
              <w:bottom w:val="single" w:sz="6" w:space="0" w:color="auto"/>
              <w:right w:val="nil"/>
            </w:tcBorders>
            <w:shd w:val="solid" w:color="FFFFFF" w:fill="auto"/>
          </w:tcPr>
          <w:p w:rsidR="00336793" w:rsidRPr="00E852F0" w:rsidRDefault="00336793" w:rsidP="00DF0B96">
            <w:pPr>
              <w:pStyle w:val="TableofFigures"/>
              <w:rPr>
                <w:rFonts w:eastAsiaTheme="minorEastAsia"/>
                <w:sz w:val="21"/>
                <w:lang w:eastAsia="en-AU"/>
              </w:rPr>
            </w:pPr>
            <w:r w:rsidRPr="00E852F0">
              <w:rPr>
                <w:rFonts w:eastAsiaTheme="minorEastAsia"/>
                <w:sz w:val="21"/>
                <w:lang w:eastAsia="en-AU"/>
              </w:rPr>
              <w:t>..</w:t>
            </w:r>
          </w:p>
        </w:tc>
        <w:tc>
          <w:tcPr>
            <w:tcW w:w="1040" w:type="dxa"/>
            <w:gridSpan w:val="2"/>
            <w:tcBorders>
              <w:top w:val="nil"/>
              <w:left w:val="nil"/>
              <w:bottom w:val="single" w:sz="6" w:space="0" w:color="auto"/>
              <w:right w:val="nil"/>
            </w:tcBorders>
            <w:shd w:val="solid" w:color="FFFFFF" w:fill="auto"/>
          </w:tcPr>
          <w:p w:rsidR="00336793" w:rsidRPr="00E852F0"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E852F0">
              <w:rPr>
                <w:rFonts w:eastAsiaTheme="minorEastAsia" w:cs="Calibri"/>
                <w:color w:val="000000"/>
                <w:sz w:val="21"/>
                <w:szCs w:val="22"/>
                <w:lang w:eastAsia="en-AU"/>
              </w:rPr>
              <w:t>98.5)</w:t>
            </w:r>
          </w:p>
        </w:tc>
        <w:tc>
          <w:tcPr>
            <w:tcW w:w="1040" w:type="dxa"/>
            <w:tcBorders>
              <w:top w:val="nil"/>
              <w:left w:val="nil"/>
              <w:bottom w:val="single" w:sz="6" w:space="0" w:color="auto"/>
              <w:right w:val="nil"/>
            </w:tcBorders>
            <w:shd w:val="solid" w:color="FFFFFF" w:fill="auto"/>
          </w:tcPr>
          <w:p w:rsidR="00336793" w:rsidRPr="00E852F0"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E852F0">
              <w:rPr>
                <w:rFonts w:eastAsiaTheme="minorEastAsia" w:cs="Calibri"/>
                <w:color w:val="000000"/>
                <w:sz w:val="21"/>
                <w:szCs w:val="22"/>
                <w:lang w:eastAsia="en-AU"/>
              </w:rPr>
              <w:t>109.5)</w:t>
            </w:r>
          </w:p>
        </w:tc>
      </w:tr>
      <w:tr w:rsidR="00336793" w:rsidRPr="00E852F0" w:rsidTr="00DF0B96">
        <w:tc>
          <w:tcPr>
            <w:tcW w:w="4170" w:type="dxa"/>
            <w:tcBorders>
              <w:top w:val="single" w:sz="6" w:space="0" w:color="auto"/>
              <w:left w:val="nil"/>
              <w:bottom w:val="single" w:sz="12" w:space="0" w:color="000000"/>
              <w:right w:val="nil"/>
            </w:tcBorders>
            <w:shd w:val="solid" w:color="FFFFFF" w:fill="auto"/>
          </w:tcPr>
          <w:p w:rsidR="00336793" w:rsidRPr="00E852F0" w:rsidRDefault="00336793" w:rsidP="00DF0B96">
            <w:pPr>
              <w:pStyle w:val="Tabletext"/>
              <w:rPr>
                <w:rFonts w:eastAsiaTheme="minorEastAsia"/>
                <w:b/>
                <w:sz w:val="21"/>
                <w:lang w:eastAsia="en-AU"/>
              </w:rPr>
            </w:pPr>
            <w:r w:rsidRPr="00E852F0">
              <w:rPr>
                <w:rFonts w:eastAsiaTheme="minorEastAsia"/>
                <w:b/>
                <w:sz w:val="21"/>
                <w:lang w:eastAsia="en-AU"/>
              </w:rPr>
              <w:t>GFS cash surplus/(deficit)</w:t>
            </w:r>
          </w:p>
        </w:tc>
        <w:tc>
          <w:tcPr>
            <w:tcW w:w="1040" w:type="dxa"/>
            <w:gridSpan w:val="2"/>
            <w:tcBorders>
              <w:top w:val="single" w:sz="6" w:space="0" w:color="auto"/>
              <w:left w:val="nil"/>
              <w:bottom w:val="single" w:sz="12" w:space="0" w:color="000000"/>
              <w:right w:val="nil"/>
            </w:tcBorders>
            <w:shd w:val="solid" w:color="FFFFFF" w:fill="auto"/>
          </w:tcPr>
          <w:p w:rsidR="00336793" w:rsidRPr="00E852F0" w:rsidRDefault="00336793" w:rsidP="00DF0B96">
            <w:pPr>
              <w:pStyle w:val="TableofFigures"/>
              <w:rPr>
                <w:rFonts w:eastAsiaTheme="minorEastAsia" w:cs="Calibri"/>
                <w:b/>
                <w:bCs/>
                <w:color w:val="000000"/>
                <w:szCs w:val="22"/>
                <w:lang w:eastAsia="en-AU"/>
              </w:rPr>
            </w:pPr>
            <w:r>
              <w:rPr>
                <w:rFonts w:eastAsiaTheme="minorEastAsia"/>
                <w:b/>
                <w:sz w:val="21"/>
                <w:lang w:eastAsia="en-AU"/>
              </w:rPr>
              <w:t>(</w:t>
            </w:r>
            <w:r w:rsidRPr="00E852F0">
              <w:rPr>
                <w:rFonts w:eastAsiaTheme="minorEastAsia" w:cs="Calibri"/>
                <w:b/>
                <w:bCs/>
                <w:color w:val="000000"/>
                <w:sz w:val="21"/>
                <w:szCs w:val="22"/>
                <w:lang w:eastAsia="en-AU"/>
              </w:rPr>
              <w:t>275.4)</w:t>
            </w:r>
          </w:p>
        </w:tc>
        <w:tc>
          <w:tcPr>
            <w:tcW w:w="1040" w:type="dxa"/>
            <w:tcBorders>
              <w:top w:val="single" w:sz="6" w:space="0" w:color="auto"/>
              <w:left w:val="nil"/>
              <w:bottom w:val="single" w:sz="12" w:space="0" w:color="000000"/>
              <w:right w:val="nil"/>
            </w:tcBorders>
            <w:shd w:val="solid" w:color="FFFFFF" w:fill="auto"/>
          </w:tcPr>
          <w:p w:rsidR="00336793" w:rsidRPr="00E852F0" w:rsidRDefault="00336793" w:rsidP="00DF0B96">
            <w:pPr>
              <w:pStyle w:val="TableofFigures"/>
              <w:rPr>
                <w:rFonts w:eastAsiaTheme="minorEastAsia"/>
                <w:b/>
                <w:sz w:val="21"/>
                <w:lang w:eastAsia="en-AU"/>
              </w:rPr>
            </w:pPr>
            <w:r w:rsidRPr="00E852F0">
              <w:rPr>
                <w:rFonts w:eastAsiaTheme="minorEastAsia"/>
                <w:b/>
                <w:sz w:val="21"/>
                <w:lang w:eastAsia="en-AU"/>
              </w:rPr>
              <w:t xml:space="preserve"> 106.6</w:t>
            </w:r>
          </w:p>
        </w:tc>
        <w:tc>
          <w:tcPr>
            <w:tcW w:w="1040" w:type="dxa"/>
            <w:gridSpan w:val="2"/>
            <w:tcBorders>
              <w:top w:val="single" w:sz="6" w:space="0" w:color="auto"/>
              <w:left w:val="nil"/>
              <w:bottom w:val="single" w:sz="12" w:space="0" w:color="000000"/>
              <w:right w:val="nil"/>
            </w:tcBorders>
            <w:shd w:val="solid" w:color="FFFFFF" w:fill="auto"/>
          </w:tcPr>
          <w:p w:rsidR="00336793" w:rsidRPr="00E852F0" w:rsidRDefault="00336793" w:rsidP="00DF0B96">
            <w:pPr>
              <w:pStyle w:val="TableofFigures"/>
              <w:rPr>
                <w:rFonts w:eastAsiaTheme="minorEastAsia" w:cs="Calibri"/>
                <w:b/>
                <w:bCs/>
                <w:color w:val="000000"/>
                <w:szCs w:val="22"/>
                <w:lang w:eastAsia="en-AU"/>
              </w:rPr>
            </w:pPr>
            <w:r>
              <w:rPr>
                <w:rFonts w:eastAsiaTheme="minorEastAsia"/>
                <w:b/>
                <w:sz w:val="21"/>
                <w:lang w:eastAsia="en-AU"/>
              </w:rPr>
              <w:t>(</w:t>
            </w:r>
            <w:r w:rsidRPr="00E852F0">
              <w:rPr>
                <w:rFonts w:eastAsiaTheme="minorEastAsia" w:cs="Calibri"/>
                <w:b/>
                <w:bCs/>
                <w:color w:val="000000"/>
                <w:sz w:val="21"/>
                <w:szCs w:val="22"/>
                <w:lang w:eastAsia="en-AU"/>
              </w:rPr>
              <w:t>614.7)</w:t>
            </w:r>
          </w:p>
        </w:tc>
        <w:tc>
          <w:tcPr>
            <w:tcW w:w="1040" w:type="dxa"/>
            <w:tcBorders>
              <w:top w:val="single" w:sz="6" w:space="0" w:color="auto"/>
              <w:left w:val="nil"/>
              <w:bottom w:val="single" w:sz="12" w:space="0" w:color="000000"/>
              <w:right w:val="nil"/>
            </w:tcBorders>
            <w:shd w:val="solid" w:color="FFFFFF" w:fill="auto"/>
          </w:tcPr>
          <w:p w:rsidR="00336793" w:rsidRPr="00E852F0" w:rsidRDefault="00336793" w:rsidP="00DF0B96">
            <w:pPr>
              <w:pStyle w:val="TableofFigures"/>
              <w:rPr>
                <w:rFonts w:eastAsiaTheme="minorEastAsia"/>
                <w:b/>
                <w:sz w:val="21"/>
                <w:lang w:eastAsia="en-AU"/>
              </w:rPr>
            </w:pPr>
            <w:r w:rsidRPr="00E852F0">
              <w:rPr>
                <w:rFonts w:eastAsiaTheme="minorEastAsia"/>
                <w:b/>
                <w:sz w:val="21"/>
                <w:lang w:eastAsia="en-AU"/>
              </w:rPr>
              <w:t>(1 280.9)</w:t>
            </w:r>
          </w:p>
        </w:tc>
        <w:tc>
          <w:tcPr>
            <w:tcW w:w="1040" w:type="dxa"/>
            <w:gridSpan w:val="2"/>
            <w:tcBorders>
              <w:top w:val="single" w:sz="6" w:space="0" w:color="auto"/>
              <w:left w:val="nil"/>
              <w:bottom w:val="single" w:sz="12" w:space="0" w:color="000000"/>
              <w:right w:val="nil"/>
            </w:tcBorders>
            <w:shd w:val="solid" w:color="FFFFFF" w:fill="auto"/>
          </w:tcPr>
          <w:p w:rsidR="00336793" w:rsidRPr="00E852F0" w:rsidRDefault="00336793" w:rsidP="00DF0B96">
            <w:pPr>
              <w:pStyle w:val="TableofFigures"/>
              <w:rPr>
                <w:rFonts w:eastAsiaTheme="minorEastAsia"/>
                <w:b/>
                <w:sz w:val="21"/>
                <w:lang w:eastAsia="en-AU"/>
              </w:rPr>
            </w:pPr>
            <w:r w:rsidRPr="00E852F0">
              <w:rPr>
                <w:rFonts w:eastAsiaTheme="minorEastAsia"/>
                <w:b/>
                <w:sz w:val="21"/>
                <w:lang w:eastAsia="en-AU"/>
              </w:rPr>
              <w:t xml:space="preserve"> 399.1</w:t>
            </w:r>
          </w:p>
        </w:tc>
        <w:tc>
          <w:tcPr>
            <w:tcW w:w="1040" w:type="dxa"/>
            <w:tcBorders>
              <w:top w:val="single" w:sz="6" w:space="0" w:color="auto"/>
              <w:left w:val="nil"/>
              <w:bottom w:val="single" w:sz="12" w:space="0" w:color="000000"/>
              <w:right w:val="nil"/>
            </w:tcBorders>
            <w:shd w:val="solid" w:color="FFFFFF" w:fill="auto"/>
          </w:tcPr>
          <w:p w:rsidR="00336793" w:rsidRPr="00E852F0" w:rsidRDefault="00336793" w:rsidP="00DF0B96">
            <w:pPr>
              <w:pStyle w:val="TableofFigures"/>
              <w:rPr>
                <w:rFonts w:eastAsiaTheme="minorEastAsia"/>
                <w:b/>
                <w:sz w:val="21"/>
                <w:lang w:eastAsia="en-AU"/>
              </w:rPr>
            </w:pPr>
            <w:r w:rsidRPr="00E852F0">
              <w:rPr>
                <w:rFonts w:eastAsiaTheme="minorEastAsia"/>
                <w:b/>
                <w:sz w:val="21"/>
                <w:lang w:eastAsia="en-AU"/>
              </w:rPr>
              <w:t>1 246.7</w:t>
            </w:r>
          </w:p>
        </w:tc>
        <w:tc>
          <w:tcPr>
            <w:tcW w:w="1040" w:type="dxa"/>
            <w:gridSpan w:val="2"/>
            <w:tcBorders>
              <w:top w:val="single" w:sz="6" w:space="0" w:color="auto"/>
              <w:left w:val="nil"/>
              <w:bottom w:val="single" w:sz="12" w:space="0" w:color="000000"/>
              <w:right w:val="nil"/>
            </w:tcBorders>
            <w:shd w:val="solid" w:color="FFFFFF" w:fill="auto"/>
          </w:tcPr>
          <w:p w:rsidR="00336793" w:rsidRPr="00E852F0" w:rsidRDefault="00336793" w:rsidP="00DF0B96">
            <w:pPr>
              <w:pStyle w:val="TableofFigures"/>
              <w:rPr>
                <w:rFonts w:eastAsiaTheme="minorEastAsia"/>
                <w:b/>
                <w:sz w:val="21"/>
                <w:lang w:eastAsia="en-AU"/>
              </w:rPr>
            </w:pPr>
            <w:r w:rsidRPr="00E852F0">
              <w:rPr>
                <w:rFonts w:eastAsiaTheme="minorEastAsia"/>
                <w:b/>
                <w:sz w:val="21"/>
                <w:lang w:eastAsia="en-AU"/>
              </w:rPr>
              <w:t xml:space="preserve"> 24.5</w:t>
            </w:r>
          </w:p>
        </w:tc>
        <w:tc>
          <w:tcPr>
            <w:tcW w:w="1040" w:type="dxa"/>
            <w:tcBorders>
              <w:top w:val="single" w:sz="6" w:space="0" w:color="auto"/>
              <w:left w:val="nil"/>
              <w:bottom w:val="single" w:sz="12" w:space="0" w:color="000000"/>
              <w:right w:val="nil"/>
            </w:tcBorders>
            <w:shd w:val="solid" w:color="FFFFFF" w:fill="auto"/>
          </w:tcPr>
          <w:p w:rsidR="00336793" w:rsidRPr="00E852F0" w:rsidRDefault="00336793" w:rsidP="00DF0B96">
            <w:pPr>
              <w:pStyle w:val="TableofFigures"/>
              <w:rPr>
                <w:rFonts w:eastAsiaTheme="minorEastAsia" w:cs="Calibri"/>
                <w:b/>
                <w:bCs/>
                <w:color w:val="000000"/>
                <w:szCs w:val="22"/>
                <w:lang w:eastAsia="en-AU"/>
              </w:rPr>
            </w:pPr>
            <w:r>
              <w:rPr>
                <w:rFonts w:eastAsiaTheme="minorEastAsia"/>
                <w:b/>
                <w:sz w:val="21"/>
                <w:lang w:eastAsia="en-AU"/>
              </w:rPr>
              <w:t>(</w:t>
            </w:r>
            <w:r w:rsidRPr="00E852F0">
              <w:rPr>
                <w:rFonts w:eastAsiaTheme="minorEastAsia" w:cs="Calibri"/>
                <w:b/>
                <w:bCs/>
                <w:color w:val="000000"/>
                <w:sz w:val="21"/>
                <w:szCs w:val="22"/>
                <w:lang w:eastAsia="en-AU"/>
              </w:rPr>
              <w:t>164.0)</w:t>
            </w:r>
          </w:p>
        </w:tc>
        <w:tc>
          <w:tcPr>
            <w:tcW w:w="1040" w:type="dxa"/>
            <w:gridSpan w:val="2"/>
            <w:tcBorders>
              <w:top w:val="single" w:sz="6" w:space="0" w:color="auto"/>
              <w:left w:val="nil"/>
              <w:bottom w:val="single" w:sz="12" w:space="0" w:color="000000"/>
              <w:right w:val="nil"/>
            </w:tcBorders>
            <w:shd w:val="solid" w:color="FFFFFF" w:fill="auto"/>
          </w:tcPr>
          <w:p w:rsidR="00336793" w:rsidRPr="00E852F0" w:rsidRDefault="00336793" w:rsidP="00DF0B96">
            <w:pPr>
              <w:pStyle w:val="TableofFigures"/>
              <w:rPr>
                <w:rFonts w:eastAsiaTheme="minorEastAsia" w:cs="Calibri"/>
                <w:b/>
                <w:bCs/>
                <w:color w:val="000000"/>
                <w:szCs w:val="22"/>
                <w:lang w:eastAsia="en-AU"/>
              </w:rPr>
            </w:pPr>
            <w:r>
              <w:rPr>
                <w:rFonts w:eastAsiaTheme="minorEastAsia"/>
                <w:b/>
                <w:sz w:val="21"/>
                <w:lang w:eastAsia="en-AU"/>
              </w:rPr>
              <w:t>(</w:t>
            </w:r>
            <w:r w:rsidRPr="00E852F0">
              <w:rPr>
                <w:rFonts w:eastAsiaTheme="minorEastAsia" w:cs="Calibri"/>
                <w:b/>
                <w:bCs/>
                <w:color w:val="000000"/>
                <w:sz w:val="21"/>
                <w:szCs w:val="22"/>
                <w:lang w:eastAsia="en-AU"/>
              </w:rPr>
              <w:t>466.5)</w:t>
            </w:r>
          </w:p>
        </w:tc>
        <w:tc>
          <w:tcPr>
            <w:tcW w:w="1040" w:type="dxa"/>
            <w:tcBorders>
              <w:top w:val="single" w:sz="6" w:space="0" w:color="auto"/>
              <w:left w:val="nil"/>
              <w:bottom w:val="single" w:sz="12" w:space="0" w:color="000000"/>
              <w:right w:val="nil"/>
            </w:tcBorders>
            <w:shd w:val="solid" w:color="FFFFFF" w:fill="auto"/>
          </w:tcPr>
          <w:p w:rsidR="00336793" w:rsidRPr="00E852F0" w:rsidRDefault="00336793" w:rsidP="00DF0B96">
            <w:pPr>
              <w:pStyle w:val="TableofFigures"/>
              <w:rPr>
                <w:rFonts w:eastAsiaTheme="minorEastAsia" w:cs="Calibri"/>
                <w:b/>
                <w:bCs/>
                <w:color w:val="000000"/>
                <w:szCs w:val="22"/>
                <w:lang w:eastAsia="en-AU"/>
              </w:rPr>
            </w:pPr>
            <w:r>
              <w:rPr>
                <w:rFonts w:eastAsiaTheme="minorEastAsia"/>
                <w:b/>
                <w:sz w:val="21"/>
                <w:lang w:eastAsia="en-AU"/>
              </w:rPr>
              <w:t>(</w:t>
            </w:r>
            <w:r w:rsidRPr="00E852F0">
              <w:rPr>
                <w:rFonts w:eastAsiaTheme="minorEastAsia" w:cs="Calibri"/>
                <w:b/>
                <w:bCs/>
                <w:color w:val="000000"/>
                <w:sz w:val="21"/>
                <w:szCs w:val="22"/>
                <w:lang w:eastAsia="en-AU"/>
              </w:rPr>
              <w:t>91.6)</w:t>
            </w:r>
          </w:p>
        </w:tc>
      </w:tr>
    </w:tbl>
    <w:p w:rsidR="00336793" w:rsidRDefault="00336793" w:rsidP="00DF0B96">
      <w:pPr>
        <w:pStyle w:val="Notes"/>
      </w:pPr>
      <w:r>
        <w:t>Notes:</w:t>
      </w:r>
    </w:p>
    <w:p w:rsidR="00336793" w:rsidRDefault="00336793" w:rsidP="00DF0B96">
      <w:pPr>
        <w:pStyle w:val="Notes"/>
      </w:pPr>
      <w:r>
        <w:t>(a)</w:t>
      </w:r>
      <w:r>
        <w:tab/>
        <w:t>Determined in accordance with the ABS GFS Manual.</w:t>
      </w:r>
    </w:p>
    <w:p w:rsidR="00336793" w:rsidRDefault="00336793" w:rsidP="00DF0B96">
      <w:pPr>
        <w:pStyle w:val="Notes"/>
      </w:pPr>
      <w:r>
        <w:t>(b)</w:t>
      </w:r>
      <w:r>
        <w:tab/>
        <w:t xml:space="preserve">June 2014 </w:t>
      </w:r>
      <w:r w:rsidRPr="006A75A2">
        <w:t>comparative figures have been restated. See Note 37.</w:t>
      </w:r>
    </w:p>
    <w:p w:rsidR="00336793" w:rsidRDefault="00336793" w:rsidP="00DF0B96">
      <w:pPr>
        <w:pStyle w:val="Notes"/>
      </w:pPr>
    </w:p>
    <w:p w:rsidR="00336793" w:rsidRDefault="00336793" w:rsidP="00DF0B96">
      <w:pPr>
        <w:pStyle w:val="million"/>
      </w:pPr>
    </w:p>
    <w:p w:rsidR="00336793" w:rsidRDefault="00336793" w:rsidP="00DF0B96"/>
    <w:p w:rsidR="00336793" w:rsidRDefault="00336793" w:rsidP="00DF0B96">
      <w:pPr>
        <w:sectPr w:rsidR="00336793" w:rsidSect="00DF0B96">
          <w:headerReference w:type="even" r:id="rId92"/>
          <w:headerReference w:type="default" r:id="rId93"/>
          <w:footerReference w:type="even" r:id="rId94"/>
          <w:footerReference w:type="default" r:id="rId95"/>
          <w:pgSz w:w="16838" w:h="11906" w:orient="landscape" w:code="9"/>
          <w:pgMar w:top="1152" w:right="1152" w:bottom="1152" w:left="1152" w:header="720" w:footer="720" w:gutter="0"/>
          <w:cols w:space="708"/>
          <w:docGrid w:linePitch="360"/>
        </w:sectPr>
      </w:pPr>
    </w:p>
    <w:p w:rsidR="00336793" w:rsidRPr="006A75A2" w:rsidRDefault="00336793" w:rsidP="00DF0B96">
      <w:pPr>
        <w:pStyle w:val="Heading2Notes"/>
        <w:rPr>
          <w:kern w:val="0"/>
        </w:rPr>
      </w:pPr>
      <w:bookmarkStart w:id="101" w:name="_Toc400040279"/>
      <w:bookmarkStart w:id="102" w:name="_Toc433984515"/>
      <w:bookmarkEnd w:id="98"/>
      <w:r w:rsidRPr="006A75A2">
        <w:rPr>
          <w:kern w:val="0"/>
        </w:rPr>
        <w:lastRenderedPageBreak/>
        <w:t>Note 32:</w:t>
      </w:r>
      <w:r w:rsidRPr="006A75A2">
        <w:rPr>
          <w:kern w:val="0"/>
        </w:rPr>
        <w:tab/>
        <w:t>Explanations of material variances between budget and actual outcomes</w:t>
      </w:r>
      <w:bookmarkEnd w:id="101"/>
      <w:bookmarkEnd w:id="102"/>
    </w:p>
    <w:p w:rsidR="00336793" w:rsidRPr="006A75A2" w:rsidRDefault="00336793" w:rsidP="00DF0B96">
      <w:r w:rsidRPr="006A75A2">
        <w:t>The following tables and notes explain material variances between the general government sector original budget a</w:t>
      </w:r>
      <w:r>
        <w:t>s published in Chapter 1 of 2014</w:t>
      </w:r>
      <w:r>
        <w:noBreakHyphen/>
        <w:t>15</w:t>
      </w:r>
      <w:r w:rsidRPr="006A75A2">
        <w:t xml:space="preserve"> Budget Paper </w:t>
      </w:r>
      <w:r>
        <w:t>No. </w:t>
      </w:r>
      <w:r w:rsidRPr="006A75A2">
        <w:t xml:space="preserve">5 </w:t>
      </w:r>
      <w:r w:rsidRPr="006A75A2">
        <w:rPr>
          <w:i/>
        </w:rPr>
        <w:t xml:space="preserve">Statement of Finances </w:t>
      </w:r>
      <w:r w:rsidRPr="006A75A2">
        <w:t>and actual outcomes. The tables also include the revised budget estimates as</w:t>
      </w:r>
      <w:r>
        <w:t xml:space="preserve"> published in Appendix B of 2015</w:t>
      </w:r>
      <w:r>
        <w:noBreakHyphen/>
        <w:t>16 </w:t>
      </w:r>
      <w:r w:rsidRPr="006A75A2">
        <w:t>Budget Paper No. 5</w:t>
      </w:r>
      <w:r w:rsidRPr="006A75A2">
        <w:rPr>
          <w:i/>
        </w:rPr>
        <w:t xml:space="preserve"> Statement of Finances.</w:t>
      </w:r>
    </w:p>
    <w:p w:rsidR="00336793" w:rsidRPr="006A75A2" w:rsidRDefault="00336793" w:rsidP="00DF0B96">
      <w:r w:rsidRPr="006A75A2">
        <w:t xml:space="preserve">The </w:t>
      </w:r>
      <w:r>
        <w:t xml:space="preserve">original </w:t>
      </w:r>
      <w:r w:rsidRPr="006A75A2">
        <w:t>budget data is sourced from the estimated financial statements, which were reviewed by the Auditor</w:t>
      </w:r>
      <w:r>
        <w:noBreakHyphen/>
      </w:r>
      <w:r w:rsidRPr="006A75A2">
        <w:t>General, but not subject to an audit.</w:t>
      </w:r>
    </w:p>
    <w:p w:rsidR="00336793" w:rsidRPr="006A75A2" w:rsidRDefault="00336793" w:rsidP="00DF0B96">
      <w:r w:rsidRPr="006A75A2">
        <w:t>For the general government sector comprehensive operating statement, variances are considered to be material where the varianc</w:t>
      </w:r>
      <w:r>
        <w:t>e exceeds the greater of 10 per cent</w:t>
      </w:r>
      <w:r w:rsidRPr="006A75A2">
        <w:t xml:space="preserve"> of the original budget estimates or $15</w:t>
      </w:r>
      <w:r>
        <w:t> million</w:t>
      </w:r>
      <w:r w:rsidRPr="006A75A2">
        <w:t>. In regard to the other statements, high level explanations of major variances in the key aggregates, where material, have been provided.</w:t>
      </w:r>
    </w:p>
    <w:p w:rsidR="00336793" w:rsidRPr="006A75A2" w:rsidRDefault="00336793" w:rsidP="00243E39">
      <w:pPr>
        <w:pStyle w:val="Tableheading"/>
      </w:pPr>
      <w:r w:rsidRPr="006A75A2">
        <w:t>(a)</w:t>
      </w:r>
      <w:r w:rsidRPr="006A75A2">
        <w:tab/>
        <w:t xml:space="preserve">Consolidated </w:t>
      </w:r>
      <w:r w:rsidRPr="00D748B4">
        <w:t>comprehensive</w:t>
      </w:r>
      <w:r w:rsidRPr="006A75A2">
        <w:t xml:space="preserve"> operating statement for the financial year ending 30</w:t>
      </w:r>
      <w:r>
        <w:t> </w:t>
      </w:r>
      <w:r w:rsidRPr="006A75A2">
        <w:t>June</w:t>
      </w:r>
    </w:p>
    <w:p w:rsidR="00336793" w:rsidRPr="00A10A3B" w:rsidRDefault="00336793" w:rsidP="00DF0B96">
      <w:pPr>
        <w:pStyle w:val="million"/>
        <w:rPr>
          <w:rFonts w:ascii="Times New Roman" w:hAnsi="Times New Roman"/>
          <w:i w:val="0"/>
          <w:szCs w:val="20"/>
          <w:lang w:eastAsia="en-AU"/>
        </w:rPr>
      </w:pPr>
      <w:r w:rsidRPr="006A75A2">
        <w:t>($</w:t>
      </w:r>
      <w:r>
        <w:t> million</w:t>
      </w:r>
      <w:r w:rsidRPr="006A75A2">
        <w:t>)</w:t>
      </w:r>
    </w:p>
    <w:tbl>
      <w:tblPr>
        <w:tblW w:w="9639" w:type="dxa"/>
        <w:tblInd w:w="28" w:type="dxa"/>
        <w:tblLayout w:type="fixed"/>
        <w:tblCellMar>
          <w:left w:w="45" w:type="dxa"/>
          <w:right w:w="45" w:type="dxa"/>
        </w:tblCellMar>
        <w:tblLook w:val="0000" w:firstRow="0" w:lastRow="0" w:firstColumn="0" w:lastColumn="0" w:noHBand="0" w:noVBand="0"/>
      </w:tblPr>
      <w:tblGrid>
        <w:gridCol w:w="2897"/>
        <w:gridCol w:w="720"/>
        <w:gridCol w:w="990"/>
        <w:gridCol w:w="990"/>
        <w:gridCol w:w="810"/>
        <w:gridCol w:w="90"/>
        <w:gridCol w:w="180"/>
        <w:gridCol w:w="270"/>
        <w:gridCol w:w="270"/>
        <w:gridCol w:w="270"/>
        <w:gridCol w:w="336"/>
        <w:gridCol w:w="227"/>
        <w:gridCol w:w="67"/>
        <w:gridCol w:w="160"/>
        <w:gridCol w:w="227"/>
        <w:gridCol w:w="227"/>
        <w:gridCol w:w="227"/>
        <w:gridCol w:w="59"/>
        <w:gridCol w:w="168"/>
        <w:gridCol w:w="227"/>
        <w:gridCol w:w="227"/>
      </w:tblGrid>
      <w:tr w:rsidR="00336793" w:rsidRPr="00243E39" w:rsidTr="00243E39">
        <w:trPr>
          <w:tblHeader/>
        </w:trPr>
        <w:tc>
          <w:tcPr>
            <w:tcW w:w="2897" w:type="dxa"/>
            <w:tcBorders>
              <w:top w:val="single" w:sz="6" w:space="0" w:color="auto"/>
              <w:left w:val="single" w:sz="6" w:space="0" w:color="auto"/>
              <w:bottom w:val="nil"/>
              <w:right w:val="nil"/>
            </w:tcBorders>
            <w:shd w:val="clear" w:color="000000" w:fill="000000"/>
            <w:vAlign w:val="bottom"/>
          </w:tcPr>
          <w:p w:rsidR="00336793" w:rsidRPr="00243E39" w:rsidRDefault="00336793" w:rsidP="00DF0B96">
            <w:pPr>
              <w:pStyle w:val="Tabletextheading"/>
              <w:jc w:val="left"/>
              <w:rPr>
                <w:rFonts w:eastAsiaTheme="minorEastAsia"/>
                <w:color w:val="FFFFFF"/>
                <w:sz w:val="20"/>
                <w:lang w:eastAsia="en-AU"/>
              </w:rPr>
            </w:pPr>
            <w:r w:rsidRPr="00243E39">
              <w:rPr>
                <w:rFonts w:eastAsiaTheme="minorEastAsia"/>
                <w:color w:val="FFFFFF"/>
                <w:sz w:val="20"/>
                <w:lang w:eastAsia="en-AU"/>
              </w:rPr>
              <w:t xml:space="preserve"> </w:t>
            </w:r>
          </w:p>
        </w:tc>
        <w:tc>
          <w:tcPr>
            <w:tcW w:w="3510" w:type="dxa"/>
            <w:gridSpan w:val="4"/>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sz w:val="20"/>
                <w:lang w:eastAsia="en-AU"/>
              </w:rPr>
            </w:pPr>
            <w:r w:rsidRPr="00243E39">
              <w:rPr>
                <w:rFonts w:eastAsiaTheme="minorEastAsia"/>
                <w:sz w:val="20"/>
                <w:lang w:eastAsia="en-AU"/>
              </w:rPr>
              <w:t>General government sector</w:t>
            </w:r>
          </w:p>
        </w:tc>
        <w:tc>
          <w:tcPr>
            <w:tcW w:w="270" w:type="dxa"/>
            <w:gridSpan w:val="2"/>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270" w:type="dxa"/>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270" w:type="dxa"/>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270" w:type="dxa"/>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630" w:type="dxa"/>
            <w:gridSpan w:val="3"/>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900" w:type="dxa"/>
            <w:gridSpan w:val="5"/>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622" w:type="dxa"/>
            <w:gridSpan w:val="3"/>
            <w:tcBorders>
              <w:top w:val="single" w:sz="6" w:space="0" w:color="auto"/>
              <w:left w:val="nil"/>
              <w:bottom w:val="nil"/>
              <w:right w:val="single" w:sz="6" w:space="0" w:color="auto"/>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r>
      <w:tr w:rsidR="00336793" w:rsidRPr="00243E39" w:rsidTr="00243E39">
        <w:trPr>
          <w:tblHeader/>
        </w:trPr>
        <w:tc>
          <w:tcPr>
            <w:tcW w:w="2897" w:type="dxa"/>
            <w:tcBorders>
              <w:left w:val="single" w:sz="6" w:space="0" w:color="auto"/>
              <w:bottom w:val="single" w:sz="6" w:space="0" w:color="auto"/>
              <w:right w:val="nil"/>
            </w:tcBorders>
            <w:shd w:val="clear" w:color="000000" w:fill="000000"/>
            <w:vAlign w:val="bottom"/>
          </w:tcPr>
          <w:p w:rsidR="00336793" w:rsidRPr="00243E39" w:rsidRDefault="00336793" w:rsidP="00DF0B96">
            <w:pPr>
              <w:pStyle w:val="Tabletextheading"/>
              <w:jc w:val="left"/>
              <w:rPr>
                <w:rFonts w:eastAsiaTheme="minorEastAsia"/>
                <w:color w:val="FFFFFF"/>
                <w:sz w:val="20"/>
                <w:lang w:eastAsia="en-AU"/>
              </w:rPr>
            </w:pPr>
            <w:r w:rsidRPr="00243E39">
              <w:rPr>
                <w:rFonts w:eastAsiaTheme="minorEastAsia"/>
                <w:color w:val="FFFFFF"/>
                <w:sz w:val="20"/>
                <w:lang w:eastAsia="en-AU"/>
              </w:rPr>
              <w:t xml:space="preserve"> </w:t>
            </w:r>
          </w:p>
        </w:tc>
        <w:tc>
          <w:tcPr>
            <w:tcW w:w="720" w:type="dxa"/>
            <w:tcBorders>
              <w:left w:val="nil"/>
              <w:bottom w:val="single" w:sz="6" w:space="0" w:color="auto"/>
              <w:right w:val="nil"/>
            </w:tcBorders>
            <w:shd w:val="clear" w:color="000000" w:fill="000000"/>
            <w:vAlign w:val="bottom"/>
          </w:tcPr>
          <w:p w:rsidR="00336793" w:rsidRPr="00243E39" w:rsidRDefault="00336793" w:rsidP="00DF0B96">
            <w:pPr>
              <w:pStyle w:val="TabletextheadingCentred"/>
              <w:rPr>
                <w:rFonts w:eastAsiaTheme="minorEastAsia"/>
                <w:sz w:val="20"/>
                <w:lang w:eastAsia="en-AU"/>
              </w:rPr>
            </w:pPr>
            <w:r w:rsidRPr="00243E39">
              <w:rPr>
                <w:rFonts w:eastAsiaTheme="minorEastAsia"/>
                <w:sz w:val="20"/>
                <w:lang w:eastAsia="en-AU"/>
              </w:rPr>
              <w:t>Notes</w:t>
            </w:r>
          </w:p>
        </w:tc>
        <w:tc>
          <w:tcPr>
            <w:tcW w:w="990" w:type="dxa"/>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Original budget</w:t>
            </w:r>
          </w:p>
        </w:tc>
        <w:tc>
          <w:tcPr>
            <w:tcW w:w="990" w:type="dxa"/>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Revised budget</w:t>
            </w:r>
          </w:p>
        </w:tc>
        <w:tc>
          <w:tcPr>
            <w:tcW w:w="900" w:type="dxa"/>
            <w:gridSpan w:val="2"/>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2015 actual</w:t>
            </w:r>
          </w:p>
        </w:tc>
        <w:tc>
          <w:tcPr>
            <w:tcW w:w="990" w:type="dxa"/>
            <w:gridSpan w:val="4"/>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Budget variance</w:t>
            </w:r>
          </w:p>
        </w:tc>
        <w:tc>
          <w:tcPr>
            <w:tcW w:w="630" w:type="dxa"/>
            <w:gridSpan w:val="3"/>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w:t>
            </w:r>
          </w:p>
        </w:tc>
        <w:tc>
          <w:tcPr>
            <w:tcW w:w="900" w:type="dxa"/>
            <w:gridSpan w:val="5"/>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Revised budget variance</w:t>
            </w:r>
          </w:p>
        </w:tc>
        <w:tc>
          <w:tcPr>
            <w:tcW w:w="622" w:type="dxa"/>
            <w:gridSpan w:val="3"/>
            <w:tcBorders>
              <w:left w:val="nil"/>
              <w:bottom w:val="single" w:sz="6" w:space="0" w:color="auto"/>
              <w:right w:val="single" w:sz="6" w:space="0" w:color="auto"/>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w:t>
            </w:r>
          </w:p>
        </w:tc>
      </w:tr>
      <w:tr w:rsidR="00336793" w:rsidRPr="00243E39" w:rsidTr="00243E39">
        <w:tc>
          <w:tcPr>
            <w:tcW w:w="2897" w:type="dxa"/>
            <w:tcBorders>
              <w:top w:val="single" w:sz="6" w:space="0" w:color="auto"/>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Revenue from transactions</w:t>
            </w:r>
          </w:p>
        </w:tc>
        <w:tc>
          <w:tcPr>
            <w:tcW w:w="720" w:type="dxa"/>
            <w:tcBorders>
              <w:top w:val="single" w:sz="6" w:space="0" w:color="auto"/>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single" w:sz="6" w:space="0" w:color="auto"/>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90" w:type="dxa"/>
            <w:tcBorders>
              <w:top w:val="single" w:sz="6" w:space="0" w:color="auto"/>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00" w:type="dxa"/>
            <w:gridSpan w:val="2"/>
            <w:tcBorders>
              <w:top w:val="single" w:sz="6" w:space="0" w:color="auto"/>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90" w:type="dxa"/>
            <w:gridSpan w:val="4"/>
            <w:tcBorders>
              <w:top w:val="single" w:sz="6" w:space="0" w:color="auto"/>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630" w:type="dxa"/>
            <w:gridSpan w:val="3"/>
            <w:tcBorders>
              <w:top w:val="single" w:sz="6" w:space="0" w:color="auto"/>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00" w:type="dxa"/>
            <w:gridSpan w:val="5"/>
            <w:tcBorders>
              <w:top w:val="single" w:sz="6" w:space="0" w:color="auto"/>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622" w:type="dxa"/>
            <w:gridSpan w:val="3"/>
            <w:tcBorders>
              <w:top w:val="single" w:sz="6" w:space="0" w:color="auto"/>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Taxation revenue</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(a)</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18 067.5</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18 273.9</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18 338.7</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271.1</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1.5</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64.7</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0.4</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Interest revenue</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(b)</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842.1</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824.6</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827.1</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(15.0</w:t>
            </w:r>
            <w:r w:rsidRPr="00243E39">
              <w:rPr>
                <w:rFonts w:ascii="Calibri" w:eastAsiaTheme="minorEastAsia" w:hAnsi="Calibri" w:cs="Calibri"/>
                <w:color w:val="000000"/>
                <w:sz w:val="20"/>
                <w:szCs w:val="22"/>
                <w:lang w:eastAsia="en-AU"/>
              </w:rPr>
              <w:t>)</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(1.8</w:t>
            </w:r>
            <w:r w:rsidRPr="00243E39">
              <w:rPr>
                <w:rFonts w:ascii="Calibri" w:eastAsiaTheme="minorEastAsia" w:hAnsi="Calibri" w:cs="Calibri"/>
                <w:color w:val="000000"/>
                <w:sz w:val="20"/>
                <w:szCs w:val="22"/>
                <w:lang w:eastAsia="en-AU"/>
              </w:rPr>
              <w:t>)</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2.5</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0.3</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Dividends and income tax equivalent and rate equivalent revenue</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(c)</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584.7</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1 025.5</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1 112.7</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528.0</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90.3</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87.2</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8.5</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Sales of goods and services</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6 478.4</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6 525.5</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6 482.2</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3.9</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0.1</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(43.2</w:t>
            </w:r>
            <w:r w:rsidRPr="00243E39">
              <w:rPr>
                <w:rFonts w:ascii="Calibri" w:eastAsiaTheme="minorEastAsia" w:hAnsi="Calibri" w:cs="Calibri"/>
                <w:color w:val="000000"/>
                <w:sz w:val="20"/>
                <w:szCs w:val="22"/>
                <w:lang w:eastAsia="en-AU"/>
              </w:rPr>
              <w:t>)</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(0.7</w:t>
            </w:r>
            <w:r w:rsidRPr="00243E39">
              <w:rPr>
                <w:rFonts w:ascii="Calibri" w:eastAsiaTheme="minorEastAsia" w:hAnsi="Calibri" w:cs="Calibri"/>
                <w:color w:val="000000"/>
                <w:sz w:val="20"/>
                <w:szCs w:val="22"/>
                <w:lang w:eastAsia="en-AU"/>
              </w:rPr>
              <w:t>)</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Grant revenue</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(d)</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24 855.3</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24 584.3</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24 502.8</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(352.5</w:t>
            </w:r>
            <w:r w:rsidRPr="00243E39">
              <w:rPr>
                <w:rFonts w:ascii="Calibri" w:eastAsiaTheme="minorEastAsia" w:hAnsi="Calibri" w:cs="Calibri"/>
                <w:color w:val="000000"/>
                <w:sz w:val="20"/>
                <w:szCs w:val="22"/>
                <w:lang w:eastAsia="en-AU"/>
              </w:rPr>
              <w:t>)</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(1.4</w:t>
            </w:r>
            <w:r w:rsidRPr="00243E39">
              <w:rPr>
                <w:rFonts w:ascii="Calibri" w:eastAsiaTheme="minorEastAsia" w:hAnsi="Calibri" w:cs="Calibri"/>
                <w:color w:val="000000"/>
                <w:sz w:val="20"/>
                <w:szCs w:val="22"/>
                <w:lang w:eastAsia="en-AU"/>
              </w:rPr>
              <w:t>)</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(81.5</w:t>
            </w:r>
            <w:r w:rsidRPr="00243E39">
              <w:rPr>
                <w:rFonts w:ascii="Calibri" w:eastAsiaTheme="minorEastAsia" w:hAnsi="Calibri" w:cs="Calibri"/>
                <w:color w:val="000000"/>
                <w:sz w:val="20"/>
                <w:szCs w:val="22"/>
                <w:lang w:eastAsia="en-AU"/>
              </w:rPr>
              <w:t>)</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(0.3</w:t>
            </w:r>
            <w:r w:rsidRPr="00243E39">
              <w:rPr>
                <w:rFonts w:ascii="Calibri" w:eastAsiaTheme="minorEastAsia" w:hAnsi="Calibri" w:cs="Calibri"/>
                <w:color w:val="000000"/>
                <w:sz w:val="20"/>
                <w:szCs w:val="22"/>
                <w:lang w:eastAsia="en-AU"/>
              </w:rPr>
              <w:t>)</w:t>
            </w:r>
          </w:p>
        </w:tc>
      </w:tr>
      <w:tr w:rsidR="00336793" w:rsidRPr="00243E39" w:rsidTr="00243E39">
        <w:tc>
          <w:tcPr>
            <w:tcW w:w="2897" w:type="dxa"/>
            <w:tcBorders>
              <w:top w:val="nil"/>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Other revenue</w:t>
            </w:r>
          </w:p>
        </w:tc>
        <w:tc>
          <w:tcPr>
            <w:tcW w:w="720" w:type="dxa"/>
            <w:tcBorders>
              <w:top w:val="nil"/>
              <w:left w:val="nil"/>
              <w:bottom w:val="single" w:sz="6" w:space="0" w:color="000000"/>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(e)</w:t>
            </w:r>
          </w:p>
        </w:tc>
        <w:tc>
          <w:tcPr>
            <w:tcW w:w="990" w:type="dxa"/>
            <w:tcBorders>
              <w:top w:val="nil"/>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2 073.9</w:t>
            </w:r>
          </w:p>
        </w:tc>
        <w:tc>
          <w:tcPr>
            <w:tcW w:w="990" w:type="dxa"/>
            <w:tcBorders>
              <w:top w:val="nil"/>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2 308.7</w:t>
            </w:r>
          </w:p>
        </w:tc>
        <w:tc>
          <w:tcPr>
            <w:tcW w:w="900" w:type="dxa"/>
            <w:gridSpan w:val="2"/>
            <w:tcBorders>
              <w:top w:val="nil"/>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2 508.5</w:t>
            </w:r>
          </w:p>
        </w:tc>
        <w:tc>
          <w:tcPr>
            <w:tcW w:w="990" w:type="dxa"/>
            <w:gridSpan w:val="4"/>
            <w:tcBorders>
              <w:top w:val="nil"/>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434.6</w:t>
            </w:r>
          </w:p>
        </w:tc>
        <w:tc>
          <w:tcPr>
            <w:tcW w:w="630" w:type="dxa"/>
            <w:gridSpan w:val="3"/>
            <w:tcBorders>
              <w:top w:val="nil"/>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21.0</w:t>
            </w:r>
          </w:p>
        </w:tc>
        <w:tc>
          <w:tcPr>
            <w:tcW w:w="900" w:type="dxa"/>
            <w:gridSpan w:val="5"/>
            <w:tcBorders>
              <w:top w:val="nil"/>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199.8</w:t>
            </w:r>
          </w:p>
        </w:tc>
        <w:tc>
          <w:tcPr>
            <w:tcW w:w="622" w:type="dxa"/>
            <w:gridSpan w:val="3"/>
            <w:tcBorders>
              <w:top w:val="nil"/>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8.7</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Total revenue from transactions </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52 901.9</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53 542.4</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53 772.0</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870.1</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1.6</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229.6</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0.4</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Expenses from transactions</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Employee expenses</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(f)</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18 442.3</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18 478.4</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18 834.3</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392.0</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2.1</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355.9</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1.9</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Net superannuation interest expense</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1 023.9</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1 038.0</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1 038.0</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14.1</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1.4</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Other superannuation</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(g)</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1 863.7</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1 864.1</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1 978.0</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114.4</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6.1</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113.9</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6.1</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Depreciation</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(h)</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2 496.0</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2 497.5</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2 425.4</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(70.7</w:t>
            </w:r>
            <w:r w:rsidRPr="00243E39">
              <w:rPr>
                <w:rFonts w:ascii="Calibri" w:eastAsiaTheme="minorEastAsia" w:hAnsi="Calibri" w:cs="Calibri"/>
                <w:color w:val="000000"/>
                <w:sz w:val="20"/>
                <w:szCs w:val="22"/>
                <w:lang w:eastAsia="en-AU"/>
              </w:rPr>
              <w:t>)</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(2.8</w:t>
            </w:r>
            <w:r w:rsidRPr="00243E39">
              <w:rPr>
                <w:rFonts w:ascii="Calibri" w:eastAsiaTheme="minorEastAsia" w:hAnsi="Calibri" w:cs="Calibri"/>
                <w:color w:val="000000"/>
                <w:sz w:val="20"/>
                <w:szCs w:val="22"/>
                <w:lang w:eastAsia="en-AU"/>
              </w:rPr>
              <w:t>)</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(72.1</w:t>
            </w:r>
            <w:r w:rsidRPr="00243E39">
              <w:rPr>
                <w:rFonts w:ascii="Calibri" w:eastAsiaTheme="minorEastAsia" w:hAnsi="Calibri" w:cs="Calibri"/>
                <w:color w:val="000000"/>
                <w:sz w:val="20"/>
                <w:szCs w:val="22"/>
                <w:lang w:eastAsia="en-AU"/>
              </w:rPr>
              <w:t>)</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(2.9</w:t>
            </w:r>
            <w:r w:rsidRPr="00243E39">
              <w:rPr>
                <w:rFonts w:ascii="Calibri" w:eastAsiaTheme="minorEastAsia" w:hAnsi="Calibri" w:cs="Calibri"/>
                <w:color w:val="000000"/>
                <w:sz w:val="20"/>
                <w:szCs w:val="22"/>
                <w:lang w:eastAsia="en-AU"/>
              </w:rPr>
              <w:t>)</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Interest expense</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(i)</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2 195.8</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2 102.8</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2 102.4</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(93.4</w:t>
            </w:r>
            <w:r w:rsidRPr="00243E39">
              <w:rPr>
                <w:rFonts w:ascii="Calibri" w:eastAsiaTheme="minorEastAsia" w:hAnsi="Calibri" w:cs="Calibri"/>
                <w:color w:val="000000"/>
                <w:sz w:val="20"/>
                <w:szCs w:val="22"/>
                <w:lang w:eastAsia="en-AU"/>
              </w:rPr>
              <w:t>)</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(4.3</w:t>
            </w:r>
            <w:r w:rsidRPr="00243E39">
              <w:rPr>
                <w:rFonts w:ascii="Calibri" w:eastAsiaTheme="minorEastAsia" w:hAnsi="Calibri" w:cs="Calibri"/>
                <w:color w:val="000000"/>
                <w:sz w:val="20"/>
                <w:szCs w:val="22"/>
                <w:lang w:eastAsia="en-AU"/>
              </w:rPr>
              <w:t>)</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(0.4</w:t>
            </w:r>
            <w:r w:rsidRPr="00243E39">
              <w:rPr>
                <w:rFonts w:ascii="Calibri" w:eastAsiaTheme="minorEastAsia" w:hAnsi="Calibri" w:cs="Calibri"/>
                <w:color w:val="000000"/>
                <w:sz w:val="20"/>
                <w:szCs w:val="22"/>
                <w:lang w:eastAsia="en-AU"/>
              </w:rPr>
              <w:t>)</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Grant expense</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(j)</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8 294.3</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8 220.0</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8 529.1</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234.7</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2.8</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309.1</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3.8</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Other operating expenses</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(k)</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17 259.2</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18 458.7</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17 650.8</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391.6</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2.3</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(807.9</w:t>
            </w:r>
            <w:r w:rsidRPr="00243E39">
              <w:rPr>
                <w:rFonts w:ascii="Calibri" w:eastAsiaTheme="minorEastAsia" w:hAnsi="Calibri" w:cs="Calibri"/>
                <w:color w:val="000000"/>
                <w:sz w:val="20"/>
                <w:szCs w:val="22"/>
                <w:lang w:eastAsia="en-AU"/>
              </w:rPr>
              <w:t>)</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(4.4</w:t>
            </w:r>
            <w:r w:rsidRPr="00243E39">
              <w:rPr>
                <w:rFonts w:ascii="Calibri" w:eastAsiaTheme="minorEastAsia" w:hAnsi="Calibri" w:cs="Calibri"/>
                <w:color w:val="000000"/>
                <w:sz w:val="20"/>
                <w:szCs w:val="22"/>
                <w:lang w:eastAsia="en-AU"/>
              </w:rPr>
              <w:t>)</w:t>
            </w:r>
          </w:p>
        </w:tc>
      </w:tr>
      <w:tr w:rsidR="00336793" w:rsidRPr="00243E39" w:rsidTr="00243E39">
        <w:tc>
          <w:tcPr>
            <w:tcW w:w="2897" w:type="dxa"/>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Total expenses from transactions</w:t>
            </w:r>
          </w:p>
        </w:tc>
        <w:tc>
          <w:tcPr>
            <w:tcW w:w="720" w:type="dxa"/>
            <w:tcBorders>
              <w:top w:val="single" w:sz="6" w:space="0" w:color="000000"/>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51 575.1</w:t>
            </w:r>
          </w:p>
        </w:tc>
        <w:tc>
          <w:tcPr>
            <w:tcW w:w="990" w:type="dxa"/>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52 659.4</w:t>
            </w:r>
          </w:p>
        </w:tc>
        <w:tc>
          <w:tcPr>
            <w:tcW w:w="900" w:type="dxa"/>
            <w:gridSpan w:val="2"/>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52 558.0</w:t>
            </w:r>
          </w:p>
        </w:tc>
        <w:tc>
          <w:tcPr>
            <w:tcW w:w="990" w:type="dxa"/>
            <w:gridSpan w:val="4"/>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982.8</w:t>
            </w:r>
          </w:p>
        </w:tc>
        <w:tc>
          <w:tcPr>
            <w:tcW w:w="630" w:type="dxa"/>
            <w:gridSpan w:val="3"/>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1.9</w:t>
            </w:r>
          </w:p>
        </w:tc>
        <w:tc>
          <w:tcPr>
            <w:tcW w:w="900" w:type="dxa"/>
            <w:gridSpan w:val="5"/>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(101.5</w:t>
            </w:r>
            <w:r w:rsidRPr="00243E39">
              <w:rPr>
                <w:rFonts w:ascii="Calibri" w:eastAsiaTheme="minorEastAsia" w:hAnsi="Calibri" w:cs="Calibri"/>
                <w:b/>
                <w:bCs/>
                <w:color w:val="000000"/>
                <w:sz w:val="20"/>
                <w:szCs w:val="22"/>
                <w:lang w:eastAsia="en-AU"/>
              </w:rPr>
              <w:t>)</w:t>
            </w:r>
          </w:p>
        </w:tc>
        <w:tc>
          <w:tcPr>
            <w:tcW w:w="622" w:type="dxa"/>
            <w:gridSpan w:val="3"/>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(0.2</w:t>
            </w:r>
            <w:r w:rsidRPr="00243E39">
              <w:rPr>
                <w:rFonts w:ascii="Calibri" w:eastAsiaTheme="minorEastAsia" w:hAnsi="Calibri" w:cs="Calibri"/>
                <w:b/>
                <w:bCs/>
                <w:color w:val="000000"/>
                <w:sz w:val="20"/>
                <w:szCs w:val="22"/>
                <w:lang w:eastAsia="en-AU"/>
              </w:rPr>
              <w:t>)</w:t>
            </w:r>
          </w:p>
        </w:tc>
      </w:tr>
      <w:tr w:rsidR="00336793" w:rsidRPr="00243E39" w:rsidTr="00243E39">
        <w:tc>
          <w:tcPr>
            <w:tcW w:w="2897" w:type="dxa"/>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Net result from transactions – net operating balance</w:t>
            </w:r>
          </w:p>
        </w:tc>
        <w:tc>
          <w:tcPr>
            <w:tcW w:w="720" w:type="dxa"/>
            <w:tcBorders>
              <w:top w:val="single" w:sz="6" w:space="0" w:color="000000"/>
              <w:left w:val="nil"/>
              <w:bottom w:val="single" w:sz="12" w:space="0" w:color="000000"/>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1 326.7</w:t>
            </w:r>
          </w:p>
        </w:tc>
        <w:tc>
          <w:tcPr>
            <w:tcW w:w="990" w:type="dxa"/>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883.0</w:t>
            </w:r>
          </w:p>
        </w:tc>
        <w:tc>
          <w:tcPr>
            <w:tcW w:w="900" w:type="dxa"/>
            <w:gridSpan w:val="2"/>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1 214.0</w:t>
            </w:r>
          </w:p>
        </w:tc>
        <w:tc>
          <w:tcPr>
            <w:tcW w:w="990" w:type="dxa"/>
            <w:gridSpan w:val="4"/>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(112.7</w:t>
            </w:r>
            <w:r w:rsidRPr="00243E39">
              <w:rPr>
                <w:rFonts w:ascii="Calibri" w:eastAsiaTheme="minorEastAsia" w:hAnsi="Calibri" w:cs="Calibri"/>
                <w:b/>
                <w:bCs/>
                <w:color w:val="000000"/>
                <w:sz w:val="20"/>
                <w:szCs w:val="22"/>
                <w:lang w:eastAsia="en-AU"/>
              </w:rPr>
              <w:t>)</w:t>
            </w:r>
          </w:p>
        </w:tc>
        <w:tc>
          <w:tcPr>
            <w:tcW w:w="630" w:type="dxa"/>
            <w:gridSpan w:val="3"/>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(8.5</w:t>
            </w:r>
            <w:r w:rsidRPr="00243E39">
              <w:rPr>
                <w:rFonts w:ascii="Calibri" w:eastAsiaTheme="minorEastAsia" w:hAnsi="Calibri" w:cs="Calibri"/>
                <w:b/>
                <w:bCs/>
                <w:color w:val="000000"/>
                <w:sz w:val="20"/>
                <w:szCs w:val="22"/>
                <w:lang w:eastAsia="en-AU"/>
              </w:rPr>
              <w:t>)</w:t>
            </w:r>
          </w:p>
        </w:tc>
        <w:tc>
          <w:tcPr>
            <w:tcW w:w="900" w:type="dxa"/>
            <w:gridSpan w:val="5"/>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331.1</w:t>
            </w:r>
          </w:p>
        </w:tc>
        <w:tc>
          <w:tcPr>
            <w:tcW w:w="622" w:type="dxa"/>
            <w:gridSpan w:val="3"/>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37.5</w:t>
            </w:r>
          </w:p>
        </w:tc>
      </w:tr>
      <w:tr w:rsidR="00336793" w:rsidRPr="00243E39" w:rsidTr="00DF0B96">
        <w:tc>
          <w:tcPr>
            <w:tcW w:w="7823" w:type="dxa"/>
            <w:gridSpan w:val="11"/>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Other economic flows included in net result </w:t>
            </w:r>
          </w:p>
        </w:tc>
        <w:tc>
          <w:tcPr>
            <w:tcW w:w="227"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227"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22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22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22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227"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22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22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Net gain/(loss) on disposal of non</w:t>
            </w:r>
            <w:r>
              <w:rPr>
                <w:rFonts w:ascii="Calibri" w:eastAsiaTheme="minorEastAsia" w:hAnsi="Calibri" w:cs="Calibri"/>
                <w:sz w:val="20"/>
                <w:szCs w:val="22"/>
                <w:lang w:eastAsia="en-AU"/>
              </w:rPr>
              <w:noBreakHyphen/>
            </w:r>
            <w:r w:rsidRPr="00243E39">
              <w:rPr>
                <w:rFonts w:ascii="Calibri" w:eastAsiaTheme="minorEastAsia" w:hAnsi="Calibri" w:cs="Calibri"/>
                <w:sz w:val="20"/>
                <w:szCs w:val="22"/>
                <w:lang w:eastAsia="en-AU"/>
              </w:rPr>
              <w:t xml:space="preserve">financial assets </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106.3</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64.6</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32.1</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(74.2</w:t>
            </w:r>
            <w:r w:rsidRPr="00243E39">
              <w:rPr>
                <w:rFonts w:ascii="Calibri" w:eastAsiaTheme="minorEastAsia" w:hAnsi="Calibri" w:cs="Calibri"/>
                <w:color w:val="000000"/>
                <w:sz w:val="20"/>
                <w:szCs w:val="22"/>
                <w:lang w:eastAsia="en-AU"/>
              </w:rPr>
              <w:t>)</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(32.5</w:t>
            </w:r>
            <w:r w:rsidRPr="00243E39">
              <w:rPr>
                <w:rFonts w:ascii="Calibri" w:eastAsiaTheme="minorEastAsia" w:hAnsi="Calibri" w:cs="Calibri"/>
                <w:color w:val="000000"/>
                <w:sz w:val="20"/>
                <w:szCs w:val="22"/>
                <w:lang w:eastAsia="en-AU"/>
              </w:rPr>
              <w:t>)</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Net gain/(loss) on financial assets or liabilities at fair value</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2.8</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28.1</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53.1</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50.3</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25.0</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Share of net profit/(loss) from associates/joint venture entities</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(2.6</w:t>
            </w:r>
            <w:r w:rsidRPr="00243E39">
              <w:rPr>
                <w:rFonts w:ascii="Calibri" w:eastAsiaTheme="minorEastAsia" w:hAnsi="Calibri" w:cs="Calibri"/>
                <w:color w:val="000000"/>
                <w:sz w:val="20"/>
                <w:szCs w:val="22"/>
                <w:lang w:eastAsia="en-AU"/>
              </w:rPr>
              <w:t>)</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(2.6</w:t>
            </w:r>
            <w:r w:rsidRPr="00243E39">
              <w:rPr>
                <w:rFonts w:ascii="Calibri" w:eastAsiaTheme="minorEastAsia" w:hAnsi="Calibri" w:cs="Calibri"/>
                <w:color w:val="000000"/>
                <w:sz w:val="20"/>
                <w:szCs w:val="22"/>
                <w:lang w:eastAsia="en-AU"/>
              </w:rPr>
              <w:t>)</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(2.6</w:t>
            </w:r>
            <w:r w:rsidRPr="00243E39">
              <w:rPr>
                <w:rFonts w:ascii="Calibri" w:eastAsiaTheme="minorEastAsia" w:hAnsi="Calibri" w:cs="Calibri"/>
                <w:color w:val="000000"/>
                <w:sz w:val="20"/>
                <w:szCs w:val="22"/>
                <w:lang w:eastAsia="en-AU"/>
              </w:rPr>
              <w:t>)</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Other gains/(losses) from other economic flows</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(283.6</w:t>
            </w:r>
            <w:r w:rsidRPr="00243E39">
              <w:rPr>
                <w:rFonts w:ascii="Calibri" w:eastAsiaTheme="minorEastAsia" w:hAnsi="Calibri" w:cs="Calibri"/>
                <w:color w:val="000000"/>
                <w:sz w:val="20"/>
                <w:szCs w:val="22"/>
                <w:lang w:eastAsia="en-AU"/>
              </w:rPr>
              <w:t>)</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(443.7</w:t>
            </w:r>
            <w:r w:rsidRPr="00243E39">
              <w:rPr>
                <w:rFonts w:ascii="Calibri" w:eastAsiaTheme="minorEastAsia" w:hAnsi="Calibri" w:cs="Calibri"/>
                <w:color w:val="000000"/>
                <w:sz w:val="20"/>
                <w:szCs w:val="22"/>
                <w:lang w:eastAsia="en-AU"/>
              </w:rPr>
              <w:t>)</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(547.9</w:t>
            </w:r>
            <w:r w:rsidRPr="00243E39">
              <w:rPr>
                <w:rFonts w:ascii="Calibri" w:eastAsiaTheme="minorEastAsia" w:hAnsi="Calibri" w:cs="Calibri"/>
                <w:color w:val="000000"/>
                <w:sz w:val="20"/>
                <w:szCs w:val="22"/>
                <w:lang w:eastAsia="en-AU"/>
              </w:rPr>
              <w:t>)</w:t>
            </w:r>
          </w:p>
        </w:tc>
        <w:tc>
          <w:tcPr>
            <w:tcW w:w="990" w:type="dxa"/>
            <w:gridSpan w:val="4"/>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(264.2</w:t>
            </w:r>
            <w:r w:rsidRPr="00243E39">
              <w:rPr>
                <w:rFonts w:ascii="Calibri" w:eastAsiaTheme="minorEastAsia" w:hAnsi="Calibri" w:cs="Calibri"/>
                <w:color w:val="000000"/>
                <w:sz w:val="20"/>
                <w:szCs w:val="22"/>
                <w:lang w:eastAsia="en-AU"/>
              </w:rPr>
              <w:t>)</w:t>
            </w:r>
          </w:p>
        </w:tc>
        <w:tc>
          <w:tcPr>
            <w:tcW w:w="630"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c>
          <w:tcPr>
            <w:tcW w:w="900" w:type="dxa"/>
            <w:gridSpan w:val="5"/>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(104.2</w:t>
            </w:r>
            <w:r w:rsidRPr="00243E39">
              <w:rPr>
                <w:rFonts w:ascii="Calibri" w:eastAsiaTheme="minorEastAsia" w:hAnsi="Calibri" w:cs="Calibri"/>
                <w:color w:val="000000"/>
                <w:sz w:val="20"/>
                <w:szCs w:val="22"/>
                <w:lang w:eastAsia="en-AU"/>
              </w:rPr>
              <w:t>)</w:t>
            </w:r>
          </w:p>
        </w:tc>
        <w:tc>
          <w:tcPr>
            <w:tcW w:w="622" w:type="dxa"/>
            <w:gridSpan w:val="3"/>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r>
      <w:tr w:rsidR="00336793" w:rsidRPr="00243E39" w:rsidTr="00243E39">
        <w:tc>
          <w:tcPr>
            <w:tcW w:w="2897" w:type="dxa"/>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Total other economic flows included in net result</w:t>
            </w:r>
          </w:p>
        </w:tc>
        <w:tc>
          <w:tcPr>
            <w:tcW w:w="720" w:type="dxa"/>
            <w:tcBorders>
              <w:top w:val="single" w:sz="6" w:space="0" w:color="000000"/>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(174.5</w:t>
            </w:r>
            <w:r w:rsidRPr="00243E39">
              <w:rPr>
                <w:rFonts w:ascii="Calibri" w:eastAsiaTheme="minorEastAsia" w:hAnsi="Calibri" w:cs="Calibri"/>
                <w:b/>
                <w:bCs/>
                <w:color w:val="000000"/>
                <w:sz w:val="20"/>
                <w:szCs w:val="22"/>
                <w:lang w:eastAsia="en-AU"/>
              </w:rPr>
              <w:t>)</w:t>
            </w:r>
          </w:p>
        </w:tc>
        <w:tc>
          <w:tcPr>
            <w:tcW w:w="990" w:type="dxa"/>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(351.0</w:t>
            </w:r>
            <w:r w:rsidRPr="00243E39">
              <w:rPr>
                <w:rFonts w:ascii="Calibri" w:eastAsiaTheme="minorEastAsia" w:hAnsi="Calibri" w:cs="Calibri"/>
                <w:b/>
                <w:bCs/>
                <w:color w:val="000000"/>
                <w:sz w:val="20"/>
                <w:szCs w:val="22"/>
                <w:lang w:eastAsia="en-AU"/>
              </w:rPr>
              <w:t>)</w:t>
            </w:r>
          </w:p>
        </w:tc>
        <w:tc>
          <w:tcPr>
            <w:tcW w:w="900" w:type="dxa"/>
            <w:gridSpan w:val="2"/>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(465.2</w:t>
            </w:r>
            <w:r w:rsidRPr="00243E39">
              <w:rPr>
                <w:rFonts w:ascii="Calibri" w:eastAsiaTheme="minorEastAsia" w:hAnsi="Calibri" w:cs="Calibri"/>
                <w:b/>
                <w:bCs/>
                <w:color w:val="000000"/>
                <w:sz w:val="20"/>
                <w:szCs w:val="22"/>
                <w:lang w:eastAsia="en-AU"/>
              </w:rPr>
              <w:t>)</w:t>
            </w:r>
          </w:p>
        </w:tc>
        <w:tc>
          <w:tcPr>
            <w:tcW w:w="990" w:type="dxa"/>
            <w:gridSpan w:val="4"/>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(290.8</w:t>
            </w:r>
            <w:r w:rsidRPr="00243E39">
              <w:rPr>
                <w:rFonts w:ascii="Calibri" w:eastAsiaTheme="minorEastAsia" w:hAnsi="Calibri" w:cs="Calibri"/>
                <w:b/>
                <w:bCs/>
                <w:color w:val="000000"/>
                <w:sz w:val="20"/>
                <w:szCs w:val="22"/>
                <w:lang w:eastAsia="en-AU"/>
              </w:rPr>
              <w:t>)</w:t>
            </w:r>
          </w:p>
        </w:tc>
        <w:tc>
          <w:tcPr>
            <w:tcW w:w="630" w:type="dxa"/>
            <w:gridSpan w:val="3"/>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n.a.</w:t>
            </w:r>
          </w:p>
        </w:tc>
        <w:tc>
          <w:tcPr>
            <w:tcW w:w="900" w:type="dxa"/>
            <w:gridSpan w:val="5"/>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(114.2</w:t>
            </w:r>
            <w:r w:rsidRPr="00243E39">
              <w:rPr>
                <w:rFonts w:ascii="Calibri" w:eastAsiaTheme="minorEastAsia" w:hAnsi="Calibri" w:cs="Calibri"/>
                <w:b/>
                <w:bCs/>
                <w:color w:val="000000"/>
                <w:sz w:val="20"/>
                <w:szCs w:val="22"/>
                <w:lang w:eastAsia="en-AU"/>
              </w:rPr>
              <w:t>)</w:t>
            </w:r>
          </w:p>
        </w:tc>
        <w:tc>
          <w:tcPr>
            <w:tcW w:w="622" w:type="dxa"/>
            <w:gridSpan w:val="3"/>
            <w:tcBorders>
              <w:top w:val="single" w:sz="6" w:space="0" w:color="000000"/>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n.a.</w:t>
            </w:r>
          </w:p>
        </w:tc>
      </w:tr>
      <w:tr w:rsidR="00336793" w:rsidRPr="00243E39" w:rsidTr="00243E39">
        <w:tc>
          <w:tcPr>
            <w:tcW w:w="2897" w:type="dxa"/>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Net result</w:t>
            </w:r>
          </w:p>
        </w:tc>
        <w:tc>
          <w:tcPr>
            <w:tcW w:w="720" w:type="dxa"/>
            <w:tcBorders>
              <w:top w:val="single" w:sz="6" w:space="0" w:color="000000"/>
              <w:left w:val="nil"/>
              <w:bottom w:val="single" w:sz="6" w:space="0" w:color="000000"/>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1 152.2</w:t>
            </w:r>
          </w:p>
        </w:tc>
        <w:tc>
          <w:tcPr>
            <w:tcW w:w="990" w:type="dxa"/>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532.0</w:t>
            </w:r>
          </w:p>
        </w:tc>
        <w:tc>
          <w:tcPr>
            <w:tcW w:w="900" w:type="dxa"/>
            <w:gridSpan w:val="2"/>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748.8</w:t>
            </w:r>
          </w:p>
        </w:tc>
        <w:tc>
          <w:tcPr>
            <w:tcW w:w="990" w:type="dxa"/>
            <w:gridSpan w:val="4"/>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(403.5</w:t>
            </w:r>
            <w:r w:rsidRPr="00243E39">
              <w:rPr>
                <w:rFonts w:ascii="Calibri" w:eastAsiaTheme="minorEastAsia" w:hAnsi="Calibri" w:cs="Calibri"/>
                <w:b/>
                <w:bCs/>
                <w:color w:val="000000"/>
                <w:sz w:val="20"/>
                <w:szCs w:val="22"/>
                <w:lang w:eastAsia="en-AU"/>
              </w:rPr>
              <w:t>)</w:t>
            </w:r>
          </w:p>
        </w:tc>
        <w:tc>
          <w:tcPr>
            <w:tcW w:w="630" w:type="dxa"/>
            <w:gridSpan w:val="3"/>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n.a.</w:t>
            </w:r>
          </w:p>
        </w:tc>
        <w:tc>
          <w:tcPr>
            <w:tcW w:w="900" w:type="dxa"/>
            <w:gridSpan w:val="5"/>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216.8</w:t>
            </w:r>
          </w:p>
        </w:tc>
        <w:tc>
          <w:tcPr>
            <w:tcW w:w="622" w:type="dxa"/>
            <w:gridSpan w:val="3"/>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n.a.</w:t>
            </w:r>
          </w:p>
        </w:tc>
      </w:tr>
    </w:tbl>
    <w:p w:rsidR="00DF0B96" w:rsidRPr="006A75A2" w:rsidRDefault="00DF0B96" w:rsidP="00DF0B96">
      <w:pPr>
        <w:pStyle w:val="Heading2NotesContd"/>
      </w:pPr>
      <w:r w:rsidRPr="006A75A2">
        <w:lastRenderedPageBreak/>
        <w:t>Note 32:</w:t>
      </w:r>
      <w:r w:rsidRPr="006A75A2">
        <w:tab/>
      </w:r>
      <w:r w:rsidRPr="005A211E">
        <w:t>Explanations</w:t>
      </w:r>
      <w:r w:rsidRPr="006A75A2">
        <w:t xml:space="preserve"> of material variances between budget and actual outcomes </w:t>
      </w:r>
      <w:r w:rsidRPr="006A75A2">
        <w:rPr>
          <w:i/>
        </w:rPr>
        <w:t>(continued)</w:t>
      </w:r>
    </w:p>
    <w:p w:rsidR="00336793" w:rsidRDefault="00336793" w:rsidP="00243E39">
      <w:pPr>
        <w:pStyle w:val="Tableheadingcontinued"/>
      </w:pPr>
      <w:r>
        <w:t>(a)</w:t>
      </w:r>
      <w:r>
        <w:tab/>
        <w:t xml:space="preserve">Consolidated comprehensive operating statement for the financial year ending 30 June </w:t>
      </w:r>
      <w:r w:rsidRPr="00243E39">
        <w:rPr>
          <w:i/>
        </w:rPr>
        <w:t>(continued)</w:t>
      </w:r>
    </w:p>
    <w:p w:rsidR="00336793" w:rsidRDefault="00336793" w:rsidP="00243E39">
      <w:pPr>
        <w:pStyle w:val="million"/>
      </w:pPr>
      <w:r>
        <w:t>($ million)</w:t>
      </w:r>
    </w:p>
    <w:tbl>
      <w:tblPr>
        <w:tblW w:w="9639" w:type="dxa"/>
        <w:tblInd w:w="28" w:type="dxa"/>
        <w:tblLayout w:type="fixed"/>
        <w:tblCellMar>
          <w:left w:w="45" w:type="dxa"/>
          <w:right w:w="45" w:type="dxa"/>
        </w:tblCellMar>
        <w:tblLook w:val="0000" w:firstRow="0" w:lastRow="0" w:firstColumn="0" w:lastColumn="0" w:noHBand="0" w:noVBand="0"/>
      </w:tblPr>
      <w:tblGrid>
        <w:gridCol w:w="2897"/>
        <w:gridCol w:w="720"/>
        <w:gridCol w:w="990"/>
        <w:gridCol w:w="990"/>
        <w:gridCol w:w="810"/>
        <w:gridCol w:w="90"/>
        <w:gridCol w:w="180"/>
        <w:gridCol w:w="144"/>
        <w:gridCol w:w="126"/>
        <w:gridCol w:w="16"/>
        <w:gridCol w:w="142"/>
        <w:gridCol w:w="112"/>
        <w:gridCol w:w="30"/>
        <w:gridCol w:w="130"/>
        <w:gridCol w:w="110"/>
        <w:gridCol w:w="630"/>
        <w:gridCol w:w="900"/>
        <w:gridCol w:w="622"/>
      </w:tblGrid>
      <w:tr w:rsidR="00336793" w:rsidRPr="00243E39" w:rsidTr="00243E39">
        <w:trPr>
          <w:tblHeader/>
        </w:trPr>
        <w:tc>
          <w:tcPr>
            <w:tcW w:w="2897" w:type="dxa"/>
            <w:tcBorders>
              <w:top w:val="single" w:sz="6" w:space="0" w:color="auto"/>
              <w:left w:val="single" w:sz="6" w:space="0" w:color="auto"/>
              <w:bottom w:val="nil"/>
              <w:right w:val="nil"/>
            </w:tcBorders>
            <w:shd w:val="clear" w:color="000000" w:fill="000000"/>
            <w:vAlign w:val="bottom"/>
          </w:tcPr>
          <w:p w:rsidR="00336793" w:rsidRPr="00243E39" w:rsidRDefault="00336793" w:rsidP="00DF0B96">
            <w:pPr>
              <w:pStyle w:val="Tabletextheading"/>
              <w:jc w:val="left"/>
              <w:rPr>
                <w:rFonts w:eastAsiaTheme="minorEastAsia"/>
                <w:color w:val="FFFFFF"/>
                <w:sz w:val="20"/>
                <w:lang w:eastAsia="en-AU"/>
              </w:rPr>
            </w:pPr>
            <w:r w:rsidRPr="00243E39">
              <w:rPr>
                <w:rFonts w:eastAsiaTheme="minorEastAsia"/>
                <w:color w:val="FFFFFF"/>
                <w:sz w:val="20"/>
                <w:lang w:eastAsia="en-AU"/>
              </w:rPr>
              <w:t xml:space="preserve"> </w:t>
            </w:r>
          </w:p>
        </w:tc>
        <w:tc>
          <w:tcPr>
            <w:tcW w:w="3510" w:type="dxa"/>
            <w:gridSpan w:val="4"/>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sz w:val="20"/>
                <w:lang w:eastAsia="en-AU"/>
              </w:rPr>
            </w:pPr>
            <w:r w:rsidRPr="00243E39">
              <w:rPr>
                <w:rFonts w:eastAsiaTheme="minorEastAsia"/>
                <w:sz w:val="20"/>
                <w:lang w:eastAsia="en-AU"/>
              </w:rPr>
              <w:t>General government sector</w:t>
            </w:r>
          </w:p>
        </w:tc>
        <w:tc>
          <w:tcPr>
            <w:tcW w:w="270" w:type="dxa"/>
            <w:gridSpan w:val="2"/>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270" w:type="dxa"/>
            <w:gridSpan w:val="2"/>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270" w:type="dxa"/>
            <w:gridSpan w:val="3"/>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270" w:type="dxa"/>
            <w:gridSpan w:val="3"/>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630" w:type="dxa"/>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900" w:type="dxa"/>
            <w:tcBorders>
              <w:top w:val="single" w:sz="6" w:space="0" w:color="auto"/>
              <w:left w:val="nil"/>
              <w:bottom w:val="nil"/>
              <w:right w:val="nil"/>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c>
          <w:tcPr>
            <w:tcW w:w="622" w:type="dxa"/>
            <w:tcBorders>
              <w:top w:val="single" w:sz="6" w:space="0" w:color="auto"/>
              <w:left w:val="nil"/>
              <w:bottom w:val="nil"/>
              <w:right w:val="single" w:sz="6" w:space="0" w:color="auto"/>
            </w:tcBorders>
            <w:shd w:val="clear" w:color="000000" w:fill="000000"/>
            <w:vAlign w:val="bottom"/>
          </w:tcPr>
          <w:p w:rsidR="00336793" w:rsidRPr="00243E39" w:rsidRDefault="00336793" w:rsidP="00DF0B96">
            <w:pPr>
              <w:pStyle w:val="Tabletextheading"/>
              <w:rPr>
                <w:rFonts w:eastAsiaTheme="minorEastAsia"/>
                <w:color w:val="FFFFFF"/>
                <w:sz w:val="20"/>
                <w:lang w:eastAsia="en-AU"/>
              </w:rPr>
            </w:pPr>
            <w:r w:rsidRPr="00243E39">
              <w:rPr>
                <w:rFonts w:eastAsiaTheme="minorEastAsia"/>
                <w:color w:val="FFFFFF"/>
                <w:sz w:val="20"/>
                <w:lang w:eastAsia="en-AU"/>
              </w:rPr>
              <w:t xml:space="preserve"> </w:t>
            </w:r>
          </w:p>
        </w:tc>
      </w:tr>
      <w:tr w:rsidR="00336793" w:rsidRPr="00243E39" w:rsidTr="00243E39">
        <w:trPr>
          <w:tblHeader/>
        </w:trPr>
        <w:tc>
          <w:tcPr>
            <w:tcW w:w="2897" w:type="dxa"/>
            <w:tcBorders>
              <w:left w:val="single" w:sz="6" w:space="0" w:color="auto"/>
              <w:bottom w:val="single" w:sz="6" w:space="0" w:color="auto"/>
              <w:right w:val="nil"/>
            </w:tcBorders>
            <w:shd w:val="clear" w:color="000000" w:fill="000000"/>
            <w:vAlign w:val="bottom"/>
          </w:tcPr>
          <w:p w:rsidR="00336793" w:rsidRPr="00243E39" w:rsidRDefault="00336793" w:rsidP="00DF0B96">
            <w:pPr>
              <w:pStyle w:val="Tabletextheading"/>
              <w:jc w:val="left"/>
              <w:rPr>
                <w:rFonts w:eastAsiaTheme="minorEastAsia"/>
                <w:color w:val="FFFFFF"/>
                <w:sz w:val="20"/>
                <w:lang w:eastAsia="en-AU"/>
              </w:rPr>
            </w:pPr>
            <w:r w:rsidRPr="00243E39">
              <w:rPr>
                <w:rFonts w:eastAsiaTheme="minorEastAsia"/>
                <w:color w:val="FFFFFF"/>
                <w:sz w:val="20"/>
                <w:lang w:eastAsia="en-AU"/>
              </w:rPr>
              <w:t xml:space="preserve"> </w:t>
            </w:r>
          </w:p>
        </w:tc>
        <w:tc>
          <w:tcPr>
            <w:tcW w:w="720" w:type="dxa"/>
            <w:tcBorders>
              <w:left w:val="nil"/>
              <w:bottom w:val="single" w:sz="6" w:space="0" w:color="auto"/>
              <w:right w:val="nil"/>
            </w:tcBorders>
            <w:shd w:val="clear" w:color="000000" w:fill="000000"/>
            <w:vAlign w:val="bottom"/>
          </w:tcPr>
          <w:p w:rsidR="00336793" w:rsidRPr="00243E39" w:rsidRDefault="00336793" w:rsidP="00DF0B96">
            <w:pPr>
              <w:pStyle w:val="TabletextheadingCentred"/>
              <w:rPr>
                <w:rFonts w:eastAsiaTheme="minorEastAsia"/>
                <w:sz w:val="20"/>
                <w:lang w:eastAsia="en-AU"/>
              </w:rPr>
            </w:pPr>
            <w:r w:rsidRPr="00243E39">
              <w:rPr>
                <w:rFonts w:eastAsiaTheme="minorEastAsia"/>
                <w:sz w:val="20"/>
                <w:lang w:eastAsia="en-AU"/>
              </w:rPr>
              <w:t>Notes</w:t>
            </w:r>
          </w:p>
        </w:tc>
        <w:tc>
          <w:tcPr>
            <w:tcW w:w="990" w:type="dxa"/>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Original budget</w:t>
            </w:r>
          </w:p>
        </w:tc>
        <w:tc>
          <w:tcPr>
            <w:tcW w:w="990" w:type="dxa"/>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Revised budget</w:t>
            </w:r>
          </w:p>
        </w:tc>
        <w:tc>
          <w:tcPr>
            <w:tcW w:w="900" w:type="dxa"/>
            <w:gridSpan w:val="2"/>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2015 actual</w:t>
            </w:r>
          </w:p>
        </w:tc>
        <w:tc>
          <w:tcPr>
            <w:tcW w:w="990" w:type="dxa"/>
            <w:gridSpan w:val="9"/>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Budget variance</w:t>
            </w:r>
          </w:p>
        </w:tc>
        <w:tc>
          <w:tcPr>
            <w:tcW w:w="630" w:type="dxa"/>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w:t>
            </w:r>
          </w:p>
        </w:tc>
        <w:tc>
          <w:tcPr>
            <w:tcW w:w="900" w:type="dxa"/>
            <w:tcBorders>
              <w:left w:val="nil"/>
              <w:bottom w:val="single" w:sz="6" w:space="0" w:color="auto"/>
              <w:right w:val="nil"/>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Revised budget variance</w:t>
            </w:r>
          </w:p>
        </w:tc>
        <w:tc>
          <w:tcPr>
            <w:tcW w:w="622" w:type="dxa"/>
            <w:tcBorders>
              <w:left w:val="nil"/>
              <w:bottom w:val="single" w:sz="6" w:space="0" w:color="auto"/>
              <w:right w:val="single" w:sz="6" w:space="0" w:color="auto"/>
            </w:tcBorders>
            <w:shd w:val="clear" w:color="000000" w:fill="000000"/>
            <w:vAlign w:val="bottom"/>
          </w:tcPr>
          <w:p w:rsidR="00336793" w:rsidRPr="00243E39" w:rsidRDefault="00336793" w:rsidP="00DF0B96">
            <w:pPr>
              <w:pStyle w:val="Tabletextheading"/>
              <w:jc w:val="center"/>
              <w:rPr>
                <w:rFonts w:eastAsiaTheme="minorEastAsia"/>
                <w:color w:val="FFFFFF"/>
                <w:sz w:val="20"/>
                <w:lang w:eastAsia="en-AU"/>
              </w:rPr>
            </w:pPr>
            <w:r w:rsidRPr="00243E39">
              <w:rPr>
                <w:rFonts w:eastAsiaTheme="minorEastAsia"/>
                <w:color w:val="FFFFFF"/>
                <w:sz w:val="20"/>
                <w:lang w:eastAsia="en-AU"/>
              </w:rPr>
              <w:t>%</w:t>
            </w:r>
          </w:p>
        </w:tc>
      </w:tr>
      <w:tr w:rsidR="00336793" w:rsidRPr="00243E39" w:rsidTr="00243E39">
        <w:tc>
          <w:tcPr>
            <w:tcW w:w="6821" w:type="dxa"/>
            <w:gridSpan w:val="8"/>
            <w:tcBorders>
              <w:top w:val="nil"/>
              <w:left w:val="nil"/>
              <w:bottom w:val="nil"/>
              <w:right w:val="nil"/>
            </w:tcBorders>
            <w:shd w:val="solid" w:color="FFFFFF" w:fill="auto"/>
          </w:tcPr>
          <w:p w:rsidR="00336793" w:rsidRPr="00243E39" w:rsidRDefault="00336793" w:rsidP="00243E39">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Other economic flows – other comprehensive income</w:t>
            </w:r>
          </w:p>
        </w:tc>
        <w:tc>
          <w:tcPr>
            <w:tcW w:w="142" w:type="dxa"/>
            <w:gridSpan w:val="2"/>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142"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142"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13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11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63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0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622"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r>
      <w:tr w:rsidR="00336793" w:rsidRPr="00243E39" w:rsidTr="00243E39">
        <w:tc>
          <w:tcPr>
            <w:tcW w:w="6821" w:type="dxa"/>
            <w:gridSpan w:val="8"/>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Items that will not be reclassified to net result</w:t>
            </w:r>
          </w:p>
        </w:tc>
        <w:tc>
          <w:tcPr>
            <w:tcW w:w="142" w:type="dxa"/>
            <w:gridSpan w:val="2"/>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142"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142"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13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11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63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0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622"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Changes in non</w:t>
            </w:r>
            <w:r>
              <w:rPr>
                <w:rFonts w:ascii="Calibri" w:eastAsiaTheme="minorEastAsia" w:hAnsi="Calibri" w:cs="Calibri"/>
                <w:sz w:val="20"/>
                <w:szCs w:val="22"/>
                <w:lang w:eastAsia="en-AU"/>
              </w:rPr>
              <w:noBreakHyphen/>
            </w:r>
            <w:r w:rsidRPr="00243E39">
              <w:rPr>
                <w:rFonts w:ascii="Calibri" w:eastAsiaTheme="minorEastAsia" w:hAnsi="Calibri" w:cs="Calibri"/>
                <w:sz w:val="20"/>
                <w:szCs w:val="22"/>
                <w:lang w:eastAsia="en-AU"/>
              </w:rPr>
              <w:t>financial assets revaluation surplus</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3 906.5</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4 820.2</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2 524.4</w:t>
            </w:r>
          </w:p>
        </w:tc>
        <w:tc>
          <w:tcPr>
            <w:tcW w:w="990" w:type="dxa"/>
            <w:gridSpan w:val="9"/>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(1 382.2)</w:t>
            </w:r>
          </w:p>
        </w:tc>
        <w:tc>
          <w:tcPr>
            <w:tcW w:w="63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c>
          <w:tcPr>
            <w:tcW w:w="90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(2 295.8)</w:t>
            </w:r>
          </w:p>
        </w:tc>
        <w:tc>
          <w:tcPr>
            <w:tcW w:w="622"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Remeasurement of superannuation defined benefits plans</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499.2</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(4 278.8)</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551.3</w:t>
            </w:r>
          </w:p>
        </w:tc>
        <w:tc>
          <w:tcPr>
            <w:tcW w:w="990" w:type="dxa"/>
            <w:gridSpan w:val="9"/>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52.1</w:t>
            </w:r>
          </w:p>
        </w:tc>
        <w:tc>
          <w:tcPr>
            <w:tcW w:w="63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c>
          <w:tcPr>
            <w:tcW w:w="90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4 830.1</w:t>
            </w:r>
          </w:p>
        </w:tc>
        <w:tc>
          <w:tcPr>
            <w:tcW w:w="622"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Net gain/(loss) on equity investments in other sector entities at proportional share of the carrying amount of net assets</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2 884.3</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2 438.1</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4 225.6</w:t>
            </w:r>
          </w:p>
        </w:tc>
        <w:tc>
          <w:tcPr>
            <w:tcW w:w="990" w:type="dxa"/>
            <w:gridSpan w:val="9"/>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1 341.4</w:t>
            </w:r>
          </w:p>
        </w:tc>
        <w:tc>
          <w:tcPr>
            <w:tcW w:w="63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c>
          <w:tcPr>
            <w:tcW w:w="90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1 787.6</w:t>
            </w:r>
          </w:p>
        </w:tc>
        <w:tc>
          <w:tcPr>
            <w:tcW w:w="622"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Other movements in equity</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0.1</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44.9</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(148.4</w:t>
            </w:r>
            <w:r w:rsidRPr="00243E39">
              <w:rPr>
                <w:rFonts w:ascii="Calibri" w:eastAsiaTheme="minorEastAsia" w:hAnsi="Calibri" w:cs="Calibri"/>
                <w:color w:val="000000"/>
                <w:sz w:val="20"/>
                <w:szCs w:val="22"/>
                <w:lang w:eastAsia="en-AU"/>
              </w:rPr>
              <w:t>)</w:t>
            </w:r>
          </w:p>
        </w:tc>
        <w:tc>
          <w:tcPr>
            <w:tcW w:w="990" w:type="dxa"/>
            <w:gridSpan w:val="9"/>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(148.5</w:t>
            </w:r>
            <w:r w:rsidRPr="00243E39">
              <w:rPr>
                <w:rFonts w:ascii="Calibri" w:eastAsiaTheme="minorEastAsia" w:hAnsi="Calibri" w:cs="Calibri"/>
                <w:color w:val="000000"/>
                <w:sz w:val="20"/>
                <w:szCs w:val="22"/>
                <w:lang w:eastAsia="en-AU"/>
              </w:rPr>
              <w:t>)</w:t>
            </w:r>
          </w:p>
        </w:tc>
        <w:tc>
          <w:tcPr>
            <w:tcW w:w="63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c>
          <w:tcPr>
            <w:tcW w:w="90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(193.3</w:t>
            </w:r>
            <w:r w:rsidRPr="00243E39">
              <w:rPr>
                <w:rFonts w:ascii="Calibri" w:eastAsiaTheme="minorEastAsia" w:hAnsi="Calibri" w:cs="Calibri"/>
                <w:color w:val="000000"/>
                <w:sz w:val="20"/>
                <w:szCs w:val="22"/>
                <w:lang w:eastAsia="en-AU"/>
              </w:rPr>
              <w:t>)</w:t>
            </w:r>
          </w:p>
        </w:tc>
        <w:tc>
          <w:tcPr>
            <w:tcW w:w="622"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Items that may be reclassified subsequently to net result</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90" w:type="dxa"/>
            <w:gridSpan w:val="9"/>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63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90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c>
          <w:tcPr>
            <w:tcW w:w="622"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 xml:space="preserve"> </w:t>
            </w:r>
          </w:p>
        </w:tc>
      </w:tr>
      <w:tr w:rsidR="00336793" w:rsidRPr="00243E39" w:rsidTr="00243E39">
        <w:tc>
          <w:tcPr>
            <w:tcW w:w="2897"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Net gain/(loss) on financial assets at fair value</w:t>
            </w:r>
          </w:p>
        </w:tc>
        <w:tc>
          <w:tcPr>
            <w:tcW w:w="720" w:type="dxa"/>
            <w:tcBorders>
              <w:top w:val="nil"/>
              <w:left w:val="nil"/>
              <w:bottom w:val="nil"/>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1.1</w:t>
            </w:r>
          </w:p>
        </w:tc>
        <w:tc>
          <w:tcPr>
            <w:tcW w:w="99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 xml:space="preserve"> 1.2</w:t>
            </w:r>
          </w:p>
        </w:tc>
        <w:tc>
          <w:tcPr>
            <w:tcW w:w="900" w:type="dxa"/>
            <w:gridSpan w:val="2"/>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(44.6</w:t>
            </w:r>
            <w:r w:rsidRPr="00243E39">
              <w:rPr>
                <w:rFonts w:ascii="Calibri" w:eastAsiaTheme="minorEastAsia" w:hAnsi="Calibri" w:cs="Calibri"/>
                <w:color w:val="000000"/>
                <w:sz w:val="20"/>
                <w:szCs w:val="22"/>
                <w:lang w:eastAsia="en-AU"/>
              </w:rPr>
              <w:t>)</w:t>
            </w:r>
          </w:p>
        </w:tc>
        <w:tc>
          <w:tcPr>
            <w:tcW w:w="990" w:type="dxa"/>
            <w:gridSpan w:val="9"/>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(45.8</w:t>
            </w:r>
            <w:r w:rsidRPr="00243E39">
              <w:rPr>
                <w:rFonts w:ascii="Calibri" w:eastAsiaTheme="minorEastAsia" w:hAnsi="Calibri" w:cs="Calibri"/>
                <w:color w:val="000000"/>
                <w:sz w:val="20"/>
                <w:szCs w:val="22"/>
                <w:lang w:eastAsia="en-AU"/>
              </w:rPr>
              <w:t>)</w:t>
            </w:r>
          </w:p>
        </w:tc>
        <w:tc>
          <w:tcPr>
            <w:tcW w:w="63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c>
          <w:tcPr>
            <w:tcW w:w="900"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color w:val="000000"/>
                <w:sz w:val="20"/>
                <w:szCs w:val="22"/>
                <w:lang w:eastAsia="en-AU"/>
              </w:rPr>
            </w:pPr>
            <w:r w:rsidRPr="00243E39">
              <w:rPr>
                <w:rFonts w:ascii="Calibri" w:eastAsiaTheme="minorEastAsia" w:hAnsi="Calibri" w:cs="Calibri"/>
                <w:sz w:val="20"/>
                <w:szCs w:val="22"/>
                <w:lang w:eastAsia="en-AU"/>
              </w:rPr>
              <w:t>(45.9</w:t>
            </w:r>
            <w:r w:rsidRPr="00243E39">
              <w:rPr>
                <w:rFonts w:ascii="Calibri" w:eastAsiaTheme="minorEastAsia" w:hAnsi="Calibri" w:cs="Calibri"/>
                <w:color w:val="000000"/>
                <w:sz w:val="20"/>
                <w:szCs w:val="22"/>
                <w:lang w:eastAsia="en-AU"/>
              </w:rPr>
              <w:t>)</w:t>
            </w:r>
          </w:p>
        </w:tc>
        <w:tc>
          <w:tcPr>
            <w:tcW w:w="622" w:type="dxa"/>
            <w:tcBorders>
              <w:top w:val="nil"/>
              <w:left w:val="nil"/>
              <w:bottom w:val="nil"/>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243E39">
              <w:rPr>
                <w:rFonts w:ascii="Calibri" w:eastAsiaTheme="minorEastAsia" w:hAnsi="Calibri" w:cs="Calibri"/>
                <w:sz w:val="20"/>
                <w:szCs w:val="22"/>
                <w:lang w:eastAsia="en-AU"/>
              </w:rPr>
              <w:t>n.a.</w:t>
            </w:r>
          </w:p>
        </w:tc>
      </w:tr>
      <w:tr w:rsidR="00336793" w:rsidRPr="00243E39" w:rsidTr="00243E39">
        <w:tc>
          <w:tcPr>
            <w:tcW w:w="2897" w:type="dxa"/>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Total other economic flows – other comprehensive income</w:t>
            </w:r>
          </w:p>
        </w:tc>
        <w:tc>
          <w:tcPr>
            <w:tcW w:w="720" w:type="dxa"/>
            <w:tcBorders>
              <w:top w:val="single" w:sz="6" w:space="0" w:color="000000"/>
              <w:left w:val="nil"/>
              <w:bottom w:val="single" w:sz="6" w:space="0" w:color="000000"/>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7 291.2</w:t>
            </w:r>
          </w:p>
        </w:tc>
        <w:tc>
          <w:tcPr>
            <w:tcW w:w="990" w:type="dxa"/>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3 025.6</w:t>
            </w:r>
          </w:p>
        </w:tc>
        <w:tc>
          <w:tcPr>
            <w:tcW w:w="900" w:type="dxa"/>
            <w:gridSpan w:val="2"/>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7 108.3</w:t>
            </w:r>
          </w:p>
        </w:tc>
        <w:tc>
          <w:tcPr>
            <w:tcW w:w="990" w:type="dxa"/>
            <w:gridSpan w:val="9"/>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(182.9</w:t>
            </w:r>
            <w:r w:rsidRPr="00243E39">
              <w:rPr>
                <w:rFonts w:ascii="Calibri" w:eastAsiaTheme="minorEastAsia" w:hAnsi="Calibri" w:cs="Calibri"/>
                <w:b/>
                <w:bCs/>
                <w:color w:val="000000"/>
                <w:sz w:val="20"/>
                <w:szCs w:val="22"/>
                <w:lang w:eastAsia="en-AU"/>
              </w:rPr>
              <w:t>)</w:t>
            </w:r>
          </w:p>
        </w:tc>
        <w:tc>
          <w:tcPr>
            <w:tcW w:w="630" w:type="dxa"/>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n.a.</w:t>
            </w:r>
          </w:p>
        </w:tc>
        <w:tc>
          <w:tcPr>
            <w:tcW w:w="900" w:type="dxa"/>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4 082.8</w:t>
            </w:r>
          </w:p>
        </w:tc>
        <w:tc>
          <w:tcPr>
            <w:tcW w:w="622" w:type="dxa"/>
            <w:tcBorders>
              <w:top w:val="single" w:sz="6" w:space="0" w:color="000000"/>
              <w:left w:val="nil"/>
              <w:bottom w:val="single" w:sz="6"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n.a.</w:t>
            </w:r>
          </w:p>
        </w:tc>
      </w:tr>
      <w:tr w:rsidR="00336793" w:rsidRPr="00243E39" w:rsidTr="00243E39">
        <w:tc>
          <w:tcPr>
            <w:tcW w:w="2897" w:type="dxa"/>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Comprehensive result – total change in net worth</w:t>
            </w:r>
          </w:p>
        </w:tc>
        <w:tc>
          <w:tcPr>
            <w:tcW w:w="720" w:type="dxa"/>
            <w:tcBorders>
              <w:top w:val="single" w:sz="6" w:space="0" w:color="000000"/>
              <w:left w:val="nil"/>
              <w:bottom w:val="single" w:sz="12" w:space="0" w:color="000000"/>
              <w:right w:val="nil"/>
            </w:tcBorders>
            <w:shd w:val="solid" w:color="FFFFFF" w:fill="auto"/>
          </w:tcPr>
          <w:p w:rsidR="00336793" w:rsidRPr="00243E39" w:rsidRDefault="00336793" w:rsidP="00DF0B96">
            <w:pPr>
              <w:pStyle w:val="TableTextCentred"/>
              <w:rPr>
                <w:rFonts w:eastAsiaTheme="minorEastAsia"/>
                <w:sz w:val="20"/>
                <w:lang w:eastAsia="en-AU"/>
              </w:rPr>
            </w:pPr>
            <w:r w:rsidRPr="00243E39">
              <w:rPr>
                <w:rFonts w:eastAsiaTheme="minorEastAsia"/>
                <w:sz w:val="20"/>
                <w:lang w:eastAsia="en-AU"/>
              </w:rPr>
              <w:t xml:space="preserve"> </w:t>
            </w:r>
          </w:p>
        </w:tc>
        <w:tc>
          <w:tcPr>
            <w:tcW w:w="990" w:type="dxa"/>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8 443.5</w:t>
            </w:r>
          </w:p>
        </w:tc>
        <w:tc>
          <w:tcPr>
            <w:tcW w:w="990" w:type="dxa"/>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3 557.6</w:t>
            </w:r>
          </w:p>
        </w:tc>
        <w:tc>
          <w:tcPr>
            <w:tcW w:w="900" w:type="dxa"/>
            <w:gridSpan w:val="2"/>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7 857.1</w:t>
            </w:r>
          </w:p>
        </w:tc>
        <w:tc>
          <w:tcPr>
            <w:tcW w:w="990" w:type="dxa"/>
            <w:gridSpan w:val="9"/>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color w:val="000000"/>
                <w:sz w:val="20"/>
                <w:szCs w:val="22"/>
                <w:lang w:eastAsia="en-AU"/>
              </w:rPr>
            </w:pPr>
            <w:r w:rsidRPr="00243E39">
              <w:rPr>
                <w:rFonts w:ascii="Calibri" w:eastAsiaTheme="minorEastAsia" w:hAnsi="Calibri" w:cs="Calibri"/>
                <w:b/>
                <w:bCs/>
                <w:sz w:val="20"/>
                <w:szCs w:val="22"/>
                <w:lang w:eastAsia="en-AU"/>
              </w:rPr>
              <w:t>(586.4</w:t>
            </w:r>
            <w:r w:rsidRPr="00243E39">
              <w:rPr>
                <w:rFonts w:ascii="Calibri" w:eastAsiaTheme="minorEastAsia" w:hAnsi="Calibri" w:cs="Calibri"/>
                <w:b/>
                <w:bCs/>
                <w:color w:val="000000"/>
                <w:sz w:val="20"/>
                <w:szCs w:val="22"/>
                <w:lang w:eastAsia="en-AU"/>
              </w:rPr>
              <w:t>)</w:t>
            </w:r>
          </w:p>
        </w:tc>
        <w:tc>
          <w:tcPr>
            <w:tcW w:w="630" w:type="dxa"/>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n.a.</w:t>
            </w:r>
          </w:p>
        </w:tc>
        <w:tc>
          <w:tcPr>
            <w:tcW w:w="900" w:type="dxa"/>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4 299.6</w:t>
            </w:r>
          </w:p>
        </w:tc>
        <w:tc>
          <w:tcPr>
            <w:tcW w:w="622" w:type="dxa"/>
            <w:tcBorders>
              <w:top w:val="single" w:sz="6" w:space="0" w:color="000000"/>
              <w:left w:val="nil"/>
              <w:bottom w:val="single" w:sz="12" w:space="0" w:color="000000"/>
              <w:right w:val="nil"/>
            </w:tcBorders>
            <w:shd w:val="solid" w:color="FFFFFF" w:fill="auto"/>
          </w:tcPr>
          <w:p w:rsidR="00336793" w:rsidRPr="00243E39"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243E39">
              <w:rPr>
                <w:rFonts w:ascii="Calibri" w:eastAsiaTheme="minorEastAsia" w:hAnsi="Calibri" w:cs="Calibri"/>
                <w:b/>
                <w:bCs/>
                <w:sz w:val="20"/>
                <w:szCs w:val="22"/>
                <w:lang w:eastAsia="en-AU"/>
              </w:rPr>
              <w:t>n.a.</w:t>
            </w:r>
          </w:p>
        </w:tc>
      </w:tr>
    </w:tbl>
    <w:p w:rsidR="00336793" w:rsidRDefault="00336793" w:rsidP="00DF0B96">
      <w:pPr>
        <w:pStyle w:val="Notes"/>
      </w:pPr>
    </w:p>
    <w:p w:rsidR="00336793" w:rsidRPr="006A75A2" w:rsidRDefault="00336793" w:rsidP="00DF0B96">
      <w:pPr>
        <w:pStyle w:val="Notes"/>
        <w:rPr>
          <w:rFonts w:ascii="Times New Roman" w:hAnsi="Times New Roman"/>
        </w:rPr>
      </w:pPr>
    </w:p>
    <w:p w:rsidR="00336793" w:rsidRDefault="00336793" w:rsidP="00DF0B96">
      <w:r>
        <w:br w:type="page"/>
      </w:r>
    </w:p>
    <w:p w:rsidR="00336793" w:rsidRPr="006A75A2" w:rsidRDefault="00336793" w:rsidP="00DF0B96">
      <w:pPr>
        <w:pStyle w:val="Heading2NotesContd"/>
      </w:pPr>
      <w:r w:rsidRPr="006A75A2">
        <w:lastRenderedPageBreak/>
        <w:t>Note 32:</w:t>
      </w:r>
      <w:r w:rsidRPr="006A75A2">
        <w:tab/>
      </w:r>
      <w:r w:rsidRPr="005A211E">
        <w:t>Explanations</w:t>
      </w:r>
      <w:r w:rsidRPr="006A75A2">
        <w:t xml:space="preserve"> of material variances between budget and actual outcomes </w:t>
      </w:r>
      <w:r w:rsidRPr="006A75A2">
        <w:rPr>
          <w:i/>
        </w:rPr>
        <w:t>(continued)</w:t>
      </w:r>
    </w:p>
    <w:p w:rsidR="00336793" w:rsidRPr="00E54909" w:rsidRDefault="00336793" w:rsidP="00DF0B96">
      <w:pPr>
        <w:pStyle w:val="Heading2"/>
      </w:pPr>
      <w:r w:rsidRPr="00E54909">
        <w:t>Revenue from transactions</w:t>
      </w:r>
    </w:p>
    <w:p w:rsidR="00336793" w:rsidRPr="00E54909" w:rsidRDefault="00336793" w:rsidP="00DF0B96">
      <w:r w:rsidRPr="00E54909">
        <w:t xml:space="preserve">Revenue </w:t>
      </w:r>
      <w:r w:rsidRPr="00192769">
        <w:t>from transactions was $53.</w:t>
      </w:r>
      <w:r>
        <w:t>8 billion</w:t>
      </w:r>
      <w:r w:rsidRPr="00192769">
        <w:t xml:space="preserve"> for the year to 30 June 2015. This was 1.</w:t>
      </w:r>
      <w:r>
        <w:t>6 per cent</w:t>
      </w:r>
      <w:r w:rsidRPr="00192769">
        <w:t xml:space="preserve"> higher than estimated in the original budget. The movements in revenue items</w:t>
      </w:r>
      <w:r>
        <w:t xml:space="preserve"> from the original budget</w:t>
      </w:r>
      <w:r w:rsidRPr="00192769">
        <w:t xml:space="preserve"> are discussed below.</w:t>
      </w:r>
    </w:p>
    <w:p w:rsidR="00336793" w:rsidRPr="00641C1E" w:rsidRDefault="00336793" w:rsidP="00DF0B96">
      <w:pPr>
        <w:ind w:left="357" w:hanging="357"/>
      </w:pPr>
      <w:r w:rsidRPr="00E54909">
        <w:t xml:space="preserve">(a) </w:t>
      </w:r>
      <w:r w:rsidRPr="00E54909">
        <w:tab/>
      </w:r>
      <w:r w:rsidRPr="00641C1E">
        <w:t>Taxation revenue was $271.</w:t>
      </w:r>
      <w:r>
        <w:t>1 million (1.5 per cent)</w:t>
      </w:r>
      <w:r w:rsidRPr="00641C1E">
        <w:t xml:space="preserve"> higher than the original published estimate, largely driven by higher land transfer duty revenue of $</w:t>
      </w:r>
      <w:r>
        <w:t>497.7 million</w:t>
      </w:r>
      <w:r w:rsidRPr="00641C1E">
        <w:t xml:space="preserve"> due to an improved property market </w:t>
      </w:r>
      <w:r>
        <w:t>strengthened by</w:t>
      </w:r>
      <w:r w:rsidRPr="00641C1E">
        <w:t xml:space="preserve"> interest rate cuts and strong growth in non</w:t>
      </w:r>
      <w:r>
        <w:noBreakHyphen/>
      </w:r>
      <w:r w:rsidRPr="00641C1E">
        <w:t>residential markets</w:t>
      </w:r>
      <w:r>
        <w:t>. This higher than expected outcome was</w:t>
      </w:r>
      <w:r w:rsidRPr="00641C1E">
        <w:t xml:space="preserve"> partially offset by:</w:t>
      </w:r>
    </w:p>
    <w:p w:rsidR="00336793" w:rsidRPr="00641C1E" w:rsidRDefault="00336793" w:rsidP="00DF0B96">
      <w:pPr>
        <w:pStyle w:val="DashText"/>
      </w:pPr>
      <w:r>
        <w:t>lower land tax revenue of $150.8 million</w:t>
      </w:r>
      <w:r w:rsidRPr="00641C1E">
        <w:t xml:space="preserve"> driven mostly by fewer assessments from the State Revenue Office than ex</w:t>
      </w:r>
      <w:r>
        <w:t>pected and lower than forecast</w:t>
      </w:r>
      <w:r w:rsidRPr="00641C1E">
        <w:t xml:space="preserve"> land revaluation</w:t>
      </w:r>
      <w:r>
        <w:t>s;</w:t>
      </w:r>
    </w:p>
    <w:p w:rsidR="00336793" w:rsidRPr="00641C1E" w:rsidRDefault="00336793" w:rsidP="00DF0B96">
      <w:pPr>
        <w:pStyle w:val="DashText"/>
      </w:pPr>
      <w:r>
        <w:t xml:space="preserve">lower </w:t>
      </w:r>
      <w:r w:rsidRPr="00641C1E">
        <w:t>Fire Serv</w:t>
      </w:r>
      <w:r>
        <w:t>ices Property Levy collections of $38.0 million to offset the higher than expected collections of this levy in the previous year; and</w:t>
      </w:r>
    </w:p>
    <w:p w:rsidR="00336793" w:rsidRPr="00641C1E" w:rsidRDefault="00336793" w:rsidP="00DF0B96">
      <w:pPr>
        <w:pStyle w:val="DashText"/>
      </w:pPr>
      <w:r w:rsidRPr="00641C1E">
        <w:t xml:space="preserve">lower </w:t>
      </w:r>
      <w:r>
        <w:t>gambling tax revenue</w:t>
      </w:r>
      <w:r w:rsidRPr="00641C1E">
        <w:t xml:space="preserve"> of $3</w:t>
      </w:r>
      <w:r>
        <w:t>6.6 million</w:t>
      </w:r>
      <w:r w:rsidRPr="00641C1E">
        <w:t>, due to</w:t>
      </w:r>
      <w:r>
        <w:t xml:space="preserve"> lower turnovers in public lotteries</w:t>
      </w:r>
      <w:r w:rsidRPr="00641C1E">
        <w:t xml:space="preserve"> and electronic gaming machines</w:t>
      </w:r>
      <w:r>
        <w:t xml:space="preserve"> in clubs and hotels.</w:t>
      </w:r>
    </w:p>
    <w:p w:rsidR="00336793" w:rsidRPr="00E54909" w:rsidRDefault="00336793" w:rsidP="00DF0B96">
      <w:pPr>
        <w:ind w:left="357" w:hanging="357"/>
      </w:pPr>
      <w:r w:rsidRPr="00641C1E">
        <w:t>(b)</w:t>
      </w:r>
      <w:r w:rsidRPr="00641C1E">
        <w:tab/>
        <w:t xml:space="preserve">Interest revenue was </w:t>
      </w:r>
      <w:r>
        <w:t>$15.0 million</w:t>
      </w:r>
      <w:r w:rsidRPr="00641C1E">
        <w:t xml:space="preserve"> lower than the</w:t>
      </w:r>
      <w:r w:rsidRPr="00E54909">
        <w:t xml:space="preserve"> </w:t>
      </w:r>
      <w:r>
        <w:t>original</w:t>
      </w:r>
      <w:r w:rsidRPr="00E54909">
        <w:t xml:space="preserve"> budget, mainly reflecting lower than expected returns for funds held.</w:t>
      </w:r>
    </w:p>
    <w:p w:rsidR="00336793" w:rsidRPr="00E54909" w:rsidRDefault="00336793" w:rsidP="00DF0B96">
      <w:pPr>
        <w:ind w:left="357" w:hanging="357"/>
      </w:pPr>
      <w:r w:rsidRPr="00E54909">
        <w:t>(c)</w:t>
      </w:r>
      <w:r w:rsidRPr="00E54909">
        <w:tab/>
      </w:r>
      <w:r w:rsidRPr="007A6EB1">
        <w:t>Dividends, income tax and rate equivalent revenue was $528.0</w:t>
      </w:r>
      <w:r>
        <w:t> million</w:t>
      </w:r>
      <w:r w:rsidRPr="007A6EB1">
        <w:t xml:space="preserve"> higher than budgeted. This largely reflected $357.1</w:t>
      </w:r>
      <w:r>
        <w:t> million</w:t>
      </w:r>
      <w:r w:rsidRPr="007A6EB1">
        <w:t xml:space="preserve"> worth of interim dividends and income tax equivalent receipts from </w:t>
      </w:r>
      <w:r w:rsidRPr="003742EB">
        <w:t xml:space="preserve">WorkSafe Victoria </w:t>
      </w:r>
      <w:r w:rsidRPr="007A6EB1">
        <w:t xml:space="preserve">and </w:t>
      </w:r>
      <w:r>
        <w:t xml:space="preserve">the </w:t>
      </w:r>
      <w:r w:rsidRPr="007A6EB1">
        <w:t>Transport Accident Commission being deferred from the previous year and paid in 2014</w:t>
      </w:r>
      <w:r>
        <w:noBreakHyphen/>
      </w:r>
      <w:r w:rsidRPr="007A6EB1">
        <w:t>15 as well as variations in profits</w:t>
      </w:r>
      <w:r>
        <w:t xml:space="preserve">. </w:t>
      </w:r>
      <w:r w:rsidRPr="007A6EB1">
        <w:t xml:space="preserve">In addition, </w:t>
      </w:r>
      <w:r>
        <w:t xml:space="preserve">higher </w:t>
      </w:r>
      <w:r w:rsidRPr="007A6EB1">
        <w:t>dividend revenue of $186.9</w:t>
      </w:r>
      <w:r>
        <w:t> million</w:t>
      </w:r>
      <w:r w:rsidRPr="007A6EB1">
        <w:t xml:space="preserve"> was received from the State Electricity Commission of Victoria and the water sector.</w:t>
      </w:r>
    </w:p>
    <w:p w:rsidR="00336793" w:rsidRPr="005C44F7" w:rsidRDefault="00336793" w:rsidP="00DF0B96">
      <w:pPr>
        <w:ind w:left="357" w:hanging="357"/>
      </w:pPr>
      <w:r w:rsidRPr="00E54909">
        <w:t>(</w:t>
      </w:r>
      <w:r>
        <w:t>d</w:t>
      </w:r>
      <w:r w:rsidRPr="00E54909">
        <w:t>)</w:t>
      </w:r>
      <w:r w:rsidRPr="00E54909">
        <w:tab/>
      </w:r>
      <w:r w:rsidRPr="006037E0">
        <w:t>Grants revenue was $352.5</w:t>
      </w:r>
      <w:r>
        <w:t> million</w:t>
      </w:r>
      <w:r w:rsidRPr="006037E0">
        <w:t xml:space="preserve"> (1.4</w:t>
      </w:r>
      <w:r>
        <w:t> per cent</w:t>
      </w:r>
      <w:r w:rsidRPr="006037E0">
        <w:t xml:space="preserve">) lower than originally budgeted. </w:t>
      </w:r>
      <w:r w:rsidRPr="001D76B9">
        <w:t>This was</w:t>
      </w:r>
      <w:r>
        <w:t xml:space="preserve"> </w:t>
      </w:r>
      <w:r w:rsidRPr="001D76B9">
        <w:t>due</w:t>
      </w:r>
      <w:r>
        <w:t xml:space="preserve"> to a $1.1 billion reduction in </w:t>
      </w:r>
      <w:r w:rsidRPr="001D76B9">
        <w:t xml:space="preserve">capital grants, </w:t>
      </w:r>
      <w:r>
        <w:t xml:space="preserve">primarily relating to </w:t>
      </w:r>
      <w:r w:rsidRPr="001D76B9">
        <w:t>Common</w:t>
      </w:r>
      <w:r>
        <w:t xml:space="preserve">wealth grants for road and rail </w:t>
      </w:r>
      <w:r w:rsidRPr="001D76B9">
        <w:t>investments. The Commonwealth brought forward grants from 2014</w:t>
      </w:r>
      <w:r>
        <w:noBreakHyphen/>
      </w:r>
      <w:r w:rsidRPr="001D76B9">
        <w:t xml:space="preserve">15 </w:t>
      </w:r>
      <w:r>
        <w:t>to</w:t>
      </w:r>
      <w:r w:rsidRPr="001D76B9">
        <w:t xml:space="preserve"> 2013</w:t>
      </w:r>
      <w:r>
        <w:noBreakHyphen/>
      </w:r>
      <w:r w:rsidRPr="001D76B9">
        <w:t>14</w:t>
      </w:r>
      <w:r>
        <w:t xml:space="preserve"> for the State’s</w:t>
      </w:r>
      <w:r w:rsidRPr="001D76B9">
        <w:t xml:space="preserve"> Regional Rail L</w:t>
      </w:r>
      <w:r>
        <w:t>ink and East West Link projects. F</w:t>
      </w:r>
      <w:r w:rsidRPr="001D76B9">
        <w:t>urthermore</w:t>
      </w:r>
      <w:r>
        <w:t>,</w:t>
      </w:r>
      <w:r w:rsidRPr="001D76B9">
        <w:t xml:space="preserve"> savings on the Regional Rail Link project have been reallocated to other road investments and are now expected to be received in future years.</w:t>
      </w:r>
      <w:r>
        <w:t xml:space="preserve"> In aggregate, the reduction in grant revenue was offset by a $775.1 million increase in current grants received in relation to education and health programs ($377.3 million), higher grants to local governments for on</w:t>
      </w:r>
      <w:r>
        <w:noBreakHyphen/>
        <w:t>passing ($175.9 million) and higher than expected goods and services tax revenue grants ($202.2 million).</w:t>
      </w:r>
    </w:p>
    <w:p w:rsidR="00336793" w:rsidRDefault="00336793" w:rsidP="00DF0B96">
      <w:pPr>
        <w:ind w:left="357" w:hanging="357"/>
      </w:pPr>
      <w:r>
        <w:t>(e)</w:t>
      </w:r>
      <w:r>
        <w:tab/>
        <w:t>Other revenue was $434.6 million (21 per cent)</w:t>
      </w:r>
      <w:r w:rsidRPr="00E54909">
        <w:t xml:space="preserve"> higher</w:t>
      </w:r>
      <w:r>
        <w:t xml:space="preserve"> </w:t>
      </w:r>
      <w:r w:rsidRPr="00E54909">
        <w:t xml:space="preserve">than the original budget. </w:t>
      </w:r>
      <w:r>
        <w:t>Major variations relate to the following:</w:t>
      </w:r>
    </w:p>
    <w:p w:rsidR="00336793" w:rsidRPr="00937794" w:rsidRDefault="00336793" w:rsidP="00DF0B96">
      <w:pPr>
        <w:pStyle w:val="DashText"/>
        <w:rPr>
          <w:rFonts w:ascii="Calibri" w:hAnsi="Calibri"/>
          <w:b/>
          <w:sz w:val="25"/>
        </w:rPr>
      </w:pPr>
      <w:r>
        <w:t>h</w:t>
      </w:r>
      <w:r w:rsidRPr="00E54909">
        <w:t xml:space="preserve">igher </w:t>
      </w:r>
      <w:r>
        <w:t>revenue than anticipated in hospitals and health services, due to higher commercial activity from a variety of sources ($207.6 million</w:t>
      </w:r>
      <w:r w:rsidRPr="00175531">
        <w:t>)</w:t>
      </w:r>
      <w:r>
        <w:t>;</w:t>
      </w:r>
      <w:r w:rsidRPr="00175531">
        <w:t xml:space="preserve"> </w:t>
      </w:r>
    </w:p>
    <w:p w:rsidR="00336793" w:rsidRPr="00937794" w:rsidRDefault="00336793" w:rsidP="00DF0B96">
      <w:pPr>
        <w:pStyle w:val="DashText"/>
        <w:rPr>
          <w:rFonts w:ascii="Calibri" w:hAnsi="Calibri"/>
          <w:b/>
          <w:sz w:val="25"/>
        </w:rPr>
      </w:pPr>
      <w:r w:rsidRPr="00175531">
        <w:t>other miscellaneous revenue ($83.6</w:t>
      </w:r>
      <w:r>
        <w:t> million</w:t>
      </w:r>
      <w:r w:rsidRPr="00182A19">
        <w:t>) primarily</w:t>
      </w:r>
      <w:r w:rsidRPr="00175531">
        <w:t xml:space="preserve"> relating to revenue</w:t>
      </w:r>
      <w:r>
        <w:t xml:space="preserve"> received from developers for the Kew residential services redevelopment and new releases in taxi licences as a result of the Taxi Industry Reform; </w:t>
      </w:r>
    </w:p>
    <w:p w:rsidR="00336793" w:rsidRPr="00937794" w:rsidRDefault="00336793" w:rsidP="00DF0B96">
      <w:pPr>
        <w:pStyle w:val="DashText"/>
        <w:rPr>
          <w:rFonts w:ascii="Calibri" w:hAnsi="Calibri"/>
          <w:b/>
          <w:sz w:val="25"/>
        </w:rPr>
      </w:pPr>
      <w:r>
        <w:t>the recognition of</w:t>
      </w:r>
      <w:r w:rsidRPr="007F36D9">
        <w:t xml:space="preserve"> </w:t>
      </w:r>
      <w:r>
        <w:t xml:space="preserve">resources received free of charge by Public Transport Victoria for its use of the </w:t>
      </w:r>
      <w:r w:rsidRPr="00937794">
        <w:rPr>
          <w:i/>
        </w:rPr>
        <w:t>myki</w:t>
      </w:r>
      <w:r>
        <w:t xml:space="preserve"> assets held by Victorian Rail Track ($54.1 million); and </w:t>
      </w:r>
    </w:p>
    <w:p w:rsidR="00336793" w:rsidRPr="00937794" w:rsidRDefault="00336793" w:rsidP="00DF0B96">
      <w:pPr>
        <w:pStyle w:val="DashText"/>
        <w:rPr>
          <w:rFonts w:ascii="Calibri" w:hAnsi="Calibri"/>
          <w:b/>
          <w:sz w:val="25"/>
        </w:rPr>
      </w:pPr>
      <w:r>
        <w:t>the revenue received from sale of water entitlements to the Commonwealth and assets received free of charge relating to the Murray Darling Basin Authority – Living Murray Initiative ($75.8 million).</w:t>
      </w:r>
    </w:p>
    <w:p w:rsidR="00336793" w:rsidRDefault="00336793">
      <w:pPr>
        <w:spacing w:after="0"/>
        <w:rPr>
          <w:rFonts w:ascii="Calibri" w:hAnsi="Calibri"/>
          <w:b/>
          <w:sz w:val="25"/>
        </w:rPr>
      </w:pPr>
      <w:r>
        <w:rPr>
          <w:rFonts w:ascii="Calibri" w:hAnsi="Calibri"/>
          <w:b/>
          <w:sz w:val="25"/>
        </w:rPr>
        <w:br w:type="page"/>
      </w:r>
    </w:p>
    <w:p w:rsidR="00336793" w:rsidRPr="006A75A2" w:rsidRDefault="00336793" w:rsidP="00DF0B96">
      <w:pPr>
        <w:pStyle w:val="Heading2NotesContd"/>
      </w:pPr>
      <w:r w:rsidRPr="006A75A2">
        <w:lastRenderedPageBreak/>
        <w:t>Note 32:</w:t>
      </w:r>
      <w:r w:rsidRPr="006A75A2">
        <w:tab/>
      </w:r>
      <w:r w:rsidRPr="005A211E">
        <w:t>Explanations</w:t>
      </w:r>
      <w:r w:rsidRPr="006A75A2">
        <w:t xml:space="preserve"> of material variances between budget and actual outcomes </w:t>
      </w:r>
      <w:r w:rsidRPr="006A75A2">
        <w:rPr>
          <w:i/>
        </w:rPr>
        <w:t>(continued)</w:t>
      </w:r>
    </w:p>
    <w:p w:rsidR="00336793" w:rsidRPr="00E54909" w:rsidRDefault="00336793" w:rsidP="00DF0B96">
      <w:pPr>
        <w:pStyle w:val="Heading2"/>
      </w:pPr>
      <w:r w:rsidRPr="00E54909">
        <w:t xml:space="preserve">Expenses from </w:t>
      </w:r>
      <w:r w:rsidRPr="00C501EA">
        <w:t>transactions</w:t>
      </w:r>
    </w:p>
    <w:p w:rsidR="00336793" w:rsidRPr="00E54909" w:rsidRDefault="00336793" w:rsidP="00DF0B96">
      <w:r w:rsidRPr="00E54909">
        <w:t>Exp</w:t>
      </w:r>
      <w:r>
        <w:t xml:space="preserve">enses from transactions was $52.6 billion for the year to 30 June 2015. This was 1.9 per cent </w:t>
      </w:r>
      <w:r w:rsidRPr="00E54909">
        <w:t>higher than the original budget</w:t>
      </w:r>
      <w:r>
        <w:t xml:space="preserve"> (or 0.2 per cent lower at revised budget)</w:t>
      </w:r>
      <w:r w:rsidRPr="00E54909">
        <w:t>. The main movements are outlined below.</w:t>
      </w:r>
    </w:p>
    <w:p w:rsidR="00336793" w:rsidRPr="00E54909" w:rsidRDefault="00336793" w:rsidP="00DF0B96">
      <w:pPr>
        <w:ind w:left="360" w:hanging="360"/>
      </w:pPr>
      <w:r w:rsidRPr="00E54909">
        <w:t>(</w:t>
      </w:r>
      <w:r>
        <w:t>f</w:t>
      </w:r>
      <w:r w:rsidRPr="00E54909">
        <w:t>)</w:t>
      </w:r>
      <w:r w:rsidRPr="00E54909">
        <w:tab/>
        <w:t>Employee expenses were $</w:t>
      </w:r>
      <w:r>
        <w:t>392 million</w:t>
      </w:r>
      <w:r w:rsidRPr="00E54909">
        <w:t xml:space="preserve"> higher than originally estimated. </w:t>
      </w:r>
      <w:r>
        <w:t>This is largely due to higher actual salaries in health agencies and hospitals to meet higher than expected hospital activity.</w:t>
      </w:r>
    </w:p>
    <w:p w:rsidR="00336793" w:rsidRPr="00E54909" w:rsidRDefault="00336793" w:rsidP="00DF0B96">
      <w:pPr>
        <w:ind w:left="360" w:hanging="360"/>
      </w:pPr>
      <w:r w:rsidRPr="00E54909">
        <w:t>(</w:t>
      </w:r>
      <w:r>
        <w:t>g)</w:t>
      </w:r>
      <w:r>
        <w:tab/>
      </w:r>
      <w:r w:rsidRPr="00F05C43">
        <w:t>The increase in other superannuation expenses of $114.</w:t>
      </w:r>
      <w:r>
        <w:t>4 million</w:t>
      </w:r>
      <w:r w:rsidRPr="00F05C43">
        <w:t xml:space="preserve"> was attributable to a</w:t>
      </w:r>
      <w:r>
        <w:t>n</w:t>
      </w:r>
      <w:r w:rsidRPr="00F05C43">
        <w:t xml:space="preserve"> increase in defined benefit service costs, due to lower bond y</w:t>
      </w:r>
      <w:r>
        <w:t>ields, and an in</w:t>
      </w:r>
      <w:r w:rsidRPr="00F05C43">
        <w:t>crease in employer contributions to defined contribution funds.</w:t>
      </w:r>
      <w:r w:rsidRPr="00E54909">
        <w:t xml:space="preserve"> </w:t>
      </w:r>
    </w:p>
    <w:p w:rsidR="00336793" w:rsidRPr="00E54909" w:rsidRDefault="00336793" w:rsidP="00DF0B96">
      <w:pPr>
        <w:ind w:left="360" w:hanging="360"/>
      </w:pPr>
      <w:r w:rsidRPr="00E54909">
        <w:t>(</w:t>
      </w:r>
      <w:r>
        <w:t>h</w:t>
      </w:r>
      <w:r w:rsidRPr="00E54909">
        <w:t>)</w:t>
      </w:r>
      <w:r w:rsidRPr="00E54909">
        <w:tab/>
        <w:t>The decrease in the depreciation expense of $</w:t>
      </w:r>
      <w:r>
        <w:t>70.7 million</w:t>
      </w:r>
      <w:r w:rsidRPr="00E54909">
        <w:t xml:space="preserve"> compared to the original budget was mainly driven by a lower than original budgeted depreciation expense for </w:t>
      </w:r>
      <w:r>
        <w:t>hospital buildings. This was offset by a small increase in the depreciation of education</w:t>
      </w:r>
      <w:r>
        <w:noBreakHyphen/>
      </w:r>
      <w:r w:rsidRPr="00F479C8">
        <w:t xml:space="preserve">related </w:t>
      </w:r>
      <w:r>
        <w:t xml:space="preserve">assets due to the fair value adjustment on economic obsolescence. </w:t>
      </w:r>
    </w:p>
    <w:p w:rsidR="00336793" w:rsidRPr="00E54909" w:rsidRDefault="00336793" w:rsidP="00DF0B96">
      <w:pPr>
        <w:ind w:left="360" w:hanging="360"/>
      </w:pPr>
      <w:r w:rsidRPr="00E54909">
        <w:t>(</w:t>
      </w:r>
      <w:r>
        <w:t>i</w:t>
      </w:r>
      <w:r w:rsidRPr="00E54909">
        <w:t>)</w:t>
      </w:r>
      <w:r w:rsidRPr="00E54909">
        <w:tab/>
        <w:t>Interest expense was $</w:t>
      </w:r>
      <w:r>
        <w:t xml:space="preserve">93.4 million </w:t>
      </w:r>
      <w:r w:rsidRPr="00E54909">
        <w:t xml:space="preserve">lower than the original budget, mainly associated with a reduction in </w:t>
      </w:r>
      <w:r>
        <w:t>both long and short</w:t>
      </w:r>
      <w:r>
        <w:noBreakHyphen/>
        <w:t xml:space="preserve">term </w:t>
      </w:r>
      <w:r w:rsidRPr="00E54909">
        <w:t xml:space="preserve">borrowings due to </w:t>
      </w:r>
      <w:r>
        <w:t>the re</w:t>
      </w:r>
      <w:r>
        <w:noBreakHyphen/>
        <w:t>phasing of various road and rail projects.</w:t>
      </w:r>
      <w:r w:rsidRPr="00E54909">
        <w:t xml:space="preserve"> </w:t>
      </w:r>
    </w:p>
    <w:p w:rsidR="00336793" w:rsidRPr="00F05C43" w:rsidRDefault="00336793" w:rsidP="00DF0B96">
      <w:pPr>
        <w:ind w:left="360" w:hanging="360"/>
      </w:pPr>
      <w:r w:rsidRPr="00E54909">
        <w:t>(</w:t>
      </w:r>
      <w:r>
        <w:t>j</w:t>
      </w:r>
      <w:r w:rsidRPr="00E54909">
        <w:t>)</w:t>
      </w:r>
      <w:r w:rsidRPr="00E54909">
        <w:tab/>
      </w:r>
      <w:r w:rsidRPr="00F05C43">
        <w:t>Grant expenses were $</w:t>
      </w:r>
      <w:r>
        <w:t>234.7 million</w:t>
      </w:r>
      <w:r w:rsidRPr="00F05C43">
        <w:t xml:space="preserve"> higher than expected in the </w:t>
      </w:r>
      <w:r w:rsidRPr="00F05C43">
        <w:rPr>
          <w:i/>
        </w:rPr>
        <w:t>2014</w:t>
      </w:r>
      <w:r>
        <w:rPr>
          <w:i/>
        </w:rPr>
        <w:noBreakHyphen/>
      </w:r>
      <w:r w:rsidRPr="00F05C43">
        <w:rPr>
          <w:i/>
        </w:rPr>
        <w:t>15 Budget</w:t>
      </w:r>
      <w:r w:rsidRPr="00F05C43">
        <w:t>, mainly driven by current grants to local government for on</w:t>
      </w:r>
      <w:r>
        <w:noBreakHyphen/>
      </w:r>
      <w:r w:rsidRPr="00F05C43">
        <w:t xml:space="preserve">passing and Commonwealth and capital grants to </w:t>
      </w:r>
      <w:r>
        <w:t xml:space="preserve">the </w:t>
      </w:r>
      <w:r w:rsidRPr="00F05C43">
        <w:t>private sector.</w:t>
      </w:r>
    </w:p>
    <w:p w:rsidR="00336793" w:rsidRPr="00572BA2" w:rsidRDefault="00336793" w:rsidP="00DF0B96">
      <w:pPr>
        <w:ind w:left="360" w:hanging="360"/>
        <w:rPr>
          <w:rFonts w:ascii="Calibri" w:hAnsi="Calibri"/>
          <w:b/>
        </w:rPr>
      </w:pPr>
      <w:r w:rsidRPr="00F05C43">
        <w:t>(</w:t>
      </w:r>
      <w:r>
        <w:t>k</w:t>
      </w:r>
      <w:r w:rsidRPr="00F05C43">
        <w:t>)</w:t>
      </w:r>
      <w:r w:rsidRPr="00F05C43">
        <w:tab/>
        <w:t>Other operating expenses were $</w:t>
      </w:r>
      <w:r>
        <w:t>391.6 million</w:t>
      </w:r>
      <w:r w:rsidRPr="00F05C43">
        <w:t xml:space="preserve"> (2.</w:t>
      </w:r>
      <w:r>
        <w:t>3 per cent</w:t>
      </w:r>
      <w:r w:rsidRPr="00F05C43">
        <w:t>) higher than the original budget</w:t>
      </w:r>
      <w:r>
        <w:t xml:space="preserve">, largely reflecting the costs to the State from finalisation of the agreement with the East West Link consortium. </w:t>
      </w:r>
    </w:p>
    <w:p w:rsidR="00336793" w:rsidRPr="00E54909" w:rsidRDefault="00336793" w:rsidP="00DF0B96">
      <w:pPr>
        <w:pStyle w:val="Heading2"/>
      </w:pPr>
      <w:r w:rsidRPr="00E54909">
        <w:t>Other economic flows included in net result</w:t>
      </w:r>
    </w:p>
    <w:p w:rsidR="00336793" w:rsidRPr="00E54909" w:rsidRDefault="00336793" w:rsidP="00DF0B96">
      <w:r w:rsidRPr="00E54909">
        <w:t>Total other economic flows included in the net result have decreased by $</w:t>
      </w:r>
      <w:r>
        <w:t>290.8 million</w:t>
      </w:r>
      <w:r w:rsidRPr="00E54909">
        <w:t xml:space="preserve"> compared to estimates in the original budget. The decrease was primarily due to </w:t>
      </w:r>
      <w:r>
        <w:t>the revaluation of employee benefit provisions following the change in bond interest rates and the revaluation of non</w:t>
      </w:r>
      <w:r>
        <w:noBreakHyphen/>
        <w:t>financial assets.</w:t>
      </w:r>
    </w:p>
    <w:p w:rsidR="00336793" w:rsidRDefault="00336793">
      <w:pPr>
        <w:spacing w:after="0"/>
        <w:rPr>
          <w:rFonts w:ascii="Calibri" w:hAnsi="Calibri"/>
          <w:b/>
          <w:sz w:val="28"/>
          <w:szCs w:val="22"/>
        </w:rPr>
      </w:pPr>
      <w:r>
        <w:br w:type="page"/>
      </w:r>
    </w:p>
    <w:p w:rsidR="00336793" w:rsidRPr="006A75A2" w:rsidRDefault="00336793" w:rsidP="00DF0B96">
      <w:pPr>
        <w:pStyle w:val="Heading2NotesContd"/>
      </w:pPr>
      <w:r w:rsidRPr="006A75A2">
        <w:lastRenderedPageBreak/>
        <w:t>Note 32:</w:t>
      </w:r>
      <w:r w:rsidRPr="006A75A2">
        <w:tab/>
      </w:r>
      <w:r w:rsidRPr="005A211E">
        <w:t>Explanations</w:t>
      </w:r>
      <w:r w:rsidRPr="006A75A2">
        <w:t xml:space="preserve"> of material variances between budget and actual outcomes </w:t>
      </w:r>
      <w:r w:rsidRPr="006A75A2">
        <w:rPr>
          <w:i/>
        </w:rPr>
        <w:t>(continued)</w:t>
      </w:r>
    </w:p>
    <w:p w:rsidR="00336793" w:rsidRPr="006A75A2" w:rsidRDefault="00336793" w:rsidP="00DF0B96">
      <w:pPr>
        <w:pStyle w:val="Heading5"/>
      </w:pPr>
      <w:r w:rsidRPr="006A75A2">
        <w:t>(b)</w:t>
      </w:r>
      <w:r w:rsidRPr="006A75A2">
        <w:tab/>
        <w:t xml:space="preserve">Consolidated </w:t>
      </w:r>
      <w:r w:rsidRPr="00C501EA">
        <w:t>balance</w:t>
      </w:r>
      <w:r w:rsidRPr="006A75A2">
        <w:t xml:space="preserve"> sheet as at 30 June</w:t>
      </w:r>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2987"/>
        <w:gridCol w:w="990"/>
        <w:gridCol w:w="1080"/>
        <w:gridCol w:w="880"/>
        <w:gridCol w:w="20"/>
        <w:gridCol w:w="90"/>
        <w:gridCol w:w="360"/>
        <w:gridCol w:w="630"/>
        <w:gridCol w:w="810"/>
        <w:gridCol w:w="1080"/>
        <w:gridCol w:w="710"/>
      </w:tblGrid>
      <w:tr w:rsidR="00336793" w:rsidRPr="00D707DF" w:rsidTr="00DF0B96">
        <w:trPr>
          <w:tblHeader/>
        </w:trPr>
        <w:tc>
          <w:tcPr>
            <w:tcW w:w="2987" w:type="dxa"/>
            <w:tcBorders>
              <w:top w:val="single" w:sz="6" w:space="0" w:color="000000"/>
              <w:left w:val="single" w:sz="6" w:space="0" w:color="000000"/>
              <w:bottom w:val="nil"/>
              <w:right w:val="nil"/>
            </w:tcBorders>
            <w:shd w:val="clear" w:color="000000" w:fill="000000"/>
            <w:vAlign w:val="bottom"/>
          </w:tcPr>
          <w:p w:rsidR="00336793" w:rsidRPr="00D707DF" w:rsidRDefault="00336793" w:rsidP="00DF0B96">
            <w:pPr>
              <w:pStyle w:val="Tabletext"/>
              <w:rPr>
                <w:rFonts w:eastAsiaTheme="minorEastAsia"/>
                <w:i/>
                <w:sz w:val="20"/>
                <w:lang w:eastAsia="en-AU"/>
              </w:rPr>
            </w:pPr>
            <w:r w:rsidRPr="00D707DF">
              <w:rPr>
                <w:rFonts w:eastAsiaTheme="minorEastAsia"/>
                <w:i/>
                <w:sz w:val="20"/>
                <w:lang w:eastAsia="en-AU"/>
              </w:rPr>
              <w:t xml:space="preserve"> </w:t>
            </w:r>
          </w:p>
        </w:tc>
        <w:tc>
          <w:tcPr>
            <w:tcW w:w="2950" w:type="dxa"/>
            <w:gridSpan w:val="3"/>
            <w:tcBorders>
              <w:top w:val="single" w:sz="6" w:space="0" w:color="000000"/>
              <w:left w:val="nil"/>
              <w:bottom w:val="nil"/>
              <w:right w:val="nil"/>
            </w:tcBorders>
            <w:shd w:val="clear" w:color="000000" w:fill="000000"/>
            <w:vAlign w:val="bottom"/>
          </w:tcPr>
          <w:p w:rsidR="00336793" w:rsidRPr="00D707DF" w:rsidRDefault="00336793" w:rsidP="00DF0B96">
            <w:pPr>
              <w:pStyle w:val="Tabletextheading"/>
              <w:ind w:right="-315"/>
              <w:jc w:val="center"/>
              <w:rPr>
                <w:rFonts w:eastAsiaTheme="minorEastAsia" w:cs="Calibri"/>
                <w:iCs/>
                <w:color w:val="FFFFFF"/>
                <w:sz w:val="20"/>
                <w:szCs w:val="22"/>
                <w:lang w:eastAsia="en-AU"/>
              </w:rPr>
            </w:pPr>
            <w:r w:rsidRPr="00D707DF">
              <w:rPr>
                <w:rFonts w:eastAsiaTheme="minorEastAsia"/>
                <w:color w:val="FFFFFF"/>
                <w:sz w:val="20"/>
                <w:lang w:eastAsia="en-AU"/>
              </w:rPr>
              <w:t>General</w:t>
            </w:r>
            <w:r w:rsidRPr="00D707DF">
              <w:rPr>
                <w:rFonts w:eastAsiaTheme="minorEastAsia" w:cs="Calibri"/>
                <w:iCs/>
                <w:color w:val="FFFFFF"/>
                <w:sz w:val="20"/>
                <w:szCs w:val="22"/>
                <w:lang w:eastAsia="en-AU"/>
              </w:rPr>
              <w:t xml:space="preserve"> government sector</w:t>
            </w:r>
          </w:p>
        </w:tc>
        <w:tc>
          <w:tcPr>
            <w:tcW w:w="110" w:type="dxa"/>
            <w:gridSpan w:val="2"/>
            <w:tcBorders>
              <w:top w:val="single" w:sz="6" w:space="0" w:color="000000"/>
              <w:left w:val="nil"/>
              <w:bottom w:val="nil"/>
              <w:right w:val="nil"/>
            </w:tcBorders>
            <w:shd w:val="clear" w:color="000000" w:fill="000000"/>
            <w:vAlign w:val="bottom"/>
          </w:tcPr>
          <w:p w:rsidR="00336793" w:rsidRPr="00D707DF" w:rsidRDefault="00336793" w:rsidP="00DF0B96">
            <w:pPr>
              <w:pStyle w:val="Tabletextheading"/>
              <w:ind w:right="-315"/>
              <w:rPr>
                <w:rFonts w:eastAsiaTheme="minorEastAsia" w:cs="Calibri"/>
                <w:iCs/>
                <w:color w:val="FFFFFF"/>
                <w:sz w:val="20"/>
                <w:szCs w:val="22"/>
                <w:lang w:eastAsia="en-AU"/>
              </w:rPr>
            </w:pPr>
            <w:r w:rsidRPr="00D707DF">
              <w:rPr>
                <w:rFonts w:eastAsiaTheme="minorEastAsia"/>
                <w:color w:val="FFFFFF"/>
                <w:sz w:val="20"/>
                <w:lang w:eastAsia="en-AU"/>
              </w:rPr>
              <w:t xml:space="preserve"> </w:t>
            </w:r>
          </w:p>
        </w:tc>
        <w:tc>
          <w:tcPr>
            <w:tcW w:w="360" w:type="dxa"/>
            <w:tcBorders>
              <w:top w:val="single" w:sz="6" w:space="0" w:color="000000"/>
              <w:left w:val="nil"/>
              <w:bottom w:val="nil"/>
              <w:right w:val="nil"/>
            </w:tcBorders>
            <w:shd w:val="clear" w:color="000000" w:fill="000000"/>
            <w:vAlign w:val="bottom"/>
          </w:tcPr>
          <w:p w:rsidR="00336793" w:rsidRPr="00D707DF" w:rsidRDefault="00336793" w:rsidP="00DF0B96">
            <w:pPr>
              <w:pStyle w:val="Tabletextheading"/>
              <w:ind w:right="-315"/>
              <w:rPr>
                <w:rFonts w:eastAsiaTheme="minorEastAsia" w:cs="Calibri"/>
                <w:iCs/>
                <w:color w:val="FFFFFF"/>
                <w:sz w:val="20"/>
                <w:szCs w:val="22"/>
                <w:lang w:eastAsia="en-AU"/>
              </w:rPr>
            </w:pPr>
            <w:r w:rsidRPr="00D707DF">
              <w:rPr>
                <w:rFonts w:eastAsiaTheme="minorEastAsia"/>
                <w:color w:val="FFFFFF"/>
                <w:sz w:val="20"/>
                <w:lang w:eastAsia="en-AU"/>
              </w:rPr>
              <w:t xml:space="preserve"> </w:t>
            </w:r>
          </w:p>
        </w:tc>
        <w:tc>
          <w:tcPr>
            <w:tcW w:w="630" w:type="dxa"/>
            <w:tcBorders>
              <w:top w:val="single" w:sz="6" w:space="0" w:color="000000"/>
              <w:left w:val="nil"/>
              <w:bottom w:val="nil"/>
              <w:right w:val="nil"/>
            </w:tcBorders>
            <w:shd w:val="clear" w:color="000000" w:fill="000000"/>
            <w:vAlign w:val="bottom"/>
          </w:tcPr>
          <w:p w:rsidR="00336793" w:rsidRPr="00D707DF" w:rsidRDefault="00336793" w:rsidP="00DF0B96">
            <w:pPr>
              <w:pStyle w:val="Tabletextheading"/>
              <w:rPr>
                <w:rFonts w:eastAsiaTheme="minorEastAsia"/>
                <w:color w:val="FFFFFF"/>
                <w:sz w:val="20"/>
                <w:lang w:eastAsia="en-AU"/>
              </w:rPr>
            </w:pPr>
            <w:r w:rsidRPr="00D707DF">
              <w:rPr>
                <w:rFonts w:eastAsiaTheme="minorEastAsia"/>
                <w:color w:val="FFFFFF"/>
                <w:sz w:val="20"/>
                <w:lang w:eastAsia="en-AU"/>
              </w:rPr>
              <w:t xml:space="preserve"> </w:t>
            </w:r>
          </w:p>
        </w:tc>
        <w:tc>
          <w:tcPr>
            <w:tcW w:w="810" w:type="dxa"/>
            <w:tcBorders>
              <w:top w:val="single" w:sz="6" w:space="0" w:color="000000"/>
              <w:left w:val="nil"/>
              <w:bottom w:val="nil"/>
              <w:right w:val="nil"/>
            </w:tcBorders>
            <w:shd w:val="clear" w:color="000000" w:fill="000000"/>
            <w:vAlign w:val="bottom"/>
          </w:tcPr>
          <w:p w:rsidR="00336793" w:rsidRPr="00D707DF" w:rsidRDefault="00336793" w:rsidP="00DF0B96">
            <w:pPr>
              <w:pStyle w:val="Tabletextheading"/>
              <w:rPr>
                <w:rFonts w:eastAsiaTheme="minorEastAsia" w:cs="Calibri"/>
                <w:iCs/>
                <w:color w:val="FFFFFF"/>
                <w:sz w:val="20"/>
                <w:szCs w:val="22"/>
                <w:lang w:eastAsia="en-AU"/>
              </w:rPr>
            </w:pPr>
            <w:r w:rsidRPr="00D707DF">
              <w:rPr>
                <w:rFonts w:eastAsiaTheme="minorEastAsia"/>
                <w:color w:val="FFFFFF"/>
                <w:sz w:val="20"/>
                <w:lang w:eastAsia="en-AU"/>
              </w:rPr>
              <w:t xml:space="preserve"> </w:t>
            </w:r>
          </w:p>
        </w:tc>
        <w:tc>
          <w:tcPr>
            <w:tcW w:w="1080" w:type="dxa"/>
            <w:tcBorders>
              <w:top w:val="single" w:sz="6" w:space="0" w:color="000000"/>
              <w:left w:val="nil"/>
              <w:bottom w:val="nil"/>
              <w:right w:val="nil"/>
            </w:tcBorders>
            <w:shd w:val="clear" w:color="000000" w:fill="000000"/>
            <w:vAlign w:val="bottom"/>
          </w:tcPr>
          <w:p w:rsidR="00336793" w:rsidRPr="00D707DF" w:rsidRDefault="00336793" w:rsidP="00DF0B96">
            <w:pPr>
              <w:pStyle w:val="Tabletextheading"/>
              <w:rPr>
                <w:rFonts w:eastAsiaTheme="minorEastAsia"/>
                <w:color w:val="FFFFFF"/>
                <w:sz w:val="20"/>
                <w:lang w:eastAsia="en-AU"/>
              </w:rPr>
            </w:pPr>
            <w:r w:rsidRPr="00D707DF">
              <w:rPr>
                <w:rFonts w:eastAsiaTheme="minorEastAsia"/>
                <w:color w:val="FFFFFF"/>
                <w:sz w:val="20"/>
                <w:lang w:eastAsia="en-AU"/>
              </w:rPr>
              <w:t xml:space="preserve"> </w:t>
            </w:r>
          </w:p>
        </w:tc>
        <w:tc>
          <w:tcPr>
            <w:tcW w:w="710" w:type="dxa"/>
            <w:tcBorders>
              <w:top w:val="single" w:sz="6" w:space="0" w:color="000000"/>
              <w:left w:val="nil"/>
              <w:bottom w:val="nil"/>
              <w:right w:val="single" w:sz="6" w:space="0" w:color="000000"/>
            </w:tcBorders>
            <w:shd w:val="clear" w:color="000000" w:fill="000000"/>
            <w:vAlign w:val="bottom"/>
          </w:tcPr>
          <w:p w:rsidR="00336793" w:rsidRPr="00D707DF" w:rsidRDefault="00336793" w:rsidP="00DF0B96">
            <w:pPr>
              <w:pStyle w:val="Tabletextheading"/>
              <w:rPr>
                <w:rFonts w:eastAsiaTheme="minorEastAsia"/>
                <w:color w:val="FFFFFF"/>
                <w:sz w:val="20"/>
                <w:lang w:eastAsia="en-AU"/>
              </w:rPr>
            </w:pPr>
            <w:r w:rsidRPr="00D707DF">
              <w:rPr>
                <w:rFonts w:eastAsiaTheme="minorEastAsia"/>
                <w:color w:val="FFFFFF"/>
                <w:sz w:val="20"/>
                <w:lang w:eastAsia="en-AU"/>
              </w:rPr>
              <w:t xml:space="preserve"> </w:t>
            </w:r>
          </w:p>
        </w:tc>
      </w:tr>
      <w:tr w:rsidR="00336793" w:rsidRPr="00D707DF" w:rsidTr="00DF0B96">
        <w:trPr>
          <w:tblHeader/>
        </w:trPr>
        <w:tc>
          <w:tcPr>
            <w:tcW w:w="2987" w:type="dxa"/>
            <w:tcBorders>
              <w:left w:val="single" w:sz="6" w:space="0" w:color="000000"/>
              <w:bottom w:val="single" w:sz="6" w:space="0" w:color="000000"/>
              <w:right w:val="nil"/>
            </w:tcBorders>
            <w:shd w:val="clear" w:color="000000" w:fill="000000"/>
            <w:vAlign w:val="bottom"/>
          </w:tcPr>
          <w:p w:rsidR="00336793" w:rsidRPr="00D707DF" w:rsidRDefault="00336793" w:rsidP="00DF0B96">
            <w:pPr>
              <w:pStyle w:val="Tabletext"/>
              <w:rPr>
                <w:rFonts w:eastAsiaTheme="minorEastAsia"/>
                <w:i/>
                <w:sz w:val="20"/>
                <w:lang w:eastAsia="en-AU"/>
              </w:rPr>
            </w:pPr>
            <w:r w:rsidRPr="00D707DF">
              <w:rPr>
                <w:rFonts w:eastAsiaTheme="minorEastAsia"/>
                <w:i/>
                <w:sz w:val="20"/>
                <w:lang w:eastAsia="en-AU"/>
              </w:rPr>
              <w:t xml:space="preserve"> </w:t>
            </w:r>
          </w:p>
        </w:tc>
        <w:tc>
          <w:tcPr>
            <w:tcW w:w="990" w:type="dxa"/>
            <w:tcBorders>
              <w:left w:val="nil"/>
              <w:bottom w:val="single" w:sz="6" w:space="0" w:color="000000"/>
              <w:right w:val="nil"/>
            </w:tcBorders>
            <w:shd w:val="clear" w:color="000000" w:fill="000000"/>
            <w:vAlign w:val="bottom"/>
          </w:tcPr>
          <w:p w:rsidR="00336793" w:rsidRPr="00D707DF" w:rsidRDefault="00336793" w:rsidP="00DF0B96">
            <w:pPr>
              <w:pStyle w:val="Tabletextheading"/>
              <w:rPr>
                <w:rFonts w:eastAsiaTheme="minorEastAsia"/>
                <w:color w:val="FFFFFF"/>
                <w:sz w:val="20"/>
                <w:lang w:eastAsia="en-AU"/>
              </w:rPr>
            </w:pPr>
            <w:r w:rsidRPr="00D707DF">
              <w:rPr>
                <w:rFonts w:eastAsiaTheme="minorEastAsia"/>
                <w:color w:val="FFFFFF"/>
                <w:sz w:val="20"/>
                <w:lang w:eastAsia="en-AU"/>
              </w:rPr>
              <w:t>Original budget</w:t>
            </w:r>
          </w:p>
        </w:tc>
        <w:tc>
          <w:tcPr>
            <w:tcW w:w="1080" w:type="dxa"/>
            <w:tcBorders>
              <w:left w:val="nil"/>
              <w:bottom w:val="single" w:sz="6" w:space="0" w:color="000000"/>
              <w:right w:val="nil"/>
            </w:tcBorders>
            <w:shd w:val="clear" w:color="000000" w:fill="000000"/>
            <w:vAlign w:val="bottom"/>
          </w:tcPr>
          <w:p w:rsidR="00336793" w:rsidRPr="00D707DF" w:rsidRDefault="00336793" w:rsidP="00DF0B96">
            <w:pPr>
              <w:pStyle w:val="Tabletextheading"/>
              <w:rPr>
                <w:rFonts w:eastAsiaTheme="minorEastAsia"/>
                <w:color w:val="FFFFFF"/>
                <w:sz w:val="20"/>
                <w:lang w:eastAsia="en-AU"/>
              </w:rPr>
            </w:pPr>
            <w:r w:rsidRPr="00D707DF">
              <w:rPr>
                <w:rFonts w:eastAsiaTheme="minorEastAsia"/>
                <w:color w:val="FFFFFF"/>
                <w:sz w:val="20"/>
                <w:lang w:eastAsia="en-AU"/>
              </w:rPr>
              <w:t>Revised budget</w:t>
            </w:r>
          </w:p>
        </w:tc>
        <w:tc>
          <w:tcPr>
            <w:tcW w:w="900" w:type="dxa"/>
            <w:gridSpan w:val="2"/>
            <w:tcBorders>
              <w:left w:val="nil"/>
              <w:bottom w:val="single" w:sz="6" w:space="0" w:color="000000"/>
              <w:right w:val="nil"/>
            </w:tcBorders>
            <w:shd w:val="clear" w:color="000000" w:fill="000000"/>
            <w:vAlign w:val="bottom"/>
          </w:tcPr>
          <w:p w:rsidR="00336793" w:rsidRPr="00D707DF" w:rsidRDefault="00336793" w:rsidP="00DF0B96">
            <w:pPr>
              <w:pStyle w:val="Tabletextheading"/>
              <w:rPr>
                <w:rFonts w:eastAsiaTheme="minorEastAsia"/>
                <w:color w:val="FFFFFF"/>
                <w:sz w:val="20"/>
                <w:lang w:eastAsia="en-AU"/>
              </w:rPr>
            </w:pPr>
            <w:r w:rsidRPr="00D707DF">
              <w:rPr>
                <w:rFonts w:eastAsiaTheme="minorEastAsia"/>
                <w:color w:val="FFFFFF"/>
                <w:sz w:val="20"/>
                <w:lang w:eastAsia="en-AU"/>
              </w:rPr>
              <w:t>2015 actual</w:t>
            </w:r>
          </w:p>
        </w:tc>
        <w:tc>
          <w:tcPr>
            <w:tcW w:w="1080" w:type="dxa"/>
            <w:gridSpan w:val="3"/>
            <w:tcBorders>
              <w:left w:val="nil"/>
              <w:bottom w:val="single" w:sz="6" w:space="0" w:color="000000"/>
              <w:right w:val="nil"/>
            </w:tcBorders>
            <w:shd w:val="clear" w:color="000000" w:fill="000000"/>
            <w:vAlign w:val="bottom"/>
          </w:tcPr>
          <w:p w:rsidR="00336793" w:rsidRPr="00D707DF" w:rsidRDefault="00336793" w:rsidP="00DF0B96">
            <w:pPr>
              <w:pStyle w:val="Tabletextheading"/>
              <w:rPr>
                <w:rFonts w:eastAsiaTheme="minorEastAsia"/>
                <w:color w:val="FFFFFF"/>
                <w:sz w:val="20"/>
                <w:lang w:eastAsia="en-AU"/>
              </w:rPr>
            </w:pPr>
            <w:r w:rsidRPr="00D707DF">
              <w:rPr>
                <w:rFonts w:eastAsiaTheme="minorEastAsia"/>
                <w:color w:val="FFFFFF"/>
                <w:sz w:val="20"/>
                <w:lang w:eastAsia="en-AU"/>
              </w:rPr>
              <w:t>Budget variance</w:t>
            </w:r>
          </w:p>
        </w:tc>
        <w:tc>
          <w:tcPr>
            <w:tcW w:w="810" w:type="dxa"/>
            <w:tcBorders>
              <w:left w:val="nil"/>
              <w:bottom w:val="single" w:sz="6" w:space="0" w:color="000000"/>
              <w:right w:val="nil"/>
            </w:tcBorders>
            <w:shd w:val="clear" w:color="000000" w:fill="000000"/>
            <w:vAlign w:val="bottom"/>
          </w:tcPr>
          <w:p w:rsidR="00336793" w:rsidRPr="00D707DF" w:rsidRDefault="00336793" w:rsidP="00DF0B96">
            <w:pPr>
              <w:pStyle w:val="Tabletextheading"/>
              <w:rPr>
                <w:rFonts w:eastAsiaTheme="minorEastAsia"/>
                <w:color w:val="FFFFFF"/>
                <w:sz w:val="20"/>
                <w:lang w:eastAsia="en-AU"/>
              </w:rPr>
            </w:pPr>
            <w:r w:rsidRPr="00D707DF">
              <w:rPr>
                <w:rFonts w:eastAsiaTheme="minorEastAsia"/>
                <w:color w:val="FFFFFF"/>
                <w:sz w:val="20"/>
                <w:lang w:eastAsia="en-AU"/>
              </w:rPr>
              <w:t>%</w:t>
            </w:r>
          </w:p>
        </w:tc>
        <w:tc>
          <w:tcPr>
            <w:tcW w:w="1080" w:type="dxa"/>
            <w:tcBorders>
              <w:left w:val="nil"/>
              <w:bottom w:val="single" w:sz="6" w:space="0" w:color="000000"/>
              <w:right w:val="nil"/>
            </w:tcBorders>
            <w:shd w:val="clear" w:color="000000" w:fill="000000"/>
            <w:vAlign w:val="bottom"/>
          </w:tcPr>
          <w:p w:rsidR="00336793" w:rsidRPr="00D707DF" w:rsidRDefault="00336793" w:rsidP="00DF0B96">
            <w:pPr>
              <w:pStyle w:val="Tabletextheading"/>
              <w:rPr>
                <w:rFonts w:eastAsiaTheme="minorEastAsia"/>
                <w:color w:val="FFFFFF"/>
                <w:sz w:val="20"/>
                <w:lang w:eastAsia="en-AU"/>
              </w:rPr>
            </w:pPr>
            <w:r w:rsidRPr="00D707DF">
              <w:rPr>
                <w:rFonts w:eastAsiaTheme="minorEastAsia"/>
                <w:color w:val="FFFFFF"/>
                <w:sz w:val="20"/>
                <w:lang w:eastAsia="en-AU"/>
              </w:rPr>
              <w:t>Revised budget variance</w:t>
            </w:r>
          </w:p>
        </w:tc>
        <w:tc>
          <w:tcPr>
            <w:tcW w:w="710" w:type="dxa"/>
            <w:tcBorders>
              <w:left w:val="nil"/>
              <w:bottom w:val="single" w:sz="6" w:space="0" w:color="000000"/>
              <w:right w:val="single" w:sz="6" w:space="0" w:color="000000"/>
            </w:tcBorders>
            <w:shd w:val="clear" w:color="000000" w:fill="000000"/>
            <w:vAlign w:val="bottom"/>
          </w:tcPr>
          <w:p w:rsidR="00336793" w:rsidRPr="00D707DF" w:rsidRDefault="00336793" w:rsidP="00DF0B96">
            <w:pPr>
              <w:pStyle w:val="Tabletextheading"/>
              <w:rPr>
                <w:rFonts w:eastAsiaTheme="minorEastAsia"/>
                <w:color w:val="FFFFFF"/>
                <w:sz w:val="20"/>
                <w:lang w:eastAsia="en-AU"/>
              </w:rPr>
            </w:pPr>
            <w:r w:rsidRPr="00D707DF">
              <w:rPr>
                <w:rFonts w:eastAsiaTheme="minorEastAsia"/>
                <w:color w:val="FFFFFF"/>
                <w:sz w:val="20"/>
                <w:lang w:eastAsia="en-AU"/>
              </w:rPr>
              <w:t>%</w:t>
            </w:r>
          </w:p>
        </w:tc>
      </w:tr>
      <w:tr w:rsidR="00336793" w:rsidRPr="00D707DF" w:rsidTr="00DF0B96">
        <w:tc>
          <w:tcPr>
            <w:tcW w:w="2987" w:type="dxa"/>
            <w:tcBorders>
              <w:top w:val="single" w:sz="6" w:space="0" w:color="000000"/>
              <w:left w:val="nil"/>
              <w:bottom w:val="nil"/>
              <w:right w:val="nil"/>
            </w:tcBorders>
            <w:shd w:val="solid" w:color="FFFFFF" w:fill="auto"/>
          </w:tcPr>
          <w:p w:rsidR="00336793" w:rsidRPr="00D707DF" w:rsidRDefault="00336793" w:rsidP="00DF0B96">
            <w:pPr>
              <w:pStyle w:val="Tabletext"/>
              <w:rPr>
                <w:rFonts w:eastAsiaTheme="minorEastAsia"/>
                <w:b/>
                <w:bCs/>
                <w:sz w:val="20"/>
                <w:lang w:eastAsia="en-AU"/>
              </w:rPr>
            </w:pPr>
            <w:r w:rsidRPr="00D707DF">
              <w:rPr>
                <w:rFonts w:eastAsiaTheme="minorEastAsia"/>
                <w:b/>
                <w:bCs/>
                <w:sz w:val="20"/>
                <w:lang w:eastAsia="en-AU"/>
              </w:rPr>
              <w:t>Assets</w:t>
            </w:r>
          </w:p>
        </w:tc>
        <w:tc>
          <w:tcPr>
            <w:tcW w:w="990" w:type="dxa"/>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900" w:type="dxa"/>
            <w:gridSpan w:val="2"/>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gridSpan w:val="3"/>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810" w:type="dxa"/>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710" w:type="dxa"/>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b/>
                <w:bCs/>
                <w:sz w:val="20"/>
                <w:lang w:eastAsia="en-AU"/>
              </w:rPr>
            </w:pPr>
            <w:r w:rsidRPr="00D707DF">
              <w:rPr>
                <w:rFonts w:eastAsiaTheme="minorEastAsia"/>
                <w:b/>
                <w:bCs/>
                <w:sz w:val="20"/>
                <w:lang w:eastAsia="en-AU"/>
              </w:rPr>
              <w:t>Financial assets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Cash and deposits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4 254.0</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4 912.6</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4 281.7</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sidRPr="00D707DF">
              <w:rPr>
                <w:rFonts w:eastAsiaTheme="minorEastAsia"/>
                <w:sz w:val="20"/>
                <w:lang w:eastAsia="en-AU"/>
              </w:rPr>
              <w:t xml:space="preserve"> 27.7</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sidRPr="00D707DF">
              <w:rPr>
                <w:rFonts w:eastAsiaTheme="minorEastAsia"/>
                <w:sz w:val="20"/>
                <w:lang w:eastAsia="en-AU"/>
              </w:rPr>
              <w:t xml:space="preserve"> 0.7</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630.9)</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12.8)</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Advances paid</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4 541.7</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4 567.9</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4 571.8</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30.1</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0.7</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3.9</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0.1</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Receivables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4 805.3</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5 010.0</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5 555.3</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750.0</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15.6</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545.3</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10.9</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Investments, loans and placements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3 377.1</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3 039.3</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3 405.9</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28.7</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0.9</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366.5</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12.1</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Investments accounted for using the equity method</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49.4</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44.1</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44.6</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4.8)</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9.8)</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0.4</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1.0</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Investments in other sector entities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79 237.9</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80 446.8</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82 181.0</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2 943.1</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3.7</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1 734.2</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2.2</w:t>
            </w:r>
          </w:p>
        </w:tc>
      </w:tr>
      <w:tr w:rsidR="00336793" w:rsidRPr="00D707DF" w:rsidTr="00DF0B96">
        <w:tc>
          <w:tcPr>
            <w:tcW w:w="2987"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text"/>
              <w:rPr>
                <w:rFonts w:eastAsiaTheme="minorEastAsia"/>
                <w:b/>
                <w:bCs/>
                <w:sz w:val="20"/>
                <w:lang w:eastAsia="en-AU"/>
              </w:rPr>
            </w:pPr>
            <w:r w:rsidRPr="00D707DF">
              <w:rPr>
                <w:rFonts w:eastAsiaTheme="minorEastAsia"/>
                <w:b/>
                <w:bCs/>
                <w:sz w:val="20"/>
                <w:lang w:eastAsia="en-AU"/>
              </w:rPr>
              <w:t>Total financial assets</w:t>
            </w:r>
          </w:p>
        </w:tc>
        <w:tc>
          <w:tcPr>
            <w:tcW w:w="990"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96 265.4</w:t>
            </w:r>
          </w:p>
        </w:tc>
        <w:tc>
          <w:tcPr>
            <w:tcW w:w="1080"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98 020.7</w:t>
            </w:r>
          </w:p>
        </w:tc>
        <w:tc>
          <w:tcPr>
            <w:tcW w:w="900" w:type="dxa"/>
            <w:gridSpan w:val="2"/>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100 040.3</w:t>
            </w:r>
          </w:p>
        </w:tc>
        <w:tc>
          <w:tcPr>
            <w:tcW w:w="1080" w:type="dxa"/>
            <w:gridSpan w:val="3"/>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3 774.8</w:t>
            </w:r>
          </w:p>
        </w:tc>
        <w:tc>
          <w:tcPr>
            <w:tcW w:w="810"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 xml:space="preserve"> 3.9</w:t>
            </w:r>
          </w:p>
        </w:tc>
        <w:tc>
          <w:tcPr>
            <w:tcW w:w="1080"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2 019.6</w:t>
            </w:r>
          </w:p>
        </w:tc>
        <w:tc>
          <w:tcPr>
            <w:tcW w:w="710"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 xml:space="preserve"> 2.1</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b/>
                <w:bCs/>
                <w:sz w:val="20"/>
                <w:lang w:eastAsia="en-AU"/>
              </w:rPr>
            </w:pPr>
            <w:r w:rsidRPr="00D707DF">
              <w:rPr>
                <w:rFonts w:eastAsiaTheme="minorEastAsia"/>
                <w:b/>
                <w:bCs/>
                <w:sz w:val="20"/>
                <w:lang w:eastAsia="en-AU"/>
              </w:rPr>
              <w:t>Non</w:t>
            </w:r>
            <w:r>
              <w:rPr>
                <w:rFonts w:eastAsiaTheme="minorEastAsia"/>
                <w:b/>
                <w:bCs/>
                <w:sz w:val="20"/>
                <w:lang w:eastAsia="en-AU"/>
              </w:rPr>
              <w:noBreakHyphen/>
            </w:r>
            <w:r w:rsidRPr="00D707DF">
              <w:rPr>
                <w:rFonts w:eastAsiaTheme="minorEastAsia"/>
                <w:b/>
                <w:bCs/>
                <w:sz w:val="20"/>
                <w:lang w:eastAsia="en-AU"/>
              </w:rPr>
              <w:t>financial assets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Inventories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174.9</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155.1</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144.5</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30.4)</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17.4)</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10.6)</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6.8)</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Non</w:t>
            </w:r>
            <w:r>
              <w:rPr>
                <w:rFonts w:eastAsiaTheme="minorEastAsia"/>
                <w:sz w:val="20"/>
                <w:lang w:eastAsia="en-AU"/>
              </w:rPr>
              <w:noBreakHyphen/>
            </w:r>
            <w:r w:rsidRPr="00D707DF">
              <w:rPr>
                <w:rFonts w:eastAsiaTheme="minorEastAsia"/>
                <w:sz w:val="20"/>
                <w:lang w:eastAsia="en-AU"/>
              </w:rPr>
              <w:t>financial assets held</w:t>
            </w:r>
            <w:r>
              <w:rPr>
                <w:rFonts w:eastAsiaTheme="minorEastAsia"/>
                <w:sz w:val="20"/>
                <w:lang w:eastAsia="en-AU"/>
              </w:rPr>
              <w:noBreakHyphen/>
            </w:r>
            <w:r w:rsidRPr="00D707DF">
              <w:rPr>
                <w:rFonts w:eastAsiaTheme="minorEastAsia"/>
                <w:sz w:val="20"/>
                <w:lang w:eastAsia="en-AU"/>
              </w:rPr>
              <w:t>for</w:t>
            </w:r>
            <w:r>
              <w:rPr>
                <w:rFonts w:eastAsiaTheme="minorEastAsia"/>
                <w:sz w:val="20"/>
                <w:lang w:eastAsia="en-AU"/>
              </w:rPr>
              <w:noBreakHyphen/>
            </w:r>
            <w:r w:rsidRPr="00D707DF">
              <w:rPr>
                <w:rFonts w:eastAsiaTheme="minorEastAsia"/>
                <w:sz w:val="20"/>
                <w:lang w:eastAsia="en-AU"/>
              </w:rPr>
              <w:t>sale</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108.3</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128.5</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175.3</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67.0</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61.8</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46.8</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36.4</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Land, buildings, infrastructure, plant and equipment</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106 143.6</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109 633.6</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107 586.4</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1 442.8</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1.4</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(2 047.2)</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1.9)</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Other non</w:t>
            </w:r>
            <w:r>
              <w:rPr>
                <w:rFonts w:eastAsiaTheme="minorEastAsia"/>
                <w:sz w:val="20"/>
                <w:lang w:eastAsia="en-AU"/>
              </w:rPr>
              <w:noBreakHyphen/>
            </w:r>
            <w:r w:rsidRPr="00D707DF">
              <w:rPr>
                <w:rFonts w:eastAsiaTheme="minorEastAsia"/>
                <w:sz w:val="20"/>
                <w:lang w:eastAsia="en-AU"/>
              </w:rPr>
              <w:t>financial assets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931.7</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1 208.5</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1 038.3</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106.6</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11.4</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170.2)</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14.1)</w:t>
            </w:r>
          </w:p>
        </w:tc>
      </w:tr>
      <w:tr w:rsidR="00336793" w:rsidRPr="00D707DF" w:rsidTr="00DF0B96">
        <w:tc>
          <w:tcPr>
            <w:tcW w:w="2987"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text"/>
              <w:rPr>
                <w:rFonts w:eastAsiaTheme="minorEastAsia"/>
                <w:b/>
                <w:bCs/>
                <w:sz w:val="20"/>
                <w:lang w:eastAsia="en-AU"/>
              </w:rPr>
            </w:pPr>
            <w:r w:rsidRPr="00D707DF">
              <w:rPr>
                <w:rFonts w:eastAsiaTheme="minorEastAsia"/>
                <w:b/>
                <w:bCs/>
                <w:sz w:val="20"/>
                <w:lang w:eastAsia="en-AU"/>
              </w:rPr>
              <w:t>Total non</w:t>
            </w:r>
            <w:r>
              <w:rPr>
                <w:rFonts w:eastAsiaTheme="minorEastAsia"/>
                <w:b/>
                <w:bCs/>
                <w:sz w:val="20"/>
                <w:lang w:eastAsia="en-AU"/>
              </w:rPr>
              <w:noBreakHyphen/>
            </w:r>
            <w:r w:rsidRPr="00D707DF">
              <w:rPr>
                <w:rFonts w:eastAsiaTheme="minorEastAsia"/>
                <w:b/>
                <w:bCs/>
                <w:sz w:val="20"/>
                <w:lang w:eastAsia="en-AU"/>
              </w:rPr>
              <w:t>financial assets</w:t>
            </w:r>
          </w:p>
        </w:tc>
        <w:tc>
          <w:tcPr>
            <w:tcW w:w="990"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107 358.5</w:t>
            </w:r>
          </w:p>
        </w:tc>
        <w:tc>
          <w:tcPr>
            <w:tcW w:w="1080"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111 125.6</w:t>
            </w:r>
          </w:p>
        </w:tc>
        <w:tc>
          <w:tcPr>
            <w:tcW w:w="900" w:type="dxa"/>
            <w:gridSpan w:val="2"/>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108 944.5</w:t>
            </w:r>
          </w:p>
        </w:tc>
        <w:tc>
          <w:tcPr>
            <w:tcW w:w="1080" w:type="dxa"/>
            <w:gridSpan w:val="3"/>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1 586.0</w:t>
            </w:r>
          </w:p>
        </w:tc>
        <w:tc>
          <w:tcPr>
            <w:tcW w:w="810"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 xml:space="preserve"> 1.5</w:t>
            </w:r>
          </w:p>
        </w:tc>
        <w:tc>
          <w:tcPr>
            <w:tcW w:w="1080"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(2 181.2)</w:t>
            </w:r>
          </w:p>
        </w:tc>
        <w:tc>
          <w:tcPr>
            <w:tcW w:w="710" w:type="dxa"/>
            <w:tcBorders>
              <w:top w:val="single" w:sz="6" w:space="0" w:color="000000"/>
              <w:left w:val="nil"/>
              <w:bottom w:val="single" w:sz="6" w:space="0" w:color="000000"/>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r>
              <w:rPr>
                <w:rFonts w:eastAsiaTheme="minorEastAsia"/>
                <w:b/>
                <w:bCs/>
                <w:sz w:val="20"/>
                <w:lang w:eastAsia="en-AU"/>
              </w:rPr>
              <w:t>(</w:t>
            </w:r>
            <w:r w:rsidRPr="00D707DF">
              <w:rPr>
                <w:rFonts w:eastAsiaTheme="minorEastAsia" w:cs="Calibri"/>
                <w:b/>
                <w:bCs/>
                <w:color w:val="000000"/>
                <w:sz w:val="20"/>
                <w:szCs w:val="22"/>
                <w:lang w:eastAsia="en-AU"/>
              </w:rPr>
              <w:t>2.0)</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b/>
                <w:bCs/>
                <w:sz w:val="20"/>
                <w:lang w:eastAsia="en-AU"/>
              </w:rPr>
            </w:pPr>
            <w:r w:rsidRPr="00D707DF">
              <w:rPr>
                <w:rFonts w:eastAsiaTheme="minorEastAsia"/>
                <w:b/>
                <w:bCs/>
                <w:sz w:val="20"/>
                <w:lang w:eastAsia="en-AU"/>
              </w:rPr>
              <w:t>Total assets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203 623.9</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209 146.3</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208 984.7</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5 360.8</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 xml:space="preserve"> 2.6</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r>
              <w:rPr>
                <w:rFonts w:eastAsiaTheme="minorEastAsia"/>
                <w:b/>
                <w:bCs/>
                <w:sz w:val="20"/>
                <w:lang w:eastAsia="en-AU"/>
              </w:rPr>
              <w:t>(</w:t>
            </w:r>
            <w:r w:rsidRPr="00D707DF">
              <w:rPr>
                <w:rFonts w:eastAsiaTheme="minorEastAsia" w:cs="Calibri"/>
                <w:b/>
                <w:bCs/>
                <w:color w:val="000000"/>
                <w:sz w:val="20"/>
                <w:szCs w:val="22"/>
                <w:lang w:eastAsia="en-AU"/>
              </w:rPr>
              <w:t>161.6)</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r>
              <w:rPr>
                <w:rFonts w:eastAsiaTheme="minorEastAsia"/>
                <w:b/>
                <w:bCs/>
                <w:sz w:val="20"/>
                <w:lang w:eastAsia="en-AU"/>
              </w:rPr>
              <w:t>(</w:t>
            </w:r>
            <w:r w:rsidRPr="00D707DF">
              <w:rPr>
                <w:rFonts w:eastAsiaTheme="minorEastAsia" w:cs="Calibri"/>
                <w:b/>
                <w:bCs/>
                <w:color w:val="000000"/>
                <w:sz w:val="20"/>
                <w:szCs w:val="22"/>
                <w:lang w:eastAsia="en-AU"/>
              </w:rPr>
              <w:t>0.1)</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b/>
                <w:bCs/>
                <w:sz w:val="20"/>
                <w:lang w:eastAsia="en-AU"/>
              </w:rPr>
            </w:pPr>
            <w:r w:rsidRPr="00D707DF">
              <w:rPr>
                <w:rFonts w:eastAsiaTheme="minorEastAsia"/>
                <w:b/>
                <w:bCs/>
                <w:sz w:val="20"/>
                <w:lang w:eastAsia="en-AU"/>
              </w:rPr>
              <w:t>Liabilities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Deposits held and advances received</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429.0</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426.4</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517.8</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88.7</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20.7</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91.4</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21.4</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Payables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5 104.6</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5 864.2</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5 704.3</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599.7</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11.7</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sz w:val="20"/>
                <w:lang w:eastAsia="en-AU"/>
              </w:rPr>
              <w:t>159.9</w:t>
            </w:r>
            <w:r w:rsidRPr="00D707DF">
              <w:rPr>
                <w:rFonts w:eastAsiaTheme="minorEastAsia" w:cs="Calibri"/>
                <w:color w:val="000000"/>
                <w:sz w:val="20"/>
                <w:szCs w:val="22"/>
                <w:lang w:eastAsia="en-AU"/>
              </w:rPr>
              <w:t>)</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sz w:val="20"/>
                <w:lang w:eastAsia="en-AU"/>
              </w:rPr>
              <w:t>2.7</w:t>
            </w:r>
            <w:r w:rsidRPr="00D707DF">
              <w:rPr>
                <w:rFonts w:eastAsiaTheme="minorEastAsia" w:cs="Calibri"/>
                <w:color w:val="000000"/>
                <w:sz w:val="20"/>
                <w:szCs w:val="22"/>
                <w:lang w:eastAsia="en-AU"/>
              </w:rPr>
              <w:t>)</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Borrowings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35 111.8</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33 333.4</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34 069.0</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(1 042.8)</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3.0)</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735.6</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2.2</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Employee benefits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5 606.8</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5 519.7</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5 605.3</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sz w:val="20"/>
                <w:lang w:eastAsia="en-AU"/>
              </w:rPr>
              <w:t>1.5</w:t>
            </w:r>
            <w:r w:rsidRPr="00D707DF">
              <w:rPr>
                <w:rFonts w:eastAsiaTheme="minorEastAsia" w:cs="Calibri"/>
                <w:color w:val="000000"/>
                <w:sz w:val="20"/>
                <w:szCs w:val="22"/>
                <w:lang w:eastAsia="en-AU"/>
              </w:rPr>
              <w:t>)</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85.5</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1.5</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Superannuation</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22 924.5</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30 752.2</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25 946.6</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3 022.0</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13.2</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(4 805.7)</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15.6)</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Other provisions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644.3</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1 261.7</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807.4</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163.0</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25.3</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454.3)</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36.0)</w:t>
            </w:r>
          </w:p>
        </w:tc>
      </w:tr>
      <w:tr w:rsidR="00336793" w:rsidRPr="00D707DF" w:rsidTr="00DF0B96">
        <w:tc>
          <w:tcPr>
            <w:tcW w:w="2987" w:type="dxa"/>
            <w:tcBorders>
              <w:top w:val="single" w:sz="6" w:space="0" w:color="000000"/>
              <w:left w:val="nil"/>
              <w:bottom w:val="nil"/>
              <w:right w:val="nil"/>
            </w:tcBorders>
            <w:shd w:val="solid" w:color="FFFFFF" w:fill="auto"/>
          </w:tcPr>
          <w:p w:rsidR="00336793" w:rsidRPr="00D707DF" w:rsidRDefault="00336793" w:rsidP="00DF0B96">
            <w:pPr>
              <w:pStyle w:val="Tabletext"/>
              <w:rPr>
                <w:rFonts w:eastAsiaTheme="minorEastAsia"/>
                <w:b/>
                <w:bCs/>
                <w:sz w:val="20"/>
                <w:lang w:eastAsia="en-AU"/>
              </w:rPr>
            </w:pPr>
            <w:r w:rsidRPr="00D707DF">
              <w:rPr>
                <w:rFonts w:eastAsiaTheme="minorEastAsia"/>
                <w:b/>
                <w:bCs/>
                <w:sz w:val="20"/>
                <w:lang w:eastAsia="en-AU"/>
              </w:rPr>
              <w:t>Total liabilities</w:t>
            </w:r>
          </w:p>
        </w:tc>
        <w:tc>
          <w:tcPr>
            <w:tcW w:w="990" w:type="dxa"/>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69 821.1</w:t>
            </w:r>
          </w:p>
        </w:tc>
        <w:tc>
          <w:tcPr>
            <w:tcW w:w="1080" w:type="dxa"/>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77 157.6</w:t>
            </w:r>
          </w:p>
        </w:tc>
        <w:tc>
          <w:tcPr>
            <w:tcW w:w="900" w:type="dxa"/>
            <w:gridSpan w:val="2"/>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72 650.2</w:t>
            </w:r>
          </w:p>
        </w:tc>
        <w:tc>
          <w:tcPr>
            <w:tcW w:w="1080" w:type="dxa"/>
            <w:gridSpan w:val="3"/>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2 829.1</w:t>
            </w:r>
          </w:p>
        </w:tc>
        <w:tc>
          <w:tcPr>
            <w:tcW w:w="810" w:type="dxa"/>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 xml:space="preserve"> 4.1</w:t>
            </w:r>
          </w:p>
        </w:tc>
        <w:tc>
          <w:tcPr>
            <w:tcW w:w="1080" w:type="dxa"/>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(4 507.4)</w:t>
            </w:r>
          </w:p>
        </w:tc>
        <w:tc>
          <w:tcPr>
            <w:tcW w:w="710" w:type="dxa"/>
            <w:tcBorders>
              <w:top w:val="single" w:sz="6" w:space="0" w:color="000000"/>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r>
              <w:rPr>
                <w:rFonts w:eastAsiaTheme="minorEastAsia"/>
                <w:b/>
                <w:bCs/>
                <w:sz w:val="20"/>
                <w:lang w:eastAsia="en-AU"/>
              </w:rPr>
              <w:t>(</w:t>
            </w:r>
            <w:r w:rsidRPr="00D707DF">
              <w:rPr>
                <w:rFonts w:eastAsiaTheme="minorEastAsia" w:cs="Calibri"/>
                <w:b/>
                <w:bCs/>
                <w:color w:val="000000"/>
                <w:sz w:val="20"/>
                <w:szCs w:val="22"/>
                <w:lang w:eastAsia="en-AU"/>
              </w:rPr>
              <w:t>5.8)</w:t>
            </w:r>
          </w:p>
        </w:tc>
      </w:tr>
      <w:tr w:rsidR="00336793" w:rsidRPr="00D707DF" w:rsidTr="00DF0B96">
        <w:tc>
          <w:tcPr>
            <w:tcW w:w="2987"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text"/>
              <w:rPr>
                <w:rFonts w:eastAsiaTheme="minorEastAsia"/>
                <w:b/>
                <w:bCs/>
                <w:sz w:val="20"/>
                <w:lang w:eastAsia="en-AU"/>
              </w:rPr>
            </w:pPr>
            <w:r w:rsidRPr="00D707DF">
              <w:rPr>
                <w:rFonts w:eastAsiaTheme="minorEastAsia"/>
                <w:b/>
                <w:bCs/>
                <w:sz w:val="20"/>
                <w:lang w:eastAsia="en-AU"/>
              </w:rPr>
              <w:t>Net assets</w:t>
            </w:r>
          </w:p>
        </w:tc>
        <w:tc>
          <w:tcPr>
            <w:tcW w:w="990"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133 802.8</w:t>
            </w:r>
          </w:p>
        </w:tc>
        <w:tc>
          <w:tcPr>
            <w:tcW w:w="1080"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131 988.7</w:t>
            </w:r>
          </w:p>
        </w:tc>
        <w:tc>
          <w:tcPr>
            <w:tcW w:w="900" w:type="dxa"/>
            <w:gridSpan w:val="2"/>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136 334.5</w:t>
            </w:r>
          </w:p>
        </w:tc>
        <w:tc>
          <w:tcPr>
            <w:tcW w:w="1080" w:type="dxa"/>
            <w:gridSpan w:val="3"/>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2 531.7</w:t>
            </w:r>
          </w:p>
        </w:tc>
        <w:tc>
          <w:tcPr>
            <w:tcW w:w="810"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 xml:space="preserve"> 1.9</w:t>
            </w:r>
          </w:p>
        </w:tc>
        <w:tc>
          <w:tcPr>
            <w:tcW w:w="1080"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4 345.8</w:t>
            </w:r>
          </w:p>
        </w:tc>
        <w:tc>
          <w:tcPr>
            <w:tcW w:w="710"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 xml:space="preserve"> 3.3</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Accumulated surplus/(deficit)</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47 288.4</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39 828.6</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45 788.5</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(1 499.9)</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3.2)</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5 959.9</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15.0</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Reserves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86 464.5</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92 110.2</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90 496.0</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4 031.5</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4.7</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(1 614.1)</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1.8)</w:t>
            </w:r>
          </w:p>
        </w:tc>
      </w:tr>
      <w:tr w:rsidR="00336793" w:rsidRPr="00D707DF" w:rsidTr="00DF0B96">
        <w:tc>
          <w:tcPr>
            <w:tcW w:w="2987" w:type="dxa"/>
            <w:tcBorders>
              <w:top w:val="nil"/>
              <w:left w:val="nil"/>
              <w:bottom w:val="single" w:sz="6" w:space="0" w:color="000000"/>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Non</w:t>
            </w:r>
            <w:r>
              <w:rPr>
                <w:rFonts w:eastAsiaTheme="minorEastAsia"/>
                <w:sz w:val="20"/>
                <w:lang w:eastAsia="en-AU"/>
              </w:rPr>
              <w:noBreakHyphen/>
            </w:r>
            <w:r w:rsidRPr="00D707DF">
              <w:rPr>
                <w:rFonts w:eastAsiaTheme="minorEastAsia"/>
                <w:sz w:val="20"/>
                <w:lang w:eastAsia="en-AU"/>
              </w:rPr>
              <w:t>controlling interest</w:t>
            </w:r>
          </w:p>
        </w:tc>
        <w:tc>
          <w:tcPr>
            <w:tcW w:w="990" w:type="dxa"/>
            <w:tcBorders>
              <w:top w:val="nil"/>
              <w:left w:val="nil"/>
              <w:bottom w:val="single" w:sz="6" w:space="0" w:color="000000"/>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50.0</w:t>
            </w:r>
          </w:p>
        </w:tc>
        <w:tc>
          <w:tcPr>
            <w:tcW w:w="1080" w:type="dxa"/>
            <w:tcBorders>
              <w:top w:val="nil"/>
              <w:left w:val="nil"/>
              <w:bottom w:val="single" w:sz="6" w:space="0" w:color="000000"/>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50.0</w:t>
            </w:r>
          </w:p>
        </w:tc>
        <w:tc>
          <w:tcPr>
            <w:tcW w:w="900" w:type="dxa"/>
            <w:gridSpan w:val="2"/>
            <w:tcBorders>
              <w:top w:val="nil"/>
              <w:left w:val="nil"/>
              <w:bottom w:val="single" w:sz="6" w:space="0" w:color="000000"/>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50.0</w:t>
            </w:r>
          </w:p>
        </w:tc>
        <w:tc>
          <w:tcPr>
            <w:tcW w:w="1080" w:type="dxa"/>
            <w:gridSpan w:val="3"/>
            <w:tcBorders>
              <w:top w:val="nil"/>
              <w:left w:val="nil"/>
              <w:bottom w:val="single" w:sz="6" w:space="0" w:color="000000"/>
              <w:right w:val="nil"/>
            </w:tcBorders>
            <w:shd w:val="solid" w:color="FFFFFF" w:fill="auto"/>
          </w:tcPr>
          <w:p w:rsidR="00336793" w:rsidRPr="00D707DF" w:rsidRDefault="00336793" w:rsidP="00DF0B96">
            <w:pPr>
              <w:pStyle w:val="TableofFigures"/>
              <w:rPr>
                <w:rFonts w:eastAsiaTheme="minorEastAsia" w:cs="Calibri"/>
                <w:sz w:val="20"/>
                <w:szCs w:val="22"/>
                <w:lang w:eastAsia="en-AU"/>
              </w:rPr>
            </w:pPr>
            <w:r w:rsidRPr="00D707DF">
              <w:rPr>
                <w:rFonts w:eastAsiaTheme="minorEastAsia"/>
                <w:sz w:val="20"/>
                <w:lang w:eastAsia="en-AU"/>
              </w:rPr>
              <w:t>..</w:t>
            </w:r>
          </w:p>
        </w:tc>
        <w:tc>
          <w:tcPr>
            <w:tcW w:w="810" w:type="dxa"/>
            <w:tcBorders>
              <w:top w:val="nil"/>
              <w:left w:val="nil"/>
              <w:bottom w:val="single" w:sz="6" w:space="0" w:color="000000"/>
              <w:right w:val="nil"/>
            </w:tcBorders>
            <w:shd w:val="solid" w:color="FFFFFF" w:fill="auto"/>
          </w:tcPr>
          <w:p w:rsidR="00336793" w:rsidRPr="00D707DF" w:rsidRDefault="00336793" w:rsidP="00DF0B96">
            <w:pPr>
              <w:pStyle w:val="TableofFigures"/>
              <w:rPr>
                <w:rFonts w:eastAsiaTheme="minorEastAsia" w:cs="Calibri"/>
                <w:sz w:val="20"/>
                <w:szCs w:val="22"/>
                <w:lang w:eastAsia="en-AU"/>
              </w:rPr>
            </w:pPr>
            <w:r w:rsidRPr="00D707DF">
              <w:rPr>
                <w:rFonts w:eastAsiaTheme="minorEastAsia"/>
                <w:sz w:val="20"/>
                <w:lang w:eastAsia="en-AU"/>
              </w:rPr>
              <w:t>..</w:t>
            </w:r>
          </w:p>
        </w:tc>
        <w:tc>
          <w:tcPr>
            <w:tcW w:w="1080" w:type="dxa"/>
            <w:tcBorders>
              <w:top w:val="nil"/>
              <w:left w:val="nil"/>
              <w:bottom w:val="single" w:sz="6" w:space="0" w:color="000000"/>
              <w:right w:val="nil"/>
            </w:tcBorders>
            <w:shd w:val="solid" w:color="FFFFFF" w:fill="auto"/>
          </w:tcPr>
          <w:p w:rsidR="00336793" w:rsidRPr="00D707DF" w:rsidRDefault="00336793" w:rsidP="00DF0B96">
            <w:pPr>
              <w:pStyle w:val="TableofFigures"/>
              <w:rPr>
                <w:rFonts w:eastAsiaTheme="minorEastAsia" w:cs="Calibri"/>
                <w:sz w:val="20"/>
                <w:szCs w:val="22"/>
                <w:lang w:eastAsia="en-AU"/>
              </w:rPr>
            </w:pPr>
            <w:r w:rsidRPr="00D707DF">
              <w:rPr>
                <w:rFonts w:eastAsiaTheme="minorEastAsia"/>
                <w:sz w:val="20"/>
                <w:lang w:eastAsia="en-AU"/>
              </w:rPr>
              <w:t>..</w:t>
            </w:r>
          </w:p>
        </w:tc>
        <w:tc>
          <w:tcPr>
            <w:tcW w:w="710" w:type="dxa"/>
            <w:tcBorders>
              <w:top w:val="nil"/>
              <w:left w:val="nil"/>
              <w:bottom w:val="single" w:sz="6" w:space="0" w:color="000000"/>
              <w:right w:val="nil"/>
            </w:tcBorders>
            <w:shd w:val="solid" w:color="FFFFFF" w:fill="auto"/>
          </w:tcPr>
          <w:p w:rsidR="00336793" w:rsidRPr="00D707DF" w:rsidRDefault="00336793" w:rsidP="00DF0B96">
            <w:pPr>
              <w:pStyle w:val="TableofFigures"/>
              <w:rPr>
                <w:rFonts w:eastAsiaTheme="minorEastAsia" w:cs="Calibri"/>
                <w:sz w:val="20"/>
                <w:szCs w:val="22"/>
                <w:lang w:eastAsia="en-AU"/>
              </w:rPr>
            </w:pPr>
            <w:r w:rsidRPr="00D707DF">
              <w:rPr>
                <w:rFonts w:eastAsiaTheme="minorEastAsia"/>
                <w:sz w:val="20"/>
                <w:lang w:eastAsia="en-AU"/>
              </w:rPr>
              <w:t>..</w:t>
            </w:r>
          </w:p>
        </w:tc>
      </w:tr>
      <w:tr w:rsidR="00336793" w:rsidRPr="00D707DF" w:rsidTr="00DF0B96">
        <w:tc>
          <w:tcPr>
            <w:tcW w:w="2987"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text"/>
              <w:rPr>
                <w:rFonts w:eastAsiaTheme="minorEastAsia"/>
                <w:b/>
                <w:bCs/>
                <w:sz w:val="20"/>
                <w:lang w:eastAsia="en-AU"/>
              </w:rPr>
            </w:pPr>
            <w:r w:rsidRPr="00D707DF">
              <w:rPr>
                <w:rFonts w:eastAsiaTheme="minorEastAsia"/>
                <w:b/>
                <w:bCs/>
                <w:sz w:val="20"/>
                <w:lang w:eastAsia="en-AU"/>
              </w:rPr>
              <w:t>Net worth</w:t>
            </w:r>
          </w:p>
        </w:tc>
        <w:tc>
          <w:tcPr>
            <w:tcW w:w="990"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133 802.8</w:t>
            </w:r>
          </w:p>
        </w:tc>
        <w:tc>
          <w:tcPr>
            <w:tcW w:w="1080"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131 988.7</w:t>
            </w:r>
          </w:p>
        </w:tc>
        <w:tc>
          <w:tcPr>
            <w:tcW w:w="900" w:type="dxa"/>
            <w:gridSpan w:val="2"/>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136 334.5</w:t>
            </w:r>
          </w:p>
        </w:tc>
        <w:tc>
          <w:tcPr>
            <w:tcW w:w="1080" w:type="dxa"/>
            <w:gridSpan w:val="3"/>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2 531.7</w:t>
            </w:r>
          </w:p>
        </w:tc>
        <w:tc>
          <w:tcPr>
            <w:tcW w:w="810"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 xml:space="preserve"> 1.9</w:t>
            </w:r>
          </w:p>
        </w:tc>
        <w:tc>
          <w:tcPr>
            <w:tcW w:w="1080"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4 345.8</w:t>
            </w:r>
          </w:p>
        </w:tc>
        <w:tc>
          <w:tcPr>
            <w:tcW w:w="710" w:type="dxa"/>
            <w:tcBorders>
              <w:top w:val="single" w:sz="6" w:space="0" w:color="000000"/>
              <w:left w:val="nil"/>
              <w:bottom w:val="single" w:sz="12" w:space="0" w:color="000000"/>
              <w:right w:val="nil"/>
            </w:tcBorders>
            <w:shd w:val="solid" w:color="FFFFFF" w:fill="auto"/>
          </w:tcPr>
          <w:p w:rsidR="00336793" w:rsidRPr="00D707DF" w:rsidRDefault="00336793" w:rsidP="00DF0B96">
            <w:pPr>
              <w:pStyle w:val="TableofFigures"/>
              <w:rPr>
                <w:rFonts w:eastAsiaTheme="minorEastAsia"/>
                <w:b/>
                <w:bCs/>
                <w:sz w:val="20"/>
                <w:lang w:eastAsia="en-AU"/>
              </w:rPr>
            </w:pPr>
            <w:r w:rsidRPr="00D707DF">
              <w:rPr>
                <w:rFonts w:eastAsiaTheme="minorEastAsia"/>
                <w:b/>
                <w:bCs/>
                <w:sz w:val="20"/>
                <w:lang w:eastAsia="en-AU"/>
              </w:rPr>
              <w:t xml:space="preserve"> 3.3</w:t>
            </w:r>
          </w:p>
        </w:tc>
      </w:tr>
      <w:tr w:rsidR="00336793" w:rsidRPr="00D707DF" w:rsidTr="00DF0B96">
        <w:trPr>
          <w:trHeight w:hRule="exact" w:val="120"/>
        </w:trPr>
        <w:tc>
          <w:tcPr>
            <w:tcW w:w="2987" w:type="dxa"/>
            <w:tcBorders>
              <w:top w:val="single" w:sz="12" w:space="0" w:color="000000"/>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 xml:space="preserve"> </w:t>
            </w:r>
          </w:p>
        </w:tc>
        <w:tc>
          <w:tcPr>
            <w:tcW w:w="990" w:type="dxa"/>
            <w:tcBorders>
              <w:top w:val="single" w:sz="12" w:space="0" w:color="000000"/>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w:t>
            </w:r>
          </w:p>
        </w:tc>
        <w:tc>
          <w:tcPr>
            <w:tcW w:w="1080" w:type="dxa"/>
            <w:tcBorders>
              <w:top w:val="single" w:sz="12" w:space="0" w:color="000000"/>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w:t>
            </w:r>
          </w:p>
        </w:tc>
        <w:tc>
          <w:tcPr>
            <w:tcW w:w="900" w:type="dxa"/>
            <w:gridSpan w:val="2"/>
            <w:tcBorders>
              <w:top w:val="single" w:sz="12" w:space="0" w:color="000000"/>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w:t>
            </w:r>
          </w:p>
        </w:tc>
        <w:tc>
          <w:tcPr>
            <w:tcW w:w="1080" w:type="dxa"/>
            <w:gridSpan w:val="3"/>
            <w:tcBorders>
              <w:top w:val="single" w:sz="12" w:space="0" w:color="000000"/>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w:t>
            </w:r>
          </w:p>
        </w:tc>
        <w:tc>
          <w:tcPr>
            <w:tcW w:w="810" w:type="dxa"/>
            <w:tcBorders>
              <w:top w:val="single" w:sz="12" w:space="0" w:color="000000"/>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w:t>
            </w:r>
          </w:p>
        </w:tc>
        <w:tc>
          <w:tcPr>
            <w:tcW w:w="1080" w:type="dxa"/>
            <w:tcBorders>
              <w:top w:val="single" w:sz="12" w:space="0" w:color="000000"/>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w:t>
            </w:r>
          </w:p>
        </w:tc>
        <w:tc>
          <w:tcPr>
            <w:tcW w:w="710" w:type="dxa"/>
            <w:tcBorders>
              <w:top w:val="single" w:sz="12" w:space="0" w:color="000000"/>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w:t>
            </w: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b/>
                <w:bCs/>
                <w:sz w:val="20"/>
                <w:lang w:eastAsia="en-AU"/>
              </w:rPr>
            </w:pPr>
            <w:r w:rsidRPr="00D707DF">
              <w:rPr>
                <w:rFonts w:eastAsiaTheme="minorEastAsia"/>
                <w:b/>
                <w:bCs/>
                <w:sz w:val="20"/>
                <w:lang w:eastAsia="en-AU"/>
              </w:rPr>
              <w:t>FISCAL AGGREGATES</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cs="Calibri"/>
                <w:b/>
                <w:bCs/>
                <w:color w:val="000000"/>
                <w:sz w:val="20"/>
                <w:szCs w:val="22"/>
                <w:lang w:eastAsia="en-AU"/>
              </w:rPr>
            </w:pPr>
          </w:p>
        </w:tc>
      </w:tr>
      <w:tr w:rsidR="00336793" w:rsidRPr="00D707DF" w:rsidTr="00DF0B96">
        <w:tc>
          <w:tcPr>
            <w:tcW w:w="2987" w:type="dxa"/>
            <w:tcBorders>
              <w:top w:val="nil"/>
              <w:left w:val="nil"/>
              <w:bottom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Net financial worth</w:t>
            </w:r>
          </w:p>
        </w:tc>
        <w:tc>
          <w:tcPr>
            <w:tcW w:w="99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26 444.4</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20 863.1</w:t>
            </w:r>
          </w:p>
        </w:tc>
        <w:tc>
          <w:tcPr>
            <w:tcW w:w="900" w:type="dxa"/>
            <w:gridSpan w:val="2"/>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27 390.1</w:t>
            </w:r>
          </w:p>
        </w:tc>
        <w:tc>
          <w:tcPr>
            <w:tcW w:w="1080" w:type="dxa"/>
            <w:gridSpan w:val="3"/>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945.7</w:t>
            </w:r>
          </w:p>
        </w:tc>
        <w:tc>
          <w:tcPr>
            <w:tcW w:w="8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3.6</w:t>
            </w:r>
          </w:p>
        </w:tc>
        <w:tc>
          <w:tcPr>
            <w:tcW w:w="108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6 527.0</w:t>
            </w:r>
          </w:p>
        </w:tc>
        <w:tc>
          <w:tcPr>
            <w:tcW w:w="710" w:type="dxa"/>
            <w:tcBorders>
              <w:top w:val="nil"/>
              <w:left w:val="nil"/>
              <w:bottom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31.3</w:t>
            </w:r>
          </w:p>
        </w:tc>
      </w:tr>
      <w:tr w:rsidR="00336793" w:rsidRPr="00D707DF" w:rsidTr="00DF0B96">
        <w:tc>
          <w:tcPr>
            <w:tcW w:w="2987" w:type="dxa"/>
            <w:tcBorders>
              <w:top w:val="nil"/>
              <w:left w:val="nil"/>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Net financial liabilities</w:t>
            </w:r>
          </w:p>
        </w:tc>
        <w:tc>
          <w:tcPr>
            <w:tcW w:w="990" w:type="dxa"/>
            <w:tcBorders>
              <w:top w:val="nil"/>
              <w:left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52 793.6</w:t>
            </w:r>
          </w:p>
        </w:tc>
        <w:tc>
          <w:tcPr>
            <w:tcW w:w="1080" w:type="dxa"/>
            <w:tcBorders>
              <w:top w:val="nil"/>
              <w:left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59 583.7</w:t>
            </w:r>
          </w:p>
        </w:tc>
        <w:tc>
          <w:tcPr>
            <w:tcW w:w="900" w:type="dxa"/>
            <w:gridSpan w:val="2"/>
            <w:tcBorders>
              <w:top w:val="nil"/>
              <w:left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54 791.0</w:t>
            </w:r>
          </w:p>
        </w:tc>
        <w:tc>
          <w:tcPr>
            <w:tcW w:w="1080" w:type="dxa"/>
            <w:gridSpan w:val="3"/>
            <w:tcBorders>
              <w:top w:val="nil"/>
              <w:left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1 997.4</w:t>
            </w:r>
          </w:p>
        </w:tc>
        <w:tc>
          <w:tcPr>
            <w:tcW w:w="810" w:type="dxa"/>
            <w:tcBorders>
              <w:top w:val="nil"/>
              <w:left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3.8</w:t>
            </w:r>
          </w:p>
        </w:tc>
        <w:tc>
          <w:tcPr>
            <w:tcW w:w="1080" w:type="dxa"/>
            <w:tcBorders>
              <w:top w:val="nil"/>
              <w:left w:val="nil"/>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(4 792.7)</w:t>
            </w:r>
          </w:p>
        </w:tc>
        <w:tc>
          <w:tcPr>
            <w:tcW w:w="710" w:type="dxa"/>
            <w:tcBorders>
              <w:top w:val="nil"/>
              <w:left w:val="nil"/>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8.0)</w:t>
            </w:r>
          </w:p>
        </w:tc>
      </w:tr>
      <w:tr w:rsidR="00336793" w:rsidRPr="00D707DF" w:rsidTr="00DF0B96">
        <w:tc>
          <w:tcPr>
            <w:tcW w:w="2987" w:type="dxa"/>
            <w:tcBorders>
              <w:top w:val="nil"/>
              <w:left w:val="nil"/>
              <w:bottom w:val="single" w:sz="12" w:space="0" w:color="000000"/>
              <w:right w:val="nil"/>
            </w:tcBorders>
            <w:shd w:val="solid" w:color="FFFFFF" w:fill="auto"/>
          </w:tcPr>
          <w:p w:rsidR="00336793" w:rsidRPr="00D707DF" w:rsidRDefault="00336793" w:rsidP="00DF0B96">
            <w:pPr>
              <w:pStyle w:val="Tabletext"/>
              <w:rPr>
                <w:rFonts w:eastAsiaTheme="minorEastAsia"/>
                <w:sz w:val="20"/>
                <w:lang w:eastAsia="en-AU"/>
              </w:rPr>
            </w:pPr>
            <w:r w:rsidRPr="00D707DF">
              <w:rPr>
                <w:rFonts w:eastAsiaTheme="minorEastAsia"/>
                <w:sz w:val="20"/>
                <w:lang w:eastAsia="en-AU"/>
              </w:rPr>
              <w:t>Net debt</w:t>
            </w:r>
          </w:p>
        </w:tc>
        <w:tc>
          <w:tcPr>
            <w:tcW w:w="990" w:type="dxa"/>
            <w:tcBorders>
              <w:top w:val="nil"/>
              <w:left w:val="nil"/>
              <w:bottom w:val="single" w:sz="12" w:space="0" w:color="000000"/>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23 36</w:t>
            </w:r>
            <w:r>
              <w:rPr>
                <w:rFonts w:eastAsiaTheme="minorEastAsia"/>
                <w:sz w:val="20"/>
                <w:lang w:eastAsia="en-AU"/>
              </w:rPr>
              <w:t>8</w:t>
            </w:r>
            <w:r w:rsidRPr="00D707DF">
              <w:rPr>
                <w:rFonts w:eastAsiaTheme="minorEastAsia"/>
                <w:sz w:val="20"/>
                <w:lang w:eastAsia="en-AU"/>
              </w:rPr>
              <w:t>.</w:t>
            </w:r>
            <w:r>
              <w:rPr>
                <w:rFonts w:eastAsiaTheme="minorEastAsia"/>
                <w:sz w:val="20"/>
                <w:lang w:eastAsia="en-AU"/>
              </w:rPr>
              <w:t>0</w:t>
            </w:r>
          </w:p>
        </w:tc>
        <w:tc>
          <w:tcPr>
            <w:tcW w:w="1080" w:type="dxa"/>
            <w:tcBorders>
              <w:top w:val="nil"/>
              <w:left w:val="nil"/>
              <w:bottom w:val="single" w:sz="12" w:space="0" w:color="000000"/>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21 2</w:t>
            </w:r>
            <w:r>
              <w:rPr>
                <w:rFonts w:eastAsiaTheme="minorEastAsia"/>
                <w:sz w:val="20"/>
                <w:lang w:eastAsia="en-AU"/>
              </w:rPr>
              <w:t>40</w:t>
            </w:r>
            <w:r w:rsidRPr="00D707DF">
              <w:rPr>
                <w:rFonts w:eastAsiaTheme="minorEastAsia"/>
                <w:sz w:val="20"/>
                <w:lang w:eastAsia="en-AU"/>
              </w:rPr>
              <w:t>.</w:t>
            </w:r>
            <w:r>
              <w:rPr>
                <w:rFonts w:eastAsiaTheme="minorEastAsia"/>
                <w:sz w:val="20"/>
                <w:lang w:eastAsia="en-AU"/>
              </w:rPr>
              <w:t>0</w:t>
            </w:r>
          </w:p>
        </w:tc>
        <w:tc>
          <w:tcPr>
            <w:tcW w:w="900" w:type="dxa"/>
            <w:gridSpan w:val="2"/>
            <w:tcBorders>
              <w:top w:val="nil"/>
              <w:left w:val="nil"/>
              <w:bottom w:val="single" w:sz="12" w:space="0" w:color="000000"/>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22 327.</w:t>
            </w:r>
            <w:r>
              <w:rPr>
                <w:rFonts w:eastAsiaTheme="minorEastAsia"/>
                <w:sz w:val="20"/>
                <w:lang w:eastAsia="en-AU"/>
              </w:rPr>
              <w:t>4</w:t>
            </w:r>
          </w:p>
        </w:tc>
        <w:tc>
          <w:tcPr>
            <w:tcW w:w="1080" w:type="dxa"/>
            <w:gridSpan w:val="3"/>
            <w:tcBorders>
              <w:top w:val="nil"/>
              <w:left w:val="nil"/>
              <w:bottom w:val="single" w:sz="12" w:space="0" w:color="000000"/>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(1 040.5)</w:t>
            </w:r>
          </w:p>
        </w:tc>
        <w:tc>
          <w:tcPr>
            <w:tcW w:w="810" w:type="dxa"/>
            <w:tcBorders>
              <w:top w:val="nil"/>
              <w:left w:val="nil"/>
              <w:bottom w:val="single" w:sz="12" w:space="0" w:color="000000"/>
              <w:right w:val="nil"/>
            </w:tcBorders>
            <w:shd w:val="solid" w:color="FFFFFF" w:fill="auto"/>
          </w:tcPr>
          <w:p w:rsidR="00336793" w:rsidRPr="00D707DF"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D707DF">
              <w:rPr>
                <w:rFonts w:eastAsiaTheme="minorEastAsia" w:cs="Calibri"/>
                <w:color w:val="000000"/>
                <w:sz w:val="20"/>
                <w:szCs w:val="22"/>
                <w:lang w:eastAsia="en-AU"/>
              </w:rPr>
              <w:t>4.5)</w:t>
            </w:r>
          </w:p>
        </w:tc>
        <w:tc>
          <w:tcPr>
            <w:tcW w:w="1080" w:type="dxa"/>
            <w:tcBorders>
              <w:top w:val="nil"/>
              <w:left w:val="nil"/>
              <w:bottom w:val="single" w:sz="12" w:space="0" w:color="000000"/>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1 087.4</w:t>
            </w:r>
          </w:p>
        </w:tc>
        <w:tc>
          <w:tcPr>
            <w:tcW w:w="710" w:type="dxa"/>
            <w:tcBorders>
              <w:top w:val="nil"/>
              <w:left w:val="nil"/>
              <w:bottom w:val="single" w:sz="12" w:space="0" w:color="000000"/>
              <w:right w:val="nil"/>
            </w:tcBorders>
            <w:shd w:val="solid" w:color="FFFFFF" w:fill="auto"/>
          </w:tcPr>
          <w:p w:rsidR="00336793" w:rsidRPr="00D707DF" w:rsidRDefault="00336793" w:rsidP="00DF0B96">
            <w:pPr>
              <w:pStyle w:val="TableofFigures"/>
              <w:rPr>
                <w:rFonts w:eastAsiaTheme="minorEastAsia"/>
                <w:sz w:val="20"/>
                <w:lang w:eastAsia="en-AU"/>
              </w:rPr>
            </w:pPr>
            <w:r w:rsidRPr="00D707DF">
              <w:rPr>
                <w:rFonts w:eastAsiaTheme="minorEastAsia"/>
                <w:sz w:val="20"/>
                <w:lang w:eastAsia="en-AU"/>
              </w:rPr>
              <w:t xml:space="preserve"> 5.1</w:t>
            </w:r>
          </w:p>
        </w:tc>
      </w:tr>
    </w:tbl>
    <w:p w:rsidR="00336793" w:rsidRPr="00572BA2" w:rsidRDefault="00336793" w:rsidP="00DF0B96"/>
    <w:p w:rsidR="00336793" w:rsidRDefault="00336793" w:rsidP="00DF0B96">
      <w:r>
        <w:br w:type="page"/>
      </w:r>
    </w:p>
    <w:p w:rsidR="00336793" w:rsidRPr="006A75A2" w:rsidRDefault="00336793" w:rsidP="00DF0B96">
      <w:pPr>
        <w:pStyle w:val="Heading2NotesContd"/>
        <w:rPr>
          <w:kern w:val="0"/>
        </w:rPr>
      </w:pPr>
      <w:r w:rsidRPr="006A75A2">
        <w:rPr>
          <w:kern w:val="0"/>
        </w:rPr>
        <w:lastRenderedPageBreak/>
        <w:t>Note 32:</w:t>
      </w:r>
      <w:r w:rsidRPr="006A75A2">
        <w:rPr>
          <w:kern w:val="0"/>
        </w:rPr>
        <w:tab/>
        <w:t xml:space="preserve">Explanations of material variances between budget and actual outcomes </w:t>
      </w:r>
      <w:r w:rsidRPr="006A75A2">
        <w:rPr>
          <w:i/>
          <w:kern w:val="0"/>
        </w:rPr>
        <w:t>(continued)</w:t>
      </w:r>
    </w:p>
    <w:p w:rsidR="00336793" w:rsidRPr="00E54909" w:rsidRDefault="00336793" w:rsidP="00DF0B96">
      <w:pPr>
        <w:pStyle w:val="Heading2"/>
      </w:pPr>
      <w:r w:rsidRPr="00E54909">
        <w:t>Net financial worth</w:t>
      </w:r>
    </w:p>
    <w:p w:rsidR="00336793" w:rsidRPr="00E54909" w:rsidRDefault="00336793" w:rsidP="00DF0B96">
      <w:r w:rsidRPr="00E54909">
        <w:t>Net financial worth is total financial assets less total liabilities. Net financial worth was $</w:t>
      </w:r>
      <w:r>
        <w:t>945.7 million</w:t>
      </w:r>
      <w:r w:rsidRPr="00E54909">
        <w:t xml:space="preserve"> </w:t>
      </w:r>
      <w:r>
        <w:t xml:space="preserve">(3.6 per cent) </w:t>
      </w:r>
      <w:r w:rsidRPr="00E54909">
        <w:t>higher than the original budget. This was driven by</w:t>
      </w:r>
      <w:r>
        <w:t xml:space="preserve"> higher financial assets of $3.8 billion offset with higher liabilities of $2.8 billion when compared to the original budget.</w:t>
      </w:r>
    </w:p>
    <w:p w:rsidR="00336793" w:rsidRPr="00E54909" w:rsidRDefault="00336793" w:rsidP="00DF0B96">
      <w:r w:rsidRPr="00E54909">
        <w:t>The increase in total financial assets was driven by high</w:t>
      </w:r>
      <w:r>
        <w:t>er</w:t>
      </w:r>
      <w:r w:rsidRPr="00E54909">
        <w:t xml:space="preserve"> investments in other sectors due </w:t>
      </w:r>
      <w:r w:rsidRPr="00C24462">
        <w:t xml:space="preserve">to the revaluation </w:t>
      </w:r>
      <w:r>
        <w:t xml:space="preserve">of rail and port assets, in line with the relevant reporting requirements. </w:t>
      </w:r>
    </w:p>
    <w:p w:rsidR="00336793" w:rsidRPr="00E54909" w:rsidRDefault="00336793" w:rsidP="00DF0B96">
      <w:r w:rsidRPr="00E54909">
        <w:t xml:space="preserve">The </w:t>
      </w:r>
      <w:r>
        <w:t>increase</w:t>
      </w:r>
      <w:r w:rsidRPr="00E54909">
        <w:t xml:space="preserve"> in total liabilities was largely attributable to a</w:t>
      </w:r>
      <w:r>
        <w:t xml:space="preserve"> higher</w:t>
      </w:r>
      <w:r w:rsidRPr="00E54909">
        <w:t xml:space="preserve"> superannuation liability as a result of </w:t>
      </w:r>
      <w:r>
        <w:t>unfavourable</w:t>
      </w:r>
      <w:r w:rsidRPr="00E54909">
        <w:t xml:space="preserve"> bond yield movements </w:t>
      </w:r>
      <w:r>
        <w:t>between 31 March 2014 and 30 June 2015</w:t>
      </w:r>
      <w:r w:rsidRPr="00E54909">
        <w:t xml:space="preserve">. Borrowings were also lower than expected in the original budget </w:t>
      </w:r>
      <w:r>
        <w:t>consistent with the decrease in net debt.</w:t>
      </w:r>
      <w:r w:rsidRPr="00690CE4">
        <w:t xml:space="preserve"> This is offset by a higher than expected unearned income payable</w:t>
      </w:r>
      <w:r>
        <w:t xml:space="preserve"> due to the impact of the Melbourne Casino Licence amendments.</w:t>
      </w:r>
    </w:p>
    <w:p w:rsidR="00336793" w:rsidRPr="00E54909" w:rsidRDefault="00336793" w:rsidP="00DF0B96">
      <w:pPr>
        <w:pStyle w:val="Heading2"/>
      </w:pPr>
      <w:r w:rsidRPr="00E54909">
        <w:t>Net financial liabilities</w:t>
      </w:r>
    </w:p>
    <w:p w:rsidR="00336793" w:rsidRPr="00E54909" w:rsidRDefault="00336793" w:rsidP="00DF0B96">
      <w:r w:rsidRPr="00E54909">
        <w:t>Net financial liabilities are total liabilities less all financial assets (excluding investments in other sectors). Net financial liabilities were $</w:t>
      </w:r>
      <w:r>
        <w:t>2.0 billion</w:t>
      </w:r>
      <w:r w:rsidRPr="00E54909">
        <w:t xml:space="preserve"> </w:t>
      </w:r>
      <w:r>
        <w:t>higher</w:t>
      </w:r>
      <w:r w:rsidRPr="00E54909">
        <w:t xml:space="preserve"> than the original budget. This </w:t>
      </w:r>
      <w:r>
        <w:t xml:space="preserve">increase </w:t>
      </w:r>
      <w:r w:rsidRPr="00E54909">
        <w:t>was explained previously in net financial worth.</w:t>
      </w:r>
    </w:p>
    <w:p w:rsidR="00336793" w:rsidRPr="00E54909" w:rsidRDefault="00336793" w:rsidP="00DF0B96">
      <w:pPr>
        <w:pStyle w:val="Heading2"/>
      </w:pPr>
      <w:r w:rsidRPr="00E54909">
        <w:t>Net debt</w:t>
      </w:r>
    </w:p>
    <w:p w:rsidR="00336793" w:rsidRPr="00A20631" w:rsidRDefault="00336793" w:rsidP="00DF0B96">
      <w:pPr>
        <w:rPr>
          <w:color w:val="1F497D" w:themeColor="text2"/>
        </w:rPr>
      </w:pPr>
      <w:r>
        <w:t xml:space="preserve">Net </w:t>
      </w:r>
      <w:r w:rsidRPr="009D4894">
        <w:t xml:space="preserve">debt equals </w:t>
      </w:r>
      <w:r>
        <w:t xml:space="preserve">the </w:t>
      </w:r>
      <w:r w:rsidRPr="009D4894">
        <w:t>sum of deposits held, advances received, government securities, loans and other borrowing less the sum of cash and deposits, advances paid and investments, loans and placements. Net debt is $1.0</w:t>
      </w:r>
      <w:r>
        <w:t> billion</w:t>
      </w:r>
      <w:r w:rsidRPr="009D4894">
        <w:t xml:space="preserve"> (4.5</w:t>
      </w:r>
      <w:r>
        <w:t> per cent</w:t>
      </w:r>
      <w:r w:rsidRPr="009D4894">
        <w:t>) lower when compared to the original budget</w:t>
      </w:r>
      <w:r w:rsidRPr="009647F5">
        <w:t>. This is mainly due to the proceeds received from the sale of Rural Finance Corporation and re</w:t>
      </w:r>
      <w:r>
        <w:noBreakHyphen/>
      </w:r>
      <w:r w:rsidRPr="009647F5">
        <w:t>phasing of various road and rail project expenditure which reduced the underlying borrowing requirement for 2014</w:t>
      </w:r>
      <w:r>
        <w:noBreakHyphen/>
      </w:r>
      <w:r w:rsidRPr="009647F5">
        <w:t>15.</w:t>
      </w:r>
    </w:p>
    <w:p w:rsidR="00336793" w:rsidRPr="00E54909" w:rsidRDefault="00336793" w:rsidP="00DF0B96"/>
    <w:p w:rsidR="00336793" w:rsidRDefault="00336793" w:rsidP="00DF0B96"/>
    <w:p w:rsidR="00336793" w:rsidRDefault="00336793">
      <w:pPr>
        <w:spacing w:after="0"/>
        <w:rPr>
          <w:rFonts w:ascii="Calibri" w:hAnsi="Calibri"/>
          <w:b/>
        </w:rPr>
      </w:pPr>
      <w:r>
        <w:br w:type="page"/>
      </w:r>
    </w:p>
    <w:p w:rsidR="00336793" w:rsidRPr="006A75A2" w:rsidRDefault="00336793" w:rsidP="00DF0B96">
      <w:pPr>
        <w:pStyle w:val="Heading2NotesContd"/>
      </w:pPr>
      <w:r w:rsidRPr="006A75A2">
        <w:lastRenderedPageBreak/>
        <w:t>Note 32:</w:t>
      </w:r>
      <w:r w:rsidRPr="006A75A2">
        <w:tab/>
      </w:r>
      <w:r w:rsidRPr="005A211E">
        <w:t>Explanations</w:t>
      </w:r>
      <w:r w:rsidRPr="006A75A2">
        <w:t xml:space="preserve"> of material variances between budget and actual outcomes </w:t>
      </w:r>
      <w:r w:rsidRPr="006A75A2">
        <w:rPr>
          <w:i/>
        </w:rPr>
        <w:t>(continued)</w:t>
      </w:r>
    </w:p>
    <w:p w:rsidR="00336793" w:rsidRPr="006A75A2" w:rsidRDefault="00336793" w:rsidP="00DF0B96">
      <w:pPr>
        <w:pStyle w:val="Heading5"/>
      </w:pPr>
      <w:r w:rsidRPr="006A75A2">
        <w:t>(c)</w:t>
      </w:r>
      <w:r w:rsidRPr="006A75A2">
        <w:tab/>
        <w:t>Consolidated cash flow statement for the year ended 30 June</w:t>
      </w:r>
    </w:p>
    <w:p w:rsidR="00336793" w:rsidRPr="00AA79BB" w:rsidRDefault="00336793" w:rsidP="00DF0B96">
      <w:pPr>
        <w:pStyle w:val="million"/>
        <w:rPr>
          <w:rFonts w:ascii="Times New Roman" w:hAnsi="Times New Roman"/>
          <w:i w:val="0"/>
          <w:szCs w:val="20"/>
          <w:lang w:eastAsia="en-AU"/>
        </w:rPr>
      </w:pPr>
      <w:r w:rsidRPr="006A75A2">
        <w:t>($</w:t>
      </w: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3257"/>
        <w:gridCol w:w="1035"/>
        <w:gridCol w:w="1125"/>
        <w:gridCol w:w="945"/>
        <w:gridCol w:w="45"/>
        <w:gridCol w:w="450"/>
        <w:gridCol w:w="270"/>
        <w:gridCol w:w="270"/>
        <w:gridCol w:w="720"/>
        <w:gridCol w:w="810"/>
        <w:gridCol w:w="710"/>
      </w:tblGrid>
      <w:tr w:rsidR="00336793" w:rsidRPr="00E945F9" w:rsidTr="00DF0B96">
        <w:tc>
          <w:tcPr>
            <w:tcW w:w="3257" w:type="dxa"/>
            <w:tcBorders>
              <w:top w:val="single" w:sz="6" w:space="0" w:color="auto"/>
              <w:left w:val="single" w:sz="6" w:space="0" w:color="auto"/>
              <w:bottom w:val="nil"/>
              <w:right w:val="nil"/>
            </w:tcBorders>
            <w:shd w:val="clear" w:color="000000" w:fill="000000"/>
          </w:tcPr>
          <w:p w:rsidR="00336793" w:rsidRPr="00E945F9" w:rsidRDefault="00336793" w:rsidP="00DF0B96">
            <w:pPr>
              <w:pStyle w:val="Tabletext"/>
              <w:rPr>
                <w:rFonts w:eastAsiaTheme="minorEastAsia"/>
                <w:i/>
                <w:sz w:val="19"/>
                <w:szCs w:val="19"/>
                <w:lang w:eastAsia="en-AU"/>
              </w:rPr>
            </w:pPr>
            <w:r w:rsidRPr="00E945F9">
              <w:rPr>
                <w:rFonts w:eastAsiaTheme="minorEastAsia"/>
                <w:i/>
                <w:sz w:val="19"/>
                <w:szCs w:val="19"/>
                <w:lang w:eastAsia="en-AU"/>
              </w:rPr>
              <w:t xml:space="preserve"> </w:t>
            </w:r>
          </w:p>
        </w:tc>
        <w:tc>
          <w:tcPr>
            <w:tcW w:w="3150" w:type="dxa"/>
            <w:gridSpan w:val="4"/>
            <w:tcBorders>
              <w:top w:val="single" w:sz="6" w:space="0" w:color="auto"/>
              <w:left w:val="nil"/>
              <w:bottom w:val="nil"/>
              <w:right w:val="nil"/>
            </w:tcBorders>
            <w:shd w:val="clear" w:color="000000" w:fill="000000"/>
          </w:tcPr>
          <w:p w:rsidR="00336793" w:rsidRPr="00E945F9" w:rsidRDefault="00336793" w:rsidP="00DF0B96">
            <w:pPr>
              <w:pStyle w:val="Tabletextheading"/>
              <w:rPr>
                <w:rFonts w:eastAsiaTheme="minorEastAsia"/>
                <w:color w:val="FFFFFF"/>
                <w:sz w:val="19"/>
                <w:szCs w:val="19"/>
                <w:lang w:eastAsia="en-AU"/>
              </w:rPr>
            </w:pPr>
            <w:r w:rsidRPr="00E945F9">
              <w:rPr>
                <w:rFonts w:eastAsiaTheme="minorEastAsia"/>
                <w:color w:val="FFFFFF"/>
                <w:sz w:val="19"/>
                <w:szCs w:val="19"/>
                <w:lang w:eastAsia="en-AU"/>
              </w:rPr>
              <w:t>General government sector</w:t>
            </w:r>
          </w:p>
        </w:tc>
        <w:tc>
          <w:tcPr>
            <w:tcW w:w="450" w:type="dxa"/>
            <w:tcBorders>
              <w:top w:val="single" w:sz="6" w:space="0" w:color="auto"/>
              <w:left w:val="nil"/>
              <w:bottom w:val="nil"/>
              <w:right w:val="nil"/>
            </w:tcBorders>
            <w:shd w:val="clear" w:color="000000" w:fill="000000"/>
          </w:tcPr>
          <w:p w:rsidR="00336793" w:rsidRPr="00E945F9" w:rsidRDefault="00336793" w:rsidP="00DF0B96">
            <w:pPr>
              <w:pStyle w:val="Tabletextheading"/>
              <w:rPr>
                <w:rFonts w:eastAsiaTheme="minorEastAsia"/>
                <w:color w:val="FFFFFF"/>
                <w:sz w:val="19"/>
                <w:szCs w:val="19"/>
                <w:lang w:eastAsia="en-AU"/>
              </w:rPr>
            </w:pPr>
            <w:r w:rsidRPr="00E945F9">
              <w:rPr>
                <w:rFonts w:eastAsiaTheme="minorEastAsia"/>
                <w:color w:val="FFFFFF"/>
                <w:sz w:val="19"/>
                <w:szCs w:val="19"/>
                <w:lang w:eastAsia="en-AU"/>
              </w:rPr>
              <w:t xml:space="preserve"> </w:t>
            </w:r>
          </w:p>
        </w:tc>
        <w:tc>
          <w:tcPr>
            <w:tcW w:w="270" w:type="dxa"/>
            <w:tcBorders>
              <w:top w:val="single" w:sz="6" w:space="0" w:color="auto"/>
              <w:left w:val="nil"/>
              <w:bottom w:val="nil"/>
              <w:right w:val="nil"/>
            </w:tcBorders>
            <w:shd w:val="clear" w:color="000000" w:fill="000000"/>
          </w:tcPr>
          <w:p w:rsidR="00336793" w:rsidRPr="00E945F9" w:rsidRDefault="00336793" w:rsidP="00DF0B96">
            <w:pPr>
              <w:pStyle w:val="Tabletextheading"/>
              <w:rPr>
                <w:rFonts w:eastAsiaTheme="minorEastAsia"/>
                <w:color w:val="FFFFFF"/>
                <w:sz w:val="19"/>
                <w:szCs w:val="19"/>
                <w:lang w:eastAsia="en-AU"/>
              </w:rPr>
            </w:pPr>
            <w:r w:rsidRPr="00E945F9">
              <w:rPr>
                <w:rFonts w:eastAsiaTheme="minorEastAsia"/>
                <w:color w:val="FFFFFF"/>
                <w:sz w:val="19"/>
                <w:szCs w:val="19"/>
                <w:lang w:eastAsia="en-AU"/>
              </w:rPr>
              <w:t xml:space="preserve"> </w:t>
            </w:r>
          </w:p>
        </w:tc>
        <w:tc>
          <w:tcPr>
            <w:tcW w:w="270" w:type="dxa"/>
            <w:tcBorders>
              <w:top w:val="single" w:sz="6" w:space="0" w:color="auto"/>
              <w:left w:val="nil"/>
              <w:bottom w:val="nil"/>
              <w:right w:val="nil"/>
            </w:tcBorders>
            <w:shd w:val="clear" w:color="000000" w:fill="000000"/>
          </w:tcPr>
          <w:p w:rsidR="00336793" w:rsidRPr="00E945F9" w:rsidRDefault="00336793" w:rsidP="00DF0B96">
            <w:pPr>
              <w:pStyle w:val="Tabletextheading"/>
              <w:rPr>
                <w:rFonts w:eastAsiaTheme="minorEastAsia"/>
                <w:color w:val="FFFFFF"/>
                <w:sz w:val="19"/>
                <w:szCs w:val="19"/>
                <w:lang w:eastAsia="en-AU"/>
              </w:rPr>
            </w:pPr>
            <w:r w:rsidRPr="00E945F9">
              <w:rPr>
                <w:rFonts w:eastAsiaTheme="minorEastAsia"/>
                <w:color w:val="FFFFFF"/>
                <w:sz w:val="19"/>
                <w:szCs w:val="19"/>
                <w:lang w:eastAsia="en-AU"/>
              </w:rPr>
              <w:t xml:space="preserve"> </w:t>
            </w:r>
          </w:p>
        </w:tc>
        <w:tc>
          <w:tcPr>
            <w:tcW w:w="720" w:type="dxa"/>
            <w:tcBorders>
              <w:top w:val="single" w:sz="6" w:space="0" w:color="auto"/>
              <w:left w:val="nil"/>
              <w:bottom w:val="nil"/>
              <w:right w:val="nil"/>
            </w:tcBorders>
            <w:shd w:val="clear" w:color="000000" w:fill="000000"/>
          </w:tcPr>
          <w:p w:rsidR="00336793" w:rsidRPr="00E945F9" w:rsidRDefault="00336793" w:rsidP="00DF0B96">
            <w:pPr>
              <w:pStyle w:val="Tabletextheading"/>
              <w:rPr>
                <w:rFonts w:eastAsiaTheme="minorEastAsia"/>
                <w:color w:val="FFFFFF"/>
                <w:sz w:val="19"/>
                <w:szCs w:val="19"/>
                <w:lang w:eastAsia="en-AU"/>
              </w:rPr>
            </w:pPr>
            <w:r w:rsidRPr="00E945F9">
              <w:rPr>
                <w:rFonts w:eastAsiaTheme="minorEastAsia"/>
                <w:color w:val="FFFFFF"/>
                <w:sz w:val="19"/>
                <w:szCs w:val="19"/>
                <w:lang w:eastAsia="en-AU"/>
              </w:rPr>
              <w:t xml:space="preserve"> </w:t>
            </w:r>
          </w:p>
        </w:tc>
        <w:tc>
          <w:tcPr>
            <w:tcW w:w="810" w:type="dxa"/>
            <w:tcBorders>
              <w:top w:val="single" w:sz="6" w:space="0" w:color="auto"/>
              <w:left w:val="nil"/>
              <w:bottom w:val="nil"/>
              <w:right w:val="nil"/>
            </w:tcBorders>
            <w:shd w:val="clear" w:color="000000" w:fill="000000"/>
          </w:tcPr>
          <w:p w:rsidR="00336793" w:rsidRPr="00E945F9" w:rsidRDefault="00336793" w:rsidP="00DF0B96">
            <w:pPr>
              <w:pStyle w:val="Tabletextheading"/>
              <w:rPr>
                <w:rFonts w:eastAsiaTheme="minorEastAsia"/>
                <w:color w:val="FFFFFF"/>
                <w:sz w:val="19"/>
                <w:szCs w:val="19"/>
                <w:lang w:eastAsia="en-AU"/>
              </w:rPr>
            </w:pPr>
            <w:r w:rsidRPr="00E945F9">
              <w:rPr>
                <w:rFonts w:eastAsiaTheme="minorEastAsia"/>
                <w:color w:val="FFFFFF"/>
                <w:sz w:val="19"/>
                <w:szCs w:val="19"/>
                <w:lang w:eastAsia="en-AU"/>
              </w:rPr>
              <w:t xml:space="preserve"> </w:t>
            </w:r>
          </w:p>
        </w:tc>
        <w:tc>
          <w:tcPr>
            <w:tcW w:w="710" w:type="dxa"/>
            <w:tcBorders>
              <w:top w:val="single" w:sz="6" w:space="0" w:color="auto"/>
              <w:left w:val="nil"/>
              <w:bottom w:val="nil"/>
              <w:right w:val="single" w:sz="6" w:space="0" w:color="auto"/>
            </w:tcBorders>
            <w:shd w:val="clear" w:color="000000" w:fill="000000"/>
          </w:tcPr>
          <w:p w:rsidR="00336793" w:rsidRPr="00E945F9" w:rsidRDefault="00336793" w:rsidP="00DF0B96">
            <w:pPr>
              <w:pStyle w:val="Tabletextheading"/>
              <w:rPr>
                <w:rFonts w:eastAsiaTheme="minorEastAsia"/>
                <w:color w:val="FFFFFF"/>
                <w:sz w:val="19"/>
                <w:szCs w:val="19"/>
                <w:lang w:eastAsia="en-AU"/>
              </w:rPr>
            </w:pPr>
            <w:r w:rsidRPr="00E945F9">
              <w:rPr>
                <w:rFonts w:eastAsiaTheme="minorEastAsia"/>
                <w:color w:val="FFFFFF"/>
                <w:sz w:val="19"/>
                <w:szCs w:val="19"/>
                <w:lang w:eastAsia="en-AU"/>
              </w:rPr>
              <w:t xml:space="preserve"> </w:t>
            </w:r>
          </w:p>
        </w:tc>
      </w:tr>
      <w:tr w:rsidR="00336793" w:rsidRPr="00E945F9" w:rsidTr="002B10CD">
        <w:tc>
          <w:tcPr>
            <w:tcW w:w="3257" w:type="dxa"/>
            <w:tcBorders>
              <w:left w:val="single" w:sz="6" w:space="0" w:color="auto"/>
              <w:bottom w:val="single" w:sz="6" w:space="0" w:color="auto"/>
              <w:right w:val="nil"/>
            </w:tcBorders>
            <w:shd w:val="clear" w:color="000000" w:fill="000000"/>
          </w:tcPr>
          <w:p w:rsidR="00336793" w:rsidRPr="00E945F9" w:rsidRDefault="00336793" w:rsidP="00DF0B96">
            <w:pPr>
              <w:pStyle w:val="Tabletext"/>
              <w:rPr>
                <w:rFonts w:eastAsiaTheme="minorEastAsia"/>
                <w:i/>
                <w:sz w:val="19"/>
                <w:szCs w:val="19"/>
                <w:lang w:eastAsia="en-AU"/>
              </w:rPr>
            </w:pPr>
            <w:r w:rsidRPr="00E945F9">
              <w:rPr>
                <w:rFonts w:eastAsiaTheme="minorEastAsia"/>
                <w:i/>
                <w:sz w:val="19"/>
                <w:szCs w:val="19"/>
                <w:lang w:eastAsia="en-AU"/>
              </w:rPr>
              <w:t xml:space="preserve"> </w:t>
            </w:r>
          </w:p>
        </w:tc>
        <w:tc>
          <w:tcPr>
            <w:tcW w:w="1035" w:type="dxa"/>
            <w:tcBorders>
              <w:left w:val="nil"/>
              <w:bottom w:val="single" w:sz="6" w:space="0" w:color="auto"/>
              <w:right w:val="nil"/>
            </w:tcBorders>
            <w:shd w:val="clear" w:color="000000" w:fill="000000"/>
            <w:vAlign w:val="bottom"/>
          </w:tcPr>
          <w:p w:rsidR="00336793" w:rsidRPr="00E945F9" w:rsidRDefault="00336793" w:rsidP="002B10CD">
            <w:pPr>
              <w:pStyle w:val="Tabletextheading"/>
              <w:rPr>
                <w:rFonts w:eastAsiaTheme="minorEastAsia"/>
                <w:color w:val="FFFFFF"/>
                <w:sz w:val="19"/>
                <w:szCs w:val="19"/>
                <w:lang w:eastAsia="en-AU"/>
              </w:rPr>
            </w:pPr>
            <w:r w:rsidRPr="00E945F9">
              <w:rPr>
                <w:rFonts w:eastAsiaTheme="minorEastAsia"/>
                <w:color w:val="FFFFFF"/>
                <w:sz w:val="19"/>
                <w:szCs w:val="19"/>
                <w:lang w:eastAsia="en-AU"/>
              </w:rPr>
              <w:t>Original budget</w:t>
            </w:r>
          </w:p>
        </w:tc>
        <w:tc>
          <w:tcPr>
            <w:tcW w:w="1125" w:type="dxa"/>
            <w:tcBorders>
              <w:left w:val="nil"/>
              <w:bottom w:val="single" w:sz="6" w:space="0" w:color="auto"/>
              <w:right w:val="nil"/>
            </w:tcBorders>
            <w:shd w:val="clear" w:color="000000" w:fill="000000"/>
            <w:vAlign w:val="bottom"/>
          </w:tcPr>
          <w:p w:rsidR="00336793" w:rsidRPr="00E945F9" w:rsidRDefault="00336793" w:rsidP="002B10CD">
            <w:pPr>
              <w:pStyle w:val="Tabletextheading"/>
              <w:rPr>
                <w:rFonts w:eastAsiaTheme="minorEastAsia"/>
                <w:color w:val="FFFFFF"/>
                <w:sz w:val="19"/>
                <w:szCs w:val="19"/>
                <w:lang w:eastAsia="en-AU"/>
              </w:rPr>
            </w:pPr>
            <w:r w:rsidRPr="00E945F9">
              <w:rPr>
                <w:rFonts w:eastAsiaTheme="minorEastAsia"/>
                <w:color w:val="FFFFFF"/>
                <w:sz w:val="19"/>
                <w:szCs w:val="19"/>
                <w:lang w:eastAsia="en-AU"/>
              </w:rPr>
              <w:t>Revised budget</w:t>
            </w:r>
          </w:p>
        </w:tc>
        <w:tc>
          <w:tcPr>
            <w:tcW w:w="945" w:type="dxa"/>
            <w:tcBorders>
              <w:left w:val="nil"/>
              <w:bottom w:val="single" w:sz="6" w:space="0" w:color="auto"/>
              <w:right w:val="nil"/>
            </w:tcBorders>
            <w:shd w:val="clear" w:color="000000" w:fill="000000"/>
            <w:vAlign w:val="bottom"/>
          </w:tcPr>
          <w:p w:rsidR="00336793" w:rsidRPr="00E945F9" w:rsidRDefault="00336793" w:rsidP="002B10CD">
            <w:pPr>
              <w:pStyle w:val="Tabletextheading"/>
              <w:rPr>
                <w:rFonts w:eastAsiaTheme="minorEastAsia"/>
                <w:color w:val="FFFFFF"/>
                <w:sz w:val="19"/>
                <w:szCs w:val="19"/>
                <w:lang w:eastAsia="en-AU"/>
              </w:rPr>
            </w:pPr>
            <w:r w:rsidRPr="00E945F9">
              <w:rPr>
                <w:rFonts w:eastAsiaTheme="minorEastAsia"/>
                <w:color w:val="FFFFFF"/>
                <w:sz w:val="19"/>
                <w:szCs w:val="19"/>
                <w:lang w:eastAsia="en-AU"/>
              </w:rPr>
              <w:t>2015 actual</w:t>
            </w:r>
          </w:p>
        </w:tc>
        <w:tc>
          <w:tcPr>
            <w:tcW w:w="1035" w:type="dxa"/>
            <w:gridSpan w:val="4"/>
            <w:tcBorders>
              <w:left w:val="nil"/>
              <w:bottom w:val="single" w:sz="6" w:space="0" w:color="auto"/>
              <w:right w:val="nil"/>
            </w:tcBorders>
            <w:shd w:val="clear" w:color="000000" w:fill="000000"/>
            <w:vAlign w:val="bottom"/>
          </w:tcPr>
          <w:p w:rsidR="00336793" w:rsidRPr="00E945F9" w:rsidRDefault="00336793" w:rsidP="002B10CD">
            <w:pPr>
              <w:pStyle w:val="Tabletextheading"/>
              <w:rPr>
                <w:rFonts w:eastAsiaTheme="minorEastAsia"/>
                <w:color w:val="FFFFFF"/>
                <w:sz w:val="19"/>
                <w:szCs w:val="19"/>
                <w:lang w:eastAsia="en-AU"/>
              </w:rPr>
            </w:pPr>
            <w:r w:rsidRPr="00E945F9">
              <w:rPr>
                <w:rFonts w:eastAsiaTheme="minorEastAsia"/>
                <w:color w:val="FFFFFF"/>
                <w:sz w:val="19"/>
                <w:szCs w:val="19"/>
                <w:lang w:eastAsia="en-AU"/>
              </w:rPr>
              <w:t>Budget variance</w:t>
            </w:r>
          </w:p>
        </w:tc>
        <w:tc>
          <w:tcPr>
            <w:tcW w:w="720" w:type="dxa"/>
            <w:tcBorders>
              <w:left w:val="nil"/>
              <w:bottom w:val="single" w:sz="6" w:space="0" w:color="auto"/>
              <w:right w:val="nil"/>
            </w:tcBorders>
            <w:shd w:val="clear" w:color="000000" w:fill="000000"/>
            <w:vAlign w:val="bottom"/>
          </w:tcPr>
          <w:p w:rsidR="00336793" w:rsidRPr="00E945F9" w:rsidRDefault="00336793" w:rsidP="002B10CD">
            <w:pPr>
              <w:pStyle w:val="Tabletextheading"/>
              <w:rPr>
                <w:rFonts w:eastAsiaTheme="minorEastAsia"/>
                <w:color w:val="FFFFFF"/>
                <w:sz w:val="19"/>
                <w:szCs w:val="19"/>
                <w:lang w:eastAsia="en-AU"/>
              </w:rPr>
            </w:pPr>
            <w:r w:rsidRPr="00E945F9">
              <w:rPr>
                <w:rFonts w:eastAsiaTheme="minorEastAsia"/>
                <w:color w:val="FFFFFF"/>
                <w:sz w:val="19"/>
                <w:szCs w:val="19"/>
                <w:lang w:eastAsia="en-AU"/>
              </w:rPr>
              <w:t>%</w:t>
            </w:r>
          </w:p>
        </w:tc>
        <w:tc>
          <w:tcPr>
            <w:tcW w:w="810" w:type="dxa"/>
            <w:tcBorders>
              <w:left w:val="nil"/>
              <w:bottom w:val="single" w:sz="6" w:space="0" w:color="auto"/>
              <w:right w:val="nil"/>
            </w:tcBorders>
            <w:shd w:val="clear" w:color="000000" w:fill="000000"/>
            <w:vAlign w:val="bottom"/>
          </w:tcPr>
          <w:p w:rsidR="00336793" w:rsidRPr="00E945F9" w:rsidRDefault="00336793" w:rsidP="002B10CD">
            <w:pPr>
              <w:pStyle w:val="Tabletextheading"/>
              <w:rPr>
                <w:rFonts w:eastAsiaTheme="minorEastAsia"/>
                <w:color w:val="FFFFFF"/>
                <w:sz w:val="19"/>
                <w:szCs w:val="19"/>
                <w:lang w:eastAsia="en-AU"/>
              </w:rPr>
            </w:pPr>
            <w:r w:rsidRPr="00E945F9">
              <w:rPr>
                <w:rFonts w:eastAsiaTheme="minorEastAsia"/>
                <w:color w:val="FFFFFF"/>
                <w:sz w:val="19"/>
                <w:szCs w:val="19"/>
                <w:lang w:eastAsia="en-AU"/>
              </w:rPr>
              <w:t>Revised budget variance</w:t>
            </w:r>
          </w:p>
        </w:tc>
        <w:tc>
          <w:tcPr>
            <w:tcW w:w="710" w:type="dxa"/>
            <w:tcBorders>
              <w:left w:val="nil"/>
              <w:bottom w:val="single" w:sz="6" w:space="0" w:color="auto"/>
              <w:right w:val="single" w:sz="6" w:space="0" w:color="auto"/>
            </w:tcBorders>
            <w:shd w:val="clear" w:color="000000" w:fill="000000"/>
            <w:vAlign w:val="bottom"/>
          </w:tcPr>
          <w:p w:rsidR="00336793" w:rsidRPr="00E945F9" w:rsidRDefault="00336793" w:rsidP="002B10CD">
            <w:pPr>
              <w:pStyle w:val="Tabletextheading"/>
              <w:rPr>
                <w:rFonts w:eastAsiaTheme="minorEastAsia"/>
                <w:color w:val="FFFFFF"/>
                <w:sz w:val="19"/>
                <w:szCs w:val="19"/>
                <w:lang w:eastAsia="en-AU"/>
              </w:rPr>
            </w:pPr>
            <w:r w:rsidRPr="00E945F9">
              <w:rPr>
                <w:rFonts w:eastAsiaTheme="minorEastAsia"/>
                <w:color w:val="FFFFFF"/>
                <w:sz w:val="19"/>
                <w:szCs w:val="19"/>
                <w:lang w:eastAsia="en-AU"/>
              </w:rPr>
              <w:t>%</w:t>
            </w:r>
          </w:p>
        </w:tc>
      </w:tr>
      <w:tr w:rsidR="00336793" w:rsidRPr="00E945F9" w:rsidTr="00DF0B96">
        <w:tc>
          <w:tcPr>
            <w:tcW w:w="3257" w:type="dxa"/>
            <w:tcBorders>
              <w:top w:val="single" w:sz="6" w:space="0" w:color="auto"/>
              <w:left w:val="nil"/>
              <w:bottom w:val="nil"/>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Cash flows from operating activities</w:t>
            </w:r>
          </w:p>
        </w:tc>
        <w:tc>
          <w:tcPr>
            <w:tcW w:w="1035" w:type="dxa"/>
            <w:tcBorders>
              <w:top w:val="single" w:sz="6" w:space="0" w:color="auto"/>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1125" w:type="dxa"/>
            <w:tcBorders>
              <w:top w:val="single" w:sz="6" w:space="0" w:color="auto"/>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945" w:type="dxa"/>
            <w:tcBorders>
              <w:top w:val="single" w:sz="6" w:space="0" w:color="auto"/>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1035" w:type="dxa"/>
            <w:gridSpan w:val="4"/>
            <w:tcBorders>
              <w:top w:val="single" w:sz="6" w:space="0" w:color="auto"/>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720" w:type="dxa"/>
            <w:tcBorders>
              <w:top w:val="single" w:sz="6" w:space="0" w:color="auto"/>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810" w:type="dxa"/>
            <w:tcBorders>
              <w:top w:val="single" w:sz="6" w:space="0" w:color="auto"/>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710" w:type="dxa"/>
            <w:tcBorders>
              <w:top w:val="single" w:sz="6" w:space="0" w:color="auto"/>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Receipts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Taxes received</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18 043.9</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18 459.4</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18 415.8</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371.8</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2.1</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43.6</w:t>
            </w:r>
            <w:r w:rsidRPr="00E945F9">
              <w:rPr>
                <w:rFonts w:eastAsiaTheme="minorEastAsia" w:cs="Calibri"/>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0.2</w:t>
            </w:r>
            <w:r w:rsidRPr="00E945F9">
              <w:rPr>
                <w:rFonts w:eastAsiaTheme="minorEastAsia" w:cs="Calibri"/>
                <w:color w:val="000000"/>
                <w:sz w:val="19"/>
                <w:szCs w:val="22"/>
                <w:lang w:eastAsia="en-AU"/>
              </w:rPr>
              <w:t>)</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Grants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24 848.0</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24 546.2</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24 499.1</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348.9</w:t>
            </w:r>
            <w:r w:rsidRPr="00E945F9">
              <w:rPr>
                <w:rFonts w:eastAsiaTheme="minorEastAsia" w:cs="Calibri"/>
                <w:color w:val="000000"/>
                <w:sz w:val="19"/>
                <w:szCs w:val="22"/>
                <w:lang w:eastAsia="en-AU"/>
              </w:rPr>
              <w:t>)</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1.4</w:t>
            </w:r>
            <w:r w:rsidRPr="00E945F9">
              <w:rPr>
                <w:rFonts w:eastAsiaTheme="minorEastAsia" w:cs="Calibri"/>
                <w:color w:val="000000"/>
                <w:sz w:val="19"/>
                <w:szCs w:val="22"/>
                <w:lang w:eastAsia="en-AU"/>
              </w:rPr>
              <w:t>)</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47.1</w:t>
            </w:r>
            <w:r w:rsidRPr="00E945F9">
              <w:rPr>
                <w:rFonts w:eastAsiaTheme="minorEastAsia" w:cs="Calibri"/>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0.2</w:t>
            </w:r>
            <w:r w:rsidRPr="00E945F9">
              <w:rPr>
                <w:rFonts w:eastAsiaTheme="minorEastAsia" w:cs="Calibri"/>
                <w:color w:val="000000"/>
                <w:sz w:val="19"/>
                <w:szCs w:val="22"/>
                <w:lang w:eastAsia="en-AU"/>
              </w:rPr>
              <w:t>)</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Sales of goods and services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7 094.1</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7 183.9</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7 001.8</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92.3</w:t>
            </w:r>
            <w:r w:rsidRPr="00E945F9">
              <w:rPr>
                <w:rFonts w:eastAsiaTheme="minorEastAsia" w:cs="Calibri"/>
                <w:color w:val="000000"/>
                <w:sz w:val="19"/>
                <w:szCs w:val="22"/>
                <w:lang w:eastAsia="en-AU"/>
              </w:rPr>
              <w:t>)</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1.3</w:t>
            </w:r>
            <w:r w:rsidRPr="00E945F9">
              <w:rPr>
                <w:rFonts w:eastAsiaTheme="minorEastAsia" w:cs="Calibri"/>
                <w:color w:val="000000"/>
                <w:sz w:val="19"/>
                <w:szCs w:val="22"/>
                <w:lang w:eastAsia="en-AU"/>
              </w:rPr>
              <w:t>)</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182.1</w:t>
            </w:r>
            <w:r w:rsidRPr="00E945F9">
              <w:rPr>
                <w:rFonts w:eastAsiaTheme="minorEastAsia" w:cs="Calibri"/>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2.5</w:t>
            </w:r>
            <w:r w:rsidRPr="00E945F9">
              <w:rPr>
                <w:rFonts w:eastAsiaTheme="minorEastAsia" w:cs="Calibri"/>
                <w:color w:val="000000"/>
                <w:sz w:val="19"/>
                <w:szCs w:val="22"/>
                <w:lang w:eastAsia="en-AU"/>
              </w:rPr>
              <w:t>)</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Interest received</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821.7</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804.0</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812.3</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9.4</w:t>
            </w:r>
            <w:r w:rsidRPr="00E945F9">
              <w:rPr>
                <w:rFonts w:eastAsiaTheme="minorEastAsia" w:cs="Calibri"/>
                <w:color w:val="000000"/>
                <w:sz w:val="19"/>
                <w:szCs w:val="22"/>
                <w:lang w:eastAsia="en-AU"/>
              </w:rPr>
              <w:t>)</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1.1</w:t>
            </w:r>
            <w:r w:rsidRPr="00E945F9">
              <w:rPr>
                <w:rFonts w:eastAsiaTheme="minorEastAsia" w:cs="Calibri"/>
                <w:color w:val="000000"/>
                <w:sz w:val="19"/>
                <w:szCs w:val="22"/>
                <w:lang w:eastAsia="en-AU"/>
              </w:rPr>
              <w:t>)</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8.2</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1.0</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Dividends and income tax equivalent and rate equivalent receipts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581.1</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1 070.5</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1 014.8</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433.7</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74.6</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55.7</w:t>
            </w:r>
            <w:r w:rsidRPr="00E945F9">
              <w:rPr>
                <w:rFonts w:eastAsiaTheme="minorEastAsia" w:cs="Calibri"/>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5.2</w:t>
            </w:r>
            <w:r w:rsidRPr="00E945F9">
              <w:rPr>
                <w:rFonts w:eastAsiaTheme="minorEastAsia" w:cs="Calibri"/>
                <w:color w:val="000000"/>
                <w:sz w:val="19"/>
                <w:szCs w:val="22"/>
                <w:lang w:eastAsia="en-AU"/>
              </w:rPr>
              <w:t>)</w:t>
            </w:r>
          </w:p>
        </w:tc>
      </w:tr>
      <w:tr w:rsidR="00336793" w:rsidRPr="00E945F9" w:rsidTr="00DF0B96">
        <w:tc>
          <w:tcPr>
            <w:tcW w:w="3257" w:type="dxa"/>
            <w:tcBorders>
              <w:top w:val="nil"/>
              <w:left w:val="nil"/>
              <w:bottom w:val="single" w:sz="6" w:space="0" w:color="000000"/>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Other receipts</w:t>
            </w:r>
          </w:p>
        </w:tc>
        <w:tc>
          <w:tcPr>
            <w:tcW w:w="103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1 796.6</w:t>
            </w:r>
          </w:p>
        </w:tc>
        <w:tc>
          <w:tcPr>
            <w:tcW w:w="112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2 051.2</w:t>
            </w:r>
          </w:p>
        </w:tc>
        <w:tc>
          <w:tcPr>
            <w:tcW w:w="94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1 983.7</w:t>
            </w:r>
          </w:p>
        </w:tc>
        <w:tc>
          <w:tcPr>
            <w:tcW w:w="1035" w:type="dxa"/>
            <w:gridSpan w:val="4"/>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187.1</w:t>
            </w:r>
          </w:p>
        </w:tc>
        <w:tc>
          <w:tcPr>
            <w:tcW w:w="72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10.4</w:t>
            </w:r>
          </w:p>
        </w:tc>
        <w:tc>
          <w:tcPr>
            <w:tcW w:w="81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67.4</w:t>
            </w:r>
            <w:r w:rsidRPr="00E945F9">
              <w:rPr>
                <w:rFonts w:eastAsiaTheme="minorEastAsia" w:cs="Calibri"/>
                <w:color w:val="000000"/>
                <w:sz w:val="19"/>
                <w:szCs w:val="22"/>
                <w:lang w:eastAsia="en-AU"/>
              </w:rPr>
              <w:t>)</w:t>
            </w:r>
          </w:p>
        </w:tc>
        <w:tc>
          <w:tcPr>
            <w:tcW w:w="71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3.3</w:t>
            </w:r>
            <w:r w:rsidRPr="00E945F9">
              <w:rPr>
                <w:rFonts w:eastAsiaTheme="minorEastAsia" w:cs="Calibri"/>
                <w:color w:val="000000"/>
                <w:sz w:val="19"/>
                <w:szCs w:val="22"/>
                <w:lang w:eastAsia="en-AU"/>
              </w:rPr>
              <w:t>)</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Total receipts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53 185.4</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54 115.2</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53 727.5</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542.1</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1.0</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387.7</w:t>
            </w:r>
            <w:r w:rsidRPr="00E945F9">
              <w:rPr>
                <w:rFonts w:eastAsiaTheme="minorEastAsia" w:cs="Calibri"/>
                <w:b/>
                <w:bCs/>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0.7</w:t>
            </w:r>
            <w:r w:rsidRPr="00E945F9">
              <w:rPr>
                <w:rFonts w:eastAsiaTheme="minorEastAsia" w:cs="Calibri"/>
                <w:b/>
                <w:bCs/>
                <w:color w:val="000000"/>
                <w:sz w:val="19"/>
                <w:szCs w:val="22"/>
                <w:lang w:eastAsia="en-AU"/>
              </w:rPr>
              <w:t>)</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Payments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Payments for employees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(18 212.0)</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(18 261.7)</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(18 619.4)</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407.4</w:t>
            </w:r>
            <w:r w:rsidRPr="00E945F9">
              <w:rPr>
                <w:rFonts w:eastAsiaTheme="minorEastAsia" w:cs="Calibri"/>
                <w:color w:val="000000"/>
                <w:sz w:val="19"/>
                <w:szCs w:val="22"/>
                <w:lang w:eastAsia="en-AU"/>
              </w:rPr>
              <w:t>)</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2.2</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357.7</w:t>
            </w:r>
            <w:r w:rsidRPr="00E945F9">
              <w:rPr>
                <w:rFonts w:eastAsiaTheme="minorEastAsia" w:cs="Calibri"/>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2.0</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Superannuation</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(2 691.2)</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(2 681.8)</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(2 771.1)</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79.9</w:t>
            </w:r>
            <w:r w:rsidRPr="00E945F9">
              <w:rPr>
                <w:rFonts w:eastAsiaTheme="minorEastAsia" w:cs="Calibri"/>
                <w:color w:val="000000"/>
                <w:sz w:val="19"/>
                <w:szCs w:val="22"/>
                <w:lang w:eastAsia="en-AU"/>
              </w:rPr>
              <w:t>)</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3.0</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89.3</w:t>
            </w:r>
            <w:r w:rsidRPr="00E945F9">
              <w:rPr>
                <w:rFonts w:eastAsiaTheme="minorEastAsia" w:cs="Calibri"/>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3.3</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Interest paid</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(2 155.3)</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(2 062.3)</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(2 062.2)</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93.1</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4.3</w:t>
            </w:r>
            <w:r w:rsidRPr="00E945F9">
              <w:rPr>
                <w:rFonts w:eastAsiaTheme="minorEastAsia" w:cs="Calibri"/>
                <w:color w:val="000000"/>
                <w:sz w:val="19"/>
                <w:szCs w:val="22"/>
                <w:lang w:eastAsia="en-AU"/>
              </w:rPr>
              <w:t>)</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0.1</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Pr>
                <w:rFonts w:eastAsiaTheme="minorEastAsia"/>
                <w:sz w:val="19"/>
                <w:szCs w:val="19"/>
                <w:lang w:eastAsia="en-AU"/>
              </w:rPr>
              <w:t>..</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Grants and subsidies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(8 331.7)</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(8 233.9)</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(8 563.8)</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232.0</w:t>
            </w:r>
            <w:r w:rsidRPr="00E945F9">
              <w:rPr>
                <w:rFonts w:eastAsiaTheme="minorEastAsia" w:cs="Calibri"/>
                <w:color w:val="000000"/>
                <w:sz w:val="19"/>
                <w:szCs w:val="22"/>
                <w:lang w:eastAsia="en-AU"/>
              </w:rPr>
              <w:t>)</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2.8</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329.9</w:t>
            </w:r>
            <w:r w:rsidRPr="00E945F9">
              <w:rPr>
                <w:rFonts w:eastAsiaTheme="minorEastAsia" w:cs="Calibri"/>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4.0</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Goods and services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(17 285.6)</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(17 909.0)</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(16 834.8)</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450.8</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2.6</w:t>
            </w:r>
            <w:r w:rsidRPr="00E945F9">
              <w:rPr>
                <w:rFonts w:eastAsiaTheme="minorEastAsia" w:cs="Calibri"/>
                <w:color w:val="000000"/>
                <w:sz w:val="19"/>
                <w:szCs w:val="22"/>
                <w:lang w:eastAsia="en-AU"/>
              </w:rPr>
              <w:t>)</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1 074.1</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6.0</w:t>
            </w:r>
            <w:r w:rsidRPr="00E945F9">
              <w:rPr>
                <w:rFonts w:eastAsiaTheme="minorEastAsia" w:cs="Calibri"/>
                <w:color w:val="000000"/>
                <w:sz w:val="19"/>
                <w:szCs w:val="22"/>
                <w:lang w:eastAsia="en-AU"/>
              </w:rPr>
              <w:t>)</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Other payments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670.1</w:t>
            </w:r>
            <w:r w:rsidRPr="00E945F9">
              <w:rPr>
                <w:rFonts w:eastAsiaTheme="minorEastAsia" w:cs="Calibri"/>
                <w:color w:val="000000"/>
                <w:sz w:val="19"/>
                <w:szCs w:val="22"/>
                <w:lang w:eastAsia="en-AU"/>
              </w:rPr>
              <w:t>)</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614.6</w:t>
            </w:r>
            <w:r w:rsidRPr="00E945F9">
              <w:rPr>
                <w:rFonts w:eastAsiaTheme="minorEastAsia" w:cs="Calibri"/>
                <w:color w:val="000000"/>
                <w:sz w:val="19"/>
                <w:szCs w:val="22"/>
                <w:lang w:eastAsia="en-AU"/>
              </w:rPr>
              <w:t>)</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(1</w:t>
            </w:r>
            <w:r w:rsidRPr="00E945F9">
              <w:rPr>
                <w:rFonts w:eastAsiaTheme="minorEastAsia" w:cs="Calibri"/>
                <w:color w:val="000000"/>
                <w:sz w:val="19"/>
                <w:szCs w:val="19"/>
                <w:lang w:eastAsia="en-AU"/>
              </w:rPr>
              <w:t xml:space="preserve"> </w:t>
            </w:r>
            <w:r w:rsidRPr="00E945F9">
              <w:rPr>
                <w:rFonts w:eastAsiaTheme="minorEastAsia" w:cs="Calibri"/>
                <w:color w:val="000000"/>
                <w:sz w:val="19"/>
                <w:szCs w:val="22"/>
                <w:lang w:eastAsia="en-AU"/>
              </w:rPr>
              <w:t>057.1)</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387.0</w:t>
            </w:r>
            <w:r w:rsidRPr="00E945F9">
              <w:rPr>
                <w:rFonts w:eastAsiaTheme="minorEastAsia" w:cs="Calibri"/>
                <w:color w:val="000000"/>
                <w:sz w:val="19"/>
                <w:szCs w:val="22"/>
                <w:lang w:eastAsia="en-AU"/>
              </w:rPr>
              <w:t>)</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57.8</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442.6</w:t>
            </w:r>
            <w:r w:rsidRPr="00E945F9">
              <w:rPr>
                <w:rFonts w:eastAsiaTheme="minorEastAsia" w:cs="Calibri"/>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72.0</w:t>
            </w:r>
          </w:p>
        </w:tc>
      </w:tr>
      <w:tr w:rsidR="00336793" w:rsidRPr="00E945F9" w:rsidTr="00DF0B96">
        <w:tc>
          <w:tcPr>
            <w:tcW w:w="3257"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Total payments</w:t>
            </w:r>
          </w:p>
        </w:tc>
        <w:tc>
          <w:tcPr>
            <w:tcW w:w="1035"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(49 345.9)</w:t>
            </w:r>
          </w:p>
        </w:tc>
        <w:tc>
          <w:tcPr>
            <w:tcW w:w="1125"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(49 763.2)</w:t>
            </w:r>
          </w:p>
        </w:tc>
        <w:tc>
          <w:tcPr>
            <w:tcW w:w="945"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(49 908.4)</w:t>
            </w:r>
          </w:p>
        </w:tc>
        <w:tc>
          <w:tcPr>
            <w:tcW w:w="1035" w:type="dxa"/>
            <w:gridSpan w:val="4"/>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562.5</w:t>
            </w:r>
            <w:r w:rsidRPr="00E945F9">
              <w:rPr>
                <w:rFonts w:eastAsiaTheme="minorEastAsia" w:cs="Calibri"/>
                <w:b/>
                <w:bCs/>
                <w:color w:val="000000"/>
                <w:sz w:val="19"/>
                <w:szCs w:val="22"/>
                <w:lang w:eastAsia="en-AU"/>
              </w:rPr>
              <w:t>)</w:t>
            </w:r>
          </w:p>
        </w:tc>
        <w:tc>
          <w:tcPr>
            <w:tcW w:w="720"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1.1</w:t>
            </w:r>
          </w:p>
        </w:tc>
        <w:tc>
          <w:tcPr>
            <w:tcW w:w="810"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145.3</w:t>
            </w:r>
            <w:r w:rsidRPr="00E945F9">
              <w:rPr>
                <w:rFonts w:eastAsiaTheme="minorEastAsia" w:cs="Calibri"/>
                <w:b/>
                <w:bCs/>
                <w:color w:val="000000"/>
                <w:sz w:val="19"/>
                <w:szCs w:val="22"/>
                <w:lang w:eastAsia="en-AU"/>
              </w:rPr>
              <w:t>)</w:t>
            </w:r>
          </w:p>
        </w:tc>
        <w:tc>
          <w:tcPr>
            <w:tcW w:w="710"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0.3</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Net cash flows from operating activities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3 839.5</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4 352.0</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3 819.1</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20.4</w:t>
            </w:r>
            <w:r w:rsidRPr="00E945F9">
              <w:rPr>
                <w:rFonts w:eastAsiaTheme="minorEastAsia" w:cs="Calibri"/>
                <w:b/>
                <w:bCs/>
                <w:color w:val="000000"/>
                <w:sz w:val="19"/>
                <w:szCs w:val="22"/>
                <w:lang w:eastAsia="en-AU"/>
              </w:rPr>
              <w:t>)</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0.5</w:t>
            </w:r>
            <w:r w:rsidRPr="00E945F9">
              <w:rPr>
                <w:rFonts w:eastAsiaTheme="minorEastAsia" w:cs="Calibri"/>
                <w:b/>
                <w:bCs/>
                <w:color w:val="000000"/>
                <w:sz w:val="19"/>
                <w:szCs w:val="22"/>
                <w:lang w:eastAsia="en-AU"/>
              </w:rPr>
              <w:t>)</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533.0</w:t>
            </w:r>
            <w:r w:rsidRPr="00E945F9">
              <w:rPr>
                <w:rFonts w:eastAsiaTheme="minorEastAsia" w:cs="Calibri"/>
                <w:b/>
                <w:bCs/>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12.2</w:t>
            </w:r>
            <w:r w:rsidRPr="00E945F9">
              <w:rPr>
                <w:rFonts w:eastAsiaTheme="minorEastAsia" w:cs="Calibri"/>
                <w:b/>
                <w:bCs/>
                <w:color w:val="000000"/>
                <w:sz w:val="19"/>
                <w:szCs w:val="22"/>
                <w:lang w:eastAsia="en-AU"/>
              </w:rPr>
              <w:t>)</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Cash flows from investing activities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Purchases of non</w:t>
            </w:r>
            <w:r>
              <w:rPr>
                <w:rFonts w:eastAsiaTheme="minorEastAsia"/>
                <w:sz w:val="19"/>
                <w:szCs w:val="19"/>
                <w:lang w:eastAsia="en-AU"/>
              </w:rPr>
              <w:noBreakHyphen/>
            </w:r>
            <w:r w:rsidRPr="00E945F9">
              <w:rPr>
                <w:rFonts w:eastAsiaTheme="minorEastAsia"/>
                <w:sz w:val="19"/>
                <w:szCs w:val="19"/>
                <w:lang w:eastAsia="en-AU"/>
              </w:rPr>
              <w:t>financial assets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(5 312.4)</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(4 018.1)</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(4 393.7)</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918.7</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17.3</w:t>
            </w:r>
            <w:r w:rsidRPr="00E945F9">
              <w:rPr>
                <w:rFonts w:eastAsiaTheme="minorEastAsia" w:cs="Calibri"/>
                <w:color w:val="000000"/>
                <w:sz w:val="19"/>
                <w:szCs w:val="22"/>
                <w:lang w:eastAsia="en-AU"/>
              </w:rPr>
              <w:t>)</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375.6</w:t>
            </w:r>
            <w:r w:rsidRPr="00E945F9">
              <w:rPr>
                <w:rFonts w:eastAsiaTheme="minorEastAsia" w:cs="Calibri"/>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9.3</w:t>
            </w:r>
          </w:p>
        </w:tc>
      </w:tr>
      <w:tr w:rsidR="00336793" w:rsidRPr="00E945F9" w:rsidTr="00DF0B96">
        <w:tc>
          <w:tcPr>
            <w:tcW w:w="3257" w:type="dxa"/>
            <w:tcBorders>
              <w:top w:val="nil"/>
              <w:left w:val="nil"/>
              <w:bottom w:val="single" w:sz="6" w:space="0" w:color="000000"/>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Sales of non</w:t>
            </w:r>
            <w:r>
              <w:rPr>
                <w:rFonts w:eastAsiaTheme="minorEastAsia"/>
                <w:sz w:val="19"/>
                <w:szCs w:val="19"/>
                <w:lang w:eastAsia="en-AU"/>
              </w:rPr>
              <w:noBreakHyphen/>
            </w:r>
            <w:r w:rsidRPr="00E945F9">
              <w:rPr>
                <w:rFonts w:eastAsiaTheme="minorEastAsia"/>
                <w:sz w:val="19"/>
                <w:szCs w:val="19"/>
                <w:lang w:eastAsia="en-AU"/>
              </w:rPr>
              <w:t>financial assets</w:t>
            </w:r>
          </w:p>
        </w:tc>
        <w:tc>
          <w:tcPr>
            <w:tcW w:w="103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384.9</w:t>
            </w:r>
          </w:p>
        </w:tc>
        <w:tc>
          <w:tcPr>
            <w:tcW w:w="112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360.0</w:t>
            </w:r>
          </w:p>
        </w:tc>
        <w:tc>
          <w:tcPr>
            <w:tcW w:w="94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397.7</w:t>
            </w:r>
          </w:p>
        </w:tc>
        <w:tc>
          <w:tcPr>
            <w:tcW w:w="1035" w:type="dxa"/>
            <w:gridSpan w:val="4"/>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12.8</w:t>
            </w:r>
          </w:p>
        </w:tc>
        <w:tc>
          <w:tcPr>
            <w:tcW w:w="72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3.3</w:t>
            </w:r>
          </w:p>
        </w:tc>
        <w:tc>
          <w:tcPr>
            <w:tcW w:w="81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37.7</w:t>
            </w:r>
          </w:p>
        </w:tc>
        <w:tc>
          <w:tcPr>
            <w:tcW w:w="71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10.5</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Net Cash flows from investments in non</w:t>
            </w:r>
            <w:r>
              <w:rPr>
                <w:rFonts w:eastAsiaTheme="minorEastAsia"/>
                <w:sz w:val="19"/>
                <w:szCs w:val="19"/>
                <w:lang w:eastAsia="en-AU"/>
              </w:rPr>
              <w:noBreakHyphen/>
            </w:r>
            <w:r w:rsidRPr="00E945F9">
              <w:rPr>
                <w:rFonts w:eastAsiaTheme="minorEastAsia"/>
                <w:sz w:val="19"/>
                <w:szCs w:val="19"/>
                <w:lang w:eastAsia="en-AU"/>
              </w:rPr>
              <w:t>financial assets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(4 927.5)</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(3 658.1)</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(3 996.0)</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931.6</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18.9</w:t>
            </w:r>
            <w:r w:rsidRPr="00E945F9">
              <w:rPr>
                <w:rFonts w:eastAsiaTheme="minorEastAsia" w:cs="Calibri"/>
                <w:color w:val="000000"/>
                <w:sz w:val="19"/>
                <w:szCs w:val="22"/>
                <w:lang w:eastAsia="en-AU"/>
              </w:rPr>
              <w:t>)</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337.8</w:t>
            </w:r>
            <w:r w:rsidRPr="00E945F9">
              <w:rPr>
                <w:rFonts w:eastAsiaTheme="minorEastAsia" w:cs="Calibri"/>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9.2</w:t>
            </w:r>
          </w:p>
        </w:tc>
      </w:tr>
      <w:tr w:rsidR="00336793" w:rsidRPr="00E945F9" w:rsidTr="00DF0B96">
        <w:tc>
          <w:tcPr>
            <w:tcW w:w="3257" w:type="dxa"/>
            <w:tcBorders>
              <w:top w:val="nil"/>
              <w:left w:val="nil"/>
              <w:bottom w:val="single" w:sz="6" w:space="0" w:color="000000"/>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Net cash flows from investments in financial assets for policy purposes</w:t>
            </w:r>
          </w:p>
        </w:tc>
        <w:tc>
          <w:tcPr>
            <w:tcW w:w="103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676.8</w:t>
            </w:r>
            <w:r w:rsidRPr="00E945F9">
              <w:rPr>
                <w:rFonts w:eastAsiaTheme="minorEastAsia" w:cs="Calibri"/>
                <w:color w:val="000000"/>
                <w:sz w:val="19"/>
                <w:szCs w:val="22"/>
                <w:lang w:eastAsia="en-AU"/>
              </w:rPr>
              <w:t>)</w:t>
            </w:r>
          </w:p>
        </w:tc>
        <w:tc>
          <w:tcPr>
            <w:tcW w:w="112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719.5</w:t>
            </w:r>
            <w:r w:rsidRPr="00E945F9">
              <w:rPr>
                <w:rFonts w:eastAsiaTheme="minorEastAsia" w:cs="Calibri"/>
                <w:color w:val="000000"/>
                <w:sz w:val="19"/>
                <w:szCs w:val="22"/>
                <w:lang w:eastAsia="en-AU"/>
              </w:rPr>
              <w:t>)</w:t>
            </w:r>
          </w:p>
        </w:tc>
        <w:tc>
          <w:tcPr>
            <w:tcW w:w="94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858.1</w:t>
            </w:r>
            <w:r w:rsidRPr="00E945F9">
              <w:rPr>
                <w:rFonts w:eastAsiaTheme="minorEastAsia" w:cs="Calibri"/>
                <w:color w:val="000000"/>
                <w:sz w:val="19"/>
                <w:szCs w:val="22"/>
                <w:lang w:eastAsia="en-AU"/>
              </w:rPr>
              <w:t>)</w:t>
            </w:r>
          </w:p>
        </w:tc>
        <w:tc>
          <w:tcPr>
            <w:tcW w:w="1035" w:type="dxa"/>
            <w:gridSpan w:val="4"/>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181.3</w:t>
            </w:r>
            <w:r w:rsidRPr="00E945F9">
              <w:rPr>
                <w:rFonts w:eastAsiaTheme="minorEastAsia" w:cs="Calibri"/>
                <w:color w:val="000000"/>
                <w:sz w:val="19"/>
                <w:szCs w:val="22"/>
                <w:lang w:eastAsia="en-AU"/>
              </w:rPr>
              <w:t>)</w:t>
            </w:r>
          </w:p>
        </w:tc>
        <w:tc>
          <w:tcPr>
            <w:tcW w:w="72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26.8</w:t>
            </w:r>
          </w:p>
        </w:tc>
        <w:tc>
          <w:tcPr>
            <w:tcW w:w="81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138.6</w:t>
            </w:r>
            <w:r w:rsidRPr="00E945F9">
              <w:rPr>
                <w:rFonts w:eastAsiaTheme="minorEastAsia" w:cs="Calibri"/>
                <w:color w:val="000000"/>
                <w:sz w:val="19"/>
                <w:szCs w:val="22"/>
                <w:lang w:eastAsia="en-AU"/>
              </w:rPr>
              <w:t>)</w:t>
            </w:r>
          </w:p>
        </w:tc>
        <w:tc>
          <w:tcPr>
            <w:tcW w:w="71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19.3</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Sub</w:t>
            </w:r>
            <w:r>
              <w:rPr>
                <w:rFonts w:eastAsiaTheme="minorEastAsia"/>
                <w:b/>
                <w:bCs/>
                <w:sz w:val="19"/>
                <w:szCs w:val="19"/>
                <w:lang w:eastAsia="en-AU"/>
              </w:rPr>
              <w:noBreakHyphen/>
            </w:r>
            <w:r w:rsidRPr="00E945F9">
              <w:rPr>
                <w:rFonts w:eastAsiaTheme="minorEastAsia"/>
                <w:b/>
                <w:bCs/>
                <w:sz w:val="19"/>
                <w:szCs w:val="19"/>
                <w:lang w:eastAsia="en-AU"/>
              </w:rPr>
              <w:t>total</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(5 604.3)</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(4 377.7)</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(4 854.1)</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750.2</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19"/>
                <w:lang w:eastAsia="en-AU"/>
              </w:rPr>
            </w:pPr>
            <w:r w:rsidRPr="00E945F9">
              <w:rPr>
                <w:rFonts w:eastAsiaTheme="minorEastAsia"/>
                <w:b/>
                <w:bCs/>
                <w:sz w:val="19"/>
                <w:szCs w:val="19"/>
                <w:lang w:eastAsia="en-AU"/>
              </w:rPr>
              <w:t xml:space="preserve"> 7.9</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476.4</w:t>
            </w:r>
            <w:r w:rsidRPr="00E945F9">
              <w:rPr>
                <w:rFonts w:eastAsiaTheme="minorEastAsia" w:cs="Calibri"/>
                <w:b/>
                <w:bCs/>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28.5</w:t>
            </w:r>
          </w:p>
        </w:tc>
      </w:tr>
      <w:tr w:rsidR="00336793" w:rsidRPr="00E945F9" w:rsidTr="00DF0B96">
        <w:tc>
          <w:tcPr>
            <w:tcW w:w="3257" w:type="dxa"/>
            <w:tcBorders>
              <w:top w:val="nil"/>
              <w:left w:val="nil"/>
              <w:bottom w:val="single" w:sz="6" w:space="0" w:color="000000"/>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Net cash flows from investments in financial assets for liquidity management purposes</w:t>
            </w:r>
          </w:p>
        </w:tc>
        <w:tc>
          <w:tcPr>
            <w:tcW w:w="103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17.7</w:t>
            </w:r>
            <w:r w:rsidRPr="00E945F9">
              <w:rPr>
                <w:rFonts w:eastAsiaTheme="minorEastAsia" w:cs="Calibri"/>
                <w:color w:val="000000"/>
                <w:sz w:val="19"/>
                <w:szCs w:val="22"/>
                <w:lang w:eastAsia="en-AU"/>
              </w:rPr>
              <w:t>)</w:t>
            </w:r>
          </w:p>
        </w:tc>
        <w:tc>
          <w:tcPr>
            <w:tcW w:w="112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100.5</w:t>
            </w:r>
          </w:p>
        </w:tc>
        <w:tc>
          <w:tcPr>
            <w:tcW w:w="94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370.1</w:t>
            </w:r>
            <w:r w:rsidRPr="00E945F9">
              <w:rPr>
                <w:rFonts w:eastAsiaTheme="minorEastAsia" w:cs="Calibri"/>
                <w:color w:val="000000"/>
                <w:sz w:val="19"/>
                <w:szCs w:val="22"/>
                <w:lang w:eastAsia="en-AU"/>
              </w:rPr>
              <w:t>)</w:t>
            </w:r>
          </w:p>
        </w:tc>
        <w:tc>
          <w:tcPr>
            <w:tcW w:w="1035" w:type="dxa"/>
            <w:gridSpan w:val="4"/>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352.4</w:t>
            </w:r>
            <w:r w:rsidRPr="00E945F9">
              <w:rPr>
                <w:rFonts w:eastAsiaTheme="minorEastAsia" w:cs="Calibri"/>
                <w:color w:val="000000"/>
                <w:sz w:val="19"/>
                <w:szCs w:val="22"/>
                <w:lang w:eastAsia="en-AU"/>
              </w:rPr>
              <w:t>)</w:t>
            </w:r>
          </w:p>
        </w:tc>
        <w:tc>
          <w:tcPr>
            <w:tcW w:w="72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1 990.0</w:t>
            </w:r>
          </w:p>
        </w:tc>
        <w:tc>
          <w:tcPr>
            <w:tcW w:w="81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470.6</w:t>
            </w:r>
            <w:r w:rsidRPr="00E945F9">
              <w:rPr>
                <w:rFonts w:eastAsiaTheme="minorEastAsia" w:cs="Calibri"/>
                <w:color w:val="000000"/>
                <w:sz w:val="19"/>
                <w:szCs w:val="22"/>
                <w:lang w:eastAsia="en-AU"/>
              </w:rPr>
              <w:t>)</w:t>
            </w:r>
          </w:p>
        </w:tc>
        <w:tc>
          <w:tcPr>
            <w:tcW w:w="71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(468.2)</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Net cash flows from investing activities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(5 622.0)</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(4 277.1)</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(5 224.2)</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397.8</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7.1</w:t>
            </w:r>
            <w:r w:rsidRPr="00E945F9">
              <w:rPr>
                <w:rFonts w:eastAsiaTheme="minorEastAsia" w:cs="Calibri"/>
                <w:b/>
                <w:bCs/>
                <w:color w:val="000000"/>
                <w:sz w:val="19"/>
                <w:szCs w:val="22"/>
                <w:lang w:eastAsia="en-AU"/>
              </w:rPr>
              <w:t>)</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(947.1</w:t>
            </w:r>
            <w:r w:rsidRPr="00E945F9">
              <w:rPr>
                <w:rFonts w:eastAsiaTheme="minorEastAsia" w:cs="Calibri"/>
                <w:b/>
                <w:bCs/>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22.1</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Cash flows from financing activities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Net borrowings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1 935.8</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336.9</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1 013.4</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922.5</w:t>
            </w:r>
            <w:r w:rsidRPr="00E945F9">
              <w:rPr>
                <w:rFonts w:eastAsiaTheme="minorEastAsia" w:cs="Calibri"/>
                <w:color w:val="000000"/>
                <w:sz w:val="19"/>
                <w:szCs w:val="22"/>
                <w:lang w:eastAsia="en-AU"/>
              </w:rPr>
              <w:t>)</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(47.7)</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676.5</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200.8</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Deposits received (net)</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0.1</w:t>
            </w:r>
            <w:r w:rsidRPr="00E945F9">
              <w:rPr>
                <w:rFonts w:eastAsiaTheme="minorEastAsia" w:cs="Calibri"/>
                <w:color w:val="000000"/>
                <w:sz w:val="19"/>
                <w:szCs w:val="22"/>
                <w:lang w:eastAsia="en-AU"/>
              </w:rPr>
              <w:t>)</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0.1</w:t>
            </w:r>
            <w:r w:rsidRPr="00E945F9">
              <w:rPr>
                <w:rFonts w:eastAsiaTheme="minorEastAsia" w:cs="Calibri"/>
                <w:color w:val="000000"/>
                <w:sz w:val="19"/>
                <w:szCs w:val="22"/>
                <w:lang w:eastAsia="en-AU"/>
              </w:rPr>
              <w:t>)</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91.3</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91.4</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Pr>
                <w:rFonts w:eastAsiaTheme="minorEastAsia" w:cs="Calibri"/>
                <w:color w:val="000000"/>
                <w:sz w:val="19"/>
                <w:szCs w:val="19"/>
                <w:lang w:eastAsia="en-AU"/>
              </w:rPr>
              <w:t>n.a.</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91.4</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Pr>
                <w:rFonts w:eastAsiaTheme="minorEastAsia"/>
                <w:sz w:val="19"/>
                <w:szCs w:val="19"/>
                <w:lang w:eastAsia="en-AU"/>
              </w:rPr>
              <w:t>n.a.</w:t>
            </w:r>
          </w:p>
        </w:tc>
      </w:tr>
      <w:tr w:rsidR="00336793" w:rsidRPr="00E945F9" w:rsidTr="00DF0B96">
        <w:tc>
          <w:tcPr>
            <w:tcW w:w="3257"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Net cash flows from financing activities</w:t>
            </w:r>
          </w:p>
        </w:tc>
        <w:tc>
          <w:tcPr>
            <w:tcW w:w="1035"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1 935.7</w:t>
            </w:r>
          </w:p>
        </w:tc>
        <w:tc>
          <w:tcPr>
            <w:tcW w:w="1125"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336.8</w:t>
            </w:r>
          </w:p>
        </w:tc>
        <w:tc>
          <w:tcPr>
            <w:tcW w:w="945"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1 104.6</w:t>
            </w:r>
          </w:p>
        </w:tc>
        <w:tc>
          <w:tcPr>
            <w:tcW w:w="1035" w:type="dxa"/>
            <w:gridSpan w:val="4"/>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831.1</w:t>
            </w:r>
            <w:r w:rsidRPr="00E945F9">
              <w:rPr>
                <w:rFonts w:eastAsiaTheme="minorEastAsia" w:cs="Calibri"/>
                <w:b/>
                <w:bCs/>
                <w:color w:val="000000"/>
                <w:sz w:val="19"/>
                <w:szCs w:val="22"/>
                <w:lang w:eastAsia="en-AU"/>
              </w:rPr>
              <w:t>)</w:t>
            </w:r>
          </w:p>
        </w:tc>
        <w:tc>
          <w:tcPr>
            <w:tcW w:w="720"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(42.9)</w:t>
            </w:r>
          </w:p>
        </w:tc>
        <w:tc>
          <w:tcPr>
            <w:tcW w:w="810"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767.8</w:t>
            </w:r>
          </w:p>
        </w:tc>
        <w:tc>
          <w:tcPr>
            <w:tcW w:w="710" w:type="dxa"/>
            <w:tcBorders>
              <w:top w:val="single" w:sz="6" w:space="0" w:color="000000"/>
              <w:left w:val="nil"/>
              <w:bottom w:val="single" w:sz="6"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228.0</w:t>
            </w:r>
          </w:p>
        </w:tc>
      </w:tr>
      <w:tr w:rsidR="00336793" w:rsidRPr="00E945F9" w:rsidTr="00DF0B96">
        <w:tc>
          <w:tcPr>
            <w:tcW w:w="3257" w:type="dxa"/>
            <w:tcBorders>
              <w:top w:val="nil"/>
              <w:left w:val="nil"/>
              <w:bottom w:val="nil"/>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Net increase/(decrease) in cash and cash equivalents</w:t>
            </w:r>
          </w:p>
        </w:tc>
        <w:tc>
          <w:tcPr>
            <w:tcW w:w="103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153.2</w:t>
            </w:r>
          </w:p>
        </w:tc>
        <w:tc>
          <w:tcPr>
            <w:tcW w:w="112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 xml:space="preserve"> 411.7</w:t>
            </w:r>
          </w:p>
        </w:tc>
        <w:tc>
          <w:tcPr>
            <w:tcW w:w="945"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300.5</w:t>
            </w:r>
            <w:r w:rsidRPr="00E945F9">
              <w:rPr>
                <w:rFonts w:eastAsiaTheme="minorEastAsia" w:cs="Calibri"/>
                <w:b/>
                <w:bCs/>
                <w:color w:val="000000"/>
                <w:sz w:val="19"/>
                <w:szCs w:val="22"/>
                <w:lang w:eastAsia="en-AU"/>
              </w:rPr>
              <w:t>)</w:t>
            </w:r>
          </w:p>
        </w:tc>
        <w:tc>
          <w:tcPr>
            <w:tcW w:w="1035" w:type="dxa"/>
            <w:gridSpan w:val="4"/>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453.7</w:t>
            </w:r>
            <w:r w:rsidRPr="00E945F9">
              <w:rPr>
                <w:rFonts w:eastAsiaTheme="minorEastAsia" w:cs="Calibri"/>
                <w:b/>
                <w:bCs/>
                <w:color w:val="000000"/>
                <w:sz w:val="19"/>
                <w:szCs w:val="22"/>
                <w:lang w:eastAsia="en-AU"/>
              </w:rPr>
              <w:t>)</w:t>
            </w:r>
          </w:p>
        </w:tc>
        <w:tc>
          <w:tcPr>
            <w:tcW w:w="72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cs="Calibri"/>
                <w:b/>
                <w:bCs/>
                <w:color w:val="000000"/>
                <w:sz w:val="19"/>
                <w:szCs w:val="19"/>
                <w:lang w:eastAsia="en-AU"/>
              </w:rPr>
              <w:t>(296.2)</w:t>
            </w:r>
          </w:p>
        </w:tc>
        <w:tc>
          <w:tcPr>
            <w:tcW w:w="8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712.2</w:t>
            </w:r>
            <w:r w:rsidRPr="00E945F9">
              <w:rPr>
                <w:rFonts w:eastAsiaTheme="minorEastAsia" w:cs="Calibri"/>
                <w:b/>
                <w:bCs/>
                <w:color w:val="000000"/>
                <w:sz w:val="19"/>
                <w:szCs w:val="22"/>
                <w:lang w:eastAsia="en-AU"/>
              </w:rPr>
              <w:t>)</w:t>
            </w:r>
          </w:p>
        </w:tc>
        <w:tc>
          <w:tcPr>
            <w:tcW w:w="710" w:type="dxa"/>
            <w:tcBorders>
              <w:top w:val="nil"/>
              <w:left w:val="nil"/>
              <w:bottom w:val="nil"/>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(173.0)</w:t>
            </w:r>
          </w:p>
        </w:tc>
      </w:tr>
      <w:tr w:rsidR="00336793" w:rsidRPr="00E945F9" w:rsidTr="00DF0B96">
        <w:tc>
          <w:tcPr>
            <w:tcW w:w="3257" w:type="dxa"/>
            <w:tcBorders>
              <w:top w:val="nil"/>
              <w:left w:val="nil"/>
              <w:bottom w:val="single" w:sz="6" w:space="0" w:color="000000"/>
              <w:right w:val="nil"/>
            </w:tcBorders>
            <w:shd w:val="solid" w:color="FFFFFF" w:fill="auto"/>
          </w:tcPr>
          <w:p w:rsidR="00336793" w:rsidRPr="00E945F9" w:rsidRDefault="00336793" w:rsidP="00DF0B96">
            <w:pPr>
              <w:pStyle w:val="Tabletext"/>
              <w:rPr>
                <w:rFonts w:eastAsiaTheme="minorEastAsia"/>
                <w:sz w:val="19"/>
                <w:szCs w:val="19"/>
                <w:lang w:eastAsia="en-AU"/>
              </w:rPr>
            </w:pPr>
            <w:r w:rsidRPr="00E945F9">
              <w:rPr>
                <w:rFonts w:eastAsiaTheme="minorEastAsia"/>
                <w:sz w:val="19"/>
                <w:szCs w:val="19"/>
                <w:lang w:eastAsia="en-AU"/>
              </w:rPr>
              <w:t>Cash and cash equivalents at beginning of the financial year</w:t>
            </w:r>
          </w:p>
        </w:tc>
        <w:tc>
          <w:tcPr>
            <w:tcW w:w="103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4 100.8</w:t>
            </w:r>
          </w:p>
        </w:tc>
        <w:tc>
          <w:tcPr>
            <w:tcW w:w="112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4 500.9</w:t>
            </w:r>
          </w:p>
        </w:tc>
        <w:tc>
          <w:tcPr>
            <w:tcW w:w="945"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4 582.2</w:t>
            </w:r>
          </w:p>
        </w:tc>
        <w:tc>
          <w:tcPr>
            <w:tcW w:w="1035" w:type="dxa"/>
            <w:gridSpan w:val="4"/>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481.4</w:t>
            </w:r>
          </w:p>
        </w:tc>
        <w:tc>
          <w:tcPr>
            <w:tcW w:w="72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19"/>
                <w:lang w:eastAsia="en-AU"/>
              </w:rPr>
              <w:t>11.7</w:t>
            </w:r>
            <w:r w:rsidRPr="00E945F9">
              <w:rPr>
                <w:rFonts w:eastAsiaTheme="minorEastAsia" w:cs="Calibri"/>
                <w:color w:val="000000"/>
                <w:sz w:val="19"/>
                <w:szCs w:val="22"/>
                <w:lang w:eastAsia="en-AU"/>
              </w:rPr>
              <w:t>)</w:t>
            </w:r>
          </w:p>
        </w:tc>
        <w:tc>
          <w:tcPr>
            <w:tcW w:w="81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sz w:val="19"/>
                <w:szCs w:val="19"/>
                <w:lang w:eastAsia="en-AU"/>
              </w:rPr>
            </w:pPr>
            <w:r w:rsidRPr="00E945F9">
              <w:rPr>
                <w:rFonts w:eastAsiaTheme="minorEastAsia"/>
                <w:sz w:val="19"/>
                <w:szCs w:val="19"/>
                <w:lang w:eastAsia="en-AU"/>
              </w:rPr>
              <w:t xml:space="preserve"> 81.3</w:t>
            </w:r>
          </w:p>
        </w:tc>
        <w:tc>
          <w:tcPr>
            <w:tcW w:w="710" w:type="dxa"/>
            <w:tcBorders>
              <w:top w:val="nil"/>
              <w:left w:val="nil"/>
              <w:bottom w:val="single" w:sz="6" w:space="0" w:color="000000"/>
              <w:right w:val="nil"/>
            </w:tcBorders>
            <w:shd w:val="solid" w:color="FFFFFF" w:fill="auto"/>
          </w:tcPr>
          <w:p w:rsidR="00336793" w:rsidRPr="00E945F9" w:rsidRDefault="00336793" w:rsidP="00DF0B96">
            <w:pPr>
              <w:pStyle w:val="TableofFigures"/>
              <w:rPr>
                <w:rFonts w:eastAsiaTheme="minorEastAsia" w:cs="Calibri"/>
                <w:color w:val="000000"/>
                <w:sz w:val="19"/>
                <w:szCs w:val="22"/>
                <w:lang w:eastAsia="en-AU"/>
              </w:rPr>
            </w:pPr>
            <w:r w:rsidRPr="00E945F9">
              <w:rPr>
                <w:rFonts w:eastAsiaTheme="minorEastAsia"/>
                <w:sz w:val="19"/>
                <w:szCs w:val="19"/>
                <w:lang w:eastAsia="en-AU"/>
              </w:rPr>
              <w:t>(</w:t>
            </w:r>
            <w:r w:rsidRPr="00E945F9">
              <w:rPr>
                <w:rFonts w:eastAsiaTheme="minorEastAsia" w:cs="Calibri"/>
                <w:color w:val="000000"/>
                <w:sz w:val="19"/>
                <w:szCs w:val="22"/>
                <w:lang w:eastAsia="en-AU"/>
              </w:rPr>
              <w:t>1.8)</w:t>
            </w:r>
          </w:p>
        </w:tc>
      </w:tr>
      <w:tr w:rsidR="00336793" w:rsidRPr="00E945F9" w:rsidTr="00DF0B96">
        <w:tc>
          <w:tcPr>
            <w:tcW w:w="3257" w:type="dxa"/>
            <w:tcBorders>
              <w:top w:val="single" w:sz="6" w:space="0" w:color="000000"/>
              <w:left w:val="nil"/>
              <w:bottom w:val="single" w:sz="12" w:space="0" w:color="000000"/>
              <w:right w:val="nil"/>
            </w:tcBorders>
            <w:shd w:val="solid" w:color="FFFFFF" w:fill="auto"/>
          </w:tcPr>
          <w:p w:rsidR="00336793" w:rsidRPr="00E945F9" w:rsidRDefault="00336793" w:rsidP="00DF0B96">
            <w:pPr>
              <w:pStyle w:val="Tabletext"/>
              <w:rPr>
                <w:rFonts w:eastAsiaTheme="minorEastAsia"/>
                <w:b/>
                <w:bCs/>
                <w:sz w:val="19"/>
                <w:szCs w:val="19"/>
                <w:lang w:eastAsia="en-AU"/>
              </w:rPr>
            </w:pPr>
            <w:r w:rsidRPr="00E945F9">
              <w:rPr>
                <w:rFonts w:eastAsiaTheme="minorEastAsia"/>
                <w:b/>
                <w:bCs/>
                <w:sz w:val="19"/>
                <w:szCs w:val="19"/>
                <w:lang w:eastAsia="en-AU"/>
              </w:rPr>
              <w:t>Cash and cash equivalents at end of the financial year</w:t>
            </w:r>
          </w:p>
        </w:tc>
        <w:tc>
          <w:tcPr>
            <w:tcW w:w="1035" w:type="dxa"/>
            <w:tcBorders>
              <w:top w:val="single" w:sz="6" w:space="0" w:color="000000"/>
              <w:left w:val="nil"/>
              <w:bottom w:val="single" w:sz="12"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4 254.0</w:t>
            </w:r>
          </w:p>
        </w:tc>
        <w:tc>
          <w:tcPr>
            <w:tcW w:w="1125" w:type="dxa"/>
            <w:tcBorders>
              <w:top w:val="single" w:sz="6" w:space="0" w:color="000000"/>
              <w:left w:val="nil"/>
              <w:bottom w:val="single" w:sz="12"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4 912.6</w:t>
            </w:r>
          </w:p>
        </w:tc>
        <w:tc>
          <w:tcPr>
            <w:tcW w:w="945" w:type="dxa"/>
            <w:tcBorders>
              <w:top w:val="single" w:sz="6" w:space="0" w:color="000000"/>
              <w:left w:val="nil"/>
              <w:bottom w:val="single" w:sz="12" w:space="0" w:color="000000"/>
              <w:right w:val="nil"/>
            </w:tcBorders>
            <w:shd w:val="solid" w:color="FFFFFF" w:fill="auto"/>
          </w:tcPr>
          <w:p w:rsidR="00336793" w:rsidRPr="00E945F9" w:rsidRDefault="00336793" w:rsidP="00DF0B96">
            <w:pPr>
              <w:pStyle w:val="TableofFigures"/>
              <w:rPr>
                <w:rFonts w:eastAsiaTheme="minorEastAsia"/>
                <w:b/>
                <w:bCs/>
                <w:sz w:val="19"/>
                <w:szCs w:val="19"/>
                <w:lang w:eastAsia="en-AU"/>
              </w:rPr>
            </w:pPr>
            <w:r w:rsidRPr="00E945F9">
              <w:rPr>
                <w:rFonts w:eastAsiaTheme="minorEastAsia"/>
                <w:b/>
                <w:bCs/>
                <w:sz w:val="19"/>
                <w:szCs w:val="19"/>
                <w:lang w:eastAsia="en-AU"/>
              </w:rPr>
              <w:t>4 281.7</w:t>
            </w:r>
          </w:p>
        </w:tc>
        <w:tc>
          <w:tcPr>
            <w:tcW w:w="1035" w:type="dxa"/>
            <w:gridSpan w:val="4"/>
            <w:tcBorders>
              <w:top w:val="single" w:sz="6" w:space="0" w:color="000000"/>
              <w:left w:val="nil"/>
              <w:bottom w:val="single" w:sz="12" w:space="0" w:color="000000"/>
              <w:right w:val="nil"/>
            </w:tcBorders>
            <w:shd w:val="solid" w:color="FFFFFF" w:fill="auto"/>
          </w:tcPr>
          <w:p w:rsidR="00336793" w:rsidRPr="00E945F9" w:rsidRDefault="00336793" w:rsidP="00DF0B96">
            <w:pPr>
              <w:pStyle w:val="TableofFigures"/>
              <w:rPr>
                <w:rFonts w:eastAsiaTheme="minorEastAsia" w:cs="Calibri"/>
                <w:b/>
                <w:bCs/>
                <w:color w:val="000000"/>
                <w:sz w:val="19"/>
                <w:szCs w:val="19"/>
                <w:lang w:eastAsia="en-AU"/>
              </w:rPr>
            </w:pPr>
            <w:r w:rsidRPr="00E945F9">
              <w:rPr>
                <w:rFonts w:eastAsiaTheme="minorEastAsia"/>
                <w:b/>
                <w:bCs/>
                <w:sz w:val="19"/>
                <w:szCs w:val="19"/>
                <w:lang w:eastAsia="en-AU"/>
              </w:rPr>
              <w:t xml:space="preserve"> 27.7</w:t>
            </w:r>
          </w:p>
        </w:tc>
        <w:tc>
          <w:tcPr>
            <w:tcW w:w="720" w:type="dxa"/>
            <w:tcBorders>
              <w:top w:val="single" w:sz="6" w:space="0" w:color="000000"/>
              <w:left w:val="nil"/>
              <w:bottom w:val="single" w:sz="12" w:space="0" w:color="000000"/>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22"/>
                <w:lang w:eastAsia="en-AU"/>
              </w:rPr>
              <w:t>0.7)</w:t>
            </w:r>
          </w:p>
        </w:tc>
        <w:tc>
          <w:tcPr>
            <w:tcW w:w="810" w:type="dxa"/>
            <w:tcBorders>
              <w:top w:val="single" w:sz="6" w:space="0" w:color="000000"/>
              <w:left w:val="nil"/>
              <w:bottom w:val="single" w:sz="12" w:space="0" w:color="000000"/>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630.9</w:t>
            </w:r>
            <w:r w:rsidRPr="00E945F9">
              <w:rPr>
                <w:rFonts w:eastAsiaTheme="minorEastAsia" w:cs="Calibri"/>
                <w:b/>
                <w:bCs/>
                <w:color w:val="000000"/>
                <w:sz w:val="19"/>
                <w:szCs w:val="22"/>
                <w:lang w:eastAsia="en-AU"/>
              </w:rPr>
              <w:t>)</w:t>
            </w:r>
          </w:p>
        </w:tc>
        <w:tc>
          <w:tcPr>
            <w:tcW w:w="710" w:type="dxa"/>
            <w:tcBorders>
              <w:top w:val="single" w:sz="6" w:space="0" w:color="000000"/>
              <w:left w:val="nil"/>
              <w:bottom w:val="single" w:sz="12" w:space="0" w:color="000000"/>
              <w:right w:val="nil"/>
            </w:tcBorders>
            <w:shd w:val="solid" w:color="FFFFFF" w:fill="auto"/>
          </w:tcPr>
          <w:p w:rsidR="00336793" w:rsidRPr="00E945F9" w:rsidRDefault="00336793" w:rsidP="00DF0B96">
            <w:pPr>
              <w:pStyle w:val="TableofFigures"/>
              <w:rPr>
                <w:rFonts w:eastAsiaTheme="minorEastAsia" w:cs="Calibri"/>
                <w:b/>
                <w:bCs/>
                <w:color w:val="000000"/>
                <w:sz w:val="19"/>
                <w:szCs w:val="22"/>
                <w:lang w:eastAsia="en-AU"/>
              </w:rPr>
            </w:pPr>
            <w:r w:rsidRPr="00E945F9">
              <w:rPr>
                <w:rFonts w:eastAsiaTheme="minorEastAsia"/>
                <w:b/>
                <w:bCs/>
                <w:sz w:val="19"/>
                <w:szCs w:val="19"/>
                <w:lang w:eastAsia="en-AU"/>
              </w:rPr>
              <w:t>(</w:t>
            </w:r>
            <w:r w:rsidRPr="00E945F9">
              <w:rPr>
                <w:rFonts w:eastAsiaTheme="minorEastAsia" w:cs="Calibri"/>
                <w:b/>
                <w:bCs/>
                <w:color w:val="000000"/>
                <w:sz w:val="19"/>
                <w:szCs w:val="19"/>
                <w:lang w:eastAsia="en-AU"/>
              </w:rPr>
              <w:t>12.8</w:t>
            </w:r>
            <w:r w:rsidRPr="00E945F9">
              <w:rPr>
                <w:rFonts w:eastAsiaTheme="minorEastAsia" w:cs="Calibri"/>
                <w:b/>
                <w:bCs/>
                <w:color w:val="000000"/>
                <w:sz w:val="19"/>
                <w:szCs w:val="22"/>
                <w:lang w:eastAsia="en-AU"/>
              </w:rPr>
              <w:t>)</w:t>
            </w:r>
          </w:p>
        </w:tc>
      </w:tr>
    </w:tbl>
    <w:p w:rsidR="00336793" w:rsidRPr="006A75A2" w:rsidRDefault="00336793" w:rsidP="00DF0B96">
      <w:pPr>
        <w:pStyle w:val="Notes"/>
        <w:rPr>
          <w:rFonts w:ascii="Times New Roman" w:hAnsi="Times New Roman"/>
        </w:rPr>
      </w:pPr>
    </w:p>
    <w:p w:rsidR="00336793" w:rsidRDefault="00336793">
      <w:pPr>
        <w:spacing w:after="0"/>
        <w:rPr>
          <w:rFonts w:ascii="Calibri" w:hAnsi="Calibri"/>
          <w:b/>
        </w:rPr>
      </w:pPr>
      <w:r>
        <w:rPr>
          <w:rFonts w:ascii="Calibri" w:hAnsi="Calibri"/>
          <w:b/>
        </w:rPr>
        <w:br w:type="page"/>
      </w:r>
    </w:p>
    <w:p w:rsidR="00336793" w:rsidRPr="006A75A2" w:rsidRDefault="00336793" w:rsidP="00DF0B96">
      <w:pPr>
        <w:pStyle w:val="Heading2NotesContd"/>
        <w:rPr>
          <w:kern w:val="0"/>
        </w:rPr>
      </w:pPr>
      <w:r w:rsidRPr="006A75A2">
        <w:rPr>
          <w:kern w:val="0"/>
        </w:rPr>
        <w:lastRenderedPageBreak/>
        <w:t>Note 32:</w:t>
      </w:r>
      <w:r w:rsidRPr="006A75A2">
        <w:rPr>
          <w:kern w:val="0"/>
        </w:rPr>
        <w:tab/>
        <w:t xml:space="preserve">Explanations of material variances between budget and actual outcomes </w:t>
      </w:r>
      <w:r w:rsidRPr="006A75A2">
        <w:rPr>
          <w:i/>
          <w:kern w:val="0"/>
        </w:rPr>
        <w:t>(continued)</w:t>
      </w:r>
    </w:p>
    <w:p w:rsidR="00336793" w:rsidRPr="00E54909" w:rsidRDefault="00336793" w:rsidP="00DF0B96">
      <w:pPr>
        <w:keepNext/>
        <w:tabs>
          <w:tab w:val="left" w:pos="504"/>
        </w:tabs>
        <w:spacing w:before="120" w:after="60"/>
        <w:ind w:left="505" w:hanging="505"/>
        <w:outlineLvl w:val="4"/>
        <w:rPr>
          <w:rFonts w:ascii="Calibri" w:hAnsi="Calibri"/>
          <w:b/>
        </w:rPr>
      </w:pPr>
      <w:r w:rsidRPr="00E54909">
        <w:rPr>
          <w:rFonts w:ascii="Calibri" w:hAnsi="Calibri"/>
          <w:b/>
        </w:rPr>
        <w:t>Net cash flows from operating activities</w:t>
      </w:r>
    </w:p>
    <w:p w:rsidR="00336793" w:rsidRPr="00E54909" w:rsidRDefault="00336793" w:rsidP="00DF0B96">
      <w:r w:rsidRPr="00E54909">
        <w:t xml:space="preserve">The major variations between the actual outcomes and the original published budget for net cash flows from operations are largely consistent with the drivers of the movements in the operating statement. A reconciliation of the net result to net cash </w:t>
      </w:r>
      <w:r>
        <w:t xml:space="preserve">flows </w:t>
      </w:r>
      <w:r w:rsidRPr="00E54909">
        <w:t>from operating activities is provided at Note 30(b).</w:t>
      </w:r>
    </w:p>
    <w:p w:rsidR="00336793" w:rsidRPr="00E54909" w:rsidRDefault="00336793" w:rsidP="00DF0B96">
      <w:pPr>
        <w:rPr>
          <w:rFonts w:ascii="Calibri" w:hAnsi="Calibri"/>
          <w:b/>
        </w:rPr>
      </w:pPr>
      <w:r w:rsidRPr="00E54909">
        <w:t>In summary, cash flows from operating activities were $</w:t>
      </w:r>
      <w:r>
        <w:t>20.4 million</w:t>
      </w:r>
      <w:r w:rsidRPr="00E54909">
        <w:t xml:space="preserve"> </w:t>
      </w:r>
      <w:r>
        <w:t>(0.5 per cent) lower</w:t>
      </w:r>
      <w:r w:rsidRPr="00E54909">
        <w:t xml:space="preserve"> than the original published budget. This was driven by an increase in total payments of $</w:t>
      </w:r>
      <w:r>
        <w:t>421.4 million</w:t>
      </w:r>
      <w:r w:rsidRPr="00E54909">
        <w:t xml:space="preserve">, </w:t>
      </w:r>
      <w:r w:rsidRPr="007A6EB1">
        <w:t>largely relating to employee relat</w:t>
      </w:r>
      <w:r>
        <w:t>ed and other operating expenses, consistent with the operating statement expenses.</w:t>
      </w:r>
      <w:r w:rsidRPr="00BF5C41">
        <w:t xml:space="preserve"> This</w:t>
      </w:r>
      <w:r w:rsidRPr="00E54909">
        <w:t xml:space="preserve"> was partially offset by higher than total budgeted receipts of $</w:t>
      </w:r>
      <w:r>
        <w:t>401 million</w:t>
      </w:r>
      <w:r w:rsidRPr="00E54909">
        <w:t xml:space="preserve"> primarily reflecting an </w:t>
      </w:r>
      <w:r w:rsidRPr="00BF5C41">
        <w:t>increase in tax and dividend receipts</w:t>
      </w:r>
      <w:r>
        <w:t xml:space="preserve"> as mentioned above under the operating statement</w:t>
      </w:r>
      <w:r w:rsidRPr="00BF5C41">
        <w:t>.</w:t>
      </w:r>
    </w:p>
    <w:p w:rsidR="00336793" w:rsidRPr="00E54909" w:rsidRDefault="00336793" w:rsidP="00DF0B96">
      <w:pPr>
        <w:keepNext/>
        <w:tabs>
          <w:tab w:val="left" w:pos="504"/>
        </w:tabs>
        <w:spacing w:before="120" w:after="60"/>
        <w:ind w:left="505" w:hanging="505"/>
        <w:outlineLvl w:val="4"/>
        <w:rPr>
          <w:rFonts w:ascii="Calibri" w:hAnsi="Calibri"/>
          <w:b/>
        </w:rPr>
      </w:pPr>
      <w:r w:rsidRPr="00E54909">
        <w:rPr>
          <w:rFonts w:ascii="Calibri" w:hAnsi="Calibri"/>
          <w:b/>
        </w:rPr>
        <w:t>Net cash flows from investing activities</w:t>
      </w:r>
    </w:p>
    <w:p w:rsidR="00336793" w:rsidRDefault="00336793" w:rsidP="00DF0B96">
      <w:r w:rsidRPr="00E54909">
        <w:t>Total net investment activities in fixed assets and investments in other sectors was $</w:t>
      </w:r>
      <w:r>
        <w:t xml:space="preserve">750.2 million lower </w:t>
      </w:r>
      <w:r w:rsidRPr="00E54909">
        <w:t>than the original b</w:t>
      </w:r>
      <w:r>
        <w:t>udget. This primarily reflected the re</w:t>
      </w:r>
      <w:r>
        <w:noBreakHyphen/>
        <w:t>phasing of various road and rail projects and the sale proceeds of Rural Finance Corporation received in 2014</w:t>
      </w:r>
      <w:r>
        <w:noBreakHyphen/>
        <w:t>15 rather than 2013</w:t>
      </w:r>
      <w:r>
        <w:noBreakHyphen/>
        <w:t>14 as initially anticipated.</w:t>
      </w:r>
    </w:p>
    <w:p w:rsidR="00336793" w:rsidRPr="00E54909" w:rsidRDefault="00336793" w:rsidP="00DF0B96">
      <w:pPr>
        <w:keepNext/>
        <w:tabs>
          <w:tab w:val="left" w:pos="504"/>
        </w:tabs>
        <w:spacing w:before="120" w:after="60"/>
        <w:ind w:left="505" w:hanging="505"/>
        <w:outlineLvl w:val="4"/>
        <w:rPr>
          <w:rFonts w:ascii="Calibri" w:hAnsi="Calibri"/>
          <w:b/>
        </w:rPr>
      </w:pPr>
      <w:r>
        <w:rPr>
          <w:rFonts w:ascii="Calibri" w:hAnsi="Calibri"/>
          <w:b/>
        </w:rPr>
        <w:t>Consolidated statement of changes in equity</w:t>
      </w:r>
    </w:p>
    <w:p w:rsidR="00336793" w:rsidRDefault="00336793" w:rsidP="00DF0B96">
      <w:r w:rsidRPr="00E54909">
        <w:t xml:space="preserve">Total major variations between actual outcomes and the original published budget for the statement </w:t>
      </w:r>
      <w:r>
        <w:t xml:space="preserve">of </w:t>
      </w:r>
      <w:r w:rsidRPr="00E54909">
        <w:t>changes in equity are largely addressed in the explanations provided previously</w:t>
      </w:r>
      <w:r>
        <w:t>. The increase in the other sectors revaluation was primarily driven by rail and port assets in line with relevant reporting requirements, and increases in insurance premiums and investment returns from Worksafe Victoria and the Victorian Managed Insurance Authority.</w:t>
      </w:r>
    </w:p>
    <w:p w:rsidR="00336793" w:rsidRDefault="00336793" w:rsidP="00DF0B96"/>
    <w:p w:rsidR="00336793" w:rsidRDefault="00336793" w:rsidP="00DF0B96"/>
    <w:p w:rsidR="00336793" w:rsidRDefault="00336793" w:rsidP="00DF0B96"/>
    <w:p w:rsidR="00336793" w:rsidRDefault="00336793" w:rsidP="00DF0B96"/>
    <w:p w:rsidR="00336793" w:rsidRDefault="00336793" w:rsidP="00DF0B96">
      <w:pPr>
        <w:sectPr w:rsidR="00336793" w:rsidSect="00DF0B96">
          <w:headerReference w:type="even" r:id="rId96"/>
          <w:headerReference w:type="default" r:id="rId97"/>
          <w:footerReference w:type="even" r:id="rId98"/>
          <w:footerReference w:type="default" r:id="rId99"/>
          <w:headerReference w:type="first" r:id="rId100"/>
          <w:footerReference w:type="first" r:id="rId101"/>
          <w:pgSz w:w="11906" w:h="16838" w:code="9"/>
          <w:pgMar w:top="1152" w:right="1152" w:bottom="1152" w:left="1152" w:header="720" w:footer="720" w:gutter="0"/>
          <w:cols w:space="708"/>
          <w:docGrid w:linePitch="360"/>
        </w:sectPr>
      </w:pPr>
    </w:p>
    <w:p w:rsidR="00336793" w:rsidRPr="006A75A2" w:rsidRDefault="00336793" w:rsidP="00DF0B96">
      <w:pPr>
        <w:pStyle w:val="Heading2NotesContd"/>
        <w:spacing w:before="0"/>
      </w:pPr>
      <w:r w:rsidRPr="006A75A2">
        <w:lastRenderedPageBreak/>
        <w:t>Note 32:</w:t>
      </w:r>
      <w:r w:rsidRPr="006A75A2">
        <w:tab/>
      </w:r>
      <w:r w:rsidRPr="005A211E">
        <w:t>Explanations</w:t>
      </w:r>
      <w:r w:rsidRPr="006A75A2">
        <w:t xml:space="preserve"> of material variances between budget and actual outcomes </w:t>
      </w:r>
      <w:r w:rsidRPr="006A75A2">
        <w:rPr>
          <w:i/>
        </w:rPr>
        <w:t>(continued)</w:t>
      </w:r>
    </w:p>
    <w:p w:rsidR="00336793" w:rsidRDefault="00336793" w:rsidP="00DF0B96">
      <w:pPr>
        <w:pStyle w:val="Heading5"/>
        <w:spacing w:before="0"/>
      </w:pPr>
      <w:r w:rsidRPr="007E01BF">
        <w:t>(d)</w:t>
      </w:r>
      <w:r w:rsidRPr="007E01BF">
        <w:tab/>
        <w:t>Consolidated statement of changes in equity</w:t>
      </w:r>
    </w:p>
    <w:p w:rsidR="00336793" w:rsidRPr="00941F2A"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4837"/>
        <w:gridCol w:w="1559"/>
        <w:gridCol w:w="1559"/>
        <w:gridCol w:w="1985"/>
        <w:gridCol w:w="1984"/>
        <w:gridCol w:w="1276"/>
        <w:gridCol w:w="1370"/>
      </w:tblGrid>
      <w:tr w:rsidR="00336793" w:rsidRPr="00941F2A" w:rsidTr="00DF0B96">
        <w:tc>
          <w:tcPr>
            <w:tcW w:w="4837" w:type="dxa"/>
            <w:tcBorders>
              <w:top w:val="single" w:sz="6" w:space="0" w:color="auto"/>
              <w:left w:val="single" w:sz="6" w:space="0" w:color="auto"/>
              <w:bottom w:val="single" w:sz="6" w:space="0" w:color="auto"/>
              <w:right w:val="nil"/>
            </w:tcBorders>
            <w:shd w:val="clear" w:color="000000" w:fill="000000"/>
          </w:tcPr>
          <w:p w:rsidR="00336793" w:rsidRPr="00941F2A" w:rsidRDefault="00336793" w:rsidP="00DF0B96">
            <w:pPr>
              <w:pStyle w:val="Tabletext"/>
              <w:rPr>
                <w:rFonts w:eastAsiaTheme="minorEastAsia"/>
                <w:i/>
                <w:sz w:val="19"/>
                <w:lang w:eastAsia="en-AU"/>
              </w:rPr>
            </w:pPr>
          </w:p>
          <w:p w:rsidR="00336793" w:rsidRPr="00941F2A" w:rsidRDefault="00336793" w:rsidP="00DF0B96">
            <w:pPr>
              <w:pStyle w:val="Tabletext"/>
              <w:rPr>
                <w:rFonts w:eastAsiaTheme="minorEastAsia"/>
                <w:i/>
                <w:sz w:val="19"/>
                <w:lang w:eastAsia="en-AU"/>
              </w:rPr>
            </w:pPr>
          </w:p>
          <w:p w:rsidR="00336793" w:rsidRPr="00941F2A" w:rsidRDefault="00336793" w:rsidP="00DF0B96">
            <w:pPr>
              <w:pStyle w:val="Tabletext"/>
              <w:rPr>
                <w:rFonts w:eastAsiaTheme="minorEastAsia"/>
                <w:i/>
                <w:sz w:val="19"/>
                <w:lang w:eastAsia="en-AU"/>
              </w:rPr>
            </w:pPr>
            <w:r w:rsidRPr="00941F2A">
              <w:rPr>
                <w:rFonts w:eastAsiaTheme="minorEastAsia"/>
                <w:i/>
                <w:sz w:val="19"/>
                <w:lang w:eastAsia="en-AU"/>
              </w:rPr>
              <w:t>General government sector</w:t>
            </w:r>
          </w:p>
        </w:tc>
        <w:tc>
          <w:tcPr>
            <w:tcW w:w="1559" w:type="dxa"/>
            <w:tcBorders>
              <w:top w:val="single" w:sz="6" w:space="0" w:color="auto"/>
              <w:left w:val="nil"/>
              <w:bottom w:val="single" w:sz="6" w:space="0" w:color="auto"/>
              <w:right w:val="nil"/>
            </w:tcBorders>
            <w:shd w:val="clear" w:color="000000" w:fill="000000"/>
            <w:vAlign w:val="bottom"/>
          </w:tcPr>
          <w:p w:rsidR="00336793" w:rsidRPr="00941F2A" w:rsidRDefault="00336793" w:rsidP="00DF0B96">
            <w:pPr>
              <w:pStyle w:val="Tabletextheading"/>
              <w:rPr>
                <w:rFonts w:eastAsiaTheme="minorEastAsia"/>
                <w:color w:val="FFFFFF"/>
                <w:sz w:val="19"/>
                <w:lang w:eastAsia="en-AU"/>
              </w:rPr>
            </w:pPr>
          </w:p>
          <w:p w:rsidR="00336793" w:rsidRPr="00941F2A" w:rsidRDefault="00336793" w:rsidP="00DF0B96">
            <w:pPr>
              <w:pStyle w:val="Tabletextheading"/>
              <w:rPr>
                <w:rFonts w:eastAsiaTheme="minorEastAsia"/>
                <w:color w:val="FFFFFF"/>
                <w:sz w:val="19"/>
                <w:lang w:eastAsia="en-AU"/>
              </w:rPr>
            </w:pPr>
            <w:r w:rsidRPr="00941F2A">
              <w:rPr>
                <w:rFonts w:eastAsiaTheme="minorEastAsia"/>
                <w:color w:val="FFFFFF"/>
                <w:sz w:val="19"/>
                <w:lang w:eastAsia="en-AU"/>
              </w:rPr>
              <w:t>Accumulated surplus/(deficit)</w:t>
            </w:r>
          </w:p>
        </w:tc>
        <w:tc>
          <w:tcPr>
            <w:tcW w:w="1559" w:type="dxa"/>
            <w:tcBorders>
              <w:top w:val="single" w:sz="6" w:space="0" w:color="auto"/>
              <w:left w:val="nil"/>
              <w:bottom w:val="single" w:sz="6" w:space="0" w:color="auto"/>
              <w:right w:val="nil"/>
            </w:tcBorders>
            <w:shd w:val="clear" w:color="000000" w:fill="000000"/>
            <w:vAlign w:val="bottom"/>
          </w:tcPr>
          <w:p w:rsidR="00336793" w:rsidRPr="00941F2A" w:rsidRDefault="00336793" w:rsidP="00DF0B96">
            <w:pPr>
              <w:pStyle w:val="Tabletextheading"/>
              <w:rPr>
                <w:rFonts w:eastAsiaTheme="minorEastAsia"/>
                <w:color w:val="FFFFFF"/>
                <w:sz w:val="19"/>
                <w:lang w:eastAsia="en-AU"/>
              </w:rPr>
            </w:pPr>
          </w:p>
          <w:p w:rsidR="00336793" w:rsidRPr="00941F2A" w:rsidRDefault="00336793" w:rsidP="00DF0B96">
            <w:pPr>
              <w:pStyle w:val="Tabletextheading"/>
              <w:rPr>
                <w:rFonts w:eastAsiaTheme="minorEastAsia"/>
                <w:color w:val="FFFFFF"/>
                <w:sz w:val="19"/>
                <w:lang w:eastAsia="en-AU"/>
              </w:rPr>
            </w:pPr>
            <w:r w:rsidRPr="00941F2A">
              <w:rPr>
                <w:rFonts w:eastAsiaTheme="minorEastAsia"/>
                <w:color w:val="FFFFFF"/>
                <w:sz w:val="19"/>
                <w:lang w:eastAsia="en-AU"/>
              </w:rPr>
              <w:t>Non</w:t>
            </w:r>
            <w:r>
              <w:rPr>
                <w:rFonts w:eastAsiaTheme="minorEastAsia"/>
                <w:color w:val="FFFFFF"/>
                <w:sz w:val="19"/>
                <w:lang w:eastAsia="en-AU"/>
              </w:rPr>
              <w:noBreakHyphen/>
            </w:r>
            <w:r w:rsidRPr="00941F2A">
              <w:rPr>
                <w:rFonts w:eastAsiaTheme="minorEastAsia"/>
                <w:color w:val="FFFFFF"/>
                <w:sz w:val="19"/>
                <w:lang w:eastAsia="en-AU"/>
              </w:rPr>
              <w:t>controlling Interest</w:t>
            </w:r>
          </w:p>
        </w:tc>
        <w:tc>
          <w:tcPr>
            <w:tcW w:w="1985" w:type="dxa"/>
            <w:tcBorders>
              <w:top w:val="single" w:sz="6" w:space="0" w:color="auto"/>
              <w:left w:val="nil"/>
              <w:bottom w:val="single" w:sz="6" w:space="0" w:color="auto"/>
              <w:right w:val="nil"/>
            </w:tcBorders>
            <w:shd w:val="clear" w:color="000000" w:fill="000000"/>
            <w:vAlign w:val="bottom"/>
          </w:tcPr>
          <w:p w:rsidR="00336793" w:rsidRPr="00941F2A" w:rsidRDefault="00336793" w:rsidP="00DF0B96">
            <w:pPr>
              <w:pStyle w:val="Tabletextheading"/>
              <w:rPr>
                <w:rFonts w:eastAsiaTheme="minorEastAsia"/>
                <w:color w:val="FFFFFF"/>
                <w:sz w:val="19"/>
                <w:lang w:eastAsia="en-AU"/>
              </w:rPr>
            </w:pPr>
            <w:r w:rsidRPr="00941F2A">
              <w:rPr>
                <w:rFonts w:eastAsiaTheme="minorEastAsia"/>
                <w:color w:val="FFFFFF"/>
                <w:sz w:val="19"/>
                <w:lang w:eastAsia="en-AU"/>
              </w:rPr>
              <w:t>Non</w:t>
            </w:r>
            <w:r>
              <w:rPr>
                <w:rFonts w:eastAsiaTheme="minorEastAsia"/>
                <w:color w:val="FFFFFF"/>
                <w:sz w:val="19"/>
                <w:lang w:eastAsia="en-AU"/>
              </w:rPr>
              <w:noBreakHyphen/>
            </w:r>
            <w:r w:rsidRPr="00941F2A">
              <w:rPr>
                <w:rFonts w:eastAsiaTheme="minorEastAsia"/>
                <w:color w:val="FFFFFF"/>
                <w:sz w:val="19"/>
                <w:lang w:eastAsia="en-AU"/>
              </w:rPr>
              <w:t>financial assets</w:t>
            </w:r>
          </w:p>
          <w:p w:rsidR="00336793" w:rsidRPr="00941F2A" w:rsidRDefault="00336793" w:rsidP="00DF0B96">
            <w:pPr>
              <w:pStyle w:val="Tabletextheading"/>
              <w:rPr>
                <w:rFonts w:eastAsiaTheme="minorEastAsia" w:cs="Calibri"/>
                <w:iCs/>
                <w:color w:val="FFFFFF"/>
                <w:sz w:val="19"/>
                <w:szCs w:val="22"/>
                <w:lang w:eastAsia="en-AU"/>
              </w:rPr>
            </w:pPr>
            <w:r w:rsidRPr="00941F2A">
              <w:rPr>
                <w:rFonts w:eastAsiaTheme="minorEastAsia"/>
                <w:color w:val="FFFFFF"/>
                <w:sz w:val="19"/>
                <w:lang w:eastAsia="en-AU"/>
              </w:rPr>
              <w:t xml:space="preserve"> revaluation</w:t>
            </w:r>
            <w:r w:rsidRPr="00941F2A">
              <w:rPr>
                <w:rFonts w:eastAsiaTheme="minorEastAsia" w:cs="Calibri"/>
                <w:iCs/>
                <w:color w:val="FFFFFF"/>
                <w:sz w:val="19"/>
                <w:szCs w:val="22"/>
                <w:lang w:eastAsia="en-AU"/>
              </w:rPr>
              <w:t xml:space="preserve"> surplus</w:t>
            </w:r>
          </w:p>
        </w:tc>
        <w:tc>
          <w:tcPr>
            <w:tcW w:w="1984" w:type="dxa"/>
            <w:tcBorders>
              <w:top w:val="single" w:sz="6" w:space="0" w:color="auto"/>
              <w:left w:val="nil"/>
              <w:bottom w:val="single" w:sz="6" w:space="0" w:color="auto"/>
              <w:right w:val="nil"/>
            </w:tcBorders>
            <w:shd w:val="clear" w:color="000000" w:fill="000000"/>
            <w:vAlign w:val="bottom"/>
          </w:tcPr>
          <w:p w:rsidR="00336793" w:rsidRPr="00941F2A" w:rsidRDefault="00336793" w:rsidP="00DF0B96">
            <w:pPr>
              <w:pStyle w:val="Tabletextheading"/>
              <w:rPr>
                <w:rFonts w:eastAsiaTheme="minorEastAsia"/>
                <w:color w:val="FFFFFF"/>
                <w:sz w:val="19"/>
                <w:lang w:eastAsia="en-AU"/>
              </w:rPr>
            </w:pPr>
            <w:r w:rsidRPr="00941F2A">
              <w:rPr>
                <w:rFonts w:eastAsiaTheme="minorEastAsia"/>
                <w:color w:val="FFFFFF"/>
                <w:sz w:val="19"/>
                <w:lang w:eastAsia="en-AU"/>
              </w:rPr>
              <w:t xml:space="preserve">Investment in other </w:t>
            </w:r>
          </w:p>
          <w:p w:rsidR="00336793" w:rsidRPr="00941F2A" w:rsidRDefault="00336793" w:rsidP="00DF0B96">
            <w:pPr>
              <w:pStyle w:val="Tabletextheading"/>
              <w:rPr>
                <w:rFonts w:eastAsiaTheme="minorEastAsia"/>
                <w:color w:val="FFFFFF"/>
                <w:sz w:val="19"/>
                <w:lang w:eastAsia="en-AU"/>
              </w:rPr>
            </w:pPr>
            <w:r w:rsidRPr="00941F2A">
              <w:rPr>
                <w:rFonts w:eastAsiaTheme="minorEastAsia"/>
                <w:color w:val="FFFFFF"/>
                <w:sz w:val="19"/>
                <w:lang w:eastAsia="en-AU"/>
              </w:rPr>
              <w:t xml:space="preserve">sector entities </w:t>
            </w:r>
          </w:p>
          <w:p w:rsidR="00336793" w:rsidRPr="00941F2A" w:rsidRDefault="00336793" w:rsidP="00DF0B96">
            <w:pPr>
              <w:pStyle w:val="Tabletextheading"/>
              <w:rPr>
                <w:rFonts w:eastAsiaTheme="minorEastAsia"/>
                <w:color w:val="FFFFFF"/>
                <w:sz w:val="19"/>
                <w:lang w:eastAsia="en-AU"/>
              </w:rPr>
            </w:pPr>
            <w:r w:rsidRPr="00941F2A">
              <w:rPr>
                <w:rFonts w:eastAsiaTheme="minorEastAsia"/>
                <w:color w:val="FFFFFF"/>
                <w:sz w:val="19"/>
                <w:lang w:eastAsia="en-AU"/>
              </w:rPr>
              <w:t>revaluation surplus</w:t>
            </w:r>
          </w:p>
        </w:tc>
        <w:tc>
          <w:tcPr>
            <w:tcW w:w="1276" w:type="dxa"/>
            <w:tcBorders>
              <w:top w:val="single" w:sz="6" w:space="0" w:color="auto"/>
              <w:left w:val="nil"/>
              <w:bottom w:val="single" w:sz="6" w:space="0" w:color="auto"/>
              <w:right w:val="nil"/>
            </w:tcBorders>
            <w:shd w:val="clear" w:color="000000" w:fill="000000"/>
            <w:vAlign w:val="bottom"/>
          </w:tcPr>
          <w:p w:rsidR="00336793" w:rsidRPr="00941F2A" w:rsidRDefault="00336793" w:rsidP="00DF0B96">
            <w:pPr>
              <w:pStyle w:val="Tabletextheading"/>
              <w:rPr>
                <w:rFonts w:eastAsiaTheme="minorEastAsia"/>
                <w:color w:val="FFFFFF"/>
                <w:sz w:val="19"/>
                <w:lang w:eastAsia="en-AU"/>
              </w:rPr>
            </w:pPr>
          </w:p>
          <w:p w:rsidR="00336793" w:rsidRPr="00941F2A" w:rsidRDefault="00336793" w:rsidP="00DF0B96">
            <w:pPr>
              <w:pStyle w:val="Tabletextheading"/>
              <w:rPr>
                <w:rFonts w:eastAsiaTheme="minorEastAsia"/>
                <w:color w:val="FFFFFF"/>
                <w:sz w:val="19"/>
                <w:lang w:eastAsia="en-AU"/>
              </w:rPr>
            </w:pPr>
            <w:r w:rsidRPr="00941F2A">
              <w:rPr>
                <w:rFonts w:eastAsiaTheme="minorEastAsia"/>
                <w:color w:val="FFFFFF"/>
                <w:sz w:val="19"/>
                <w:lang w:eastAsia="en-AU"/>
              </w:rPr>
              <w:t>Other reserves</w:t>
            </w:r>
          </w:p>
        </w:tc>
        <w:tc>
          <w:tcPr>
            <w:tcW w:w="1370" w:type="dxa"/>
            <w:tcBorders>
              <w:top w:val="single" w:sz="6" w:space="0" w:color="auto"/>
              <w:left w:val="nil"/>
              <w:bottom w:val="single" w:sz="6" w:space="0" w:color="auto"/>
              <w:right w:val="single" w:sz="6" w:space="0" w:color="auto"/>
            </w:tcBorders>
            <w:shd w:val="clear" w:color="000000" w:fill="000000"/>
            <w:vAlign w:val="bottom"/>
          </w:tcPr>
          <w:p w:rsidR="00336793" w:rsidRPr="00941F2A" w:rsidRDefault="00336793" w:rsidP="00DF0B96">
            <w:pPr>
              <w:pStyle w:val="Tabletextheading"/>
              <w:rPr>
                <w:rFonts w:eastAsiaTheme="minorEastAsia"/>
                <w:color w:val="FFFFFF"/>
                <w:sz w:val="19"/>
                <w:lang w:eastAsia="en-AU"/>
              </w:rPr>
            </w:pPr>
          </w:p>
          <w:p w:rsidR="00336793" w:rsidRPr="00941F2A" w:rsidRDefault="00336793" w:rsidP="00DF0B96">
            <w:pPr>
              <w:pStyle w:val="Tabletextheading"/>
              <w:rPr>
                <w:rFonts w:eastAsiaTheme="minorEastAsia"/>
                <w:color w:val="FFFFFF"/>
                <w:sz w:val="19"/>
                <w:lang w:eastAsia="en-AU"/>
              </w:rPr>
            </w:pPr>
          </w:p>
          <w:p w:rsidR="00336793" w:rsidRPr="00941F2A" w:rsidRDefault="00336793" w:rsidP="00DF0B96">
            <w:pPr>
              <w:pStyle w:val="Tabletextheading"/>
              <w:rPr>
                <w:rFonts w:eastAsiaTheme="minorEastAsia"/>
                <w:color w:val="FFFFFF"/>
                <w:sz w:val="19"/>
                <w:lang w:eastAsia="en-AU"/>
              </w:rPr>
            </w:pPr>
            <w:r w:rsidRPr="00941F2A">
              <w:rPr>
                <w:rFonts w:eastAsiaTheme="minorEastAsia"/>
                <w:color w:val="FFFFFF"/>
                <w:sz w:val="19"/>
                <w:lang w:eastAsia="en-AU"/>
              </w:rPr>
              <w:t>Total</w:t>
            </w:r>
          </w:p>
        </w:tc>
      </w:tr>
      <w:tr w:rsidR="00336793" w:rsidRPr="00941F2A" w:rsidTr="00DF0B96">
        <w:tc>
          <w:tcPr>
            <w:tcW w:w="4837" w:type="dxa"/>
            <w:tcBorders>
              <w:top w:val="single" w:sz="6" w:space="0" w:color="auto"/>
              <w:left w:val="nil"/>
              <w:bottom w:val="nil"/>
              <w:right w:val="nil"/>
            </w:tcBorders>
          </w:tcPr>
          <w:p w:rsidR="00336793" w:rsidRPr="00941F2A" w:rsidRDefault="00336793" w:rsidP="00DF0B96">
            <w:pPr>
              <w:pStyle w:val="Tabletext"/>
              <w:rPr>
                <w:rFonts w:eastAsiaTheme="minorEastAsia"/>
                <w:b/>
                <w:bCs/>
                <w:sz w:val="19"/>
                <w:lang w:eastAsia="en-AU"/>
              </w:rPr>
            </w:pPr>
            <w:r w:rsidRPr="00941F2A">
              <w:rPr>
                <w:rFonts w:eastAsiaTheme="minorEastAsia"/>
                <w:b/>
                <w:bCs/>
                <w:sz w:val="19"/>
                <w:lang w:eastAsia="en-AU"/>
              </w:rPr>
              <w:t>2014</w:t>
            </w:r>
            <w:r>
              <w:rPr>
                <w:rFonts w:eastAsiaTheme="minorEastAsia"/>
                <w:b/>
                <w:bCs/>
                <w:sz w:val="19"/>
                <w:lang w:eastAsia="en-AU"/>
              </w:rPr>
              <w:noBreakHyphen/>
            </w:r>
            <w:r w:rsidRPr="00941F2A">
              <w:rPr>
                <w:rFonts w:eastAsiaTheme="minorEastAsia"/>
                <w:b/>
                <w:bCs/>
                <w:sz w:val="19"/>
                <w:lang w:eastAsia="en-AU"/>
              </w:rPr>
              <w:t>15 original budget</w:t>
            </w:r>
          </w:p>
        </w:tc>
        <w:tc>
          <w:tcPr>
            <w:tcW w:w="1559" w:type="dxa"/>
            <w:tcBorders>
              <w:top w:val="single" w:sz="6" w:space="0" w:color="auto"/>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c>
          <w:tcPr>
            <w:tcW w:w="1559" w:type="dxa"/>
            <w:tcBorders>
              <w:top w:val="single" w:sz="6" w:space="0" w:color="auto"/>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c>
          <w:tcPr>
            <w:tcW w:w="1985" w:type="dxa"/>
            <w:tcBorders>
              <w:top w:val="single" w:sz="6" w:space="0" w:color="auto"/>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c>
          <w:tcPr>
            <w:tcW w:w="1984" w:type="dxa"/>
            <w:tcBorders>
              <w:top w:val="single" w:sz="6" w:space="0" w:color="auto"/>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c>
          <w:tcPr>
            <w:tcW w:w="1276" w:type="dxa"/>
            <w:tcBorders>
              <w:top w:val="single" w:sz="6" w:space="0" w:color="auto"/>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c>
          <w:tcPr>
            <w:tcW w:w="1370" w:type="dxa"/>
            <w:tcBorders>
              <w:top w:val="single" w:sz="6" w:space="0" w:color="auto"/>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Balance at 1 July 2014</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45 631.8</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50.0</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37 970.3</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40 753.2</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954.0</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125 359.4</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Net result</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1 152.2</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1 152.2</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Other comprehensive income for the year</w:t>
            </w:r>
          </w:p>
        </w:tc>
        <w:tc>
          <w:tcPr>
            <w:tcW w:w="1559" w:type="dxa"/>
            <w:tcBorders>
              <w:top w:val="nil"/>
              <w:left w:val="nil"/>
              <w:bottom w:val="nil"/>
              <w:right w:val="nil"/>
            </w:tcBorders>
          </w:tcPr>
          <w:p w:rsidR="00336793" w:rsidRPr="00941F2A" w:rsidRDefault="00336793" w:rsidP="00DF0B96">
            <w:pPr>
              <w:pStyle w:val="TableofFigures"/>
              <w:rPr>
                <w:rFonts w:eastAsiaTheme="minorEastAsia" w:cs="Calibri"/>
                <w:color w:val="000000"/>
                <w:sz w:val="19"/>
                <w:szCs w:val="22"/>
                <w:lang w:eastAsia="en-AU"/>
              </w:rPr>
            </w:pPr>
            <w:r w:rsidRPr="00941F2A">
              <w:rPr>
                <w:rFonts w:eastAsiaTheme="minorEastAsia"/>
                <w:sz w:val="19"/>
                <w:lang w:eastAsia="en-AU"/>
              </w:rPr>
              <w:t xml:space="preserve"> 504.3</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cs="Calibri"/>
                <w:color w:val="000000"/>
                <w:sz w:val="19"/>
                <w:szCs w:val="22"/>
                <w:lang w:eastAsia="en-AU"/>
              </w:rPr>
            </w:pPr>
            <w:r w:rsidRPr="00941F2A">
              <w:rPr>
                <w:rFonts w:eastAsiaTheme="minorEastAsia"/>
                <w:sz w:val="19"/>
                <w:lang w:eastAsia="en-AU"/>
              </w:rPr>
              <w:t>3 906.5</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2 884.3</w:t>
            </w:r>
          </w:p>
        </w:tc>
        <w:tc>
          <w:tcPr>
            <w:tcW w:w="1276"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19"/>
                <w:lang w:eastAsia="en-AU"/>
              </w:rPr>
              <w:t>(</w:t>
            </w:r>
            <w:r w:rsidRPr="00941F2A">
              <w:rPr>
                <w:rFonts w:eastAsiaTheme="minorEastAsia" w:cs="Calibri"/>
                <w:color w:val="000000"/>
                <w:sz w:val="19"/>
                <w:szCs w:val="22"/>
                <w:lang w:eastAsia="en-AU"/>
              </w:rPr>
              <w:t>3.9)</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7 291.2</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Transfer to accumulated surplus</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r>
      <w:tr w:rsidR="00336793" w:rsidRPr="00941F2A" w:rsidTr="00DF0B96">
        <w:tc>
          <w:tcPr>
            <w:tcW w:w="4837" w:type="dxa"/>
            <w:tcBorders>
              <w:top w:val="single" w:sz="6" w:space="0" w:color="auto"/>
              <w:left w:val="nil"/>
              <w:bottom w:val="single" w:sz="12" w:space="0" w:color="auto"/>
              <w:right w:val="nil"/>
            </w:tcBorders>
          </w:tcPr>
          <w:p w:rsidR="00336793" w:rsidRPr="00941F2A" w:rsidRDefault="00336793" w:rsidP="00DF0B96">
            <w:pPr>
              <w:pStyle w:val="Tabletext"/>
              <w:rPr>
                <w:rFonts w:eastAsiaTheme="minorEastAsia"/>
                <w:b/>
                <w:bCs/>
                <w:sz w:val="19"/>
                <w:lang w:eastAsia="en-AU"/>
              </w:rPr>
            </w:pPr>
            <w:r w:rsidRPr="00941F2A">
              <w:rPr>
                <w:rFonts w:eastAsiaTheme="minorEastAsia"/>
                <w:b/>
                <w:bCs/>
                <w:sz w:val="19"/>
                <w:lang w:eastAsia="en-AU"/>
              </w:rPr>
              <w:t>Total equity at end of period</w:t>
            </w:r>
          </w:p>
        </w:tc>
        <w:tc>
          <w:tcPr>
            <w:tcW w:w="1559"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47 288.4</w:t>
            </w:r>
          </w:p>
        </w:tc>
        <w:tc>
          <w:tcPr>
            <w:tcW w:w="1559"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50.0</w:t>
            </w:r>
          </w:p>
        </w:tc>
        <w:tc>
          <w:tcPr>
            <w:tcW w:w="1985"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41 876.8</w:t>
            </w:r>
          </w:p>
        </w:tc>
        <w:tc>
          <w:tcPr>
            <w:tcW w:w="1984"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43 637.5</w:t>
            </w:r>
          </w:p>
        </w:tc>
        <w:tc>
          <w:tcPr>
            <w:tcW w:w="1276"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950.1</w:t>
            </w:r>
          </w:p>
        </w:tc>
        <w:tc>
          <w:tcPr>
            <w:tcW w:w="1370"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133 802.8</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b/>
                <w:bCs/>
                <w:sz w:val="19"/>
                <w:lang w:eastAsia="en-AU"/>
              </w:rPr>
            </w:pPr>
            <w:r w:rsidRPr="00941F2A">
              <w:rPr>
                <w:rFonts w:eastAsiaTheme="minorEastAsia"/>
                <w:b/>
                <w:bCs/>
                <w:sz w:val="19"/>
                <w:lang w:eastAsia="en-AU"/>
              </w:rPr>
              <w:t>2014</w:t>
            </w:r>
            <w:r>
              <w:rPr>
                <w:rFonts w:eastAsiaTheme="minorEastAsia"/>
                <w:b/>
                <w:bCs/>
                <w:sz w:val="19"/>
                <w:lang w:eastAsia="en-AU"/>
              </w:rPr>
              <w:noBreakHyphen/>
            </w:r>
            <w:r w:rsidRPr="00941F2A">
              <w:rPr>
                <w:rFonts w:eastAsiaTheme="minorEastAsia"/>
                <w:b/>
                <w:bCs/>
                <w:sz w:val="19"/>
                <w:lang w:eastAsia="en-AU"/>
              </w:rPr>
              <w:t>15 revised budget</w:t>
            </w:r>
          </w:p>
        </w:tc>
        <w:tc>
          <w:tcPr>
            <w:tcW w:w="1559" w:type="dxa"/>
            <w:tcBorders>
              <w:top w:val="nil"/>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c>
          <w:tcPr>
            <w:tcW w:w="1559" w:type="dxa"/>
            <w:tcBorders>
              <w:top w:val="nil"/>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c>
          <w:tcPr>
            <w:tcW w:w="1985" w:type="dxa"/>
            <w:tcBorders>
              <w:top w:val="nil"/>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c>
          <w:tcPr>
            <w:tcW w:w="1984" w:type="dxa"/>
            <w:tcBorders>
              <w:top w:val="nil"/>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c>
          <w:tcPr>
            <w:tcW w:w="1276" w:type="dxa"/>
            <w:tcBorders>
              <w:top w:val="nil"/>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c>
          <w:tcPr>
            <w:tcW w:w="1370" w:type="dxa"/>
            <w:tcBorders>
              <w:top w:val="nil"/>
              <w:left w:val="nil"/>
              <w:bottom w:val="nil"/>
              <w:right w:val="nil"/>
            </w:tcBorders>
          </w:tcPr>
          <w:p w:rsidR="00336793" w:rsidRPr="00941F2A" w:rsidRDefault="00336793" w:rsidP="00DF0B96">
            <w:pPr>
              <w:pStyle w:val="TableofFigures"/>
              <w:rPr>
                <w:rFonts w:eastAsiaTheme="minorEastAsia"/>
                <w:b/>
                <w:sz w:val="19"/>
                <w:lang w:eastAsia="en-AU"/>
              </w:rPr>
            </w:pPr>
            <w:r w:rsidRPr="00941F2A">
              <w:rPr>
                <w:rFonts w:eastAsiaTheme="minorEastAsia"/>
                <w:b/>
                <w:sz w:val="19"/>
                <w:lang w:eastAsia="en-AU"/>
              </w:rPr>
              <w:t xml:space="preserve">  </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Balance at 1 July 2014</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43 531.2</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50.0</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42 023.3</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42 187.3</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640.3</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128 432.0</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Net result</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531.9</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531.9</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Other comprehensive income for the year</w:t>
            </w:r>
          </w:p>
        </w:tc>
        <w:tc>
          <w:tcPr>
            <w:tcW w:w="1559" w:type="dxa"/>
            <w:tcBorders>
              <w:top w:val="nil"/>
              <w:left w:val="nil"/>
              <w:bottom w:val="nil"/>
              <w:right w:val="nil"/>
            </w:tcBorders>
          </w:tcPr>
          <w:p w:rsidR="00336793" w:rsidRPr="00941F2A" w:rsidRDefault="00336793" w:rsidP="00DF0B96">
            <w:pPr>
              <w:pStyle w:val="TableofFigures"/>
              <w:rPr>
                <w:rFonts w:eastAsiaTheme="minorEastAsia" w:cs="Calibri"/>
                <w:color w:val="000000"/>
                <w:sz w:val="19"/>
                <w:szCs w:val="22"/>
                <w:lang w:eastAsia="en-AU"/>
              </w:rPr>
            </w:pPr>
            <w:r w:rsidRPr="00941F2A">
              <w:rPr>
                <w:rFonts w:eastAsiaTheme="minorEastAsia"/>
                <w:sz w:val="19"/>
                <w:lang w:eastAsia="en-AU"/>
              </w:rPr>
              <w:t>(4</w:t>
            </w:r>
            <w:r w:rsidRPr="00941F2A">
              <w:rPr>
                <w:rFonts w:eastAsiaTheme="minorEastAsia" w:cs="Calibri"/>
                <w:color w:val="000000"/>
                <w:sz w:val="19"/>
                <w:szCs w:val="22"/>
                <w:lang w:eastAsia="en-AU"/>
              </w:rPr>
              <w:t xml:space="preserve"> 234.6)</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cs="Calibri"/>
                <w:color w:val="000000"/>
                <w:sz w:val="19"/>
                <w:szCs w:val="22"/>
                <w:lang w:eastAsia="en-AU"/>
              </w:rPr>
            </w:pPr>
            <w:r w:rsidRPr="00941F2A">
              <w:rPr>
                <w:rFonts w:eastAsiaTheme="minorEastAsia"/>
                <w:sz w:val="19"/>
                <w:lang w:eastAsia="en-AU"/>
              </w:rPr>
              <w:t>4 820.2</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2 438.1</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1.0</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3 024.7</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Transfer to accumulated surplus</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r>
      <w:tr w:rsidR="00336793" w:rsidRPr="00941F2A" w:rsidTr="00DF0B96">
        <w:tc>
          <w:tcPr>
            <w:tcW w:w="4837" w:type="dxa"/>
            <w:tcBorders>
              <w:top w:val="single" w:sz="6" w:space="0" w:color="auto"/>
              <w:left w:val="nil"/>
              <w:bottom w:val="single" w:sz="12" w:space="0" w:color="auto"/>
              <w:right w:val="nil"/>
            </w:tcBorders>
          </w:tcPr>
          <w:p w:rsidR="00336793" w:rsidRPr="00941F2A" w:rsidRDefault="00336793" w:rsidP="00DF0B96">
            <w:pPr>
              <w:pStyle w:val="Tabletext"/>
              <w:rPr>
                <w:rFonts w:eastAsiaTheme="minorEastAsia"/>
                <w:b/>
                <w:bCs/>
                <w:sz w:val="19"/>
                <w:lang w:eastAsia="en-AU"/>
              </w:rPr>
            </w:pPr>
            <w:r w:rsidRPr="00941F2A">
              <w:rPr>
                <w:rFonts w:eastAsiaTheme="minorEastAsia"/>
                <w:b/>
                <w:bCs/>
                <w:sz w:val="19"/>
                <w:lang w:eastAsia="en-AU"/>
              </w:rPr>
              <w:t>Total equity at end of period</w:t>
            </w:r>
          </w:p>
        </w:tc>
        <w:tc>
          <w:tcPr>
            <w:tcW w:w="1559"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39 828.5</w:t>
            </w:r>
          </w:p>
        </w:tc>
        <w:tc>
          <w:tcPr>
            <w:tcW w:w="1559"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50.0</w:t>
            </w:r>
          </w:p>
        </w:tc>
        <w:tc>
          <w:tcPr>
            <w:tcW w:w="1985"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46 843.4</w:t>
            </w:r>
          </w:p>
        </w:tc>
        <w:tc>
          <w:tcPr>
            <w:tcW w:w="1984"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44 625.4</w:t>
            </w:r>
          </w:p>
        </w:tc>
        <w:tc>
          <w:tcPr>
            <w:tcW w:w="1276"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641.3</w:t>
            </w:r>
          </w:p>
        </w:tc>
        <w:tc>
          <w:tcPr>
            <w:tcW w:w="1370"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131 988.6</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b/>
                <w:bCs/>
                <w:sz w:val="19"/>
                <w:lang w:eastAsia="en-AU"/>
              </w:rPr>
            </w:pPr>
            <w:r w:rsidRPr="00941F2A">
              <w:rPr>
                <w:rFonts w:eastAsiaTheme="minorEastAsia"/>
                <w:b/>
                <w:bCs/>
                <w:sz w:val="19"/>
                <w:lang w:eastAsia="en-AU"/>
              </w:rPr>
              <w:t>2014</w:t>
            </w:r>
            <w:r>
              <w:rPr>
                <w:rFonts w:eastAsiaTheme="minorEastAsia"/>
                <w:b/>
                <w:bCs/>
                <w:sz w:val="19"/>
                <w:lang w:eastAsia="en-AU"/>
              </w:rPr>
              <w:noBreakHyphen/>
            </w:r>
            <w:r w:rsidRPr="00941F2A">
              <w:rPr>
                <w:rFonts w:eastAsiaTheme="minorEastAsia"/>
                <w:b/>
                <w:bCs/>
                <w:sz w:val="19"/>
                <w:lang w:eastAsia="en-AU"/>
              </w:rPr>
              <w:t>15 actual</w:t>
            </w:r>
          </w:p>
        </w:tc>
        <w:tc>
          <w:tcPr>
            <w:tcW w:w="1559"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559"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985"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984"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276"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370"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r>
      <w:tr w:rsidR="00336793" w:rsidRPr="00941F2A" w:rsidTr="00DF0B96">
        <w:tc>
          <w:tcPr>
            <w:tcW w:w="4837" w:type="dxa"/>
            <w:tcBorders>
              <w:top w:val="nil"/>
              <w:left w:val="nil"/>
              <w:bottom w:val="nil"/>
              <w:right w:val="nil"/>
            </w:tcBorders>
            <w:shd w:val="solid" w:color="FFFFFF" w:fill="auto"/>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Balance at 1 July 2014</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43 634.6</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50.0</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41 965.2</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42 187.3</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640.3</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128 477.4</w:t>
            </w:r>
          </w:p>
        </w:tc>
      </w:tr>
      <w:tr w:rsidR="00336793" w:rsidRPr="00941F2A" w:rsidTr="00DF0B96">
        <w:tc>
          <w:tcPr>
            <w:tcW w:w="4837" w:type="dxa"/>
            <w:tcBorders>
              <w:top w:val="nil"/>
              <w:left w:val="nil"/>
              <w:bottom w:val="nil"/>
              <w:right w:val="nil"/>
            </w:tcBorders>
            <w:shd w:val="solid" w:color="FFFFFF" w:fill="auto"/>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Net result for the year</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748.8</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748.8</w:t>
            </w:r>
          </w:p>
        </w:tc>
      </w:tr>
      <w:tr w:rsidR="00336793" w:rsidRPr="00941F2A" w:rsidTr="00DF0B96">
        <w:tc>
          <w:tcPr>
            <w:tcW w:w="4837" w:type="dxa"/>
            <w:tcBorders>
              <w:top w:val="nil"/>
              <w:left w:val="nil"/>
              <w:bottom w:val="nil"/>
              <w:right w:val="nil"/>
            </w:tcBorders>
            <w:shd w:val="solid" w:color="FFFFFF" w:fill="auto"/>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Other comprehensive income for the year</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270.4</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2 524.4</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4 225.6</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87.9</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7 108.3</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Transfer to accumulated surplus</w:t>
            </w:r>
          </w:p>
        </w:tc>
        <w:tc>
          <w:tcPr>
            <w:tcW w:w="1559" w:type="dxa"/>
            <w:tcBorders>
              <w:top w:val="nil"/>
              <w:left w:val="nil"/>
              <w:bottom w:val="nil"/>
              <w:right w:val="nil"/>
            </w:tcBorders>
          </w:tcPr>
          <w:p w:rsidR="00336793" w:rsidRPr="00941F2A" w:rsidRDefault="00336793" w:rsidP="00DF0B96">
            <w:pPr>
              <w:pStyle w:val="TableofFigures"/>
              <w:rPr>
                <w:rFonts w:eastAsiaTheme="minorEastAsia" w:cs="Calibri"/>
                <w:color w:val="000000"/>
                <w:sz w:val="19"/>
                <w:szCs w:val="22"/>
                <w:lang w:eastAsia="en-AU"/>
              </w:rPr>
            </w:pPr>
            <w:r w:rsidRPr="00941F2A">
              <w:rPr>
                <w:rFonts w:eastAsiaTheme="minorEastAsia"/>
                <w:sz w:val="19"/>
                <w:lang w:eastAsia="en-AU"/>
              </w:rPr>
              <w:t>1 134.7</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cs="Calibri"/>
                <w:color w:val="000000"/>
                <w:sz w:val="19"/>
                <w:szCs w:val="22"/>
                <w:lang w:eastAsia="en-AU"/>
              </w:rPr>
            </w:pPr>
            <w:r w:rsidRPr="00941F2A">
              <w:rPr>
                <w:rFonts w:eastAsiaTheme="minorEastAsia"/>
                <w:sz w:val="19"/>
                <w:lang w:eastAsia="en-AU"/>
              </w:rPr>
              <w:t>(1 134.7</w:t>
            </w:r>
            <w:r w:rsidRPr="00941F2A">
              <w:rPr>
                <w:rFonts w:eastAsiaTheme="minorEastAsia" w:cs="Calibri"/>
                <w:color w:val="000000"/>
                <w:sz w:val="19"/>
                <w:szCs w:val="22"/>
                <w:lang w:eastAsia="en-AU"/>
              </w:rPr>
              <w:t>)</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370"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19"/>
                <w:lang w:eastAsia="en-AU"/>
              </w:rPr>
              <w:t>..</w:t>
            </w:r>
          </w:p>
        </w:tc>
      </w:tr>
      <w:tr w:rsidR="00336793" w:rsidRPr="00941F2A" w:rsidTr="00DF0B96">
        <w:tc>
          <w:tcPr>
            <w:tcW w:w="4837" w:type="dxa"/>
            <w:tcBorders>
              <w:top w:val="single" w:sz="6" w:space="0" w:color="auto"/>
              <w:left w:val="nil"/>
              <w:bottom w:val="single" w:sz="12" w:space="0" w:color="auto"/>
              <w:right w:val="nil"/>
            </w:tcBorders>
          </w:tcPr>
          <w:p w:rsidR="00336793" w:rsidRPr="00941F2A" w:rsidRDefault="00336793" w:rsidP="00DF0B96">
            <w:pPr>
              <w:pStyle w:val="Tabletext"/>
              <w:rPr>
                <w:rFonts w:eastAsiaTheme="minorEastAsia"/>
                <w:b/>
                <w:bCs/>
                <w:sz w:val="19"/>
                <w:lang w:eastAsia="en-AU"/>
              </w:rPr>
            </w:pPr>
            <w:r w:rsidRPr="00941F2A">
              <w:rPr>
                <w:rFonts w:eastAsiaTheme="minorEastAsia"/>
                <w:b/>
                <w:bCs/>
                <w:sz w:val="19"/>
                <w:lang w:eastAsia="en-AU"/>
              </w:rPr>
              <w:t>Total equity as at 30 June 2015</w:t>
            </w:r>
          </w:p>
        </w:tc>
        <w:tc>
          <w:tcPr>
            <w:tcW w:w="1559"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45 788.5</w:t>
            </w:r>
          </w:p>
        </w:tc>
        <w:tc>
          <w:tcPr>
            <w:tcW w:w="1559"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50.0</w:t>
            </w:r>
          </w:p>
        </w:tc>
        <w:tc>
          <w:tcPr>
            <w:tcW w:w="1985"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43 354.8</w:t>
            </w:r>
          </w:p>
        </w:tc>
        <w:tc>
          <w:tcPr>
            <w:tcW w:w="1984"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46 413.0</w:t>
            </w:r>
          </w:p>
        </w:tc>
        <w:tc>
          <w:tcPr>
            <w:tcW w:w="1276"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728.2</w:t>
            </w:r>
          </w:p>
        </w:tc>
        <w:tc>
          <w:tcPr>
            <w:tcW w:w="1370"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136 334.5</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b/>
                <w:bCs/>
                <w:sz w:val="19"/>
                <w:lang w:eastAsia="en-AU"/>
              </w:rPr>
            </w:pPr>
            <w:r w:rsidRPr="00941F2A">
              <w:rPr>
                <w:rFonts w:eastAsiaTheme="minorEastAsia"/>
                <w:b/>
                <w:bCs/>
                <w:sz w:val="19"/>
                <w:lang w:eastAsia="en-AU"/>
              </w:rPr>
              <w:t>Variance to original budget</w:t>
            </w:r>
          </w:p>
        </w:tc>
        <w:tc>
          <w:tcPr>
            <w:tcW w:w="1559"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559"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985"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984"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276"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370"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r>
      <w:tr w:rsidR="00336793" w:rsidRPr="00941F2A" w:rsidTr="00DF0B96">
        <w:tc>
          <w:tcPr>
            <w:tcW w:w="4837" w:type="dxa"/>
            <w:tcBorders>
              <w:top w:val="nil"/>
              <w:left w:val="nil"/>
              <w:bottom w:val="nil"/>
              <w:right w:val="nil"/>
            </w:tcBorders>
            <w:shd w:val="solid" w:color="FFFFFF" w:fill="auto"/>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Balance at 1 July 2014</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(1 997.2)</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3 994.9</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1 434.1</w:t>
            </w:r>
          </w:p>
        </w:tc>
        <w:tc>
          <w:tcPr>
            <w:tcW w:w="1276"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19"/>
                <w:lang w:eastAsia="en-AU"/>
              </w:rPr>
              <w:t>(</w:t>
            </w:r>
            <w:r w:rsidRPr="00941F2A">
              <w:rPr>
                <w:rFonts w:eastAsiaTheme="minorEastAsia" w:cs="Calibri"/>
                <w:color w:val="000000"/>
                <w:sz w:val="19"/>
                <w:szCs w:val="22"/>
                <w:lang w:eastAsia="en-AU"/>
              </w:rPr>
              <w:t>313.7)</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3 118.0</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Net result for the year</w:t>
            </w:r>
          </w:p>
        </w:tc>
        <w:tc>
          <w:tcPr>
            <w:tcW w:w="1559"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19"/>
                <w:lang w:eastAsia="en-AU"/>
              </w:rPr>
              <w:t>(</w:t>
            </w:r>
            <w:r w:rsidRPr="00941F2A">
              <w:rPr>
                <w:rFonts w:eastAsiaTheme="minorEastAsia" w:cs="Calibri"/>
                <w:color w:val="000000"/>
                <w:sz w:val="19"/>
                <w:szCs w:val="22"/>
                <w:lang w:eastAsia="en-AU"/>
              </w:rPr>
              <w:t>403.5)</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370"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19"/>
                <w:lang w:eastAsia="en-AU"/>
              </w:rPr>
              <w:t>(</w:t>
            </w:r>
            <w:r w:rsidRPr="00941F2A">
              <w:rPr>
                <w:rFonts w:eastAsiaTheme="minorEastAsia" w:cs="Calibri"/>
                <w:color w:val="000000"/>
                <w:sz w:val="19"/>
                <w:szCs w:val="22"/>
                <w:lang w:eastAsia="en-AU"/>
              </w:rPr>
              <w:t>403.5)</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Other comprehensive income for the year</w:t>
            </w:r>
          </w:p>
        </w:tc>
        <w:tc>
          <w:tcPr>
            <w:tcW w:w="1559"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19"/>
                <w:lang w:eastAsia="en-AU"/>
              </w:rPr>
              <w:t>(</w:t>
            </w:r>
            <w:r w:rsidRPr="00941F2A">
              <w:rPr>
                <w:rFonts w:eastAsiaTheme="minorEastAsia" w:cs="Calibri"/>
                <w:color w:val="000000"/>
                <w:sz w:val="19"/>
                <w:szCs w:val="22"/>
                <w:lang w:eastAsia="en-AU"/>
              </w:rPr>
              <w:t>233.9)</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cs="Calibri"/>
                <w:color w:val="000000"/>
                <w:sz w:val="19"/>
                <w:szCs w:val="22"/>
                <w:lang w:eastAsia="en-AU"/>
              </w:rPr>
            </w:pPr>
            <w:r w:rsidRPr="00941F2A">
              <w:rPr>
                <w:rFonts w:eastAsiaTheme="minorEastAsia"/>
                <w:sz w:val="19"/>
                <w:lang w:eastAsia="en-AU"/>
              </w:rPr>
              <w:t>(1 382.2</w:t>
            </w:r>
            <w:r w:rsidRPr="00941F2A">
              <w:rPr>
                <w:rFonts w:eastAsiaTheme="minorEastAsia" w:cs="Calibri"/>
                <w:color w:val="000000"/>
                <w:sz w:val="19"/>
                <w:szCs w:val="22"/>
                <w:lang w:eastAsia="en-AU"/>
              </w:rPr>
              <w:t>)</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1 341.4</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91.8</w:t>
            </w:r>
          </w:p>
        </w:tc>
        <w:tc>
          <w:tcPr>
            <w:tcW w:w="1370"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19"/>
                <w:lang w:eastAsia="en-AU"/>
              </w:rPr>
              <w:t>(</w:t>
            </w:r>
            <w:r w:rsidRPr="00941F2A">
              <w:rPr>
                <w:rFonts w:eastAsiaTheme="minorEastAsia" w:cs="Calibri"/>
                <w:color w:val="000000"/>
                <w:sz w:val="19"/>
                <w:szCs w:val="22"/>
                <w:lang w:eastAsia="en-AU"/>
              </w:rPr>
              <w:t>182.9)</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Transfer to accumulated surplus</w:t>
            </w:r>
          </w:p>
        </w:tc>
        <w:tc>
          <w:tcPr>
            <w:tcW w:w="1559" w:type="dxa"/>
            <w:tcBorders>
              <w:top w:val="nil"/>
              <w:left w:val="nil"/>
              <w:bottom w:val="nil"/>
              <w:right w:val="nil"/>
            </w:tcBorders>
          </w:tcPr>
          <w:p w:rsidR="00336793" w:rsidRPr="00941F2A" w:rsidRDefault="00336793" w:rsidP="00DF0B96">
            <w:pPr>
              <w:pStyle w:val="TableofFigures"/>
              <w:rPr>
                <w:rFonts w:eastAsiaTheme="minorEastAsia" w:cs="Calibri"/>
                <w:color w:val="000000"/>
                <w:sz w:val="19"/>
                <w:szCs w:val="22"/>
                <w:lang w:eastAsia="en-AU"/>
              </w:rPr>
            </w:pPr>
            <w:r w:rsidRPr="00941F2A">
              <w:rPr>
                <w:rFonts w:eastAsiaTheme="minorEastAsia"/>
                <w:sz w:val="19"/>
                <w:lang w:eastAsia="en-AU"/>
              </w:rPr>
              <w:t>1 134.7</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(1 134.7)</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370"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19"/>
                <w:lang w:eastAsia="en-AU"/>
              </w:rPr>
              <w:t>..</w:t>
            </w:r>
          </w:p>
        </w:tc>
      </w:tr>
      <w:tr w:rsidR="00336793" w:rsidRPr="00941F2A" w:rsidTr="00DF0B96">
        <w:tc>
          <w:tcPr>
            <w:tcW w:w="4837" w:type="dxa"/>
            <w:tcBorders>
              <w:top w:val="single" w:sz="6" w:space="0" w:color="auto"/>
              <w:left w:val="nil"/>
              <w:bottom w:val="single" w:sz="12" w:space="0" w:color="auto"/>
              <w:right w:val="nil"/>
            </w:tcBorders>
          </w:tcPr>
          <w:p w:rsidR="00336793" w:rsidRPr="00941F2A" w:rsidRDefault="00336793" w:rsidP="00DF0B96">
            <w:pPr>
              <w:pStyle w:val="Tabletext"/>
              <w:rPr>
                <w:rFonts w:eastAsiaTheme="minorEastAsia"/>
                <w:b/>
                <w:bCs/>
                <w:sz w:val="19"/>
                <w:lang w:eastAsia="en-AU"/>
              </w:rPr>
            </w:pPr>
            <w:r w:rsidRPr="00941F2A">
              <w:rPr>
                <w:rFonts w:eastAsiaTheme="minorEastAsia"/>
                <w:b/>
                <w:bCs/>
                <w:sz w:val="19"/>
                <w:lang w:eastAsia="en-AU"/>
              </w:rPr>
              <w:t>Total equity at end of the year</w:t>
            </w:r>
          </w:p>
        </w:tc>
        <w:tc>
          <w:tcPr>
            <w:tcW w:w="1559"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(1 499.9)</w:t>
            </w:r>
          </w:p>
        </w:tc>
        <w:tc>
          <w:tcPr>
            <w:tcW w:w="1559"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w:t>
            </w:r>
          </w:p>
        </w:tc>
        <w:tc>
          <w:tcPr>
            <w:tcW w:w="1985"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1 478.0</w:t>
            </w:r>
          </w:p>
        </w:tc>
        <w:tc>
          <w:tcPr>
            <w:tcW w:w="1984"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2 775.5</w:t>
            </w:r>
          </w:p>
        </w:tc>
        <w:tc>
          <w:tcPr>
            <w:tcW w:w="1276"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cs="Calibri"/>
                <w:b/>
                <w:bCs/>
                <w:color w:val="000000"/>
                <w:szCs w:val="22"/>
                <w:lang w:eastAsia="en-AU"/>
              </w:rPr>
            </w:pPr>
            <w:r>
              <w:rPr>
                <w:rFonts w:eastAsiaTheme="minorEastAsia"/>
                <w:b/>
                <w:bCs/>
                <w:sz w:val="19"/>
                <w:lang w:eastAsia="en-AU"/>
              </w:rPr>
              <w:t>(</w:t>
            </w:r>
            <w:r w:rsidRPr="00941F2A">
              <w:rPr>
                <w:rFonts w:eastAsiaTheme="minorEastAsia" w:cs="Calibri"/>
                <w:b/>
                <w:bCs/>
                <w:color w:val="000000"/>
                <w:sz w:val="19"/>
                <w:szCs w:val="22"/>
                <w:lang w:eastAsia="en-AU"/>
              </w:rPr>
              <w:t>221.9)</w:t>
            </w:r>
          </w:p>
        </w:tc>
        <w:tc>
          <w:tcPr>
            <w:tcW w:w="1370" w:type="dxa"/>
            <w:tcBorders>
              <w:top w:val="single" w:sz="6" w:space="0" w:color="auto"/>
              <w:left w:val="nil"/>
              <w:bottom w:val="single" w:sz="12" w:space="0" w:color="auto"/>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2 531.7</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b/>
                <w:bCs/>
                <w:sz w:val="19"/>
                <w:lang w:eastAsia="en-AU"/>
              </w:rPr>
            </w:pPr>
            <w:r w:rsidRPr="00941F2A">
              <w:rPr>
                <w:rFonts w:eastAsiaTheme="minorEastAsia"/>
                <w:b/>
                <w:bCs/>
                <w:sz w:val="19"/>
                <w:lang w:eastAsia="en-AU"/>
              </w:rPr>
              <w:t>Variance to revised budget</w:t>
            </w:r>
          </w:p>
        </w:tc>
        <w:tc>
          <w:tcPr>
            <w:tcW w:w="1559"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559"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985"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984"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276"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c>
          <w:tcPr>
            <w:tcW w:w="1370" w:type="dxa"/>
            <w:tcBorders>
              <w:top w:val="nil"/>
              <w:left w:val="nil"/>
              <w:bottom w:val="nil"/>
              <w:right w:val="nil"/>
            </w:tcBorders>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w:t>
            </w:r>
          </w:p>
        </w:tc>
      </w:tr>
      <w:tr w:rsidR="00336793" w:rsidRPr="00941F2A" w:rsidTr="00DF0B96">
        <w:tc>
          <w:tcPr>
            <w:tcW w:w="4837" w:type="dxa"/>
            <w:tcBorders>
              <w:top w:val="nil"/>
              <w:left w:val="nil"/>
              <w:bottom w:val="nil"/>
              <w:right w:val="nil"/>
            </w:tcBorders>
            <w:shd w:val="solid" w:color="FFFFFF" w:fill="auto"/>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Balance at 1 July 2014</w:t>
            </w:r>
          </w:p>
        </w:tc>
        <w:tc>
          <w:tcPr>
            <w:tcW w:w="1559" w:type="dxa"/>
            <w:tcBorders>
              <w:top w:val="nil"/>
              <w:left w:val="nil"/>
              <w:bottom w:val="nil"/>
              <w:right w:val="nil"/>
            </w:tcBorders>
          </w:tcPr>
          <w:p w:rsidR="00336793" w:rsidRPr="00941F2A" w:rsidRDefault="00336793" w:rsidP="00DF0B96">
            <w:pPr>
              <w:pStyle w:val="TableofFigures"/>
              <w:rPr>
                <w:rFonts w:eastAsiaTheme="minorEastAsia" w:cs="Calibri"/>
                <w:color w:val="000000"/>
                <w:sz w:val="19"/>
                <w:szCs w:val="22"/>
                <w:lang w:eastAsia="en-AU"/>
              </w:rPr>
            </w:pPr>
            <w:r w:rsidRPr="00941F2A">
              <w:rPr>
                <w:rFonts w:eastAsiaTheme="minorEastAsia"/>
                <w:sz w:val="19"/>
                <w:lang w:eastAsia="en-AU"/>
              </w:rPr>
              <w:t xml:space="preserve"> </w:t>
            </w:r>
            <w:r w:rsidRPr="00941F2A">
              <w:rPr>
                <w:rFonts w:eastAsiaTheme="minorEastAsia" w:cs="Calibri"/>
                <w:color w:val="000000"/>
                <w:sz w:val="19"/>
                <w:szCs w:val="22"/>
                <w:lang w:eastAsia="en-AU"/>
              </w:rPr>
              <w:t>103.4</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19"/>
                <w:lang w:eastAsia="en-AU"/>
              </w:rPr>
              <w:t>(</w:t>
            </w:r>
            <w:r w:rsidRPr="00941F2A">
              <w:rPr>
                <w:rFonts w:eastAsiaTheme="minorEastAsia" w:cs="Calibri"/>
                <w:color w:val="000000"/>
                <w:sz w:val="19"/>
                <w:szCs w:val="22"/>
                <w:lang w:eastAsia="en-AU"/>
              </w:rPr>
              <w:t>58.1)</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370" w:type="dxa"/>
            <w:tcBorders>
              <w:top w:val="nil"/>
              <w:left w:val="nil"/>
              <w:bottom w:val="nil"/>
              <w:right w:val="nil"/>
            </w:tcBorders>
          </w:tcPr>
          <w:p w:rsidR="00336793" w:rsidRPr="00941F2A" w:rsidRDefault="00336793" w:rsidP="00DF0B96">
            <w:pPr>
              <w:pStyle w:val="TableofFigures"/>
              <w:rPr>
                <w:rFonts w:eastAsiaTheme="minorEastAsia" w:cs="Calibri"/>
                <w:color w:val="000000"/>
                <w:sz w:val="19"/>
                <w:szCs w:val="22"/>
                <w:lang w:eastAsia="en-AU"/>
              </w:rPr>
            </w:pPr>
            <w:r w:rsidRPr="00941F2A">
              <w:rPr>
                <w:rFonts w:eastAsiaTheme="minorEastAsia"/>
                <w:sz w:val="19"/>
                <w:lang w:eastAsia="en-AU"/>
              </w:rPr>
              <w:t xml:space="preserve"> 45.3</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Net result for the year</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216.9</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216.9</w:t>
            </w:r>
          </w:p>
        </w:tc>
      </w:tr>
      <w:tr w:rsidR="00336793" w:rsidRPr="00941F2A" w:rsidTr="00DF0B96">
        <w:tc>
          <w:tcPr>
            <w:tcW w:w="4837" w:type="dxa"/>
            <w:tcBorders>
              <w:top w:val="nil"/>
              <w:left w:val="nil"/>
              <w:bottom w:val="nil"/>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Other comprehensive income for the year</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4 504.9</w:t>
            </w:r>
          </w:p>
        </w:tc>
        <w:tc>
          <w:tcPr>
            <w:tcW w:w="1559"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nil"/>
              <w:right w:val="nil"/>
            </w:tcBorders>
          </w:tcPr>
          <w:p w:rsidR="00336793" w:rsidRPr="00941F2A" w:rsidRDefault="00336793" w:rsidP="00DF0B96">
            <w:pPr>
              <w:pStyle w:val="TableofFigures"/>
              <w:rPr>
                <w:rFonts w:eastAsiaTheme="minorEastAsia" w:cs="Calibri"/>
                <w:color w:val="000000"/>
                <w:sz w:val="19"/>
                <w:szCs w:val="22"/>
                <w:lang w:eastAsia="en-AU"/>
              </w:rPr>
            </w:pPr>
            <w:r w:rsidRPr="00941F2A">
              <w:rPr>
                <w:rFonts w:eastAsiaTheme="minorEastAsia"/>
                <w:sz w:val="19"/>
                <w:lang w:eastAsia="en-AU"/>
              </w:rPr>
              <w:t>(2 295.8</w:t>
            </w:r>
            <w:r w:rsidRPr="00941F2A">
              <w:rPr>
                <w:rFonts w:eastAsiaTheme="minorEastAsia" w:cs="Calibri"/>
                <w:color w:val="000000"/>
                <w:sz w:val="19"/>
                <w:szCs w:val="22"/>
                <w:lang w:eastAsia="en-AU"/>
              </w:rPr>
              <w:t>)</w:t>
            </w:r>
          </w:p>
        </w:tc>
        <w:tc>
          <w:tcPr>
            <w:tcW w:w="1984"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1 787.6</w:t>
            </w:r>
          </w:p>
        </w:tc>
        <w:tc>
          <w:tcPr>
            <w:tcW w:w="1276"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 xml:space="preserve"> 86.9</w:t>
            </w:r>
          </w:p>
        </w:tc>
        <w:tc>
          <w:tcPr>
            <w:tcW w:w="1370" w:type="dxa"/>
            <w:tcBorders>
              <w:top w:val="nil"/>
              <w:left w:val="nil"/>
              <w:bottom w:val="nil"/>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4 083.6</w:t>
            </w:r>
          </w:p>
        </w:tc>
      </w:tr>
      <w:tr w:rsidR="00336793" w:rsidRPr="00941F2A" w:rsidTr="00DF0B96">
        <w:tc>
          <w:tcPr>
            <w:tcW w:w="4837" w:type="dxa"/>
            <w:tcBorders>
              <w:top w:val="nil"/>
              <w:left w:val="nil"/>
              <w:bottom w:val="single" w:sz="6" w:space="0" w:color="auto"/>
              <w:right w:val="nil"/>
            </w:tcBorders>
          </w:tcPr>
          <w:p w:rsidR="00336793" w:rsidRPr="00941F2A" w:rsidRDefault="00336793" w:rsidP="00DF0B96">
            <w:pPr>
              <w:pStyle w:val="Tabletext"/>
              <w:rPr>
                <w:rFonts w:eastAsiaTheme="minorEastAsia"/>
                <w:sz w:val="19"/>
                <w:lang w:eastAsia="en-AU"/>
              </w:rPr>
            </w:pPr>
            <w:r w:rsidRPr="00941F2A">
              <w:rPr>
                <w:rFonts w:eastAsiaTheme="minorEastAsia"/>
                <w:sz w:val="19"/>
                <w:lang w:eastAsia="en-AU"/>
              </w:rPr>
              <w:t>Transfer to accumulated surplus</w:t>
            </w:r>
          </w:p>
        </w:tc>
        <w:tc>
          <w:tcPr>
            <w:tcW w:w="1559" w:type="dxa"/>
            <w:tcBorders>
              <w:top w:val="nil"/>
              <w:left w:val="nil"/>
              <w:bottom w:val="single" w:sz="6" w:space="0" w:color="auto"/>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1 134.7</w:t>
            </w:r>
          </w:p>
        </w:tc>
        <w:tc>
          <w:tcPr>
            <w:tcW w:w="1559" w:type="dxa"/>
            <w:tcBorders>
              <w:top w:val="nil"/>
              <w:left w:val="nil"/>
              <w:bottom w:val="single" w:sz="6" w:space="0" w:color="auto"/>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985" w:type="dxa"/>
            <w:tcBorders>
              <w:top w:val="nil"/>
              <w:left w:val="nil"/>
              <w:bottom w:val="single" w:sz="6" w:space="0" w:color="auto"/>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(1 134.7)</w:t>
            </w:r>
          </w:p>
        </w:tc>
        <w:tc>
          <w:tcPr>
            <w:tcW w:w="1984" w:type="dxa"/>
            <w:tcBorders>
              <w:top w:val="nil"/>
              <w:left w:val="nil"/>
              <w:bottom w:val="single" w:sz="6" w:space="0" w:color="auto"/>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276" w:type="dxa"/>
            <w:tcBorders>
              <w:top w:val="nil"/>
              <w:left w:val="nil"/>
              <w:bottom w:val="single" w:sz="6" w:space="0" w:color="auto"/>
              <w:right w:val="nil"/>
            </w:tcBorders>
          </w:tcPr>
          <w:p w:rsidR="00336793" w:rsidRPr="00941F2A" w:rsidRDefault="00336793" w:rsidP="00DF0B96">
            <w:pPr>
              <w:pStyle w:val="TableofFigures"/>
              <w:rPr>
                <w:rFonts w:eastAsiaTheme="minorEastAsia"/>
                <w:sz w:val="19"/>
                <w:lang w:eastAsia="en-AU"/>
              </w:rPr>
            </w:pPr>
            <w:r w:rsidRPr="00941F2A">
              <w:rPr>
                <w:rFonts w:eastAsiaTheme="minorEastAsia"/>
                <w:sz w:val="19"/>
                <w:lang w:eastAsia="en-AU"/>
              </w:rPr>
              <w:t>..</w:t>
            </w:r>
          </w:p>
        </w:tc>
        <w:tc>
          <w:tcPr>
            <w:tcW w:w="1370" w:type="dxa"/>
            <w:tcBorders>
              <w:top w:val="nil"/>
              <w:left w:val="nil"/>
              <w:bottom w:val="single" w:sz="6" w:space="0" w:color="auto"/>
              <w:right w:val="nil"/>
            </w:tcBorders>
          </w:tcPr>
          <w:p w:rsidR="00336793" w:rsidRPr="00941F2A" w:rsidRDefault="00336793" w:rsidP="00DF0B96">
            <w:pPr>
              <w:pStyle w:val="TableofFigures"/>
              <w:rPr>
                <w:rFonts w:eastAsiaTheme="minorEastAsia" w:cs="Calibri"/>
                <w:color w:val="000000"/>
                <w:szCs w:val="22"/>
                <w:lang w:eastAsia="en-AU"/>
              </w:rPr>
            </w:pPr>
            <w:r>
              <w:rPr>
                <w:rFonts w:eastAsiaTheme="minorEastAsia"/>
                <w:sz w:val="19"/>
                <w:lang w:eastAsia="en-AU"/>
              </w:rPr>
              <w:t>..</w:t>
            </w:r>
          </w:p>
        </w:tc>
      </w:tr>
      <w:tr w:rsidR="00336793" w:rsidRPr="00941F2A" w:rsidTr="00DF0B96">
        <w:tc>
          <w:tcPr>
            <w:tcW w:w="4837"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text"/>
              <w:rPr>
                <w:rFonts w:eastAsiaTheme="minorEastAsia"/>
                <w:b/>
                <w:bCs/>
                <w:sz w:val="19"/>
                <w:lang w:eastAsia="en-AU"/>
              </w:rPr>
            </w:pPr>
            <w:r w:rsidRPr="00941F2A">
              <w:rPr>
                <w:rFonts w:eastAsiaTheme="minorEastAsia"/>
                <w:b/>
                <w:bCs/>
                <w:sz w:val="19"/>
                <w:lang w:eastAsia="en-AU"/>
              </w:rPr>
              <w:t>Total equity at end of the year</w:t>
            </w:r>
          </w:p>
        </w:tc>
        <w:tc>
          <w:tcPr>
            <w:tcW w:w="1559"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5 960.0</w:t>
            </w:r>
          </w:p>
        </w:tc>
        <w:tc>
          <w:tcPr>
            <w:tcW w:w="1559"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w:t>
            </w:r>
          </w:p>
        </w:tc>
        <w:tc>
          <w:tcPr>
            <w:tcW w:w="1985"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(3 488.6)</w:t>
            </w:r>
          </w:p>
        </w:tc>
        <w:tc>
          <w:tcPr>
            <w:tcW w:w="1984"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1 787.6</w:t>
            </w:r>
          </w:p>
        </w:tc>
        <w:tc>
          <w:tcPr>
            <w:tcW w:w="1276"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 xml:space="preserve"> 86.9</w:t>
            </w:r>
          </w:p>
        </w:tc>
        <w:tc>
          <w:tcPr>
            <w:tcW w:w="1370" w:type="dxa"/>
            <w:tcBorders>
              <w:top w:val="single" w:sz="6" w:space="0" w:color="auto"/>
              <w:left w:val="nil"/>
              <w:bottom w:val="single" w:sz="12" w:space="0" w:color="000000"/>
              <w:right w:val="nil"/>
            </w:tcBorders>
            <w:shd w:val="clear" w:color="auto" w:fill="auto"/>
          </w:tcPr>
          <w:p w:rsidR="00336793" w:rsidRPr="00941F2A" w:rsidRDefault="00336793" w:rsidP="00DF0B96">
            <w:pPr>
              <w:pStyle w:val="TableofFigures"/>
              <w:rPr>
                <w:rFonts w:eastAsiaTheme="minorEastAsia"/>
                <w:b/>
                <w:bCs/>
                <w:sz w:val="19"/>
                <w:lang w:eastAsia="en-AU"/>
              </w:rPr>
            </w:pPr>
            <w:r w:rsidRPr="00941F2A">
              <w:rPr>
                <w:rFonts w:eastAsiaTheme="minorEastAsia"/>
                <w:b/>
                <w:bCs/>
                <w:sz w:val="19"/>
                <w:lang w:eastAsia="en-AU"/>
              </w:rPr>
              <w:t>4 345.9</w:t>
            </w:r>
          </w:p>
        </w:tc>
      </w:tr>
    </w:tbl>
    <w:p w:rsidR="00336793" w:rsidRDefault="00336793" w:rsidP="00DF0B96">
      <w:pPr>
        <w:pStyle w:val="Notes"/>
      </w:pPr>
    </w:p>
    <w:p w:rsidR="00336793" w:rsidRDefault="00336793" w:rsidP="00DF0B96"/>
    <w:p w:rsidR="00336793" w:rsidRDefault="00336793" w:rsidP="00DF0B96">
      <w:pPr>
        <w:sectPr w:rsidR="00336793" w:rsidSect="00DF0B96">
          <w:headerReference w:type="even" r:id="rId102"/>
          <w:headerReference w:type="default" r:id="rId103"/>
          <w:footerReference w:type="even" r:id="rId104"/>
          <w:footerReference w:type="default" r:id="rId105"/>
          <w:pgSz w:w="16838" w:h="11906" w:orient="landscape" w:code="9"/>
          <w:pgMar w:top="1152" w:right="1152" w:bottom="1152" w:left="1152" w:header="720" w:footer="720" w:gutter="0"/>
          <w:cols w:space="708"/>
          <w:docGrid w:linePitch="360"/>
        </w:sectPr>
      </w:pPr>
    </w:p>
    <w:p w:rsidR="00336793" w:rsidRPr="006A75A2" w:rsidRDefault="00336793" w:rsidP="00DF0B96">
      <w:pPr>
        <w:pStyle w:val="Heading2Notes"/>
        <w:rPr>
          <w:kern w:val="0"/>
        </w:rPr>
      </w:pPr>
      <w:bookmarkStart w:id="105" w:name="_Toc396487706"/>
      <w:bookmarkStart w:id="106" w:name="_Toc400040280"/>
      <w:bookmarkStart w:id="107" w:name="_Toc433984516"/>
      <w:r w:rsidRPr="006A75A2">
        <w:rPr>
          <w:kern w:val="0"/>
        </w:rPr>
        <w:lastRenderedPageBreak/>
        <w:t>Note 33:</w:t>
      </w:r>
      <w:r w:rsidRPr="006A75A2">
        <w:rPr>
          <w:kern w:val="0"/>
        </w:rPr>
        <w:tab/>
        <w:t>Financial instruments</w:t>
      </w:r>
      <w:bookmarkEnd w:id="105"/>
      <w:bookmarkEnd w:id="106"/>
      <w:bookmarkEnd w:id="107"/>
    </w:p>
    <w:p w:rsidR="00336793" w:rsidRPr="006A75A2" w:rsidRDefault="00336793" w:rsidP="00DF0B96">
      <w:pPr>
        <w:pStyle w:val="Heading2"/>
      </w:pPr>
      <w:r w:rsidRPr="006A75A2">
        <w:t>Financial risk management objectives and policies</w:t>
      </w:r>
    </w:p>
    <w:p w:rsidR="00336793" w:rsidRPr="006A75A2" w:rsidRDefault="00336793" w:rsidP="00DF0B96">
      <w:r w:rsidRPr="006A75A2">
        <w:t>The State</w:t>
      </w:r>
      <w:r>
        <w:t>’</w:t>
      </w:r>
      <w:r w:rsidRPr="006A75A2">
        <w:t>s principal financial instruments comprise of:</w:t>
      </w:r>
    </w:p>
    <w:p w:rsidR="00336793" w:rsidRPr="006A75A2" w:rsidRDefault="00336793" w:rsidP="00DF0B96">
      <w:pPr>
        <w:pStyle w:val="BulletText"/>
        <w:spacing w:after="80"/>
      </w:pPr>
      <w:r w:rsidRPr="006A75A2">
        <w:t>cash and deposits;</w:t>
      </w:r>
    </w:p>
    <w:p w:rsidR="00336793" w:rsidRPr="006A75A2" w:rsidRDefault="00336793" w:rsidP="00DF0B96">
      <w:pPr>
        <w:pStyle w:val="BulletText"/>
        <w:spacing w:after="80"/>
      </w:pPr>
      <w:r w:rsidRPr="006A75A2">
        <w:t>receivables (excluding statutory and other receivables);</w:t>
      </w:r>
    </w:p>
    <w:p w:rsidR="00336793" w:rsidRPr="006A75A2" w:rsidRDefault="00336793" w:rsidP="00DF0B96">
      <w:pPr>
        <w:pStyle w:val="BulletText"/>
        <w:spacing w:after="80"/>
      </w:pPr>
      <w:r w:rsidRPr="006A75A2">
        <w:t>advances paid and term deposits;</w:t>
      </w:r>
    </w:p>
    <w:p w:rsidR="00336793" w:rsidRPr="006A75A2" w:rsidRDefault="00336793" w:rsidP="00DF0B96">
      <w:pPr>
        <w:pStyle w:val="BulletText"/>
        <w:spacing w:after="80"/>
      </w:pPr>
      <w:r w:rsidRPr="006A75A2">
        <w:t>derivative financial instruments;</w:t>
      </w:r>
    </w:p>
    <w:p w:rsidR="00336793" w:rsidRPr="006A75A2" w:rsidRDefault="00336793" w:rsidP="00DF0B96">
      <w:pPr>
        <w:pStyle w:val="BulletText"/>
        <w:spacing w:after="80"/>
      </w:pPr>
      <w:r w:rsidRPr="006A75A2">
        <w:t>investments in equities and managed investment schemes;</w:t>
      </w:r>
    </w:p>
    <w:p w:rsidR="00336793" w:rsidRPr="006A75A2" w:rsidRDefault="00336793" w:rsidP="00DF0B96">
      <w:pPr>
        <w:pStyle w:val="BulletText"/>
        <w:spacing w:after="80"/>
      </w:pPr>
      <w:r w:rsidRPr="006A75A2">
        <w:t>debt securities;</w:t>
      </w:r>
    </w:p>
    <w:p w:rsidR="00336793" w:rsidRPr="006A75A2" w:rsidRDefault="00336793" w:rsidP="00DF0B96">
      <w:pPr>
        <w:pStyle w:val="BulletText"/>
        <w:spacing w:after="80"/>
      </w:pPr>
      <w:r w:rsidRPr="006A75A2">
        <w:t>deposits held and advances received;</w:t>
      </w:r>
    </w:p>
    <w:p w:rsidR="00336793" w:rsidRPr="006A75A2" w:rsidRDefault="00336793" w:rsidP="00DF0B96">
      <w:pPr>
        <w:pStyle w:val="BulletText"/>
        <w:spacing w:after="80"/>
      </w:pPr>
      <w:r w:rsidRPr="006A75A2">
        <w:t>payables (excluding statutory payables, unearned income and advance premiums); and</w:t>
      </w:r>
    </w:p>
    <w:p w:rsidR="00336793" w:rsidRPr="006A75A2" w:rsidRDefault="00336793" w:rsidP="00DF0B96">
      <w:pPr>
        <w:pStyle w:val="BulletText"/>
      </w:pPr>
      <w:r w:rsidRPr="006A75A2">
        <w:t>borrowings (including finance lease liabilities).</w:t>
      </w:r>
    </w:p>
    <w:p w:rsidR="00336793" w:rsidRPr="006A75A2" w:rsidRDefault="00336793" w:rsidP="00DF0B96">
      <w:r w:rsidRPr="006A75A2">
        <w:t>The main purposes for the State to hold financial instruments are:</w:t>
      </w:r>
    </w:p>
    <w:p w:rsidR="00336793" w:rsidRPr="006A75A2" w:rsidRDefault="00336793" w:rsidP="00DF0B96">
      <w:pPr>
        <w:pStyle w:val="BulletText"/>
        <w:spacing w:after="80"/>
      </w:pPr>
      <w:r w:rsidRPr="006A75A2">
        <w:t>to fund the State</w:t>
      </w:r>
      <w:r>
        <w:t>’</w:t>
      </w:r>
      <w:r w:rsidRPr="006A75A2">
        <w:t>s capital expenditure program;</w:t>
      </w:r>
    </w:p>
    <w:p w:rsidR="00336793" w:rsidRPr="006A75A2" w:rsidRDefault="00336793" w:rsidP="00DF0B96">
      <w:pPr>
        <w:pStyle w:val="BulletText"/>
        <w:spacing w:after="80"/>
      </w:pPr>
      <w:r w:rsidRPr="006A75A2">
        <w:t>to meet long</w:t>
      </w:r>
      <w:r>
        <w:noBreakHyphen/>
      </w:r>
      <w:r w:rsidRPr="006A75A2">
        <w:t>term insurance and superannuation liabilities;</w:t>
      </w:r>
    </w:p>
    <w:p w:rsidR="00336793" w:rsidRPr="006A75A2" w:rsidRDefault="00336793" w:rsidP="00DF0B96">
      <w:pPr>
        <w:pStyle w:val="BulletText"/>
        <w:spacing w:after="80"/>
      </w:pPr>
      <w:r w:rsidRPr="006A75A2">
        <w:t>to manage financial risk; and</w:t>
      </w:r>
    </w:p>
    <w:p w:rsidR="00336793" w:rsidRPr="006A75A2" w:rsidRDefault="00336793" w:rsidP="00DF0B96">
      <w:pPr>
        <w:pStyle w:val="BulletText"/>
      </w:pPr>
      <w:r w:rsidRPr="006A75A2">
        <w:t xml:space="preserve">for liquidity management purposes. </w:t>
      </w:r>
    </w:p>
    <w:p w:rsidR="00336793" w:rsidRPr="006A75A2" w:rsidRDefault="00336793" w:rsidP="00DF0B96">
      <w:pPr>
        <w:pStyle w:val="Heading5"/>
      </w:pPr>
      <w:r w:rsidRPr="006A75A2">
        <w:t>(a)</w:t>
      </w:r>
      <w:r w:rsidRPr="006A75A2">
        <w:tab/>
        <w:t>Carrying amounts of financial instruments by category</w:t>
      </w:r>
    </w:p>
    <w:p w:rsidR="00336793" w:rsidRPr="00C90C53" w:rsidRDefault="00336793" w:rsidP="00DF0B96">
      <w:pPr>
        <w:pStyle w:val="million"/>
        <w:rPr>
          <w:rFonts w:ascii="Times New Roman" w:hAnsi="Times New Roman"/>
          <w:i w:val="0"/>
          <w:szCs w:val="20"/>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327"/>
        <w:gridCol w:w="270"/>
        <w:gridCol w:w="680"/>
        <w:gridCol w:w="1120"/>
        <w:gridCol w:w="270"/>
        <w:gridCol w:w="850"/>
        <w:gridCol w:w="1120"/>
      </w:tblGrid>
      <w:tr w:rsidR="00336793" w:rsidRPr="00C90C53" w:rsidTr="00DF0B96">
        <w:tc>
          <w:tcPr>
            <w:tcW w:w="5327" w:type="dxa"/>
            <w:tcBorders>
              <w:top w:val="single" w:sz="6" w:space="0" w:color="auto"/>
              <w:left w:val="single" w:sz="6" w:space="0" w:color="auto"/>
              <w:bottom w:val="nil"/>
              <w:right w:val="nil"/>
            </w:tcBorders>
            <w:shd w:val="clear" w:color="000000" w:fill="000000"/>
          </w:tcPr>
          <w:p w:rsidR="00336793" w:rsidRPr="00C90C53" w:rsidRDefault="00336793" w:rsidP="00DF0B96">
            <w:pPr>
              <w:pStyle w:val="Tabletext"/>
              <w:rPr>
                <w:rFonts w:eastAsiaTheme="minorEastAsia"/>
                <w:b/>
                <w:lang w:eastAsia="en-AU"/>
              </w:rPr>
            </w:pPr>
            <w:r w:rsidRPr="00C90C53">
              <w:rPr>
                <w:rFonts w:eastAsiaTheme="minorEastAsia"/>
                <w:b/>
                <w:lang w:eastAsia="en-AU"/>
              </w:rPr>
              <w:t xml:space="preserve"> </w:t>
            </w:r>
          </w:p>
        </w:tc>
        <w:tc>
          <w:tcPr>
            <w:tcW w:w="270" w:type="dxa"/>
            <w:tcBorders>
              <w:top w:val="single" w:sz="6" w:space="0" w:color="auto"/>
              <w:left w:val="nil"/>
              <w:bottom w:val="nil"/>
              <w:right w:val="nil"/>
            </w:tcBorders>
            <w:shd w:val="clear" w:color="000000" w:fill="000000"/>
          </w:tcPr>
          <w:p w:rsidR="00336793" w:rsidRPr="00C90C53" w:rsidRDefault="00336793" w:rsidP="00DF0B96">
            <w:pPr>
              <w:pStyle w:val="TabletextheadingCentred"/>
              <w:rPr>
                <w:rFonts w:eastAsiaTheme="minorEastAsia"/>
                <w:lang w:eastAsia="en-AU"/>
              </w:rPr>
            </w:pPr>
            <w:r w:rsidRPr="00C90C53">
              <w:rPr>
                <w:rFonts w:eastAsiaTheme="minorEastAsia"/>
                <w:lang w:eastAsia="en-AU"/>
              </w:rPr>
              <w:t xml:space="preserve"> </w:t>
            </w:r>
          </w:p>
        </w:tc>
        <w:tc>
          <w:tcPr>
            <w:tcW w:w="1800" w:type="dxa"/>
            <w:gridSpan w:val="2"/>
            <w:tcBorders>
              <w:top w:val="single" w:sz="6" w:space="0" w:color="auto"/>
              <w:left w:val="nil"/>
              <w:bottom w:val="nil"/>
              <w:right w:val="nil"/>
            </w:tcBorders>
            <w:shd w:val="clear" w:color="000000" w:fill="000000"/>
          </w:tcPr>
          <w:p w:rsidR="00336793" w:rsidRPr="00C90C53" w:rsidRDefault="00336793" w:rsidP="00DF0B96">
            <w:pPr>
              <w:pStyle w:val="TabletextheadingCentred"/>
              <w:rPr>
                <w:rFonts w:eastAsiaTheme="minorEastAsia"/>
                <w:iCs/>
                <w:lang w:eastAsia="en-AU"/>
              </w:rPr>
            </w:pPr>
          </w:p>
          <w:p w:rsidR="00336793" w:rsidRPr="00C90C53" w:rsidRDefault="00336793" w:rsidP="00DF0B96">
            <w:pPr>
              <w:pStyle w:val="TabletextheadingCentred"/>
              <w:rPr>
                <w:rFonts w:eastAsiaTheme="minorEastAsia"/>
                <w:iCs/>
                <w:lang w:eastAsia="en-AU"/>
              </w:rPr>
            </w:pPr>
            <w:r w:rsidRPr="00C90C53">
              <w:rPr>
                <w:rFonts w:eastAsiaTheme="minorEastAsia"/>
                <w:iCs/>
                <w:lang w:eastAsia="en-AU"/>
              </w:rPr>
              <w:t>State of Victoria</w:t>
            </w:r>
          </w:p>
        </w:tc>
        <w:tc>
          <w:tcPr>
            <w:tcW w:w="270" w:type="dxa"/>
            <w:tcBorders>
              <w:top w:val="single" w:sz="6" w:space="0" w:color="auto"/>
              <w:left w:val="nil"/>
              <w:bottom w:val="nil"/>
              <w:right w:val="nil"/>
            </w:tcBorders>
            <w:shd w:val="clear" w:color="000000" w:fill="000000"/>
          </w:tcPr>
          <w:p w:rsidR="00336793" w:rsidRPr="00C90C53" w:rsidRDefault="00336793" w:rsidP="00DF0B96">
            <w:pPr>
              <w:pStyle w:val="TabletextheadingCentred"/>
              <w:rPr>
                <w:rFonts w:eastAsiaTheme="minorEastAsia"/>
                <w:iCs/>
                <w:lang w:eastAsia="en-AU"/>
              </w:rPr>
            </w:pPr>
            <w:r w:rsidRPr="00C90C53">
              <w:rPr>
                <w:rFonts w:eastAsiaTheme="minorEastAsia"/>
                <w:iCs/>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tcPr>
          <w:p w:rsidR="00336793" w:rsidRPr="00C90C53" w:rsidRDefault="00336793" w:rsidP="00DF0B96">
            <w:pPr>
              <w:pStyle w:val="TabletextheadingCentred"/>
              <w:rPr>
                <w:rFonts w:eastAsiaTheme="minorEastAsia"/>
                <w:iCs/>
                <w:lang w:eastAsia="en-AU"/>
              </w:rPr>
            </w:pPr>
            <w:r w:rsidRPr="00C90C53">
              <w:rPr>
                <w:rFonts w:eastAsiaTheme="minorEastAsia"/>
                <w:iCs/>
                <w:lang w:eastAsia="en-AU"/>
              </w:rPr>
              <w:t xml:space="preserve">General </w:t>
            </w:r>
          </w:p>
          <w:p w:rsidR="00336793" w:rsidRPr="00C90C53" w:rsidRDefault="00336793" w:rsidP="00DF0B96">
            <w:pPr>
              <w:pStyle w:val="TabletextheadingCentred"/>
              <w:rPr>
                <w:rFonts w:eastAsiaTheme="minorEastAsia"/>
                <w:iCs/>
                <w:lang w:eastAsia="en-AU"/>
              </w:rPr>
            </w:pPr>
            <w:r w:rsidRPr="00C90C53">
              <w:rPr>
                <w:rFonts w:eastAsiaTheme="minorEastAsia"/>
                <w:iCs/>
                <w:lang w:eastAsia="en-AU"/>
              </w:rPr>
              <w:t>government sector</w:t>
            </w:r>
          </w:p>
        </w:tc>
      </w:tr>
      <w:tr w:rsidR="00336793" w:rsidRPr="00C90C53" w:rsidTr="00DF0B96">
        <w:tc>
          <w:tcPr>
            <w:tcW w:w="5327" w:type="dxa"/>
            <w:tcBorders>
              <w:top w:val="nil"/>
              <w:left w:val="single" w:sz="6" w:space="0" w:color="auto"/>
              <w:bottom w:val="single" w:sz="6" w:space="0" w:color="auto"/>
              <w:right w:val="nil"/>
            </w:tcBorders>
            <w:shd w:val="clear" w:color="000000" w:fill="000000"/>
          </w:tcPr>
          <w:p w:rsidR="00336793" w:rsidRPr="00C90C53" w:rsidRDefault="00336793" w:rsidP="00DF0B96">
            <w:pPr>
              <w:pStyle w:val="Tabletext"/>
              <w:rPr>
                <w:rFonts w:eastAsiaTheme="minorEastAsia"/>
                <w:lang w:eastAsia="en-AU"/>
              </w:rPr>
            </w:pPr>
            <w:r w:rsidRPr="00C90C53">
              <w:rPr>
                <w:rFonts w:eastAsiaTheme="minorEastAsia"/>
                <w:lang w:eastAsia="en-AU"/>
              </w:rPr>
              <w:t xml:space="preserve"> </w:t>
            </w:r>
          </w:p>
        </w:tc>
        <w:tc>
          <w:tcPr>
            <w:tcW w:w="950" w:type="dxa"/>
            <w:gridSpan w:val="2"/>
            <w:tcBorders>
              <w:top w:val="nil"/>
              <w:left w:val="nil"/>
              <w:bottom w:val="single" w:sz="6" w:space="0" w:color="auto"/>
              <w:right w:val="nil"/>
            </w:tcBorders>
            <w:shd w:val="clear" w:color="000000" w:fill="000000"/>
          </w:tcPr>
          <w:p w:rsidR="00336793" w:rsidRPr="00C90C53" w:rsidRDefault="00336793" w:rsidP="00DF0B96">
            <w:pPr>
              <w:pStyle w:val="Tabletextheading"/>
              <w:rPr>
                <w:rFonts w:eastAsiaTheme="minorEastAsia"/>
                <w:iCs/>
                <w:color w:val="FFFFFF"/>
                <w:lang w:eastAsia="en-AU"/>
              </w:rPr>
            </w:pPr>
            <w:r w:rsidRPr="00C90C53">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tcPr>
          <w:p w:rsidR="00336793" w:rsidRPr="00C90C53" w:rsidRDefault="00336793" w:rsidP="00DF0B96">
            <w:pPr>
              <w:pStyle w:val="Tabletextheading"/>
              <w:rPr>
                <w:rFonts w:eastAsiaTheme="minorEastAsia"/>
                <w:iCs/>
                <w:color w:val="FFFFFF"/>
                <w:lang w:eastAsia="en-AU"/>
              </w:rPr>
            </w:pPr>
            <w:r w:rsidRPr="00C90C53">
              <w:rPr>
                <w:rFonts w:eastAsiaTheme="minorEastAsia"/>
                <w:iCs/>
                <w:color w:val="FFFFFF"/>
                <w:lang w:eastAsia="en-AU"/>
              </w:rPr>
              <w:t>2014</w:t>
            </w:r>
          </w:p>
        </w:tc>
        <w:tc>
          <w:tcPr>
            <w:tcW w:w="1120" w:type="dxa"/>
            <w:gridSpan w:val="2"/>
            <w:tcBorders>
              <w:top w:val="nil"/>
              <w:left w:val="nil"/>
              <w:bottom w:val="single" w:sz="6" w:space="0" w:color="auto"/>
              <w:right w:val="nil"/>
            </w:tcBorders>
            <w:shd w:val="clear" w:color="000000" w:fill="000000"/>
          </w:tcPr>
          <w:p w:rsidR="00336793" w:rsidRPr="00C90C53" w:rsidRDefault="00336793" w:rsidP="00DF0B96">
            <w:pPr>
              <w:pStyle w:val="Tabletextheading"/>
              <w:rPr>
                <w:rFonts w:eastAsiaTheme="minorEastAsia"/>
                <w:iCs/>
                <w:color w:val="FFFFFF"/>
                <w:lang w:eastAsia="en-AU"/>
              </w:rPr>
            </w:pPr>
            <w:r w:rsidRPr="00C90C53">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C90C53" w:rsidRDefault="00336793" w:rsidP="00DF0B96">
            <w:pPr>
              <w:pStyle w:val="Tabletextheading"/>
              <w:rPr>
                <w:rFonts w:eastAsiaTheme="minorEastAsia"/>
                <w:iCs/>
                <w:color w:val="FFFFFF"/>
                <w:lang w:eastAsia="en-AU"/>
              </w:rPr>
            </w:pPr>
            <w:r w:rsidRPr="00C90C53">
              <w:rPr>
                <w:rFonts w:eastAsiaTheme="minorEastAsia"/>
                <w:iCs/>
                <w:color w:val="FFFFFF"/>
                <w:lang w:eastAsia="en-AU"/>
              </w:rPr>
              <w:t>2014</w:t>
            </w:r>
          </w:p>
        </w:tc>
      </w:tr>
      <w:tr w:rsidR="00336793" w:rsidRPr="00C90C53" w:rsidTr="00DF0B96">
        <w:tc>
          <w:tcPr>
            <w:tcW w:w="5327" w:type="dxa"/>
            <w:tcBorders>
              <w:top w:val="single" w:sz="6" w:space="0" w:color="auto"/>
              <w:left w:val="nil"/>
              <w:bottom w:val="nil"/>
              <w:right w:val="nil"/>
            </w:tcBorders>
          </w:tcPr>
          <w:p w:rsidR="00336793" w:rsidRPr="00C90C53" w:rsidRDefault="00336793" w:rsidP="00DF0B96">
            <w:pPr>
              <w:pStyle w:val="Tabletext"/>
              <w:rPr>
                <w:rFonts w:eastAsiaTheme="minorEastAsia"/>
                <w:b/>
                <w:lang w:eastAsia="en-AU"/>
              </w:rPr>
            </w:pPr>
            <w:r w:rsidRPr="00C90C53">
              <w:rPr>
                <w:rFonts w:eastAsiaTheme="minorEastAsia"/>
                <w:b/>
                <w:lang w:eastAsia="en-AU"/>
              </w:rPr>
              <w:t>Financial assets</w:t>
            </w:r>
          </w:p>
        </w:tc>
        <w:tc>
          <w:tcPr>
            <w:tcW w:w="950" w:type="dxa"/>
            <w:gridSpan w:val="2"/>
            <w:tcBorders>
              <w:top w:val="single" w:sz="6" w:space="0" w:color="auto"/>
              <w:left w:val="nil"/>
              <w:bottom w:val="nil"/>
              <w:right w:val="nil"/>
            </w:tcBorders>
          </w:tcPr>
          <w:p w:rsidR="00336793" w:rsidRPr="00C90C53" w:rsidRDefault="00336793" w:rsidP="00DF0B96">
            <w:pPr>
              <w:pStyle w:val="TableofFigures"/>
              <w:rPr>
                <w:rFonts w:eastAsiaTheme="minorEastAsia"/>
                <w:b/>
                <w:lang w:eastAsia="en-AU"/>
              </w:rPr>
            </w:pPr>
            <w:r w:rsidRPr="00C90C53">
              <w:rPr>
                <w:rFonts w:eastAsiaTheme="minorEastAsia"/>
                <w:b/>
                <w:lang w:eastAsia="en-AU"/>
              </w:rPr>
              <w:t xml:space="preserve">  </w:t>
            </w:r>
          </w:p>
        </w:tc>
        <w:tc>
          <w:tcPr>
            <w:tcW w:w="1120" w:type="dxa"/>
            <w:tcBorders>
              <w:top w:val="single" w:sz="6" w:space="0" w:color="auto"/>
              <w:left w:val="nil"/>
              <w:bottom w:val="nil"/>
              <w:right w:val="nil"/>
            </w:tcBorders>
          </w:tcPr>
          <w:p w:rsidR="00336793" w:rsidRPr="00C90C53" w:rsidRDefault="00336793" w:rsidP="00DF0B96">
            <w:pPr>
              <w:pStyle w:val="TableofFigures"/>
              <w:rPr>
                <w:rFonts w:eastAsiaTheme="minorEastAsia"/>
                <w:b/>
                <w:i/>
                <w:iCs/>
                <w:lang w:eastAsia="en-AU"/>
              </w:rPr>
            </w:pPr>
            <w:r w:rsidRPr="00C90C53">
              <w:rPr>
                <w:rFonts w:eastAsiaTheme="minorEastAsia"/>
                <w:b/>
                <w:i/>
                <w:iCs/>
                <w:lang w:eastAsia="en-AU"/>
              </w:rPr>
              <w:t xml:space="preserve">  </w:t>
            </w:r>
          </w:p>
        </w:tc>
        <w:tc>
          <w:tcPr>
            <w:tcW w:w="1120" w:type="dxa"/>
            <w:gridSpan w:val="2"/>
            <w:tcBorders>
              <w:top w:val="single" w:sz="6" w:space="0" w:color="auto"/>
              <w:left w:val="nil"/>
              <w:bottom w:val="nil"/>
              <w:right w:val="nil"/>
            </w:tcBorders>
          </w:tcPr>
          <w:p w:rsidR="00336793" w:rsidRPr="00C90C53" w:rsidRDefault="00336793" w:rsidP="00DF0B96">
            <w:pPr>
              <w:pStyle w:val="TableofFigures"/>
              <w:rPr>
                <w:rFonts w:eastAsiaTheme="minorEastAsia"/>
                <w:b/>
                <w:i/>
                <w:iCs/>
                <w:lang w:eastAsia="en-AU"/>
              </w:rPr>
            </w:pPr>
            <w:r w:rsidRPr="00C90C53">
              <w:rPr>
                <w:rFonts w:eastAsiaTheme="minorEastAsia"/>
                <w:b/>
                <w:i/>
                <w:iCs/>
                <w:lang w:eastAsia="en-AU"/>
              </w:rPr>
              <w:t xml:space="preserve">  </w:t>
            </w:r>
          </w:p>
        </w:tc>
        <w:tc>
          <w:tcPr>
            <w:tcW w:w="1120" w:type="dxa"/>
            <w:tcBorders>
              <w:top w:val="single" w:sz="6" w:space="0" w:color="auto"/>
              <w:left w:val="nil"/>
              <w:bottom w:val="nil"/>
              <w:right w:val="nil"/>
            </w:tcBorders>
          </w:tcPr>
          <w:p w:rsidR="00336793" w:rsidRPr="00C90C53" w:rsidRDefault="00336793" w:rsidP="00DF0B96">
            <w:pPr>
              <w:pStyle w:val="TableofFigures"/>
              <w:rPr>
                <w:rFonts w:eastAsiaTheme="minorEastAsia"/>
                <w:b/>
                <w:i/>
                <w:iCs/>
                <w:lang w:eastAsia="en-AU"/>
              </w:rPr>
            </w:pPr>
            <w:r w:rsidRPr="00C90C53">
              <w:rPr>
                <w:rFonts w:eastAsiaTheme="minorEastAsia"/>
                <w:b/>
                <w:i/>
                <w:iCs/>
                <w:lang w:eastAsia="en-AU"/>
              </w:rPr>
              <w:t xml:space="preserve">  </w:t>
            </w:r>
          </w:p>
        </w:tc>
      </w:tr>
      <w:tr w:rsidR="00336793" w:rsidRPr="00C90C53" w:rsidTr="00DF0B96">
        <w:tc>
          <w:tcPr>
            <w:tcW w:w="5327" w:type="dxa"/>
            <w:tcBorders>
              <w:top w:val="nil"/>
              <w:left w:val="nil"/>
              <w:bottom w:val="nil"/>
              <w:right w:val="nil"/>
            </w:tcBorders>
            <w:shd w:val="solid" w:color="FFFFFF" w:fill="auto"/>
          </w:tcPr>
          <w:p w:rsidR="00336793" w:rsidRPr="00C90C53" w:rsidRDefault="00336793" w:rsidP="00DF0B96">
            <w:pPr>
              <w:pStyle w:val="Tabletext"/>
              <w:rPr>
                <w:rFonts w:eastAsiaTheme="minorEastAsia" w:cs="Calibri"/>
                <w:color w:val="000000"/>
                <w:szCs w:val="22"/>
                <w:vertAlign w:val="superscript"/>
                <w:lang w:eastAsia="en-AU"/>
              </w:rPr>
            </w:pPr>
            <w:r w:rsidRPr="00C90C53">
              <w:rPr>
                <w:rFonts w:eastAsiaTheme="minorEastAsia"/>
                <w:lang w:eastAsia="en-AU"/>
              </w:rPr>
              <w:t>Cash and deposits</w:t>
            </w:r>
            <w:r w:rsidRPr="00E96950">
              <w:rPr>
                <w:rFonts w:eastAsiaTheme="minorEastAsia"/>
                <w:vertAlign w:val="superscript"/>
                <w:lang w:eastAsia="en-AU"/>
              </w:rPr>
              <w:t xml:space="preserve"> (</w:t>
            </w:r>
            <w:r w:rsidRPr="00C90C53">
              <w:rPr>
                <w:rFonts w:eastAsiaTheme="minorEastAsia" w:cs="Calibri"/>
                <w:color w:val="000000"/>
                <w:szCs w:val="22"/>
                <w:vertAlign w:val="superscript"/>
                <w:lang w:eastAsia="en-AU"/>
              </w:rPr>
              <w:t>a)</w:t>
            </w:r>
          </w:p>
        </w:tc>
        <w:tc>
          <w:tcPr>
            <w:tcW w:w="950" w:type="dxa"/>
            <w:gridSpan w:val="2"/>
            <w:tcBorders>
              <w:top w:val="nil"/>
              <w:left w:val="nil"/>
              <w:bottom w:val="nil"/>
              <w:right w:val="nil"/>
            </w:tcBorders>
          </w:tcPr>
          <w:p w:rsidR="00336793" w:rsidRPr="00C90C53" w:rsidRDefault="00336793" w:rsidP="00DF0B96">
            <w:pPr>
              <w:pStyle w:val="TableofFigures"/>
              <w:rPr>
                <w:rFonts w:eastAsiaTheme="minorEastAsia" w:cs="Calibri"/>
                <w:color w:val="000000"/>
                <w:szCs w:val="22"/>
                <w:lang w:eastAsia="en-AU"/>
              </w:rPr>
            </w:pPr>
            <w:r w:rsidRPr="00C90C53">
              <w:rPr>
                <w:rFonts w:eastAsiaTheme="minorEastAsia"/>
                <w:lang w:eastAsia="en-AU"/>
              </w:rPr>
              <w:t>6 521.1</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8 282.0</w:t>
            </w:r>
          </w:p>
        </w:tc>
        <w:tc>
          <w:tcPr>
            <w:tcW w:w="1120" w:type="dxa"/>
            <w:gridSpan w:val="2"/>
            <w:tcBorders>
              <w:top w:val="nil"/>
              <w:left w:val="nil"/>
              <w:bottom w:val="nil"/>
              <w:right w:val="nil"/>
            </w:tcBorders>
          </w:tcPr>
          <w:p w:rsidR="00336793" w:rsidRPr="00C90C53" w:rsidRDefault="00336793" w:rsidP="00DF0B96">
            <w:pPr>
              <w:pStyle w:val="TableofFigures"/>
              <w:rPr>
                <w:rFonts w:eastAsiaTheme="minorEastAsia" w:cs="Calibri"/>
                <w:color w:val="000000"/>
                <w:szCs w:val="22"/>
                <w:lang w:eastAsia="en-AU"/>
              </w:rPr>
            </w:pPr>
            <w:r w:rsidRPr="00C90C53">
              <w:rPr>
                <w:rFonts w:eastAsiaTheme="minorEastAsia"/>
                <w:lang w:eastAsia="en-AU"/>
              </w:rPr>
              <w:t>4 281.7</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4 582.2</w:t>
            </w:r>
          </w:p>
        </w:tc>
      </w:tr>
      <w:tr w:rsidR="00336793" w:rsidRPr="00C90C53" w:rsidTr="00DF0B96">
        <w:tc>
          <w:tcPr>
            <w:tcW w:w="5327" w:type="dxa"/>
            <w:tcBorders>
              <w:top w:val="nil"/>
              <w:left w:val="nil"/>
              <w:bottom w:val="nil"/>
              <w:right w:val="nil"/>
            </w:tcBorders>
          </w:tcPr>
          <w:p w:rsidR="00336793" w:rsidRPr="00C90C53" w:rsidRDefault="00336793" w:rsidP="00DF0B96">
            <w:pPr>
              <w:pStyle w:val="Tabletext"/>
              <w:rPr>
                <w:rFonts w:eastAsiaTheme="minorEastAsia" w:cs="Calibri"/>
                <w:color w:val="000000"/>
                <w:szCs w:val="22"/>
                <w:vertAlign w:val="superscript"/>
                <w:lang w:eastAsia="en-AU"/>
              </w:rPr>
            </w:pPr>
            <w:r w:rsidRPr="00C90C53">
              <w:rPr>
                <w:rFonts w:eastAsiaTheme="minorEastAsia"/>
                <w:lang w:eastAsia="en-AU"/>
              </w:rPr>
              <w:t>Designated at fair value through the operating statement</w:t>
            </w:r>
            <w:r>
              <w:rPr>
                <w:rFonts w:eastAsiaTheme="minorEastAsia"/>
                <w:vertAlign w:val="superscript"/>
                <w:lang w:eastAsia="en-AU"/>
              </w:rPr>
              <w:t> </w:t>
            </w:r>
            <w:r w:rsidRPr="00E96950">
              <w:rPr>
                <w:rFonts w:eastAsiaTheme="minorEastAsia"/>
                <w:vertAlign w:val="superscript"/>
                <w:lang w:eastAsia="en-AU"/>
              </w:rPr>
              <w:t>(</w:t>
            </w:r>
            <w:r w:rsidRPr="00C90C53">
              <w:rPr>
                <w:rFonts w:eastAsiaTheme="minorEastAsia" w:cs="Calibri"/>
                <w:color w:val="000000"/>
                <w:szCs w:val="22"/>
                <w:vertAlign w:val="superscript"/>
                <w:lang w:eastAsia="en-AU"/>
              </w:rPr>
              <w:t>a)</w:t>
            </w:r>
          </w:p>
        </w:tc>
        <w:tc>
          <w:tcPr>
            <w:tcW w:w="950" w:type="dxa"/>
            <w:gridSpan w:val="2"/>
            <w:tcBorders>
              <w:top w:val="nil"/>
              <w:left w:val="nil"/>
              <w:bottom w:val="nil"/>
              <w:right w:val="nil"/>
            </w:tcBorders>
          </w:tcPr>
          <w:p w:rsidR="00336793" w:rsidRPr="00C90C53" w:rsidRDefault="00336793" w:rsidP="00DF0B96">
            <w:pPr>
              <w:pStyle w:val="TableofFigures"/>
              <w:rPr>
                <w:rFonts w:eastAsiaTheme="minorEastAsia" w:cs="Calibri"/>
                <w:color w:val="000000"/>
                <w:szCs w:val="22"/>
                <w:lang w:eastAsia="en-AU"/>
              </w:rPr>
            </w:pPr>
            <w:r w:rsidRPr="00C90C53">
              <w:rPr>
                <w:rFonts w:eastAsiaTheme="minorEastAsia"/>
                <w:lang w:eastAsia="en-AU"/>
              </w:rPr>
              <w:t>32 671.8</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27 825.9</w:t>
            </w:r>
          </w:p>
        </w:tc>
        <w:tc>
          <w:tcPr>
            <w:tcW w:w="1120" w:type="dxa"/>
            <w:gridSpan w:val="2"/>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974.6</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791.2</w:t>
            </w:r>
          </w:p>
        </w:tc>
      </w:tr>
      <w:tr w:rsidR="00336793" w:rsidRPr="00C90C53" w:rsidTr="00DF0B96">
        <w:tc>
          <w:tcPr>
            <w:tcW w:w="5327" w:type="dxa"/>
            <w:tcBorders>
              <w:top w:val="nil"/>
              <w:left w:val="nil"/>
              <w:bottom w:val="nil"/>
              <w:right w:val="nil"/>
            </w:tcBorders>
          </w:tcPr>
          <w:p w:rsidR="00336793" w:rsidRPr="00C90C53" w:rsidRDefault="00336793" w:rsidP="00DF0B96">
            <w:pPr>
              <w:pStyle w:val="Tabletext"/>
              <w:rPr>
                <w:rFonts w:eastAsiaTheme="minorEastAsia"/>
                <w:lang w:eastAsia="en-AU"/>
              </w:rPr>
            </w:pPr>
            <w:r w:rsidRPr="00C90C53">
              <w:rPr>
                <w:rFonts w:eastAsiaTheme="minorEastAsia"/>
                <w:lang w:eastAsia="en-AU"/>
              </w:rPr>
              <w:t>Held</w:t>
            </w:r>
            <w:r>
              <w:rPr>
                <w:rFonts w:eastAsiaTheme="minorEastAsia"/>
                <w:lang w:eastAsia="en-AU"/>
              </w:rPr>
              <w:noBreakHyphen/>
            </w:r>
            <w:r w:rsidRPr="00C90C53">
              <w:rPr>
                <w:rFonts w:eastAsiaTheme="minorEastAsia"/>
                <w:lang w:eastAsia="en-AU"/>
              </w:rPr>
              <w:t>for</w:t>
            </w:r>
            <w:r>
              <w:rPr>
                <w:rFonts w:eastAsiaTheme="minorEastAsia"/>
                <w:lang w:eastAsia="en-AU"/>
              </w:rPr>
              <w:noBreakHyphen/>
            </w:r>
            <w:r w:rsidRPr="00C90C53">
              <w:rPr>
                <w:rFonts w:eastAsiaTheme="minorEastAsia"/>
                <w:lang w:eastAsia="en-AU"/>
              </w:rPr>
              <w:t>trading at fair value through the operating statement</w:t>
            </w:r>
          </w:p>
        </w:tc>
        <w:tc>
          <w:tcPr>
            <w:tcW w:w="950" w:type="dxa"/>
            <w:gridSpan w:val="2"/>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357.5</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409.1</w:t>
            </w:r>
          </w:p>
        </w:tc>
        <w:tc>
          <w:tcPr>
            <w:tcW w:w="1120" w:type="dxa"/>
            <w:gridSpan w:val="2"/>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0.2</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w:t>
            </w:r>
          </w:p>
        </w:tc>
      </w:tr>
      <w:tr w:rsidR="00336793" w:rsidRPr="00C90C53" w:rsidTr="00DF0B96">
        <w:tc>
          <w:tcPr>
            <w:tcW w:w="5327" w:type="dxa"/>
            <w:tcBorders>
              <w:top w:val="nil"/>
              <w:left w:val="nil"/>
              <w:bottom w:val="nil"/>
              <w:right w:val="nil"/>
            </w:tcBorders>
          </w:tcPr>
          <w:p w:rsidR="00336793" w:rsidRPr="00C90C53" w:rsidRDefault="00336793" w:rsidP="00DF0B96">
            <w:pPr>
              <w:pStyle w:val="Tabletext"/>
              <w:rPr>
                <w:rFonts w:eastAsiaTheme="minorEastAsia"/>
                <w:lang w:eastAsia="en-AU"/>
              </w:rPr>
            </w:pPr>
            <w:r w:rsidRPr="00C90C53">
              <w:rPr>
                <w:rFonts w:eastAsiaTheme="minorEastAsia"/>
                <w:lang w:eastAsia="en-AU"/>
              </w:rPr>
              <w:t xml:space="preserve">Loans and receivables </w:t>
            </w:r>
          </w:p>
        </w:tc>
        <w:tc>
          <w:tcPr>
            <w:tcW w:w="950" w:type="dxa"/>
            <w:gridSpan w:val="2"/>
            <w:tcBorders>
              <w:top w:val="nil"/>
              <w:left w:val="nil"/>
              <w:bottom w:val="nil"/>
              <w:right w:val="nil"/>
            </w:tcBorders>
          </w:tcPr>
          <w:p w:rsidR="00336793" w:rsidRPr="00C90C53" w:rsidRDefault="00336793" w:rsidP="00DF0B96">
            <w:pPr>
              <w:pStyle w:val="TableofFigures"/>
              <w:rPr>
                <w:rFonts w:eastAsiaTheme="minorEastAsia" w:cs="Calibri"/>
                <w:color w:val="000000"/>
                <w:szCs w:val="22"/>
                <w:lang w:eastAsia="en-AU"/>
              </w:rPr>
            </w:pPr>
            <w:r w:rsidRPr="00C90C53">
              <w:rPr>
                <w:rFonts w:eastAsiaTheme="minorEastAsia"/>
                <w:lang w:eastAsia="en-AU"/>
              </w:rPr>
              <w:t>2 380.4</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4 204.9</w:t>
            </w:r>
          </w:p>
        </w:tc>
        <w:tc>
          <w:tcPr>
            <w:tcW w:w="1120" w:type="dxa"/>
            <w:gridSpan w:val="2"/>
            <w:tcBorders>
              <w:top w:val="nil"/>
              <w:left w:val="nil"/>
              <w:bottom w:val="nil"/>
              <w:right w:val="nil"/>
            </w:tcBorders>
          </w:tcPr>
          <w:p w:rsidR="00336793" w:rsidRPr="00C90C53" w:rsidRDefault="00336793" w:rsidP="00DF0B96">
            <w:pPr>
              <w:pStyle w:val="TableofFigures"/>
              <w:rPr>
                <w:rFonts w:eastAsiaTheme="minorEastAsia" w:cs="Calibri"/>
                <w:color w:val="000000"/>
                <w:szCs w:val="22"/>
                <w:lang w:eastAsia="en-AU"/>
              </w:rPr>
            </w:pPr>
            <w:r w:rsidRPr="00C90C53">
              <w:rPr>
                <w:rFonts w:eastAsiaTheme="minorEastAsia"/>
                <w:lang w:eastAsia="en-AU"/>
              </w:rPr>
              <w:t>7 414.5</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7 212.1</w:t>
            </w:r>
          </w:p>
        </w:tc>
      </w:tr>
      <w:tr w:rsidR="00336793" w:rsidRPr="00C90C53" w:rsidTr="00DF0B96">
        <w:tc>
          <w:tcPr>
            <w:tcW w:w="5327" w:type="dxa"/>
            <w:tcBorders>
              <w:top w:val="nil"/>
              <w:left w:val="nil"/>
              <w:bottom w:val="nil"/>
              <w:right w:val="nil"/>
            </w:tcBorders>
          </w:tcPr>
          <w:p w:rsidR="00336793" w:rsidRPr="00C90C53" w:rsidRDefault="00336793" w:rsidP="00DF0B96">
            <w:pPr>
              <w:pStyle w:val="Tabletext"/>
              <w:rPr>
                <w:rFonts w:eastAsiaTheme="minorEastAsia"/>
                <w:lang w:eastAsia="en-AU"/>
              </w:rPr>
            </w:pPr>
            <w:r w:rsidRPr="00C90C53">
              <w:rPr>
                <w:rFonts w:eastAsiaTheme="minorEastAsia"/>
                <w:lang w:eastAsia="en-AU"/>
              </w:rPr>
              <w:t>Available</w:t>
            </w:r>
            <w:r>
              <w:rPr>
                <w:rFonts w:eastAsiaTheme="minorEastAsia"/>
                <w:lang w:eastAsia="en-AU"/>
              </w:rPr>
              <w:noBreakHyphen/>
            </w:r>
            <w:r w:rsidRPr="00C90C53">
              <w:rPr>
                <w:rFonts w:eastAsiaTheme="minorEastAsia"/>
                <w:lang w:eastAsia="en-AU"/>
              </w:rPr>
              <w:t>for</w:t>
            </w:r>
            <w:r>
              <w:rPr>
                <w:rFonts w:eastAsiaTheme="minorEastAsia"/>
                <w:lang w:eastAsia="en-AU"/>
              </w:rPr>
              <w:noBreakHyphen/>
            </w:r>
            <w:r w:rsidRPr="00C90C53">
              <w:rPr>
                <w:rFonts w:eastAsiaTheme="minorEastAsia"/>
                <w:lang w:eastAsia="en-AU"/>
              </w:rPr>
              <w:t>sale</w:t>
            </w:r>
          </w:p>
        </w:tc>
        <w:tc>
          <w:tcPr>
            <w:tcW w:w="950" w:type="dxa"/>
            <w:gridSpan w:val="2"/>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722.1</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557.4</w:t>
            </w:r>
          </w:p>
        </w:tc>
        <w:tc>
          <w:tcPr>
            <w:tcW w:w="1120" w:type="dxa"/>
            <w:gridSpan w:val="2"/>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308.3</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194.5</w:t>
            </w:r>
          </w:p>
        </w:tc>
      </w:tr>
      <w:tr w:rsidR="00336793" w:rsidRPr="00C90C53" w:rsidTr="00DF0B96">
        <w:tc>
          <w:tcPr>
            <w:tcW w:w="5327" w:type="dxa"/>
            <w:tcBorders>
              <w:top w:val="nil"/>
              <w:left w:val="nil"/>
              <w:bottom w:val="nil"/>
              <w:right w:val="nil"/>
            </w:tcBorders>
          </w:tcPr>
          <w:p w:rsidR="00336793" w:rsidRPr="00C90C53" w:rsidRDefault="00336793" w:rsidP="00DF0B96">
            <w:pPr>
              <w:pStyle w:val="Tabletext"/>
              <w:rPr>
                <w:rFonts w:eastAsiaTheme="minorEastAsia" w:cs="Calibri"/>
                <w:color w:val="000000"/>
                <w:szCs w:val="22"/>
                <w:vertAlign w:val="superscript"/>
                <w:lang w:eastAsia="en-AU"/>
              </w:rPr>
            </w:pPr>
            <w:r w:rsidRPr="00C90C53">
              <w:rPr>
                <w:rFonts w:eastAsiaTheme="minorEastAsia"/>
                <w:lang w:eastAsia="en-AU"/>
              </w:rPr>
              <w:t>Held</w:t>
            </w:r>
            <w:r>
              <w:rPr>
                <w:rFonts w:eastAsiaTheme="minorEastAsia"/>
                <w:lang w:eastAsia="en-AU"/>
              </w:rPr>
              <w:noBreakHyphen/>
            </w:r>
            <w:r w:rsidRPr="00C90C53">
              <w:rPr>
                <w:rFonts w:eastAsiaTheme="minorEastAsia"/>
                <w:lang w:eastAsia="en-AU"/>
              </w:rPr>
              <w:t>to</w:t>
            </w:r>
            <w:r>
              <w:rPr>
                <w:rFonts w:eastAsiaTheme="minorEastAsia"/>
                <w:lang w:eastAsia="en-AU"/>
              </w:rPr>
              <w:noBreakHyphen/>
            </w:r>
            <w:r w:rsidRPr="00C90C53">
              <w:rPr>
                <w:rFonts w:eastAsiaTheme="minorEastAsia"/>
                <w:lang w:eastAsia="en-AU"/>
              </w:rPr>
              <w:t>maturity</w:t>
            </w:r>
            <w:r w:rsidRPr="00E96950">
              <w:rPr>
                <w:rFonts w:eastAsiaTheme="minorEastAsia"/>
                <w:vertAlign w:val="superscript"/>
                <w:lang w:eastAsia="en-AU"/>
              </w:rPr>
              <w:t xml:space="preserve"> (</w:t>
            </w:r>
            <w:r w:rsidRPr="00C90C53">
              <w:rPr>
                <w:rFonts w:eastAsiaTheme="minorEastAsia" w:cs="Calibri"/>
                <w:color w:val="000000"/>
                <w:szCs w:val="22"/>
                <w:vertAlign w:val="superscript"/>
                <w:lang w:eastAsia="en-AU"/>
              </w:rPr>
              <w:t>a)</w:t>
            </w:r>
          </w:p>
        </w:tc>
        <w:tc>
          <w:tcPr>
            <w:tcW w:w="950" w:type="dxa"/>
            <w:gridSpan w:val="2"/>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621.3</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676.6</w:t>
            </w:r>
          </w:p>
        </w:tc>
        <w:tc>
          <w:tcPr>
            <w:tcW w:w="1120" w:type="dxa"/>
            <w:gridSpan w:val="2"/>
            <w:tcBorders>
              <w:top w:val="nil"/>
              <w:left w:val="nil"/>
              <w:bottom w:val="nil"/>
              <w:right w:val="nil"/>
            </w:tcBorders>
          </w:tcPr>
          <w:p w:rsidR="00336793" w:rsidRPr="00C90C53" w:rsidRDefault="00336793" w:rsidP="00DF0B96">
            <w:pPr>
              <w:pStyle w:val="TableofFigures"/>
              <w:rPr>
                <w:rFonts w:eastAsiaTheme="minorEastAsia" w:cs="Calibri"/>
                <w:color w:val="000000"/>
                <w:szCs w:val="22"/>
                <w:lang w:eastAsia="en-AU"/>
              </w:rPr>
            </w:pPr>
            <w:r w:rsidRPr="00C90C53">
              <w:rPr>
                <w:rFonts w:eastAsiaTheme="minorEastAsia"/>
                <w:lang w:eastAsia="en-AU"/>
              </w:rPr>
              <w:t>1 164.0</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1 121.0</w:t>
            </w:r>
          </w:p>
        </w:tc>
      </w:tr>
      <w:tr w:rsidR="00336793" w:rsidRPr="00C90C53" w:rsidTr="00DF0B96">
        <w:tc>
          <w:tcPr>
            <w:tcW w:w="5327" w:type="dxa"/>
            <w:tcBorders>
              <w:top w:val="single" w:sz="6" w:space="0" w:color="auto"/>
              <w:left w:val="nil"/>
              <w:bottom w:val="single" w:sz="6" w:space="0" w:color="auto"/>
              <w:right w:val="nil"/>
            </w:tcBorders>
          </w:tcPr>
          <w:p w:rsidR="00336793" w:rsidRPr="00C90C53" w:rsidRDefault="00336793" w:rsidP="00DF0B96">
            <w:pPr>
              <w:pStyle w:val="Tabletext"/>
              <w:rPr>
                <w:rFonts w:eastAsiaTheme="minorEastAsia" w:cs="Calibri"/>
                <w:b/>
                <w:bCs/>
                <w:color w:val="000000"/>
                <w:szCs w:val="22"/>
                <w:vertAlign w:val="superscript"/>
                <w:lang w:eastAsia="en-AU"/>
              </w:rPr>
            </w:pPr>
            <w:r w:rsidRPr="00C90C53">
              <w:rPr>
                <w:rFonts w:eastAsiaTheme="minorEastAsia"/>
                <w:b/>
                <w:lang w:eastAsia="en-AU"/>
              </w:rPr>
              <w:t>Total financial assets</w:t>
            </w:r>
            <w:r w:rsidRPr="00E96950">
              <w:rPr>
                <w:rFonts w:eastAsiaTheme="minorEastAsia"/>
                <w:b/>
                <w:vertAlign w:val="superscript"/>
                <w:lang w:eastAsia="en-AU"/>
              </w:rPr>
              <w:t xml:space="preserve"> (</w:t>
            </w:r>
            <w:r w:rsidRPr="00C90C53">
              <w:rPr>
                <w:rFonts w:eastAsiaTheme="minorEastAsia"/>
                <w:b/>
                <w:vertAlign w:val="superscript"/>
                <w:lang w:eastAsia="en-AU"/>
              </w:rPr>
              <w:t>a)(</w:t>
            </w:r>
            <w:r w:rsidRPr="00C90C53">
              <w:rPr>
                <w:rFonts w:eastAsiaTheme="minorEastAsia" w:cs="Calibri"/>
                <w:b/>
                <w:bCs/>
                <w:color w:val="000000"/>
                <w:szCs w:val="22"/>
                <w:vertAlign w:val="superscript"/>
                <w:lang w:eastAsia="en-AU"/>
              </w:rPr>
              <w:t>b)</w:t>
            </w:r>
          </w:p>
        </w:tc>
        <w:tc>
          <w:tcPr>
            <w:tcW w:w="950" w:type="dxa"/>
            <w:gridSpan w:val="2"/>
            <w:tcBorders>
              <w:top w:val="single" w:sz="6" w:space="0" w:color="auto"/>
              <w:left w:val="nil"/>
              <w:bottom w:val="single" w:sz="6" w:space="0" w:color="auto"/>
              <w:right w:val="nil"/>
            </w:tcBorders>
          </w:tcPr>
          <w:p w:rsidR="00336793" w:rsidRPr="00C90C53" w:rsidRDefault="00336793" w:rsidP="00DF0B96">
            <w:pPr>
              <w:pStyle w:val="TableofFigures"/>
              <w:rPr>
                <w:rFonts w:eastAsiaTheme="minorEastAsia" w:cs="Calibri"/>
                <w:b/>
                <w:bCs/>
                <w:color w:val="000000"/>
                <w:szCs w:val="22"/>
                <w:lang w:eastAsia="en-AU"/>
              </w:rPr>
            </w:pPr>
            <w:r w:rsidRPr="00C90C53">
              <w:rPr>
                <w:rFonts w:eastAsiaTheme="minorEastAsia"/>
                <w:b/>
                <w:lang w:eastAsia="en-AU"/>
              </w:rPr>
              <w:t>43 274.2</w:t>
            </w:r>
          </w:p>
        </w:tc>
        <w:tc>
          <w:tcPr>
            <w:tcW w:w="1120" w:type="dxa"/>
            <w:tcBorders>
              <w:top w:val="single" w:sz="6" w:space="0" w:color="auto"/>
              <w:left w:val="nil"/>
              <w:bottom w:val="single" w:sz="6" w:space="0" w:color="auto"/>
              <w:right w:val="nil"/>
            </w:tcBorders>
          </w:tcPr>
          <w:p w:rsidR="00336793" w:rsidRPr="00C90C53" w:rsidRDefault="00336793" w:rsidP="00DF0B96">
            <w:pPr>
              <w:pStyle w:val="TableofFigures"/>
              <w:rPr>
                <w:rFonts w:eastAsiaTheme="minorEastAsia"/>
                <w:b/>
                <w:lang w:eastAsia="en-AU"/>
              </w:rPr>
            </w:pPr>
            <w:r w:rsidRPr="00C90C53">
              <w:rPr>
                <w:rFonts w:eastAsiaTheme="minorEastAsia"/>
                <w:b/>
                <w:lang w:eastAsia="en-AU"/>
              </w:rPr>
              <w:t>41 956.0</w:t>
            </w:r>
          </w:p>
        </w:tc>
        <w:tc>
          <w:tcPr>
            <w:tcW w:w="1120" w:type="dxa"/>
            <w:gridSpan w:val="2"/>
            <w:tcBorders>
              <w:top w:val="single" w:sz="6" w:space="0" w:color="auto"/>
              <w:left w:val="nil"/>
              <w:bottom w:val="single" w:sz="6" w:space="0" w:color="auto"/>
              <w:right w:val="nil"/>
            </w:tcBorders>
          </w:tcPr>
          <w:p w:rsidR="00336793" w:rsidRPr="00C90C53" w:rsidRDefault="00336793" w:rsidP="00DF0B96">
            <w:pPr>
              <w:pStyle w:val="TableofFigures"/>
              <w:rPr>
                <w:rFonts w:eastAsiaTheme="minorEastAsia" w:cs="Calibri"/>
                <w:b/>
                <w:bCs/>
                <w:color w:val="000000"/>
                <w:szCs w:val="22"/>
                <w:lang w:eastAsia="en-AU"/>
              </w:rPr>
            </w:pPr>
            <w:r w:rsidRPr="00C90C53">
              <w:rPr>
                <w:rFonts w:eastAsiaTheme="minorEastAsia"/>
                <w:b/>
                <w:lang w:eastAsia="en-AU"/>
              </w:rPr>
              <w:t>14 143.3</w:t>
            </w:r>
          </w:p>
        </w:tc>
        <w:tc>
          <w:tcPr>
            <w:tcW w:w="1120" w:type="dxa"/>
            <w:tcBorders>
              <w:top w:val="single" w:sz="6" w:space="0" w:color="auto"/>
              <w:left w:val="nil"/>
              <w:bottom w:val="single" w:sz="6" w:space="0" w:color="auto"/>
              <w:right w:val="nil"/>
            </w:tcBorders>
          </w:tcPr>
          <w:p w:rsidR="00336793" w:rsidRPr="00C90C53" w:rsidRDefault="00336793" w:rsidP="00DF0B96">
            <w:pPr>
              <w:pStyle w:val="TableofFigures"/>
              <w:rPr>
                <w:rFonts w:eastAsiaTheme="minorEastAsia"/>
                <w:b/>
                <w:lang w:eastAsia="en-AU"/>
              </w:rPr>
            </w:pPr>
            <w:r w:rsidRPr="00C90C53">
              <w:rPr>
                <w:rFonts w:eastAsiaTheme="minorEastAsia"/>
                <w:b/>
                <w:lang w:eastAsia="en-AU"/>
              </w:rPr>
              <w:t>13 901.0</w:t>
            </w:r>
          </w:p>
        </w:tc>
      </w:tr>
      <w:tr w:rsidR="00336793" w:rsidRPr="00C90C53" w:rsidTr="00DF0B96">
        <w:tc>
          <w:tcPr>
            <w:tcW w:w="5327" w:type="dxa"/>
            <w:tcBorders>
              <w:top w:val="nil"/>
              <w:left w:val="nil"/>
              <w:bottom w:val="nil"/>
              <w:right w:val="nil"/>
            </w:tcBorders>
          </w:tcPr>
          <w:p w:rsidR="00336793" w:rsidRPr="00C90C53" w:rsidRDefault="00336793" w:rsidP="00DF0B96">
            <w:pPr>
              <w:pStyle w:val="Tabletext"/>
              <w:rPr>
                <w:rFonts w:eastAsiaTheme="minorEastAsia"/>
                <w:b/>
                <w:lang w:eastAsia="en-AU"/>
              </w:rPr>
            </w:pPr>
            <w:r w:rsidRPr="00C90C53">
              <w:rPr>
                <w:rFonts w:eastAsiaTheme="minorEastAsia"/>
                <w:b/>
                <w:lang w:eastAsia="en-AU"/>
              </w:rPr>
              <w:t xml:space="preserve">Financial liabilities </w:t>
            </w:r>
          </w:p>
        </w:tc>
        <w:tc>
          <w:tcPr>
            <w:tcW w:w="950" w:type="dxa"/>
            <w:gridSpan w:val="2"/>
            <w:tcBorders>
              <w:top w:val="nil"/>
              <w:left w:val="nil"/>
              <w:bottom w:val="nil"/>
              <w:right w:val="nil"/>
            </w:tcBorders>
          </w:tcPr>
          <w:p w:rsidR="00336793" w:rsidRPr="00C90C53" w:rsidRDefault="00336793" w:rsidP="00DF0B96">
            <w:pPr>
              <w:pStyle w:val="TableofFigures"/>
              <w:rPr>
                <w:rFonts w:eastAsiaTheme="minorEastAsia"/>
                <w:b/>
                <w:lang w:eastAsia="en-AU"/>
              </w:rPr>
            </w:pPr>
            <w:r w:rsidRPr="00C90C53">
              <w:rPr>
                <w:rFonts w:eastAsiaTheme="minorEastAsia"/>
                <w:b/>
                <w:lang w:eastAsia="en-AU"/>
              </w:rPr>
              <w:t xml:space="preserve"> </w:t>
            </w:r>
          </w:p>
        </w:tc>
        <w:tc>
          <w:tcPr>
            <w:tcW w:w="1120" w:type="dxa"/>
            <w:tcBorders>
              <w:top w:val="nil"/>
              <w:left w:val="nil"/>
              <w:bottom w:val="nil"/>
              <w:right w:val="nil"/>
            </w:tcBorders>
          </w:tcPr>
          <w:p w:rsidR="00336793" w:rsidRPr="00C90C53" w:rsidRDefault="00336793" w:rsidP="00DF0B96">
            <w:pPr>
              <w:pStyle w:val="TableofFigures"/>
              <w:rPr>
                <w:rFonts w:eastAsiaTheme="minorEastAsia"/>
                <w:b/>
                <w:lang w:eastAsia="en-AU"/>
              </w:rPr>
            </w:pPr>
            <w:r w:rsidRPr="00C90C53">
              <w:rPr>
                <w:rFonts w:eastAsiaTheme="minorEastAsia"/>
                <w:b/>
                <w:lang w:eastAsia="en-AU"/>
              </w:rPr>
              <w:t xml:space="preserve"> </w:t>
            </w:r>
          </w:p>
        </w:tc>
        <w:tc>
          <w:tcPr>
            <w:tcW w:w="1120" w:type="dxa"/>
            <w:gridSpan w:val="2"/>
            <w:tcBorders>
              <w:top w:val="nil"/>
              <w:left w:val="nil"/>
              <w:bottom w:val="nil"/>
              <w:right w:val="nil"/>
            </w:tcBorders>
          </w:tcPr>
          <w:p w:rsidR="00336793" w:rsidRPr="00C90C53" w:rsidRDefault="00336793" w:rsidP="00DF0B96">
            <w:pPr>
              <w:pStyle w:val="TableofFigures"/>
              <w:rPr>
                <w:rFonts w:eastAsiaTheme="minorEastAsia"/>
                <w:b/>
                <w:lang w:eastAsia="en-AU"/>
              </w:rPr>
            </w:pPr>
            <w:r w:rsidRPr="00C90C53">
              <w:rPr>
                <w:rFonts w:eastAsiaTheme="minorEastAsia"/>
                <w:b/>
                <w:lang w:eastAsia="en-AU"/>
              </w:rPr>
              <w:t xml:space="preserve"> </w:t>
            </w:r>
          </w:p>
        </w:tc>
        <w:tc>
          <w:tcPr>
            <w:tcW w:w="1120" w:type="dxa"/>
            <w:tcBorders>
              <w:top w:val="nil"/>
              <w:left w:val="nil"/>
              <w:bottom w:val="nil"/>
              <w:right w:val="nil"/>
            </w:tcBorders>
          </w:tcPr>
          <w:p w:rsidR="00336793" w:rsidRPr="00C90C53" w:rsidRDefault="00336793" w:rsidP="00DF0B96">
            <w:pPr>
              <w:pStyle w:val="TableofFigures"/>
              <w:rPr>
                <w:rFonts w:eastAsiaTheme="minorEastAsia"/>
                <w:b/>
                <w:lang w:eastAsia="en-AU"/>
              </w:rPr>
            </w:pPr>
            <w:r w:rsidRPr="00C90C53">
              <w:rPr>
                <w:rFonts w:eastAsiaTheme="minorEastAsia"/>
                <w:b/>
                <w:lang w:eastAsia="en-AU"/>
              </w:rPr>
              <w:t xml:space="preserve"> </w:t>
            </w:r>
          </w:p>
        </w:tc>
      </w:tr>
      <w:tr w:rsidR="00336793" w:rsidRPr="00C90C53" w:rsidTr="00DF0B96">
        <w:tc>
          <w:tcPr>
            <w:tcW w:w="5327" w:type="dxa"/>
            <w:tcBorders>
              <w:top w:val="nil"/>
              <w:left w:val="nil"/>
              <w:bottom w:val="nil"/>
              <w:right w:val="nil"/>
            </w:tcBorders>
          </w:tcPr>
          <w:p w:rsidR="00336793" w:rsidRPr="00C90C53" w:rsidRDefault="00336793" w:rsidP="00DF0B96">
            <w:pPr>
              <w:pStyle w:val="Tabletext"/>
              <w:rPr>
                <w:rFonts w:eastAsiaTheme="minorEastAsia" w:cs="Calibri"/>
                <w:color w:val="000000"/>
                <w:szCs w:val="22"/>
                <w:vertAlign w:val="superscript"/>
                <w:lang w:eastAsia="en-AU"/>
              </w:rPr>
            </w:pPr>
            <w:r w:rsidRPr="00C90C53">
              <w:rPr>
                <w:rFonts w:eastAsiaTheme="minorEastAsia"/>
                <w:lang w:eastAsia="en-AU"/>
              </w:rPr>
              <w:t>Designated at fair value through the operating statement</w:t>
            </w:r>
            <w:r>
              <w:rPr>
                <w:rFonts w:eastAsiaTheme="minorEastAsia"/>
                <w:vertAlign w:val="superscript"/>
                <w:lang w:eastAsia="en-AU"/>
              </w:rPr>
              <w:t> </w:t>
            </w:r>
            <w:r w:rsidRPr="00E96950">
              <w:rPr>
                <w:rFonts w:eastAsiaTheme="minorEastAsia"/>
                <w:vertAlign w:val="superscript"/>
                <w:lang w:eastAsia="en-AU"/>
              </w:rPr>
              <w:t>(</w:t>
            </w:r>
            <w:r w:rsidRPr="00C90C53">
              <w:rPr>
                <w:rFonts w:eastAsiaTheme="minorEastAsia" w:cs="Calibri"/>
                <w:color w:val="000000"/>
                <w:szCs w:val="22"/>
                <w:vertAlign w:val="superscript"/>
                <w:lang w:eastAsia="en-AU"/>
              </w:rPr>
              <w:t>a)</w:t>
            </w:r>
          </w:p>
        </w:tc>
        <w:tc>
          <w:tcPr>
            <w:tcW w:w="950" w:type="dxa"/>
            <w:gridSpan w:val="2"/>
            <w:tcBorders>
              <w:top w:val="nil"/>
              <w:left w:val="nil"/>
              <w:bottom w:val="nil"/>
              <w:right w:val="nil"/>
            </w:tcBorders>
          </w:tcPr>
          <w:p w:rsidR="00336793" w:rsidRPr="00C90C53" w:rsidRDefault="00336793" w:rsidP="00DF0B96">
            <w:pPr>
              <w:pStyle w:val="TableofFigures"/>
              <w:rPr>
                <w:rFonts w:eastAsiaTheme="minorEastAsia" w:cs="Calibri"/>
                <w:color w:val="000000"/>
                <w:szCs w:val="22"/>
                <w:lang w:eastAsia="en-AU"/>
              </w:rPr>
            </w:pPr>
            <w:r w:rsidRPr="00C90C53">
              <w:rPr>
                <w:rFonts w:eastAsiaTheme="minorEastAsia"/>
                <w:lang w:eastAsia="en-AU"/>
              </w:rPr>
              <w:t>43 830.8</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43 485.1</w:t>
            </w:r>
          </w:p>
        </w:tc>
        <w:tc>
          <w:tcPr>
            <w:tcW w:w="1120" w:type="dxa"/>
            <w:gridSpan w:val="2"/>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452.9</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404.8</w:t>
            </w:r>
          </w:p>
        </w:tc>
      </w:tr>
      <w:tr w:rsidR="00336793" w:rsidRPr="00C90C53" w:rsidTr="00DF0B96">
        <w:tc>
          <w:tcPr>
            <w:tcW w:w="5327" w:type="dxa"/>
            <w:tcBorders>
              <w:top w:val="nil"/>
              <w:left w:val="nil"/>
              <w:bottom w:val="nil"/>
              <w:right w:val="nil"/>
            </w:tcBorders>
          </w:tcPr>
          <w:p w:rsidR="00336793" w:rsidRPr="00C90C53" w:rsidRDefault="00336793" w:rsidP="00DF0B96">
            <w:pPr>
              <w:pStyle w:val="Tabletext"/>
              <w:rPr>
                <w:rFonts w:eastAsiaTheme="minorEastAsia"/>
                <w:lang w:eastAsia="en-AU"/>
              </w:rPr>
            </w:pPr>
            <w:r w:rsidRPr="00C90C53">
              <w:rPr>
                <w:rFonts w:eastAsiaTheme="minorEastAsia"/>
                <w:lang w:eastAsia="en-AU"/>
              </w:rPr>
              <w:t>Held</w:t>
            </w:r>
            <w:r>
              <w:rPr>
                <w:rFonts w:eastAsiaTheme="minorEastAsia"/>
                <w:lang w:eastAsia="en-AU"/>
              </w:rPr>
              <w:noBreakHyphen/>
            </w:r>
            <w:r w:rsidRPr="00C90C53">
              <w:rPr>
                <w:rFonts w:eastAsiaTheme="minorEastAsia"/>
                <w:lang w:eastAsia="en-AU"/>
              </w:rPr>
              <w:t>for</w:t>
            </w:r>
            <w:r>
              <w:rPr>
                <w:rFonts w:eastAsiaTheme="minorEastAsia"/>
                <w:lang w:eastAsia="en-AU"/>
              </w:rPr>
              <w:noBreakHyphen/>
            </w:r>
            <w:r w:rsidRPr="00C90C53">
              <w:rPr>
                <w:rFonts w:eastAsiaTheme="minorEastAsia"/>
                <w:lang w:eastAsia="en-AU"/>
              </w:rPr>
              <w:t>trading at fair value through the operating statement</w:t>
            </w:r>
          </w:p>
        </w:tc>
        <w:tc>
          <w:tcPr>
            <w:tcW w:w="950" w:type="dxa"/>
            <w:gridSpan w:val="2"/>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640.8</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572.5</w:t>
            </w:r>
          </w:p>
        </w:tc>
        <w:tc>
          <w:tcPr>
            <w:tcW w:w="1120" w:type="dxa"/>
            <w:gridSpan w:val="2"/>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50.5</w:t>
            </w:r>
          </w:p>
        </w:tc>
        <w:tc>
          <w:tcPr>
            <w:tcW w:w="1120" w:type="dxa"/>
            <w:tcBorders>
              <w:top w:val="nil"/>
              <w:left w:val="nil"/>
              <w:bottom w:val="nil"/>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 xml:space="preserve"> 20.8</w:t>
            </w:r>
          </w:p>
        </w:tc>
      </w:tr>
      <w:tr w:rsidR="00336793" w:rsidRPr="00C90C53" w:rsidTr="00DF0B96">
        <w:tc>
          <w:tcPr>
            <w:tcW w:w="5327" w:type="dxa"/>
            <w:tcBorders>
              <w:top w:val="nil"/>
              <w:left w:val="nil"/>
              <w:bottom w:val="single" w:sz="6" w:space="0" w:color="auto"/>
              <w:right w:val="nil"/>
            </w:tcBorders>
          </w:tcPr>
          <w:p w:rsidR="00336793" w:rsidRPr="00C90C53" w:rsidRDefault="00336793" w:rsidP="00DF0B96">
            <w:pPr>
              <w:pStyle w:val="Tabletext"/>
              <w:rPr>
                <w:rFonts w:eastAsiaTheme="minorEastAsia" w:cs="Calibri"/>
                <w:color w:val="000000"/>
                <w:szCs w:val="22"/>
                <w:vertAlign w:val="superscript"/>
                <w:lang w:eastAsia="en-AU"/>
              </w:rPr>
            </w:pPr>
            <w:r w:rsidRPr="00C90C53">
              <w:rPr>
                <w:rFonts w:eastAsiaTheme="minorEastAsia"/>
                <w:lang w:eastAsia="en-AU"/>
              </w:rPr>
              <w:t>At amortised cost</w:t>
            </w:r>
            <w:r w:rsidRPr="00E96950">
              <w:rPr>
                <w:rFonts w:eastAsiaTheme="minorEastAsia"/>
                <w:vertAlign w:val="superscript"/>
                <w:lang w:eastAsia="en-AU"/>
              </w:rPr>
              <w:t xml:space="preserve"> (</w:t>
            </w:r>
            <w:r w:rsidRPr="00C90C53">
              <w:rPr>
                <w:rFonts w:eastAsiaTheme="minorEastAsia" w:cs="Calibri"/>
                <w:color w:val="000000"/>
                <w:szCs w:val="22"/>
                <w:vertAlign w:val="superscript"/>
                <w:lang w:eastAsia="en-AU"/>
              </w:rPr>
              <w:t>a)</w:t>
            </w:r>
          </w:p>
        </w:tc>
        <w:tc>
          <w:tcPr>
            <w:tcW w:w="950" w:type="dxa"/>
            <w:gridSpan w:val="2"/>
            <w:tcBorders>
              <w:top w:val="nil"/>
              <w:left w:val="nil"/>
              <w:bottom w:val="single" w:sz="6" w:space="0" w:color="auto"/>
              <w:right w:val="nil"/>
            </w:tcBorders>
          </w:tcPr>
          <w:p w:rsidR="00336793" w:rsidRPr="00C90C53" w:rsidRDefault="00336793" w:rsidP="00DF0B96">
            <w:pPr>
              <w:pStyle w:val="TableofFigures"/>
              <w:rPr>
                <w:rFonts w:eastAsiaTheme="minorEastAsia" w:cs="Calibri"/>
                <w:color w:val="000000"/>
                <w:szCs w:val="22"/>
                <w:lang w:eastAsia="en-AU"/>
              </w:rPr>
            </w:pPr>
            <w:r w:rsidRPr="00C90C53">
              <w:rPr>
                <w:rFonts w:eastAsiaTheme="minorEastAsia"/>
                <w:lang w:eastAsia="en-AU"/>
              </w:rPr>
              <w:t>13 774.7</w:t>
            </w:r>
          </w:p>
        </w:tc>
        <w:tc>
          <w:tcPr>
            <w:tcW w:w="1120" w:type="dxa"/>
            <w:tcBorders>
              <w:top w:val="nil"/>
              <w:left w:val="nil"/>
              <w:bottom w:val="single" w:sz="6" w:space="0" w:color="auto"/>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13 732.2</w:t>
            </w:r>
          </w:p>
        </w:tc>
        <w:tc>
          <w:tcPr>
            <w:tcW w:w="1120" w:type="dxa"/>
            <w:gridSpan w:val="2"/>
            <w:tcBorders>
              <w:top w:val="nil"/>
              <w:left w:val="nil"/>
              <w:bottom w:val="single" w:sz="6" w:space="0" w:color="auto"/>
              <w:right w:val="nil"/>
            </w:tcBorders>
          </w:tcPr>
          <w:p w:rsidR="00336793" w:rsidRPr="00C90C53" w:rsidRDefault="00336793" w:rsidP="00DF0B96">
            <w:pPr>
              <w:pStyle w:val="TableofFigures"/>
              <w:rPr>
                <w:rFonts w:eastAsiaTheme="minorEastAsia" w:cs="Calibri"/>
                <w:color w:val="000000"/>
                <w:szCs w:val="22"/>
                <w:lang w:eastAsia="en-AU"/>
              </w:rPr>
            </w:pPr>
            <w:r w:rsidRPr="00C90C53">
              <w:rPr>
                <w:rFonts w:eastAsiaTheme="minorEastAsia"/>
                <w:lang w:eastAsia="en-AU"/>
              </w:rPr>
              <w:t>37 413.3</w:t>
            </w:r>
          </w:p>
        </w:tc>
        <w:tc>
          <w:tcPr>
            <w:tcW w:w="1120" w:type="dxa"/>
            <w:tcBorders>
              <w:top w:val="nil"/>
              <w:left w:val="nil"/>
              <w:bottom w:val="single" w:sz="6" w:space="0" w:color="auto"/>
              <w:right w:val="nil"/>
            </w:tcBorders>
          </w:tcPr>
          <w:p w:rsidR="00336793" w:rsidRPr="00C90C53" w:rsidRDefault="00336793" w:rsidP="00DF0B96">
            <w:pPr>
              <w:pStyle w:val="TableofFigures"/>
              <w:rPr>
                <w:rFonts w:eastAsiaTheme="minorEastAsia"/>
                <w:lang w:eastAsia="en-AU"/>
              </w:rPr>
            </w:pPr>
            <w:r w:rsidRPr="00C90C53">
              <w:rPr>
                <w:rFonts w:eastAsiaTheme="minorEastAsia"/>
                <w:lang w:eastAsia="en-AU"/>
              </w:rPr>
              <w:t>36 411.6</w:t>
            </w:r>
          </w:p>
        </w:tc>
      </w:tr>
      <w:tr w:rsidR="00336793" w:rsidRPr="00C90C53" w:rsidTr="00DF0B96">
        <w:tc>
          <w:tcPr>
            <w:tcW w:w="5327" w:type="dxa"/>
            <w:tcBorders>
              <w:top w:val="single" w:sz="6" w:space="0" w:color="auto"/>
              <w:left w:val="nil"/>
              <w:bottom w:val="single" w:sz="12" w:space="0" w:color="000000"/>
              <w:right w:val="nil"/>
            </w:tcBorders>
            <w:shd w:val="clear" w:color="auto" w:fill="auto"/>
          </w:tcPr>
          <w:p w:rsidR="00336793" w:rsidRPr="00C90C53" w:rsidRDefault="00336793" w:rsidP="00DF0B96">
            <w:pPr>
              <w:pStyle w:val="Tabletext"/>
              <w:rPr>
                <w:rFonts w:eastAsiaTheme="minorEastAsia" w:cs="Calibri"/>
                <w:b/>
                <w:bCs/>
                <w:color w:val="000000"/>
                <w:szCs w:val="22"/>
                <w:vertAlign w:val="superscript"/>
                <w:lang w:eastAsia="en-AU"/>
              </w:rPr>
            </w:pPr>
            <w:r w:rsidRPr="00C90C53">
              <w:rPr>
                <w:rFonts w:eastAsiaTheme="minorEastAsia"/>
                <w:b/>
                <w:lang w:eastAsia="en-AU"/>
              </w:rPr>
              <w:t>Total financial liabilities</w:t>
            </w:r>
            <w:r w:rsidRPr="00E96950">
              <w:rPr>
                <w:rFonts w:eastAsiaTheme="minorEastAsia"/>
                <w:b/>
                <w:vertAlign w:val="superscript"/>
                <w:lang w:eastAsia="en-AU"/>
              </w:rPr>
              <w:t xml:space="preserve"> (</w:t>
            </w:r>
            <w:r w:rsidRPr="00C90C53">
              <w:rPr>
                <w:rFonts w:eastAsiaTheme="minorEastAsia"/>
                <w:b/>
                <w:vertAlign w:val="superscript"/>
                <w:lang w:eastAsia="en-AU"/>
              </w:rPr>
              <w:t>a)(</w:t>
            </w:r>
            <w:r w:rsidRPr="00C90C53">
              <w:rPr>
                <w:rFonts w:eastAsiaTheme="minorEastAsia" w:cs="Calibri"/>
                <w:b/>
                <w:bCs/>
                <w:color w:val="000000"/>
                <w:szCs w:val="22"/>
                <w:vertAlign w:val="superscript"/>
                <w:lang w:eastAsia="en-AU"/>
              </w:rPr>
              <w:t>c)</w:t>
            </w:r>
          </w:p>
        </w:tc>
        <w:tc>
          <w:tcPr>
            <w:tcW w:w="950" w:type="dxa"/>
            <w:gridSpan w:val="2"/>
            <w:tcBorders>
              <w:top w:val="single" w:sz="6" w:space="0" w:color="auto"/>
              <w:left w:val="nil"/>
              <w:bottom w:val="single" w:sz="12" w:space="0" w:color="000000"/>
              <w:right w:val="nil"/>
            </w:tcBorders>
            <w:shd w:val="clear" w:color="auto" w:fill="auto"/>
          </w:tcPr>
          <w:p w:rsidR="00336793" w:rsidRPr="00C90C53" w:rsidRDefault="00336793" w:rsidP="00DF0B96">
            <w:pPr>
              <w:pStyle w:val="TableofFigures"/>
              <w:rPr>
                <w:rFonts w:eastAsiaTheme="minorEastAsia" w:cs="Calibri"/>
                <w:b/>
                <w:bCs/>
                <w:color w:val="000000"/>
                <w:szCs w:val="22"/>
                <w:lang w:eastAsia="en-AU"/>
              </w:rPr>
            </w:pPr>
            <w:r w:rsidRPr="00C90C53">
              <w:rPr>
                <w:rFonts w:eastAsiaTheme="minorEastAsia"/>
                <w:b/>
                <w:lang w:eastAsia="en-AU"/>
              </w:rPr>
              <w:t>58 246.4</w:t>
            </w:r>
          </w:p>
        </w:tc>
        <w:tc>
          <w:tcPr>
            <w:tcW w:w="1120" w:type="dxa"/>
            <w:tcBorders>
              <w:top w:val="single" w:sz="6" w:space="0" w:color="auto"/>
              <w:left w:val="nil"/>
              <w:bottom w:val="single" w:sz="12" w:space="0" w:color="000000"/>
              <w:right w:val="nil"/>
            </w:tcBorders>
            <w:shd w:val="clear" w:color="auto" w:fill="auto"/>
          </w:tcPr>
          <w:p w:rsidR="00336793" w:rsidRPr="00C90C53" w:rsidRDefault="00336793" w:rsidP="00DF0B96">
            <w:pPr>
              <w:pStyle w:val="TableofFigures"/>
              <w:rPr>
                <w:rFonts w:eastAsiaTheme="minorEastAsia"/>
                <w:b/>
                <w:lang w:eastAsia="en-AU"/>
              </w:rPr>
            </w:pPr>
            <w:r w:rsidRPr="00C90C53">
              <w:rPr>
                <w:rFonts w:eastAsiaTheme="minorEastAsia"/>
                <w:b/>
                <w:lang w:eastAsia="en-AU"/>
              </w:rPr>
              <w:t>57 789.9</w:t>
            </w:r>
          </w:p>
        </w:tc>
        <w:tc>
          <w:tcPr>
            <w:tcW w:w="1120" w:type="dxa"/>
            <w:gridSpan w:val="2"/>
            <w:tcBorders>
              <w:top w:val="single" w:sz="6" w:space="0" w:color="auto"/>
              <w:left w:val="nil"/>
              <w:bottom w:val="single" w:sz="12" w:space="0" w:color="000000"/>
              <w:right w:val="nil"/>
            </w:tcBorders>
            <w:shd w:val="clear" w:color="auto" w:fill="auto"/>
          </w:tcPr>
          <w:p w:rsidR="00336793" w:rsidRPr="00C90C53" w:rsidRDefault="00336793" w:rsidP="00DF0B96">
            <w:pPr>
              <w:pStyle w:val="TableofFigures"/>
              <w:rPr>
                <w:rFonts w:eastAsiaTheme="minorEastAsia" w:cs="Calibri"/>
                <w:b/>
                <w:bCs/>
                <w:color w:val="000000"/>
                <w:szCs w:val="22"/>
                <w:lang w:eastAsia="en-AU"/>
              </w:rPr>
            </w:pPr>
            <w:r w:rsidRPr="00C90C53">
              <w:rPr>
                <w:rFonts w:eastAsiaTheme="minorEastAsia"/>
                <w:b/>
                <w:lang w:eastAsia="en-AU"/>
              </w:rPr>
              <w:t>37 916.7</w:t>
            </w:r>
          </w:p>
        </w:tc>
        <w:tc>
          <w:tcPr>
            <w:tcW w:w="1120" w:type="dxa"/>
            <w:tcBorders>
              <w:top w:val="single" w:sz="6" w:space="0" w:color="auto"/>
              <w:left w:val="nil"/>
              <w:bottom w:val="single" w:sz="12" w:space="0" w:color="000000"/>
              <w:right w:val="nil"/>
            </w:tcBorders>
            <w:shd w:val="clear" w:color="auto" w:fill="auto"/>
          </w:tcPr>
          <w:p w:rsidR="00336793" w:rsidRPr="00C90C53" w:rsidRDefault="00336793" w:rsidP="00DF0B96">
            <w:pPr>
              <w:pStyle w:val="TableofFigures"/>
              <w:rPr>
                <w:rFonts w:eastAsiaTheme="minorEastAsia"/>
                <w:b/>
                <w:lang w:eastAsia="en-AU"/>
              </w:rPr>
            </w:pPr>
            <w:r w:rsidRPr="00C90C53">
              <w:rPr>
                <w:rFonts w:eastAsiaTheme="minorEastAsia"/>
                <w:b/>
                <w:lang w:eastAsia="en-AU"/>
              </w:rPr>
              <w:t>36 837.1</w:t>
            </w:r>
          </w:p>
        </w:tc>
      </w:tr>
    </w:tbl>
    <w:p w:rsidR="00336793" w:rsidRPr="006A75A2" w:rsidRDefault="00336793" w:rsidP="00DF0B96">
      <w:pPr>
        <w:pStyle w:val="Notes"/>
      </w:pPr>
      <w:r w:rsidRPr="006A75A2">
        <w:t>Notes:</w:t>
      </w:r>
    </w:p>
    <w:p w:rsidR="00336793" w:rsidRDefault="00336793" w:rsidP="00DF0B96">
      <w:pPr>
        <w:pStyle w:val="Notes"/>
      </w:pPr>
      <w:r>
        <w:t xml:space="preserve">(a) </w:t>
      </w:r>
      <w:r>
        <w:tab/>
      </w:r>
      <w:r w:rsidRPr="00DF7C4A">
        <w:t>June 2014 comparative figures have been restated. See Note 37.</w:t>
      </w:r>
    </w:p>
    <w:p w:rsidR="00336793" w:rsidRPr="008541E5" w:rsidRDefault="00336793" w:rsidP="00DF0B96">
      <w:pPr>
        <w:pStyle w:val="Notes"/>
      </w:pPr>
      <w:r>
        <w:t>(b</w:t>
      </w:r>
      <w:r w:rsidRPr="006A75A2">
        <w:t>)</w:t>
      </w:r>
      <w:r w:rsidRPr="006A75A2">
        <w:tab/>
        <w:t>The State</w:t>
      </w:r>
      <w:r>
        <w:t>’</w:t>
      </w:r>
      <w:r w:rsidRPr="006A75A2">
        <w:t>s total financial assets in this table exclude statutory and other receiva</w:t>
      </w:r>
      <w:r w:rsidRPr="008541E5">
        <w:t>bles of $</w:t>
      </w:r>
      <w:r>
        <w:t>4 474.6 million</w:t>
      </w:r>
      <w:r w:rsidRPr="008541E5">
        <w:t xml:space="preserve"> ($</w:t>
      </w:r>
      <w:r>
        <w:t>4 </w:t>
      </w:r>
      <w:r w:rsidRPr="008541E5">
        <w:t>272.9</w:t>
      </w:r>
      <w:r>
        <w:t> million</w:t>
      </w:r>
      <w:r w:rsidRPr="008541E5">
        <w:t xml:space="preserve"> in 2014) while the general government</w:t>
      </w:r>
      <w:r>
        <w:t>’</w:t>
      </w:r>
      <w:r w:rsidRPr="008541E5">
        <w:t>s total financial assets exclude statutory receivables of $</w:t>
      </w:r>
      <w:r>
        <w:t>3 671.3 million</w:t>
      </w:r>
      <w:r w:rsidRPr="008541E5">
        <w:t xml:space="preserve"> ($</w:t>
      </w:r>
      <w:r>
        <w:t>3 </w:t>
      </w:r>
      <w:r w:rsidRPr="008541E5">
        <w:t>245.0</w:t>
      </w:r>
      <w:r>
        <w:t> million</w:t>
      </w:r>
      <w:r w:rsidRPr="008541E5">
        <w:t xml:space="preserve"> in 2014).</w:t>
      </w:r>
    </w:p>
    <w:p w:rsidR="00336793" w:rsidRPr="006A75A2" w:rsidRDefault="00336793" w:rsidP="00DF0B96">
      <w:pPr>
        <w:pStyle w:val="Notes"/>
      </w:pPr>
      <w:r>
        <w:t>(c</w:t>
      </w:r>
      <w:r w:rsidRPr="008541E5">
        <w:t>)</w:t>
      </w:r>
      <w:r w:rsidRPr="008541E5">
        <w:tab/>
        <w:t>The State</w:t>
      </w:r>
      <w:r>
        <w:t>’</w:t>
      </w:r>
      <w:r w:rsidRPr="008541E5">
        <w:t>s total financial liabilities exclude statutory taxes payable, unearned income and advance premiums of $</w:t>
      </w:r>
      <w:r>
        <w:t>3 </w:t>
      </w:r>
      <w:r w:rsidRPr="008541E5">
        <w:t>35</w:t>
      </w:r>
      <w:r>
        <w:t>2</w:t>
      </w:r>
      <w:r w:rsidRPr="008541E5">
        <w:t>.</w:t>
      </w:r>
      <w:r>
        <w:t>2 million</w:t>
      </w:r>
      <w:r w:rsidRPr="008541E5">
        <w:t xml:space="preserve"> ($3 166.7</w:t>
      </w:r>
      <w:r>
        <w:t> million</w:t>
      </w:r>
      <w:r w:rsidRPr="008541E5">
        <w:t xml:space="preserve"> in 2014) while the general government</w:t>
      </w:r>
      <w:r>
        <w:t>’</w:t>
      </w:r>
      <w:r w:rsidRPr="008541E5">
        <w:t>s total financial liabilities exclude statutory taxes payable and unearned income of</w:t>
      </w:r>
      <w:r>
        <w:t xml:space="preserve"> </w:t>
      </w:r>
      <w:r w:rsidRPr="008541E5">
        <w:t>$</w:t>
      </w:r>
      <w:r>
        <w:t>2 </w:t>
      </w:r>
      <w:r w:rsidRPr="008541E5">
        <w:t>3</w:t>
      </w:r>
      <w:r>
        <w:t>74</w:t>
      </w:r>
      <w:r w:rsidRPr="008541E5">
        <w:t>.</w:t>
      </w:r>
      <w:r>
        <w:t>3 million</w:t>
      </w:r>
      <w:r w:rsidRPr="008541E5">
        <w:t xml:space="preserve"> ($2 097.8</w:t>
      </w:r>
      <w:r>
        <w:t> million</w:t>
      </w:r>
      <w:r w:rsidRPr="008541E5">
        <w:t xml:space="preserve"> in 2014).</w:t>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A75A2" w:rsidRDefault="00336793" w:rsidP="00DF0B96">
      <w:r w:rsidRPr="006A75A2">
        <w:t>As part of its normal operations, the State is exposed to a number of financial risks including market risk (e.g. interest rate risk, foreign currency risk, and equity price risk), credit risk and liquidity risk through transactions involving its financial instruments. As a whole, the State</w:t>
      </w:r>
      <w:r>
        <w:t>’</w:t>
      </w:r>
      <w:r w:rsidRPr="006A75A2">
        <w:t>s financial risk management program seeks to manage these risks and the associated volatility on its financial performance.</w:t>
      </w:r>
    </w:p>
    <w:p w:rsidR="00336793" w:rsidRPr="006A75A2" w:rsidRDefault="00336793" w:rsidP="00DF0B96">
      <w:r w:rsidRPr="006A75A2">
        <w:t>Responsible and prudent financial risk management is carried out individually by the State</w:t>
      </w:r>
      <w:r>
        <w:t>’</w:t>
      </w:r>
      <w:r w:rsidRPr="006A75A2">
        <w:t>s entities, in accordance with the State</w:t>
      </w:r>
      <w:r>
        <w:t>’</w:t>
      </w:r>
      <w:r w:rsidRPr="006A75A2">
        <w:t>s risk management framework, developed by the Department of Treasury and Finance (DTF) and established by the Treasurer. The State</w:t>
      </w:r>
      <w:r>
        <w:t>’</w:t>
      </w:r>
      <w:r w:rsidRPr="006A75A2">
        <w:t>s risk management framework comprises the following key components:</w:t>
      </w:r>
    </w:p>
    <w:p w:rsidR="00336793" w:rsidRPr="006A75A2" w:rsidRDefault="00336793" w:rsidP="00DF0B96">
      <w:pPr>
        <w:pStyle w:val="BulletText"/>
      </w:pPr>
      <w:r w:rsidRPr="006A75A2">
        <w:t>the Treasurer is responsible for approving and establishing the prudential framework containing policies and guidelines on financial risk management;</w:t>
      </w:r>
    </w:p>
    <w:p w:rsidR="00336793" w:rsidRPr="006A75A2" w:rsidRDefault="00336793" w:rsidP="00DF0B96">
      <w:pPr>
        <w:pStyle w:val="BulletText"/>
      </w:pPr>
      <w:r w:rsidRPr="006A75A2">
        <w:t>the Senior Executive Group of DTF is responsible for advising the Government on the management of the State</w:t>
      </w:r>
      <w:r>
        <w:t>’</w:t>
      </w:r>
      <w:r w:rsidRPr="006A75A2">
        <w:t>s financial risks;</w:t>
      </w:r>
    </w:p>
    <w:p w:rsidR="00336793" w:rsidRPr="006A75A2" w:rsidRDefault="00336793" w:rsidP="00DF0B96">
      <w:pPr>
        <w:pStyle w:val="BulletText"/>
      </w:pPr>
      <w:r w:rsidRPr="006A75A2">
        <w:t>DTF</w:t>
      </w:r>
      <w:r>
        <w:t>’</w:t>
      </w:r>
      <w:r w:rsidRPr="006A75A2">
        <w:t>s Balance Sheet Management Committee provides oversight of the State</w:t>
      </w:r>
      <w:r>
        <w:t>’</w:t>
      </w:r>
      <w:r w:rsidRPr="006A75A2">
        <w:t>s key financial balance sheet and financial market risks. These risks relate to the State</w:t>
      </w:r>
      <w:r>
        <w:t>’</w:t>
      </w:r>
      <w:r w:rsidRPr="006A75A2">
        <w:t>s investments, borrowings, superannuation and insurance claims liabilities, as well as exposures to interest rate, foreign exchange and commodity price volatility and liquidity position;</w:t>
      </w:r>
    </w:p>
    <w:p w:rsidR="00336793" w:rsidRPr="006A75A2" w:rsidRDefault="00336793" w:rsidP="00DF0B96">
      <w:pPr>
        <w:pStyle w:val="BulletText"/>
      </w:pPr>
      <w:r w:rsidRPr="006A75A2">
        <w:t>the Treasury Corporation of Victoria (TCV) is the State</w:t>
      </w:r>
      <w:r>
        <w:t>’</w:t>
      </w:r>
      <w:r w:rsidRPr="006A75A2">
        <w:t>s central borrowing authority and financing advisor. An independent prudential supervisor is appointed by the Treasurer to monitor TCV</w:t>
      </w:r>
      <w:r>
        <w:t>’</w:t>
      </w:r>
      <w:r w:rsidRPr="006A75A2">
        <w:t>s compliance with its prudential framework;</w:t>
      </w:r>
    </w:p>
    <w:p w:rsidR="00336793" w:rsidRPr="006A75A2" w:rsidRDefault="00336793" w:rsidP="00DF0B96">
      <w:pPr>
        <w:pStyle w:val="BulletText"/>
      </w:pPr>
      <w:r w:rsidRPr="006A75A2">
        <w:t>the Victorian Funds Management Corporation (VFMC) acts as the State</w:t>
      </w:r>
      <w:r>
        <w:t>’</w:t>
      </w:r>
      <w:r w:rsidRPr="006A75A2">
        <w:t>s central investment fund manager providing expertise in developing investment strategy and delivering funds management services in accordance with each entity</w:t>
      </w:r>
      <w:r>
        <w:t>’</w:t>
      </w:r>
      <w:r w:rsidRPr="006A75A2">
        <w:t>s investment objectives. An independent prudential supervisor is appointed by the Treasurer to monitor VFMC</w:t>
      </w:r>
      <w:r>
        <w:t>’</w:t>
      </w:r>
      <w:r w:rsidRPr="006A75A2">
        <w:t>s compliance with its prudential framework; and</w:t>
      </w:r>
    </w:p>
    <w:p w:rsidR="00336793" w:rsidRPr="006A75A2" w:rsidRDefault="00336793" w:rsidP="00DF0B96">
      <w:pPr>
        <w:pStyle w:val="BulletText"/>
      </w:pPr>
      <w:r w:rsidRPr="006A75A2">
        <w:t>the State</w:t>
      </w:r>
      <w:r>
        <w:t>’</w:t>
      </w:r>
      <w:r w:rsidRPr="006A75A2">
        <w:t>s entities with gross debt or investments equal to or greater than $20</w:t>
      </w:r>
      <w:r>
        <w:t> million</w:t>
      </w:r>
      <w:r w:rsidRPr="006A75A2">
        <w:t xml:space="preserve"> are responsible for setting their own financial risk policy and objectives in accordance with the Treasurer</w:t>
      </w:r>
      <w:r>
        <w:t>’</w:t>
      </w:r>
      <w:r w:rsidRPr="006A75A2">
        <w:t>s prudential framework. All entities are responsible for the day</w:t>
      </w:r>
      <w:r>
        <w:noBreakHyphen/>
      </w:r>
      <w:r w:rsidRPr="006A75A2">
        <w:t>to</w:t>
      </w:r>
      <w:r>
        <w:noBreakHyphen/>
      </w:r>
      <w:r w:rsidRPr="006A75A2">
        <w:t>day operational management of their financial instruments and associated risks in accordance with the Treasury Management Guidelines.</w:t>
      </w:r>
    </w:p>
    <w:p w:rsidR="00336793" w:rsidRPr="006A75A2" w:rsidRDefault="00336793" w:rsidP="00DF0B96">
      <w:r w:rsidRPr="006A75A2">
        <w:t>The prudential framework covers areas such as financial management objectives, responsibility structure and delegation, and policies and guidance on market risk, credit risk, liquidity risk and operational risk. The Chief Executive Officers and executives of the State</w:t>
      </w:r>
      <w:r>
        <w:t>’</w:t>
      </w:r>
      <w:r w:rsidRPr="006A75A2">
        <w:t>s entities are responsible for advising their boards, who in turn notify DTF and other stakeholders of any breach by the entities of the prudential standards set by the Treasurer or policies set by their respective boards, including the strategy to remediate the breach.</w:t>
      </w:r>
    </w:p>
    <w:p w:rsidR="00336793" w:rsidRPr="006A75A2" w:rsidRDefault="00336793" w:rsidP="00DF0B96">
      <w:r w:rsidRPr="006A75A2">
        <w:t>A number of the State</w:t>
      </w:r>
      <w:r>
        <w:t>’</w:t>
      </w:r>
      <w:r w:rsidRPr="006A75A2">
        <w:t>s entities enter into derivative financial instruments in accordance with the Treasurer</w:t>
      </w:r>
      <w:r>
        <w:t>’</w:t>
      </w:r>
      <w:r w:rsidRPr="006A75A2">
        <w:t>s prudential and financial management framework, in order to manage their exposure to movements in interest rates, foreign currency exchange rates, and commodity related exposures.</w:t>
      </w:r>
    </w:p>
    <w:p w:rsidR="00336793" w:rsidRPr="006A75A2" w:rsidRDefault="00336793" w:rsidP="00DF0B96">
      <w:r w:rsidRPr="006A75A2">
        <w:t>These derivative financial instruments, which include interest rate swaps and futures and forward foreign exchange contracts, are used to manage the risks inherent in either borrowings, financial asset investments or cash flow denominated in foreign currency. Derivative financial instruments are not used to add leverage to the State</w:t>
      </w:r>
      <w:r>
        <w:t>’</w:t>
      </w:r>
      <w:r w:rsidRPr="006A75A2">
        <w:t>s financial position.</w:t>
      </w:r>
    </w:p>
    <w:p w:rsidR="00336793" w:rsidRPr="006A75A2" w:rsidRDefault="00336793" w:rsidP="00DF0B96"/>
    <w:p w:rsidR="00336793" w:rsidRPr="006A75A2" w:rsidRDefault="00336793" w:rsidP="00DF0B96">
      <w:pPr>
        <w:spacing w:after="0"/>
        <w:rPr>
          <w:rFonts w:ascii="Calibri" w:hAnsi="Calibri"/>
          <w:b/>
          <w:sz w:val="28"/>
          <w:szCs w:val="22"/>
        </w:rPr>
      </w:pPr>
      <w:r w:rsidRPr="006A75A2">
        <w:br w:type="page"/>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A75A2" w:rsidRDefault="00336793" w:rsidP="00DF0B96">
      <w:pPr>
        <w:pStyle w:val="Heading5"/>
      </w:pPr>
      <w:r w:rsidRPr="006A75A2">
        <w:t>(b)</w:t>
      </w:r>
      <w:r w:rsidRPr="006A75A2">
        <w:tab/>
        <w:t>Breakdown of interest revenue</w:t>
      </w:r>
      <w:r w:rsidRPr="006A75A2">
        <w:rPr>
          <w:vertAlign w:val="superscript"/>
        </w:rPr>
        <w:t>(a)</w:t>
      </w:r>
    </w:p>
    <w:p w:rsidR="00336793" w:rsidRPr="00A10A3B" w:rsidRDefault="00336793" w:rsidP="00DF0B96">
      <w:pPr>
        <w:pStyle w:val="million"/>
        <w:rPr>
          <w:rFonts w:ascii="Times New Roman" w:hAnsi="Times New Roman"/>
          <w:i w:val="0"/>
          <w:szCs w:val="20"/>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b/>
                <w:lang w:eastAsia="en-AU"/>
              </w:rPr>
            </w:pPr>
            <w:r w:rsidRPr="00A10A3B">
              <w:rPr>
                <w:rFonts w:eastAsiaTheme="minorEastAsia"/>
                <w:b/>
                <w:lang w:eastAsia="en-AU"/>
              </w:rPr>
              <w:t xml:space="preserve"> </w:t>
            </w:r>
          </w:p>
        </w:tc>
        <w:tc>
          <w:tcPr>
            <w:tcW w:w="26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iCs/>
                <w:lang w:eastAsia="en-AU"/>
              </w:rPr>
            </w:pPr>
          </w:p>
          <w:p w:rsidR="00336793" w:rsidRPr="00A10A3B" w:rsidRDefault="00336793" w:rsidP="00DF0B96">
            <w:pPr>
              <w:pStyle w:val="TabletextheadingCentred"/>
              <w:rPr>
                <w:rFonts w:eastAsiaTheme="minorEastAsia"/>
                <w:iCs/>
                <w:lang w:eastAsia="en-AU"/>
              </w:rPr>
            </w:pPr>
            <w:r w:rsidRPr="00A10A3B">
              <w:rPr>
                <w:rFonts w:eastAsiaTheme="minorEastAsia"/>
                <w:iCs/>
                <w:lang w:eastAsia="en-AU"/>
              </w:rPr>
              <w:t>State of Victoria</w:t>
            </w:r>
          </w:p>
        </w:tc>
        <w:tc>
          <w:tcPr>
            <w:tcW w:w="27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iCs/>
                <w:lang w:eastAsia="en-AU"/>
              </w:rPr>
            </w:pPr>
            <w:r w:rsidRPr="00A10A3B">
              <w:rPr>
                <w:rFonts w:eastAsiaTheme="minorEastAsia"/>
                <w:iCs/>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Centred"/>
              <w:rPr>
                <w:rFonts w:eastAsiaTheme="minorEastAsia"/>
                <w:iCs/>
                <w:lang w:eastAsia="en-AU"/>
              </w:rPr>
            </w:pPr>
            <w:r w:rsidRPr="00A10A3B">
              <w:rPr>
                <w:rFonts w:eastAsiaTheme="minorEastAsia"/>
                <w:iCs/>
                <w:lang w:eastAsia="en-AU"/>
              </w:rPr>
              <w:t xml:space="preserve">General </w:t>
            </w:r>
          </w:p>
          <w:p w:rsidR="00336793" w:rsidRPr="00A10A3B" w:rsidRDefault="00336793" w:rsidP="00DF0B96">
            <w:pPr>
              <w:pStyle w:val="TabletextheadingCentred"/>
              <w:rPr>
                <w:rFonts w:eastAsiaTheme="minorEastAsia"/>
                <w:iCs/>
                <w:lang w:eastAsia="en-AU"/>
              </w:rPr>
            </w:pPr>
            <w:r w:rsidRPr="00A10A3B">
              <w:rPr>
                <w:rFonts w:eastAsiaTheme="minorEastAsia"/>
                <w:iCs/>
                <w:lang w:eastAsia="en-AU"/>
              </w:rPr>
              <w:t>government sector</w:t>
            </w:r>
          </w:p>
        </w:tc>
      </w:tr>
      <w:tr w:rsidR="00336793" w:rsidRPr="00A10A3B"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Interest revenue from financial assets not at fair value through the operating statement</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432.5</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605.9</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827.0</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831.2</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Interest revenue from financial assets at fair value through the operating statement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731.5</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553.6</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0.1</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Interest revenue from impaired financial assets</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lang w:eastAsia="en-AU"/>
              </w:rPr>
            </w:pPr>
            <w:r w:rsidRPr="00A10A3B">
              <w:rPr>
                <w:rFonts w:eastAsiaTheme="minorEastAsia"/>
                <w:b/>
                <w:lang w:eastAsia="en-AU"/>
              </w:rPr>
              <w:t>Total</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sidRPr="00A10A3B">
              <w:rPr>
                <w:rFonts w:eastAsiaTheme="minorEastAsia"/>
                <w:b/>
                <w:lang w:eastAsia="en-AU"/>
              </w:rPr>
              <w:t>1 164.0</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1 159.5</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827.1</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831.2</w:t>
            </w:r>
          </w:p>
        </w:tc>
      </w:tr>
    </w:tbl>
    <w:p w:rsidR="00336793" w:rsidRDefault="00336793" w:rsidP="00DF0B96">
      <w:pPr>
        <w:pStyle w:val="Notes"/>
      </w:pPr>
      <w:r>
        <w:t>Note:</w:t>
      </w:r>
    </w:p>
    <w:p w:rsidR="00336793" w:rsidRDefault="00336793" w:rsidP="00DF0B96">
      <w:pPr>
        <w:pStyle w:val="Notes"/>
      </w:pPr>
      <w:r>
        <w:t>(a)</w:t>
      </w:r>
      <w:r>
        <w:tab/>
        <w:t>These items include amounts that relate to discount interest on financial assets. Therefore, figures in this table cannot be reconciled to the primary statements.</w:t>
      </w:r>
      <w:r w:rsidRPr="006A75A2">
        <w:t xml:space="preserve"> </w:t>
      </w:r>
    </w:p>
    <w:p w:rsidR="00336793" w:rsidRPr="006A75A2" w:rsidRDefault="00336793" w:rsidP="00DF0B96">
      <w:pPr>
        <w:pStyle w:val="Notes"/>
      </w:pPr>
    </w:p>
    <w:p w:rsidR="00336793" w:rsidRPr="006A75A2" w:rsidRDefault="00336793" w:rsidP="00DF0B96"/>
    <w:p w:rsidR="00336793" w:rsidRPr="006A75A2" w:rsidRDefault="00336793" w:rsidP="00DF0B96">
      <w:pPr>
        <w:pStyle w:val="Heading5"/>
      </w:pPr>
      <w:r w:rsidRPr="006A75A2">
        <w:t>(c)</w:t>
      </w:r>
      <w:r w:rsidRPr="006A75A2">
        <w:tab/>
        <w:t>Breakdown of interest and fee expense items</w:t>
      </w:r>
      <w:r w:rsidRPr="006A75A2">
        <w:rPr>
          <w:vertAlign w:val="superscript"/>
        </w:rPr>
        <w:t>(a)</w:t>
      </w:r>
    </w:p>
    <w:p w:rsidR="00336793" w:rsidRPr="00A10A3B" w:rsidRDefault="00336793" w:rsidP="00DF0B96">
      <w:pPr>
        <w:pStyle w:val="million"/>
        <w:rPr>
          <w:rFonts w:ascii="Times New Roman" w:hAnsi="Times New Roman"/>
          <w:i w:val="0"/>
          <w:szCs w:val="20"/>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b/>
                <w:lang w:eastAsia="en-AU"/>
              </w:rPr>
            </w:pPr>
            <w:r w:rsidRPr="00A10A3B">
              <w:rPr>
                <w:rFonts w:eastAsiaTheme="minorEastAsia"/>
                <w:b/>
                <w:lang w:eastAsia="en-AU"/>
              </w:rPr>
              <w:t xml:space="preserve"> </w:t>
            </w:r>
          </w:p>
        </w:tc>
        <w:tc>
          <w:tcPr>
            <w:tcW w:w="26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iCs/>
                <w:lang w:eastAsia="en-AU"/>
              </w:rPr>
            </w:pPr>
          </w:p>
          <w:p w:rsidR="00336793" w:rsidRPr="00A10A3B" w:rsidRDefault="00336793" w:rsidP="00DF0B96">
            <w:pPr>
              <w:pStyle w:val="TabletextheadingCentred"/>
              <w:rPr>
                <w:rFonts w:eastAsiaTheme="minorEastAsia"/>
                <w:iCs/>
                <w:lang w:eastAsia="en-AU"/>
              </w:rPr>
            </w:pPr>
            <w:r w:rsidRPr="00A10A3B">
              <w:rPr>
                <w:rFonts w:eastAsiaTheme="minorEastAsia"/>
                <w:iCs/>
                <w:lang w:eastAsia="en-AU"/>
              </w:rPr>
              <w:t>State of Victoria</w:t>
            </w:r>
          </w:p>
        </w:tc>
        <w:tc>
          <w:tcPr>
            <w:tcW w:w="27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iCs/>
                <w:lang w:eastAsia="en-AU"/>
              </w:rPr>
            </w:pPr>
            <w:r w:rsidRPr="00A10A3B">
              <w:rPr>
                <w:rFonts w:eastAsiaTheme="minorEastAsia"/>
                <w:iCs/>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Centred"/>
              <w:rPr>
                <w:rFonts w:eastAsiaTheme="minorEastAsia"/>
                <w:iCs/>
                <w:lang w:eastAsia="en-AU"/>
              </w:rPr>
            </w:pPr>
            <w:r w:rsidRPr="00A10A3B">
              <w:rPr>
                <w:rFonts w:eastAsiaTheme="minorEastAsia"/>
                <w:iCs/>
                <w:lang w:eastAsia="en-AU"/>
              </w:rPr>
              <w:t xml:space="preserve">General </w:t>
            </w:r>
          </w:p>
          <w:p w:rsidR="00336793" w:rsidRPr="00A10A3B" w:rsidRDefault="00336793" w:rsidP="00DF0B96">
            <w:pPr>
              <w:pStyle w:val="TabletextheadingCentred"/>
              <w:rPr>
                <w:rFonts w:eastAsiaTheme="minorEastAsia"/>
                <w:iCs/>
                <w:lang w:eastAsia="en-AU"/>
              </w:rPr>
            </w:pPr>
            <w:r w:rsidRPr="00A10A3B">
              <w:rPr>
                <w:rFonts w:eastAsiaTheme="minorEastAsia"/>
                <w:iCs/>
                <w:lang w:eastAsia="en-AU"/>
              </w:rPr>
              <w:t>government sector</w:t>
            </w:r>
          </w:p>
        </w:tc>
      </w:tr>
      <w:tr w:rsidR="00336793" w:rsidRPr="00A10A3B"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Interest expense from financial liabilities not at fair value through the operating statement </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836.4</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877.3</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2 067.1</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2 094.5</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Interest expense from financial liabilities at fair value through the operating statement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2 163.8</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2 228.9</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Fee expenses from financial liabilities not at fair value through the operating statement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24.7</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32.1</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29.5</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24.3</w:t>
            </w:r>
          </w:p>
        </w:tc>
      </w:tr>
      <w:tr w:rsidR="00336793" w:rsidRPr="00A10A3B" w:rsidTr="00DF0B96">
        <w:tc>
          <w:tcPr>
            <w:tcW w:w="515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Fee expenses from financial liabilities at fair value through the operating statement</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432.6</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397.7</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lang w:eastAsia="en-AU"/>
              </w:rPr>
            </w:pPr>
            <w:r w:rsidRPr="00A10A3B">
              <w:rPr>
                <w:rFonts w:eastAsiaTheme="minorEastAsia"/>
                <w:b/>
                <w:lang w:eastAsia="en-AU"/>
              </w:rPr>
              <w:t>Total</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sidRPr="00A10A3B">
              <w:rPr>
                <w:rFonts w:eastAsiaTheme="minorEastAsia"/>
                <w:b/>
                <w:lang w:eastAsia="en-AU"/>
              </w:rPr>
              <w:t>3 457.6</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3 536.0</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sidRPr="00A10A3B">
              <w:rPr>
                <w:rFonts w:eastAsiaTheme="minorEastAsia"/>
                <w:b/>
                <w:lang w:eastAsia="en-AU"/>
              </w:rPr>
              <w:t>2 096.7</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2 118.8</w:t>
            </w:r>
          </w:p>
        </w:tc>
      </w:tr>
    </w:tbl>
    <w:p w:rsidR="00336793" w:rsidRPr="006A75A2" w:rsidRDefault="00336793" w:rsidP="00DF0B96">
      <w:pPr>
        <w:pStyle w:val="Notes"/>
      </w:pPr>
      <w:r w:rsidRPr="006A75A2">
        <w:t>Note:</w:t>
      </w:r>
    </w:p>
    <w:p w:rsidR="00336793" w:rsidRDefault="00336793" w:rsidP="00DF0B96">
      <w:pPr>
        <w:pStyle w:val="Notes"/>
      </w:pPr>
      <w:r w:rsidRPr="006A75A2">
        <w:t>(a)</w:t>
      </w:r>
      <w:r w:rsidRPr="006A75A2">
        <w:tab/>
      </w:r>
      <w:r w:rsidRPr="00396615">
        <w:t>These items do not include amounts that relate to discount interest on non</w:t>
      </w:r>
      <w:r>
        <w:noBreakHyphen/>
      </w:r>
      <w:r w:rsidRPr="00396615">
        <w:t>financial liabilities. Therefore, figures in this table cannot be reconciled to the primary statements.</w:t>
      </w:r>
    </w:p>
    <w:p w:rsidR="00336793" w:rsidRPr="006A75A2" w:rsidRDefault="00336793" w:rsidP="00DF0B96">
      <w:pPr>
        <w:pStyle w:val="Notes"/>
      </w:pPr>
    </w:p>
    <w:p w:rsidR="00336793" w:rsidRPr="006A75A2" w:rsidRDefault="00336793" w:rsidP="00DF0B96"/>
    <w:p w:rsidR="00336793" w:rsidRPr="006A75A2" w:rsidRDefault="00336793" w:rsidP="00DF0B96">
      <w:pPr>
        <w:spacing w:after="0"/>
        <w:rPr>
          <w:rFonts w:ascii="Calibri" w:hAnsi="Calibri"/>
          <w:b/>
        </w:rPr>
      </w:pPr>
      <w:r w:rsidRPr="006A75A2">
        <w:br w:type="page"/>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A75A2" w:rsidRDefault="00336793" w:rsidP="00DF0B96">
      <w:pPr>
        <w:pStyle w:val="Heading5"/>
      </w:pPr>
      <w:r w:rsidRPr="006A75A2">
        <w:t>(d)</w:t>
      </w:r>
      <w:r w:rsidRPr="006A75A2">
        <w:tab/>
        <w:t>Net gain or loss by category of financial instruments</w:t>
      </w:r>
    </w:p>
    <w:p w:rsidR="00336793" w:rsidRPr="006A75A2" w:rsidRDefault="00336793" w:rsidP="00DF0B96">
      <w:r w:rsidRPr="006A75A2">
        <w:t xml:space="preserve">The net gains or losses on financial assets and </w:t>
      </w:r>
      <w:r>
        <w:t xml:space="preserve">liabilities held at </w:t>
      </w:r>
      <w:r w:rsidRPr="00FD6BB0">
        <w:t>30 June 2015</w:t>
      </w:r>
      <w:r w:rsidRPr="006A75A2">
        <w:t xml:space="preserve"> are determined as follows:</w:t>
      </w:r>
    </w:p>
    <w:p w:rsidR="00336793" w:rsidRPr="006A75A2" w:rsidRDefault="00336793" w:rsidP="00DF0B96">
      <w:pPr>
        <w:pStyle w:val="BulletText"/>
      </w:pPr>
      <w:r w:rsidRPr="006A75A2">
        <w:t>for loans and receivables and available for sale investments, the net gain or loss is calculated by taking the interest revenue, plus or minus foreign exchange gains or losses arising from revaluation of the financial assets, and minus any impairment recognised in the net result;</w:t>
      </w:r>
    </w:p>
    <w:p w:rsidR="00336793" w:rsidRPr="006A75A2" w:rsidRDefault="00336793" w:rsidP="00DF0B96">
      <w:pPr>
        <w:pStyle w:val="BulletText"/>
      </w:pPr>
      <w:r w:rsidRPr="006A75A2">
        <w:t>for financial liabilities measured at amortised cost, the net gain or loss is calculated by taking the interest expense, plus or minus foreign exchange gains or losses arising from the revaluation of financial liabilities measured at amortised cost; and</w:t>
      </w:r>
    </w:p>
    <w:p w:rsidR="00336793" w:rsidRPr="006A75A2" w:rsidRDefault="00336793" w:rsidP="00DF0B96">
      <w:pPr>
        <w:pStyle w:val="BulletText"/>
      </w:pPr>
      <w:r w:rsidRPr="006A75A2">
        <w:t>for financial assets and liabilities that are held for trading or designated at fair value through profit or loss, the net gain or loss is calculated by taking the movement in the fair value of the financial asset or liability.</w:t>
      </w:r>
    </w:p>
    <w:p w:rsidR="00336793" w:rsidRDefault="00336793" w:rsidP="00DF0B96">
      <w:pPr>
        <w:pStyle w:val="million"/>
        <w:rPr>
          <w:rFonts w:ascii="Times New Roman" w:hAnsi="Times New Roman"/>
          <w:i w:val="0"/>
          <w:szCs w:val="20"/>
          <w:lang w:eastAsia="en-AU"/>
        </w:rPr>
      </w:pPr>
      <w:r w:rsidRPr="006A75A2">
        <w:t>($</w:t>
      </w: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507"/>
        <w:gridCol w:w="270"/>
        <w:gridCol w:w="762"/>
        <w:gridCol w:w="1033"/>
        <w:gridCol w:w="275"/>
        <w:gridCol w:w="757"/>
        <w:gridCol w:w="1033"/>
      </w:tblGrid>
      <w:tr w:rsidR="00336793" w:rsidRPr="000E2555" w:rsidTr="00DF0B96">
        <w:trPr>
          <w:cantSplit/>
          <w:tblHeader/>
        </w:trPr>
        <w:tc>
          <w:tcPr>
            <w:tcW w:w="5507" w:type="dxa"/>
            <w:tcBorders>
              <w:top w:val="single" w:sz="6" w:space="0" w:color="auto"/>
              <w:left w:val="single" w:sz="6" w:space="0" w:color="auto"/>
              <w:bottom w:val="nil"/>
              <w:right w:val="nil"/>
            </w:tcBorders>
            <w:shd w:val="clear" w:color="000000" w:fill="000000"/>
            <w:vAlign w:val="bottom"/>
          </w:tcPr>
          <w:p w:rsidR="00336793" w:rsidRPr="000E2555" w:rsidRDefault="00336793" w:rsidP="00DF0B96">
            <w:pPr>
              <w:pStyle w:val="Tabletextheading"/>
              <w:jc w:val="left"/>
              <w:rPr>
                <w:rFonts w:eastAsiaTheme="minorEastAsia"/>
                <w:color w:val="FFFFFF"/>
                <w:lang w:eastAsia="en-AU"/>
              </w:rPr>
            </w:pPr>
            <w:r w:rsidRPr="000E2555">
              <w:rPr>
                <w:rFonts w:eastAsiaTheme="minorEastAsia"/>
                <w:color w:val="FFFFFF"/>
                <w:lang w:eastAsia="en-AU"/>
              </w:rPr>
              <w:t xml:space="preserve"> </w:t>
            </w:r>
          </w:p>
        </w:tc>
        <w:tc>
          <w:tcPr>
            <w:tcW w:w="270" w:type="dxa"/>
            <w:tcBorders>
              <w:top w:val="single" w:sz="6" w:space="0" w:color="auto"/>
              <w:left w:val="nil"/>
              <w:bottom w:val="nil"/>
              <w:right w:val="nil"/>
            </w:tcBorders>
            <w:shd w:val="clear" w:color="000000" w:fill="000000"/>
            <w:vAlign w:val="bottom"/>
          </w:tcPr>
          <w:p w:rsidR="00336793" w:rsidRPr="000E2555" w:rsidRDefault="00336793" w:rsidP="00DF0B96">
            <w:pPr>
              <w:pStyle w:val="TabletextheadingCentred"/>
              <w:rPr>
                <w:rFonts w:eastAsiaTheme="minorEastAsia"/>
                <w:lang w:eastAsia="en-AU"/>
              </w:rPr>
            </w:pPr>
            <w:r w:rsidRPr="000E2555">
              <w:rPr>
                <w:rFonts w:eastAsiaTheme="minorEastAsia"/>
                <w:lang w:eastAsia="en-AU"/>
              </w:rPr>
              <w:t xml:space="preserve"> </w:t>
            </w:r>
          </w:p>
        </w:tc>
        <w:tc>
          <w:tcPr>
            <w:tcW w:w="1795" w:type="dxa"/>
            <w:gridSpan w:val="2"/>
            <w:tcBorders>
              <w:top w:val="single" w:sz="6" w:space="0" w:color="auto"/>
              <w:left w:val="nil"/>
              <w:bottom w:val="nil"/>
              <w:right w:val="nil"/>
            </w:tcBorders>
            <w:shd w:val="clear" w:color="000000" w:fill="000000"/>
            <w:vAlign w:val="bottom"/>
          </w:tcPr>
          <w:p w:rsidR="00336793" w:rsidRPr="000E2555" w:rsidRDefault="00336793" w:rsidP="00DF0B96">
            <w:pPr>
              <w:pStyle w:val="TabletextheadingCentred"/>
              <w:rPr>
                <w:rFonts w:eastAsiaTheme="minorEastAsia"/>
                <w:iCs/>
                <w:lang w:eastAsia="en-AU"/>
              </w:rPr>
            </w:pPr>
          </w:p>
          <w:p w:rsidR="00336793" w:rsidRPr="000E2555" w:rsidRDefault="00336793" w:rsidP="00DF0B96">
            <w:pPr>
              <w:pStyle w:val="TabletextheadingCentred"/>
              <w:rPr>
                <w:rFonts w:eastAsiaTheme="minorEastAsia"/>
                <w:iCs/>
                <w:lang w:eastAsia="en-AU"/>
              </w:rPr>
            </w:pPr>
            <w:r w:rsidRPr="000E2555">
              <w:rPr>
                <w:rFonts w:eastAsiaTheme="minorEastAsia"/>
                <w:iCs/>
                <w:lang w:eastAsia="en-AU"/>
              </w:rPr>
              <w:t>State of Victoria</w:t>
            </w:r>
          </w:p>
        </w:tc>
        <w:tc>
          <w:tcPr>
            <w:tcW w:w="275" w:type="dxa"/>
            <w:tcBorders>
              <w:top w:val="single" w:sz="6" w:space="0" w:color="auto"/>
              <w:left w:val="nil"/>
              <w:bottom w:val="nil"/>
              <w:right w:val="nil"/>
            </w:tcBorders>
            <w:shd w:val="clear" w:color="000000" w:fill="000000"/>
            <w:vAlign w:val="bottom"/>
          </w:tcPr>
          <w:p w:rsidR="00336793" w:rsidRPr="000E2555" w:rsidRDefault="00336793" w:rsidP="00DF0B96">
            <w:pPr>
              <w:pStyle w:val="TabletextheadingCentred"/>
              <w:rPr>
                <w:rFonts w:eastAsiaTheme="minorEastAsia"/>
                <w:iCs/>
                <w:lang w:eastAsia="en-AU"/>
              </w:rPr>
            </w:pPr>
            <w:r w:rsidRPr="000E2555">
              <w:rPr>
                <w:rFonts w:eastAsiaTheme="minorEastAsia"/>
                <w:iCs/>
                <w:lang w:eastAsia="en-AU"/>
              </w:rPr>
              <w:t xml:space="preserve"> </w:t>
            </w:r>
          </w:p>
        </w:tc>
        <w:tc>
          <w:tcPr>
            <w:tcW w:w="1790" w:type="dxa"/>
            <w:gridSpan w:val="2"/>
            <w:tcBorders>
              <w:top w:val="single" w:sz="6" w:space="0" w:color="auto"/>
              <w:left w:val="nil"/>
              <w:bottom w:val="nil"/>
              <w:right w:val="single" w:sz="6" w:space="0" w:color="auto"/>
            </w:tcBorders>
            <w:shd w:val="clear" w:color="000000" w:fill="000000"/>
            <w:vAlign w:val="bottom"/>
          </w:tcPr>
          <w:p w:rsidR="00336793" w:rsidRPr="000E2555" w:rsidRDefault="00336793" w:rsidP="00DF0B96">
            <w:pPr>
              <w:pStyle w:val="TabletextheadingCentred"/>
              <w:rPr>
                <w:rFonts w:eastAsiaTheme="minorEastAsia"/>
                <w:iCs/>
                <w:lang w:eastAsia="en-AU"/>
              </w:rPr>
            </w:pPr>
            <w:r w:rsidRPr="000E2555">
              <w:rPr>
                <w:rFonts w:eastAsiaTheme="minorEastAsia"/>
                <w:iCs/>
                <w:lang w:eastAsia="en-AU"/>
              </w:rPr>
              <w:t xml:space="preserve">General </w:t>
            </w:r>
          </w:p>
          <w:p w:rsidR="00336793" w:rsidRPr="000E2555" w:rsidRDefault="00336793" w:rsidP="00DF0B96">
            <w:pPr>
              <w:pStyle w:val="TabletextheadingCentred"/>
              <w:rPr>
                <w:rFonts w:eastAsiaTheme="minorEastAsia"/>
                <w:iCs/>
                <w:lang w:eastAsia="en-AU"/>
              </w:rPr>
            </w:pPr>
            <w:r w:rsidRPr="000E2555">
              <w:rPr>
                <w:rFonts w:eastAsiaTheme="minorEastAsia"/>
                <w:iCs/>
                <w:lang w:eastAsia="en-AU"/>
              </w:rPr>
              <w:t>government sector</w:t>
            </w:r>
          </w:p>
        </w:tc>
      </w:tr>
      <w:tr w:rsidR="00336793" w:rsidRPr="000E2555" w:rsidTr="00DF0B96">
        <w:trPr>
          <w:cantSplit/>
          <w:tblHeader/>
        </w:trPr>
        <w:tc>
          <w:tcPr>
            <w:tcW w:w="5507" w:type="dxa"/>
            <w:tcBorders>
              <w:top w:val="nil"/>
              <w:left w:val="single" w:sz="6" w:space="0" w:color="auto"/>
              <w:bottom w:val="single" w:sz="6" w:space="0" w:color="auto"/>
              <w:right w:val="nil"/>
            </w:tcBorders>
            <w:shd w:val="clear" w:color="000000" w:fill="000000"/>
            <w:vAlign w:val="bottom"/>
          </w:tcPr>
          <w:p w:rsidR="00336793" w:rsidRPr="000E2555" w:rsidRDefault="00336793" w:rsidP="00DF0B96">
            <w:pPr>
              <w:pStyle w:val="Tabletextheading"/>
              <w:jc w:val="left"/>
              <w:rPr>
                <w:rFonts w:eastAsiaTheme="minorEastAsia"/>
                <w:color w:val="FFFFFF"/>
                <w:lang w:eastAsia="en-AU"/>
              </w:rPr>
            </w:pPr>
            <w:r w:rsidRPr="000E2555">
              <w:rPr>
                <w:rFonts w:eastAsiaTheme="minorEastAsia"/>
                <w:color w:val="FFFFFF"/>
                <w:lang w:eastAsia="en-AU"/>
              </w:rPr>
              <w:t xml:space="preserve"> </w:t>
            </w:r>
          </w:p>
        </w:tc>
        <w:tc>
          <w:tcPr>
            <w:tcW w:w="1032" w:type="dxa"/>
            <w:gridSpan w:val="2"/>
            <w:tcBorders>
              <w:top w:val="nil"/>
              <w:left w:val="nil"/>
              <w:bottom w:val="single" w:sz="6" w:space="0" w:color="auto"/>
              <w:right w:val="nil"/>
            </w:tcBorders>
            <w:shd w:val="clear" w:color="000000" w:fill="000000"/>
            <w:vAlign w:val="bottom"/>
          </w:tcPr>
          <w:p w:rsidR="00336793" w:rsidRPr="000E2555" w:rsidRDefault="00336793" w:rsidP="00DF0B96">
            <w:pPr>
              <w:pStyle w:val="Tabletextheading"/>
              <w:rPr>
                <w:rFonts w:eastAsiaTheme="minorEastAsia"/>
                <w:iCs/>
                <w:color w:val="FFFFFF"/>
                <w:lang w:eastAsia="en-AU"/>
              </w:rPr>
            </w:pPr>
            <w:r w:rsidRPr="000E2555">
              <w:rPr>
                <w:rFonts w:eastAsiaTheme="minorEastAsia"/>
                <w:iCs/>
                <w:color w:val="FFFFFF"/>
                <w:lang w:eastAsia="en-AU"/>
              </w:rPr>
              <w:t>2015</w:t>
            </w:r>
          </w:p>
        </w:tc>
        <w:tc>
          <w:tcPr>
            <w:tcW w:w="1033" w:type="dxa"/>
            <w:tcBorders>
              <w:top w:val="nil"/>
              <w:left w:val="nil"/>
              <w:bottom w:val="single" w:sz="6" w:space="0" w:color="auto"/>
              <w:right w:val="nil"/>
            </w:tcBorders>
            <w:shd w:val="clear" w:color="000000" w:fill="000000"/>
            <w:vAlign w:val="bottom"/>
          </w:tcPr>
          <w:p w:rsidR="00336793" w:rsidRPr="000E2555" w:rsidRDefault="00336793" w:rsidP="00DF0B96">
            <w:pPr>
              <w:pStyle w:val="Tabletextheading"/>
              <w:rPr>
                <w:rFonts w:eastAsiaTheme="minorEastAsia"/>
                <w:iCs/>
                <w:color w:val="FFFFFF"/>
                <w:lang w:eastAsia="en-AU"/>
              </w:rPr>
            </w:pPr>
            <w:r w:rsidRPr="000E2555">
              <w:rPr>
                <w:rFonts w:eastAsiaTheme="minorEastAsia"/>
                <w:iCs/>
                <w:color w:val="FFFFFF"/>
                <w:lang w:eastAsia="en-AU"/>
              </w:rPr>
              <w:t>2014</w:t>
            </w:r>
          </w:p>
        </w:tc>
        <w:tc>
          <w:tcPr>
            <w:tcW w:w="1032" w:type="dxa"/>
            <w:gridSpan w:val="2"/>
            <w:tcBorders>
              <w:top w:val="nil"/>
              <w:left w:val="nil"/>
              <w:bottom w:val="single" w:sz="6" w:space="0" w:color="auto"/>
              <w:right w:val="nil"/>
            </w:tcBorders>
            <w:shd w:val="clear" w:color="000000" w:fill="000000"/>
            <w:vAlign w:val="bottom"/>
          </w:tcPr>
          <w:p w:rsidR="00336793" w:rsidRPr="000E2555" w:rsidRDefault="00336793" w:rsidP="00DF0B96">
            <w:pPr>
              <w:pStyle w:val="Tabletextheading"/>
              <w:rPr>
                <w:rFonts w:eastAsiaTheme="minorEastAsia"/>
                <w:iCs/>
                <w:color w:val="FFFFFF"/>
                <w:lang w:eastAsia="en-AU"/>
              </w:rPr>
            </w:pPr>
            <w:r w:rsidRPr="000E2555">
              <w:rPr>
                <w:rFonts w:eastAsiaTheme="minorEastAsia"/>
                <w:iCs/>
                <w:color w:val="FFFFFF"/>
                <w:lang w:eastAsia="en-AU"/>
              </w:rPr>
              <w:t>2015</w:t>
            </w:r>
          </w:p>
        </w:tc>
        <w:tc>
          <w:tcPr>
            <w:tcW w:w="1033" w:type="dxa"/>
            <w:tcBorders>
              <w:top w:val="nil"/>
              <w:left w:val="nil"/>
              <w:bottom w:val="single" w:sz="6" w:space="0" w:color="auto"/>
              <w:right w:val="single" w:sz="6" w:space="0" w:color="auto"/>
            </w:tcBorders>
            <w:shd w:val="clear" w:color="000000" w:fill="000000"/>
            <w:vAlign w:val="bottom"/>
          </w:tcPr>
          <w:p w:rsidR="00336793" w:rsidRPr="000E2555" w:rsidRDefault="00336793" w:rsidP="00DF0B96">
            <w:pPr>
              <w:pStyle w:val="Tabletextheading"/>
              <w:rPr>
                <w:rFonts w:eastAsiaTheme="minorEastAsia"/>
                <w:iCs/>
                <w:color w:val="FFFFFF"/>
                <w:lang w:eastAsia="en-AU"/>
              </w:rPr>
            </w:pPr>
            <w:r w:rsidRPr="000E2555">
              <w:rPr>
                <w:rFonts w:eastAsiaTheme="minorEastAsia"/>
                <w:iCs/>
                <w:color w:val="FFFFFF"/>
                <w:lang w:eastAsia="en-AU"/>
              </w:rPr>
              <w:t>2014</w:t>
            </w:r>
          </w:p>
        </w:tc>
      </w:tr>
      <w:tr w:rsidR="00336793" w:rsidRPr="000E2555" w:rsidTr="00DF0B96">
        <w:trPr>
          <w:cantSplit/>
        </w:trPr>
        <w:tc>
          <w:tcPr>
            <w:tcW w:w="5507" w:type="dxa"/>
            <w:tcBorders>
              <w:top w:val="single" w:sz="6" w:space="0" w:color="auto"/>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Financial assets</w:t>
            </w:r>
          </w:p>
        </w:tc>
        <w:tc>
          <w:tcPr>
            <w:tcW w:w="1032" w:type="dxa"/>
            <w:gridSpan w:val="2"/>
            <w:tcBorders>
              <w:top w:val="single" w:sz="6" w:space="0" w:color="auto"/>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w:t>
            </w:r>
          </w:p>
        </w:tc>
        <w:tc>
          <w:tcPr>
            <w:tcW w:w="1033" w:type="dxa"/>
            <w:tcBorders>
              <w:top w:val="single" w:sz="6" w:space="0" w:color="auto"/>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i/>
                <w:iCs/>
                <w:sz w:val="22"/>
                <w:szCs w:val="22"/>
                <w:lang w:eastAsia="en-AU"/>
              </w:rPr>
            </w:pPr>
            <w:r w:rsidRPr="000E2555">
              <w:rPr>
                <w:rFonts w:ascii="Calibri" w:eastAsiaTheme="minorEastAsia" w:hAnsi="Calibri" w:cs="Calibri"/>
                <w:i/>
                <w:iCs/>
                <w:sz w:val="22"/>
                <w:szCs w:val="22"/>
                <w:lang w:eastAsia="en-AU"/>
              </w:rPr>
              <w:t xml:space="preserve">  </w:t>
            </w:r>
          </w:p>
        </w:tc>
        <w:tc>
          <w:tcPr>
            <w:tcW w:w="1032" w:type="dxa"/>
            <w:gridSpan w:val="2"/>
            <w:tcBorders>
              <w:top w:val="single" w:sz="6" w:space="0" w:color="auto"/>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i/>
                <w:iCs/>
                <w:sz w:val="22"/>
                <w:szCs w:val="22"/>
                <w:lang w:eastAsia="en-AU"/>
              </w:rPr>
            </w:pPr>
            <w:r w:rsidRPr="000E2555">
              <w:rPr>
                <w:rFonts w:ascii="Calibri" w:eastAsiaTheme="minorEastAsia" w:hAnsi="Calibri" w:cs="Calibri"/>
                <w:i/>
                <w:iCs/>
                <w:sz w:val="22"/>
                <w:szCs w:val="22"/>
                <w:lang w:eastAsia="en-AU"/>
              </w:rPr>
              <w:t xml:space="preserve">  </w:t>
            </w:r>
          </w:p>
        </w:tc>
        <w:tc>
          <w:tcPr>
            <w:tcW w:w="1033" w:type="dxa"/>
            <w:tcBorders>
              <w:top w:val="single" w:sz="6" w:space="0" w:color="auto"/>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i/>
                <w:iCs/>
                <w:sz w:val="22"/>
                <w:szCs w:val="22"/>
                <w:lang w:eastAsia="en-AU"/>
              </w:rPr>
            </w:pPr>
            <w:r w:rsidRPr="000E2555">
              <w:rPr>
                <w:rFonts w:ascii="Calibri" w:eastAsiaTheme="minorEastAsia" w:hAnsi="Calibri" w:cs="Calibri"/>
                <w:i/>
                <w:iCs/>
                <w:sz w:val="22"/>
                <w:szCs w:val="22"/>
                <w:lang w:eastAsia="en-AU"/>
              </w:rPr>
              <w:t xml:space="preserve">  </w:t>
            </w:r>
          </w:p>
        </w:tc>
      </w:tr>
      <w:tr w:rsidR="00336793" w:rsidRPr="000E2555" w:rsidTr="00DF0B96">
        <w:trPr>
          <w:cantSplit/>
        </w:trPr>
        <w:tc>
          <w:tcPr>
            <w:tcW w:w="550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Cash and deposits</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279.2</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322.6</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790.3</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715.3</w:t>
            </w:r>
          </w:p>
        </w:tc>
      </w:tr>
      <w:tr w:rsidR="00336793" w:rsidRPr="000E2555" w:rsidTr="00DF0B96">
        <w:trPr>
          <w:cantSplit/>
        </w:trPr>
        <w:tc>
          <w:tcPr>
            <w:tcW w:w="550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2"/>
                <w:szCs w:val="22"/>
                <w:vertAlign w:val="superscript"/>
                <w:lang w:eastAsia="en-AU"/>
              </w:rPr>
            </w:pPr>
            <w:r w:rsidRPr="000E2555">
              <w:rPr>
                <w:rFonts w:ascii="Calibri" w:eastAsiaTheme="minorEastAsia" w:hAnsi="Calibri" w:cs="Calibri"/>
                <w:sz w:val="22"/>
                <w:szCs w:val="22"/>
                <w:lang w:eastAsia="en-AU"/>
              </w:rPr>
              <w:t xml:space="preserve">Designated at fair value </w:t>
            </w:r>
            <w:r>
              <w:rPr>
                <w:rFonts w:ascii="Calibri" w:eastAsiaTheme="minorEastAsia" w:hAnsi="Calibri" w:cs="Calibri"/>
                <w:sz w:val="22"/>
                <w:szCs w:val="22"/>
                <w:lang w:eastAsia="en-AU"/>
              </w:rPr>
              <w:t>through the operating statement</w:t>
            </w:r>
            <w:r w:rsidRPr="000E2555">
              <w:rPr>
                <w:rFonts w:ascii="Calibri" w:eastAsiaTheme="minorEastAsia" w:hAnsi="Calibri" w:cs="Calibri"/>
                <w:sz w:val="22"/>
                <w:szCs w:val="22"/>
                <w:vertAlign w:val="superscript"/>
                <w:lang w:eastAsia="en-AU"/>
              </w:rPr>
              <w:t>(a)</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1 705.3</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2 087.2</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52.7</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51.6</w:t>
            </w:r>
          </w:p>
        </w:tc>
      </w:tr>
      <w:tr w:rsidR="00336793" w:rsidRPr="000E2555" w:rsidTr="00DF0B96">
        <w:trPr>
          <w:cantSplit/>
        </w:trPr>
        <w:tc>
          <w:tcPr>
            <w:tcW w:w="550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2"/>
                <w:szCs w:val="22"/>
                <w:vertAlign w:val="superscript"/>
                <w:lang w:eastAsia="en-AU"/>
              </w:rPr>
            </w:pPr>
            <w:r w:rsidRPr="000E2555">
              <w:rPr>
                <w:rFonts w:ascii="Calibri" w:eastAsiaTheme="minorEastAsia" w:hAnsi="Calibri" w:cs="Calibri"/>
                <w:sz w:val="22"/>
                <w:szCs w:val="22"/>
                <w:lang w:eastAsia="en-AU"/>
              </w:rPr>
              <w:t>Held</w:t>
            </w:r>
            <w:r>
              <w:rPr>
                <w:rFonts w:ascii="Calibri" w:eastAsiaTheme="minorEastAsia" w:hAnsi="Calibri" w:cs="Calibri"/>
                <w:sz w:val="22"/>
                <w:szCs w:val="22"/>
                <w:lang w:eastAsia="en-AU"/>
              </w:rPr>
              <w:noBreakHyphen/>
            </w:r>
            <w:r w:rsidRPr="000E2555">
              <w:rPr>
                <w:rFonts w:ascii="Calibri" w:eastAsiaTheme="minorEastAsia" w:hAnsi="Calibri" w:cs="Calibri"/>
                <w:sz w:val="22"/>
                <w:szCs w:val="22"/>
                <w:lang w:eastAsia="en-AU"/>
              </w:rPr>
              <w:t>for</w:t>
            </w:r>
            <w:r>
              <w:rPr>
                <w:rFonts w:ascii="Calibri" w:eastAsiaTheme="minorEastAsia" w:hAnsi="Calibri" w:cs="Calibri"/>
                <w:sz w:val="22"/>
                <w:szCs w:val="22"/>
                <w:lang w:eastAsia="en-AU"/>
              </w:rPr>
              <w:noBreakHyphen/>
            </w:r>
            <w:r w:rsidRPr="000E2555">
              <w:rPr>
                <w:rFonts w:ascii="Calibri" w:eastAsiaTheme="minorEastAsia" w:hAnsi="Calibri" w:cs="Calibri"/>
                <w:sz w:val="22"/>
                <w:szCs w:val="22"/>
                <w:lang w:eastAsia="en-AU"/>
              </w:rPr>
              <w:t xml:space="preserve">trading at fair value </w:t>
            </w:r>
            <w:r>
              <w:rPr>
                <w:rFonts w:ascii="Calibri" w:eastAsiaTheme="minorEastAsia" w:hAnsi="Calibri" w:cs="Calibri"/>
                <w:sz w:val="22"/>
                <w:szCs w:val="22"/>
                <w:lang w:eastAsia="en-AU"/>
              </w:rPr>
              <w:t>through the operating statement</w:t>
            </w:r>
            <w:r w:rsidRPr="000E2555">
              <w:rPr>
                <w:rFonts w:ascii="Calibri" w:eastAsiaTheme="minorEastAsia" w:hAnsi="Calibri" w:cs="Calibri"/>
                <w:sz w:val="22"/>
                <w:szCs w:val="22"/>
                <w:vertAlign w:val="superscript"/>
                <w:lang w:eastAsia="en-AU"/>
              </w:rPr>
              <w:t>(a)</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3.7</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0.4</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w:t>
            </w:r>
          </w:p>
        </w:tc>
      </w:tr>
      <w:tr w:rsidR="00336793" w:rsidRPr="000E2555" w:rsidTr="00DF0B96">
        <w:trPr>
          <w:cantSplit/>
        </w:trPr>
        <w:tc>
          <w:tcPr>
            <w:tcW w:w="550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Loans and receivables</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w:t>
            </w:r>
            <w:r w:rsidRPr="000E2555">
              <w:rPr>
                <w:rFonts w:ascii="Calibri" w:eastAsiaTheme="minorEastAsia" w:hAnsi="Calibri" w:cs="Calibri"/>
                <w:sz w:val="22"/>
                <w:szCs w:val="22"/>
                <w:lang w:eastAsia="en-AU"/>
              </w:rPr>
              <w:t>10.2)</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145.9</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w:t>
            </w:r>
            <w:r w:rsidRPr="000E2555">
              <w:rPr>
                <w:rFonts w:ascii="Calibri" w:eastAsiaTheme="minorEastAsia" w:hAnsi="Calibri" w:cs="Calibri"/>
                <w:sz w:val="22"/>
                <w:szCs w:val="22"/>
                <w:lang w:eastAsia="en-AU"/>
              </w:rPr>
              <w:t>3.2)</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57.7</w:t>
            </w:r>
          </w:p>
        </w:tc>
      </w:tr>
      <w:tr w:rsidR="00336793" w:rsidRPr="000E2555" w:rsidTr="00DF0B96">
        <w:trPr>
          <w:cantSplit/>
        </w:trPr>
        <w:tc>
          <w:tcPr>
            <w:tcW w:w="5507" w:type="dxa"/>
            <w:tcBorders>
              <w:top w:val="nil"/>
              <w:left w:val="nil"/>
              <w:bottom w:val="single" w:sz="6" w:space="0" w:color="auto"/>
              <w:right w:val="nil"/>
            </w:tcBorders>
          </w:tcPr>
          <w:p w:rsidR="00336793" w:rsidRPr="000E2555" w:rsidRDefault="00336793" w:rsidP="00DF0B96">
            <w:pPr>
              <w:autoSpaceDE w:val="0"/>
              <w:autoSpaceDN w:val="0"/>
              <w:adjustRightInd w:val="0"/>
              <w:spacing w:after="0"/>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Available</w:t>
            </w:r>
            <w:r>
              <w:rPr>
                <w:rFonts w:ascii="Calibri" w:eastAsiaTheme="minorEastAsia" w:hAnsi="Calibri" w:cs="Calibri"/>
                <w:sz w:val="22"/>
                <w:szCs w:val="22"/>
                <w:lang w:eastAsia="en-AU"/>
              </w:rPr>
              <w:noBreakHyphen/>
            </w:r>
            <w:r w:rsidRPr="000E2555">
              <w:rPr>
                <w:rFonts w:ascii="Calibri" w:eastAsiaTheme="minorEastAsia" w:hAnsi="Calibri" w:cs="Calibri"/>
                <w:sz w:val="22"/>
                <w:szCs w:val="22"/>
                <w:lang w:eastAsia="en-AU"/>
              </w:rPr>
              <w:t>for</w:t>
            </w:r>
            <w:r>
              <w:rPr>
                <w:rFonts w:ascii="Calibri" w:eastAsiaTheme="minorEastAsia" w:hAnsi="Calibri" w:cs="Calibri"/>
                <w:sz w:val="22"/>
                <w:szCs w:val="22"/>
                <w:lang w:eastAsia="en-AU"/>
              </w:rPr>
              <w:noBreakHyphen/>
            </w:r>
            <w:r w:rsidRPr="000E2555">
              <w:rPr>
                <w:rFonts w:ascii="Calibri" w:eastAsiaTheme="minorEastAsia" w:hAnsi="Calibri" w:cs="Calibri"/>
                <w:sz w:val="22"/>
                <w:szCs w:val="22"/>
                <w:lang w:eastAsia="en-AU"/>
              </w:rPr>
              <w:t>sale</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w:t>
            </w:r>
          </w:p>
        </w:tc>
      </w:tr>
      <w:tr w:rsidR="00336793" w:rsidRPr="000E2555" w:rsidTr="00DF0B96">
        <w:trPr>
          <w:cantSplit/>
        </w:trPr>
        <w:tc>
          <w:tcPr>
            <w:tcW w:w="5507" w:type="dxa"/>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Total</w:t>
            </w:r>
          </w:p>
        </w:tc>
        <w:tc>
          <w:tcPr>
            <w:tcW w:w="1032" w:type="dxa"/>
            <w:gridSpan w:val="2"/>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1 978.0</w:t>
            </w:r>
          </w:p>
        </w:tc>
        <w:tc>
          <w:tcPr>
            <w:tcW w:w="1033" w:type="dxa"/>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2 556.1</w:t>
            </w:r>
          </w:p>
        </w:tc>
        <w:tc>
          <w:tcPr>
            <w:tcW w:w="1032" w:type="dxa"/>
            <w:gridSpan w:val="2"/>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 xml:space="preserve"> 839.9</w:t>
            </w:r>
          </w:p>
        </w:tc>
        <w:tc>
          <w:tcPr>
            <w:tcW w:w="1033" w:type="dxa"/>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 xml:space="preserve"> 824.6</w:t>
            </w:r>
          </w:p>
        </w:tc>
      </w:tr>
      <w:tr w:rsidR="00336793" w:rsidRPr="000E2555" w:rsidTr="00DF0B96">
        <w:trPr>
          <w:cantSplit/>
        </w:trPr>
        <w:tc>
          <w:tcPr>
            <w:tcW w:w="550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Financial liabilities</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 xml:space="preserve"> </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 xml:space="preserve"> </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 xml:space="preserve"> </w:t>
            </w:r>
          </w:p>
        </w:tc>
      </w:tr>
      <w:tr w:rsidR="00336793" w:rsidRPr="000E2555" w:rsidTr="00DF0B96">
        <w:trPr>
          <w:cantSplit/>
        </w:trPr>
        <w:tc>
          <w:tcPr>
            <w:tcW w:w="550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Designated at fair value through the operating statement</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821.0</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949.0</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w:t>
            </w:r>
          </w:p>
        </w:tc>
      </w:tr>
      <w:tr w:rsidR="00336793" w:rsidRPr="000E2555" w:rsidTr="00DF0B96">
        <w:trPr>
          <w:cantSplit/>
        </w:trPr>
        <w:tc>
          <w:tcPr>
            <w:tcW w:w="550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Held</w:t>
            </w:r>
            <w:r>
              <w:rPr>
                <w:rFonts w:ascii="Calibri" w:eastAsiaTheme="minorEastAsia" w:hAnsi="Calibri" w:cs="Calibri"/>
                <w:sz w:val="22"/>
                <w:szCs w:val="22"/>
                <w:lang w:eastAsia="en-AU"/>
              </w:rPr>
              <w:noBreakHyphen/>
            </w:r>
            <w:r w:rsidRPr="000E2555">
              <w:rPr>
                <w:rFonts w:ascii="Calibri" w:eastAsiaTheme="minorEastAsia" w:hAnsi="Calibri" w:cs="Calibri"/>
                <w:sz w:val="22"/>
                <w:szCs w:val="22"/>
                <w:lang w:eastAsia="en-AU"/>
              </w:rPr>
              <w:t>for</w:t>
            </w:r>
            <w:r>
              <w:rPr>
                <w:rFonts w:ascii="Calibri" w:eastAsiaTheme="minorEastAsia" w:hAnsi="Calibri" w:cs="Calibri"/>
                <w:sz w:val="22"/>
                <w:szCs w:val="22"/>
                <w:lang w:eastAsia="en-AU"/>
              </w:rPr>
              <w:noBreakHyphen/>
            </w:r>
            <w:r w:rsidRPr="000E2555">
              <w:rPr>
                <w:rFonts w:ascii="Calibri" w:eastAsiaTheme="minorEastAsia" w:hAnsi="Calibri" w:cs="Calibri"/>
                <w:sz w:val="22"/>
                <w:szCs w:val="22"/>
                <w:lang w:eastAsia="en-AU"/>
              </w:rPr>
              <w:t>trading at fair value through the operating statement</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w:t>
            </w:r>
            <w:r w:rsidRPr="000E2555">
              <w:rPr>
                <w:rFonts w:ascii="Calibri" w:eastAsiaTheme="minorEastAsia" w:hAnsi="Calibri" w:cs="Calibri"/>
                <w:sz w:val="22"/>
                <w:szCs w:val="22"/>
                <w:lang w:eastAsia="en-AU"/>
              </w:rPr>
              <w:t>30.7)</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 2.3</w:t>
            </w:r>
          </w:p>
        </w:tc>
        <w:tc>
          <w:tcPr>
            <w:tcW w:w="1032"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w:t>
            </w:r>
          </w:p>
        </w:tc>
        <w:tc>
          <w:tcPr>
            <w:tcW w:w="1033"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w:t>
            </w:r>
          </w:p>
        </w:tc>
      </w:tr>
      <w:tr w:rsidR="00336793" w:rsidRPr="000E2555" w:rsidTr="00DF0B96">
        <w:trPr>
          <w:cantSplit/>
        </w:trPr>
        <w:tc>
          <w:tcPr>
            <w:tcW w:w="5507" w:type="dxa"/>
            <w:tcBorders>
              <w:top w:val="nil"/>
              <w:left w:val="nil"/>
              <w:bottom w:val="single" w:sz="6" w:space="0" w:color="auto"/>
              <w:right w:val="nil"/>
            </w:tcBorders>
          </w:tcPr>
          <w:p w:rsidR="00336793" w:rsidRPr="000E2555" w:rsidRDefault="00336793" w:rsidP="00DF0B96">
            <w:pPr>
              <w:autoSpaceDE w:val="0"/>
              <w:autoSpaceDN w:val="0"/>
              <w:adjustRightInd w:val="0"/>
              <w:spacing w:after="0"/>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 xml:space="preserve">At amortised cost </w:t>
            </w:r>
          </w:p>
        </w:tc>
        <w:tc>
          <w:tcPr>
            <w:tcW w:w="1032" w:type="dxa"/>
            <w:gridSpan w:val="2"/>
            <w:tcBorders>
              <w:top w:val="nil"/>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w:t>
            </w:r>
          </w:p>
        </w:tc>
        <w:tc>
          <w:tcPr>
            <w:tcW w:w="1033" w:type="dxa"/>
            <w:tcBorders>
              <w:top w:val="nil"/>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w:t>
            </w:r>
          </w:p>
        </w:tc>
        <w:tc>
          <w:tcPr>
            <w:tcW w:w="1032" w:type="dxa"/>
            <w:gridSpan w:val="2"/>
            <w:tcBorders>
              <w:top w:val="nil"/>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w:t>
            </w:r>
          </w:p>
        </w:tc>
        <w:tc>
          <w:tcPr>
            <w:tcW w:w="1033" w:type="dxa"/>
            <w:tcBorders>
              <w:top w:val="nil"/>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0E2555">
              <w:rPr>
                <w:rFonts w:ascii="Calibri" w:eastAsiaTheme="minorEastAsia" w:hAnsi="Calibri" w:cs="Calibri"/>
                <w:sz w:val="22"/>
                <w:szCs w:val="22"/>
                <w:lang w:eastAsia="en-AU"/>
              </w:rPr>
              <w:t>..</w:t>
            </w:r>
          </w:p>
        </w:tc>
      </w:tr>
      <w:tr w:rsidR="00336793" w:rsidRPr="000E2555" w:rsidTr="00DF0B96">
        <w:trPr>
          <w:cantSplit/>
        </w:trPr>
        <w:tc>
          <w:tcPr>
            <w:tcW w:w="5507" w:type="dxa"/>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Total</w:t>
            </w:r>
          </w:p>
        </w:tc>
        <w:tc>
          <w:tcPr>
            <w:tcW w:w="1032" w:type="dxa"/>
            <w:gridSpan w:val="2"/>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 xml:space="preserve"> 790.3</w:t>
            </w:r>
          </w:p>
        </w:tc>
        <w:tc>
          <w:tcPr>
            <w:tcW w:w="1033" w:type="dxa"/>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 xml:space="preserve"> 951.3</w:t>
            </w:r>
          </w:p>
        </w:tc>
        <w:tc>
          <w:tcPr>
            <w:tcW w:w="1032" w:type="dxa"/>
            <w:gridSpan w:val="2"/>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w:t>
            </w:r>
          </w:p>
        </w:tc>
        <w:tc>
          <w:tcPr>
            <w:tcW w:w="1033" w:type="dxa"/>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0E2555">
              <w:rPr>
                <w:rFonts w:ascii="Calibri" w:eastAsiaTheme="minorEastAsia" w:hAnsi="Calibri" w:cs="Calibri"/>
                <w:b/>
                <w:bCs/>
                <w:sz w:val="22"/>
                <w:szCs w:val="22"/>
                <w:lang w:eastAsia="en-AU"/>
              </w:rPr>
              <w:t>..</w:t>
            </w:r>
          </w:p>
        </w:tc>
      </w:tr>
    </w:tbl>
    <w:p w:rsidR="00336793" w:rsidRPr="006A75A2" w:rsidRDefault="00336793" w:rsidP="00DF0B96">
      <w:pPr>
        <w:pStyle w:val="Notes"/>
      </w:pPr>
      <w:r w:rsidRPr="006A75A2">
        <w:t>Note:</w:t>
      </w:r>
    </w:p>
    <w:p w:rsidR="00336793" w:rsidRDefault="00336793" w:rsidP="00DF0B96">
      <w:pPr>
        <w:pStyle w:val="Notes"/>
      </w:pPr>
      <w:r w:rsidRPr="006A75A2">
        <w:t>(a)</w:t>
      </w:r>
      <w:r w:rsidRPr="006A75A2">
        <w:tab/>
      </w:r>
      <w:r w:rsidRPr="00DF7C4A">
        <w:t>June 2014 comparative figures have been restated to reflect more current information.</w:t>
      </w:r>
    </w:p>
    <w:p w:rsidR="00336793" w:rsidRDefault="00336793" w:rsidP="00DF0B96">
      <w:pPr>
        <w:pStyle w:val="Notes"/>
      </w:pPr>
    </w:p>
    <w:p w:rsidR="00336793" w:rsidRDefault="00336793" w:rsidP="00DF0B96">
      <w:pPr>
        <w:spacing w:after="0"/>
      </w:pPr>
    </w:p>
    <w:p w:rsidR="00336793" w:rsidRPr="006A75A2" w:rsidRDefault="00336793" w:rsidP="00DF0B96">
      <w:pPr>
        <w:pStyle w:val="Heading5"/>
      </w:pPr>
      <w:r w:rsidRPr="006A75A2">
        <w:t>(e)</w:t>
      </w:r>
      <w:r w:rsidRPr="006A75A2">
        <w:tab/>
        <w:t>Interest rate risk</w:t>
      </w:r>
    </w:p>
    <w:p w:rsidR="00336793" w:rsidRPr="006A75A2" w:rsidRDefault="00336793" w:rsidP="00DF0B96">
      <w:pPr>
        <w:pStyle w:val="Heading5a"/>
      </w:pPr>
      <w:r w:rsidRPr="006A75A2">
        <w:t>Interest risk management</w:t>
      </w:r>
    </w:p>
    <w:p w:rsidR="00336793" w:rsidRPr="006A75A2" w:rsidRDefault="00336793" w:rsidP="00DF0B96">
      <w:r w:rsidRPr="006A75A2">
        <w:t xml:space="preserve">The State is exposed to interest rate risk through borrowings and investments in interest bearing financial assets, such as deposits and debt securities. </w:t>
      </w:r>
    </w:p>
    <w:p w:rsidR="00336793" w:rsidRPr="006A75A2" w:rsidRDefault="00336793" w:rsidP="00DF0B96">
      <w:r w:rsidRPr="006A75A2">
        <w:t>Fair value interest rate risk is the risk that the value of a financial instrument will fluctuate because of changes in market interest rates. The majority of the exposure to interest rate risk on the whole of state balance sheet arises from fair value interest rate risk. Exposure to such risk relates primarily to the State</w:t>
      </w:r>
      <w:r>
        <w:t>’</w:t>
      </w:r>
      <w:r w:rsidRPr="006A75A2">
        <w:t>s long</w:t>
      </w:r>
      <w:r>
        <w:noBreakHyphen/>
      </w:r>
      <w:r w:rsidRPr="006A75A2">
        <w:t>term debt obligations with fixed interest rates, which are measured at fair value. This exposure is partially offset by fixed interest investments held to fund the State</w:t>
      </w:r>
      <w:r>
        <w:t>’</w:t>
      </w:r>
      <w:r w:rsidRPr="006A75A2">
        <w:t>s insurance and superannuation liabilities.</w:t>
      </w:r>
    </w:p>
    <w:p w:rsidR="00336793" w:rsidRPr="006A75A2" w:rsidRDefault="00336793" w:rsidP="00DF0B96">
      <w:r w:rsidRPr="006A75A2">
        <w:t>Cash flow interest rate risk is the risk that the future cash flows of a financial instrument will fluctuate because of changes in market interest rates. Only a small portion of the State</w:t>
      </w:r>
      <w:r>
        <w:t>’</w:t>
      </w:r>
      <w:r w:rsidRPr="006A75A2">
        <w:t>s financial instruments are exposed to cash flow interest rate risk. Exposure to such risk arises from financial assets and financial liabilities with floating interest rates, which are measured at amortised cost.</w:t>
      </w:r>
    </w:p>
    <w:p w:rsidR="00336793" w:rsidRDefault="00336793">
      <w:pPr>
        <w:spacing w:after="0"/>
      </w:pPr>
      <w:r>
        <w:br w:type="page"/>
      </w:r>
    </w:p>
    <w:p w:rsidR="00336793" w:rsidRPr="006A75A2" w:rsidRDefault="00336793" w:rsidP="00DF0B96">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336793" w:rsidRPr="006A75A2" w:rsidRDefault="00336793" w:rsidP="00DF0B96">
      <w:r w:rsidRPr="006A75A2">
        <w:t>The State</w:t>
      </w:r>
      <w:r>
        <w:t>’</w:t>
      </w:r>
      <w:r w:rsidRPr="006A75A2">
        <w:t>s policy for managing interest rate risk on borrowings is to achieve relative certainty of interest cost while seeking to minimise net borrowing cost within portfolio risk management guidelines. Generally, this is achieved by undertaking fixed rate borrowings across a range of maturity profiles.</w:t>
      </w:r>
    </w:p>
    <w:p w:rsidR="00336793" w:rsidRPr="006A75A2" w:rsidRDefault="00336793" w:rsidP="00DF0B96">
      <w:r w:rsidRPr="006A75A2">
        <w:t>TCV manages the State</w:t>
      </w:r>
      <w:r>
        <w:t>’</w:t>
      </w:r>
      <w:r w:rsidRPr="006A75A2">
        <w:t>s interest risk exposure from borrowings through daily quantification of the risk which assesses the potential loss that the State might incur under various market scenarios. Interest rate risk is managed within an approved limit structure in accordance with TCV</w:t>
      </w:r>
      <w:r>
        <w:t>’</w:t>
      </w:r>
      <w:r w:rsidRPr="006A75A2">
        <w:t>s prudential policy and risk management framework, which requires consistency with the Australian Prudential Regulatory Authority prudential statements for banks.</w:t>
      </w:r>
    </w:p>
    <w:p w:rsidR="00336793" w:rsidRPr="006A75A2" w:rsidRDefault="00336793" w:rsidP="00DF0B96">
      <w:r w:rsidRPr="006A75A2">
        <w:t>Derivative instruments such as interest rate swaps and futures contracts are used to either change the interest rate between fixed and floating rates of interest or between different floating rates of interest. Disclosed is the notional amounts and periods of expiry for the State</w:t>
      </w:r>
      <w:r>
        <w:t>’</w:t>
      </w:r>
      <w:r w:rsidRPr="006A75A2">
        <w:t>s interest rate derivatives.</w:t>
      </w:r>
    </w:p>
    <w:p w:rsidR="00336793" w:rsidRPr="006A75A2" w:rsidRDefault="00336793" w:rsidP="00DF0B96">
      <w:pPr>
        <w:pStyle w:val="Heading5a"/>
      </w:pPr>
      <w:r w:rsidRPr="006A75A2">
        <w:t>Interest rate derivatives maturities</w:t>
      </w:r>
    </w:p>
    <w:p w:rsidR="00336793" w:rsidRPr="00A10A3B" w:rsidRDefault="00336793" w:rsidP="00DF0B96">
      <w:pPr>
        <w:pStyle w:val="million"/>
        <w:rPr>
          <w:rFonts w:ascii="Times New Roman" w:hAnsi="Times New Roman"/>
          <w:i w:val="0"/>
          <w:szCs w:val="20"/>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3617"/>
        <w:gridCol w:w="270"/>
        <w:gridCol w:w="270"/>
        <w:gridCol w:w="607"/>
        <w:gridCol w:w="1148"/>
        <w:gridCol w:w="1147"/>
        <w:gridCol w:w="878"/>
        <w:gridCol w:w="270"/>
        <w:gridCol w:w="1430"/>
      </w:tblGrid>
      <w:tr w:rsidR="00336793" w:rsidRPr="00A10A3B" w:rsidTr="00DF0B96">
        <w:trPr>
          <w:tblHeader/>
        </w:trPr>
        <w:tc>
          <w:tcPr>
            <w:tcW w:w="361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270" w:type="dxa"/>
            <w:tcBorders>
              <w:top w:val="single" w:sz="6" w:space="0" w:color="auto"/>
              <w:left w:val="nil"/>
              <w:bottom w:val="single" w:sz="6" w:space="0" w:color="FFFFFF" w:themeColor="background1"/>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270" w:type="dxa"/>
            <w:tcBorders>
              <w:top w:val="single" w:sz="6" w:space="0" w:color="auto"/>
              <w:left w:val="nil"/>
              <w:bottom w:val="single" w:sz="6" w:space="0" w:color="FFFFFF" w:themeColor="background1"/>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3780" w:type="dxa"/>
            <w:gridSpan w:val="4"/>
            <w:tcBorders>
              <w:top w:val="single" w:sz="6" w:space="0" w:color="auto"/>
              <w:left w:val="nil"/>
              <w:bottom w:val="single" w:sz="6" w:space="0" w:color="FFFFFF" w:themeColor="background1"/>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Interest rate swaps</w:t>
            </w:r>
          </w:p>
        </w:tc>
        <w:tc>
          <w:tcPr>
            <w:tcW w:w="270" w:type="dxa"/>
            <w:tcBorders>
              <w:top w:val="single" w:sz="6" w:space="0" w:color="auto"/>
              <w:left w:val="nil"/>
              <w:bottom w:val="single" w:sz="6" w:space="0" w:color="FFFFFF" w:themeColor="background1"/>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430"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Exchange </w:t>
            </w:r>
          </w:p>
        </w:tc>
      </w:tr>
      <w:tr w:rsidR="00336793" w:rsidRPr="00A10A3B" w:rsidTr="00DF0B96">
        <w:trPr>
          <w:tblHeader/>
        </w:trPr>
        <w:tc>
          <w:tcPr>
            <w:tcW w:w="3617" w:type="dxa"/>
            <w:tcBorders>
              <w:top w:val="nil"/>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State of Victoria</w:t>
            </w:r>
          </w:p>
        </w:tc>
        <w:tc>
          <w:tcPr>
            <w:tcW w:w="1147" w:type="dxa"/>
            <w:gridSpan w:val="3"/>
            <w:tcBorders>
              <w:top w:val="single" w:sz="6" w:space="0" w:color="FFFFFF" w:themeColor="background1"/>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 </w:t>
            </w:r>
          </w:p>
        </w:tc>
        <w:tc>
          <w:tcPr>
            <w:tcW w:w="1148" w:type="dxa"/>
            <w:tcBorders>
              <w:top w:val="single" w:sz="6" w:space="0" w:color="FFFFFF" w:themeColor="background1"/>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Floating</w:t>
            </w:r>
            <w:r>
              <w:rPr>
                <w:rFonts w:eastAsiaTheme="minorEastAsia"/>
                <w:color w:val="FFFFFF"/>
                <w:lang w:eastAsia="en-AU"/>
              </w:rPr>
              <w:noBreakHyphen/>
            </w:r>
          </w:p>
        </w:tc>
        <w:tc>
          <w:tcPr>
            <w:tcW w:w="1147" w:type="dxa"/>
            <w:tcBorders>
              <w:top w:val="single" w:sz="6" w:space="0" w:color="FFFFFF" w:themeColor="background1"/>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 </w:t>
            </w:r>
          </w:p>
        </w:tc>
        <w:tc>
          <w:tcPr>
            <w:tcW w:w="1148" w:type="dxa"/>
            <w:gridSpan w:val="2"/>
            <w:tcBorders>
              <w:top w:val="single" w:sz="6" w:space="0" w:color="FFFFFF" w:themeColor="background1"/>
              <w:left w:val="nil"/>
              <w:bottom w:val="nil"/>
              <w:right w:val="nil"/>
            </w:tcBorders>
            <w:shd w:val="clear" w:color="000000" w:fill="000000"/>
            <w:vAlign w:val="bottom"/>
          </w:tcPr>
          <w:p w:rsidR="00336793" w:rsidRPr="00A10A3B" w:rsidRDefault="00336793" w:rsidP="00DF0B96">
            <w:pPr>
              <w:pStyle w:val="Tabletextheading"/>
              <w:rPr>
                <w:rFonts w:eastAsiaTheme="minorEastAsia" w:cs="Calibri"/>
                <w:iCs/>
                <w:color w:val="FFFFFF"/>
                <w:szCs w:val="22"/>
                <w:lang w:eastAsia="en-AU"/>
              </w:rPr>
            </w:pPr>
            <w:r w:rsidRPr="00A10A3B">
              <w:rPr>
                <w:rFonts w:eastAsiaTheme="minorEastAsia"/>
                <w:color w:val="FFFFFF"/>
                <w:lang w:eastAsia="en-AU"/>
              </w:rPr>
              <w:t xml:space="preserve"> Receive</w:t>
            </w:r>
            <w:r w:rsidRPr="00A10A3B">
              <w:rPr>
                <w:rFonts w:eastAsiaTheme="minorEastAsia" w:cs="Calibri"/>
                <w:iCs/>
                <w:color w:val="FFFFFF"/>
                <w:szCs w:val="22"/>
                <w:lang w:eastAsia="en-AU"/>
              </w:rPr>
              <w:t xml:space="preserve"> </w:t>
            </w:r>
          </w:p>
        </w:tc>
        <w:tc>
          <w:tcPr>
            <w:tcW w:w="1430" w:type="dxa"/>
            <w:tcBorders>
              <w:top w:val="nil"/>
              <w:left w:val="nil"/>
              <w:bottom w:val="nil"/>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traded futures </w:t>
            </w:r>
          </w:p>
        </w:tc>
      </w:tr>
      <w:tr w:rsidR="00336793" w:rsidRPr="00A10A3B" w:rsidTr="00DF0B96">
        <w:trPr>
          <w:tblHeader/>
        </w:trPr>
        <w:tc>
          <w:tcPr>
            <w:tcW w:w="361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2015</w:t>
            </w:r>
          </w:p>
        </w:tc>
        <w:tc>
          <w:tcPr>
            <w:tcW w:w="1147" w:type="dxa"/>
            <w:gridSpan w:val="3"/>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Indexed</w:t>
            </w:r>
          </w:p>
        </w:tc>
        <w:tc>
          <w:tcPr>
            <w:tcW w:w="1148"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for</w:t>
            </w:r>
            <w:r>
              <w:rPr>
                <w:rFonts w:eastAsiaTheme="minorEastAsia"/>
                <w:color w:val="FFFFFF"/>
                <w:lang w:eastAsia="en-AU"/>
              </w:rPr>
              <w:noBreakHyphen/>
            </w:r>
            <w:r w:rsidRPr="00A10A3B">
              <w:rPr>
                <w:rFonts w:eastAsiaTheme="minorEastAsia"/>
                <w:color w:val="FFFFFF"/>
                <w:lang w:eastAsia="en-AU"/>
              </w:rPr>
              <w:t>floating</w:t>
            </w:r>
          </w:p>
        </w:tc>
        <w:tc>
          <w:tcPr>
            <w:tcW w:w="1147"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Pay fixed</w:t>
            </w:r>
          </w:p>
        </w:tc>
        <w:tc>
          <w:tcPr>
            <w:tcW w:w="1148"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fixed</w:t>
            </w:r>
          </w:p>
        </w:tc>
        <w:tc>
          <w:tcPr>
            <w:tcW w:w="143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contracts</w:t>
            </w:r>
          </w:p>
        </w:tc>
      </w:tr>
      <w:tr w:rsidR="00336793" w:rsidRPr="00A10A3B" w:rsidTr="00DF0B96">
        <w:tc>
          <w:tcPr>
            <w:tcW w:w="3617"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Less than 1 year</w:t>
            </w:r>
          </w:p>
        </w:tc>
        <w:tc>
          <w:tcPr>
            <w:tcW w:w="1147" w:type="dxa"/>
            <w:gridSpan w:val="3"/>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8"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7"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464.1</w:t>
            </w:r>
          </w:p>
        </w:tc>
        <w:tc>
          <w:tcPr>
            <w:tcW w:w="1148"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90.0</w:t>
            </w:r>
          </w:p>
        </w:tc>
        <w:tc>
          <w:tcPr>
            <w:tcW w:w="1430" w:type="dxa"/>
            <w:tcBorders>
              <w:top w:val="single" w:sz="6" w:space="0" w:color="auto"/>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4 276.3</w:t>
            </w:r>
          </w:p>
        </w:tc>
      </w:tr>
      <w:tr w:rsidR="00336793" w:rsidRPr="00A10A3B" w:rsidTr="00DF0B96">
        <w:tc>
          <w:tcPr>
            <w:tcW w:w="361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1 year but less than 2 years</w:t>
            </w:r>
          </w:p>
        </w:tc>
        <w:tc>
          <w:tcPr>
            <w:tcW w:w="1147" w:type="dxa"/>
            <w:gridSpan w:val="3"/>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5.1</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801.0</w:t>
            </w:r>
          </w:p>
        </w:tc>
        <w:tc>
          <w:tcPr>
            <w:tcW w:w="1148"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665.0</w:t>
            </w:r>
          </w:p>
        </w:tc>
        <w:tc>
          <w:tcPr>
            <w:tcW w:w="14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361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2 years but less than 3 years</w:t>
            </w:r>
          </w:p>
        </w:tc>
        <w:tc>
          <w:tcPr>
            <w:tcW w:w="1147" w:type="dxa"/>
            <w:gridSpan w:val="3"/>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26.2</w:t>
            </w:r>
          </w:p>
        </w:tc>
        <w:tc>
          <w:tcPr>
            <w:tcW w:w="1148"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40.0</w:t>
            </w:r>
          </w:p>
        </w:tc>
        <w:tc>
          <w:tcPr>
            <w:tcW w:w="14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361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3 years but less than 4 years</w:t>
            </w:r>
          </w:p>
        </w:tc>
        <w:tc>
          <w:tcPr>
            <w:tcW w:w="1147" w:type="dxa"/>
            <w:gridSpan w:val="3"/>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340.0</w:t>
            </w:r>
          </w:p>
        </w:tc>
        <w:tc>
          <w:tcPr>
            <w:tcW w:w="1148"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300.8</w:t>
            </w:r>
          </w:p>
        </w:tc>
        <w:tc>
          <w:tcPr>
            <w:tcW w:w="14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361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4 years but less than 5 years</w:t>
            </w:r>
          </w:p>
        </w:tc>
        <w:tc>
          <w:tcPr>
            <w:tcW w:w="1147" w:type="dxa"/>
            <w:gridSpan w:val="3"/>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288.3</w:t>
            </w:r>
          </w:p>
        </w:tc>
        <w:tc>
          <w:tcPr>
            <w:tcW w:w="1148"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215.0</w:t>
            </w:r>
          </w:p>
        </w:tc>
        <w:tc>
          <w:tcPr>
            <w:tcW w:w="14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361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5 years or more</w:t>
            </w:r>
          </w:p>
        </w:tc>
        <w:tc>
          <w:tcPr>
            <w:tcW w:w="1147" w:type="dxa"/>
            <w:gridSpan w:val="3"/>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161.9)</w:t>
            </w:r>
          </w:p>
        </w:tc>
        <w:tc>
          <w:tcPr>
            <w:tcW w:w="1148"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7" w:type="dxa"/>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2 172.3</w:t>
            </w:r>
          </w:p>
        </w:tc>
        <w:tc>
          <w:tcPr>
            <w:tcW w:w="1148"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882.8</w:t>
            </w:r>
          </w:p>
        </w:tc>
        <w:tc>
          <w:tcPr>
            <w:tcW w:w="14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361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w:t>
            </w:r>
          </w:p>
        </w:tc>
        <w:tc>
          <w:tcPr>
            <w:tcW w:w="1147" w:type="dxa"/>
            <w:gridSpan w:val="3"/>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A10A3B">
              <w:rPr>
                <w:rFonts w:eastAsiaTheme="minorEastAsia" w:cs="Calibri"/>
                <w:b/>
                <w:bCs/>
                <w:color w:val="000000"/>
                <w:szCs w:val="22"/>
                <w:lang w:eastAsia="en-AU"/>
              </w:rPr>
              <w:t>156.8)</w:t>
            </w:r>
          </w:p>
        </w:tc>
        <w:tc>
          <w:tcPr>
            <w:tcW w:w="1148"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c>
          <w:tcPr>
            <w:tcW w:w="114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sidRPr="00A10A3B">
              <w:rPr>
                <w:rFonts w:eastAsiaTheme="minorEastAsia"/>
                <w:b/>
                <w:bCs/>
                <w:lang w:eastAsia="en-AU"/>
              </w:rPr>
              <w:t>4 091.8</w:t>
            </w:r>
          </w:p>
        </w:tc>
        <w:tc>
          <w:tcPr>
            <w:tcW w:w="1148"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sidRPr="00A10A3B">
              <w:rPr>
                <w:rFonts w:eastAsiaTheme="minorEastAsia"/>
                <w:b/>
                <w:bCs/>
                <w:lang w:eastAsia="en-AU"/>
              </w:rPr>
              <w:t>2 193.6</w:t>
            </w:r>
          </w:p>
        </w:tc>
        <w:tc>
          <w:tcPr>
            <w:tcW w:w="143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sidRPr="00A10A3B">
              <w:rPr>
                <w:rFonts w:eastAsiaTheme="minorEastAsia"/>
                <w:b/>
                <w:bCs/>
                <w:lang w:eastAsia="en-AU"/>
              </w:rPr>
              <w:t>4 276.3</w:t>
            </w:r>
          </w:p>
        </w:tc>
      </w:tr>
    </w:tbl>
    <w:p w:rsidR="00336793" w:rsidRPr="00A10A3B"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3617"/>
        <w:gridCol w:w="1147"/>
        <w:gridCol w:w="1148"/>
        <w:gridCol w:w="1147"/>
        <w:gridCol w:w="1148"/>
        <w:gridCol w:w="1430"/>
      </w:tblGrid>
      <w:tr w:rsidR="00336793" w:rsidRPr="00A10A3B" w:rsidTr="00DF0B96">
        <w:trPr>
          <w:tblHeader/>
        </w:trPr>
        <w:tc>
          <w:tcPr>
            <w:tcW w:w="3617"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2014</w:t>
            </w:r>
          </w:p>
        </w:tc>
        <w:tc>
          <w:tcPr>
            <w:tcW w:w="1147"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 </w:t>
            </w:r>
          </w:p>
        </w:tc>
        <w:tc>
          <w:tcPr>
            <w:tcW w:w="1148"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 </w:t>
            </w:r>
          </w:p>
        </w:tc>
        <w:tc>
          <w:tcPr>
            <w:tcW w:w="1147"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 </w:t>
            </w:r>
          </w:p>
        </w:tc>
        <w:tc>
          <w:tcPr>
            <w:tcW w:w="1148"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 </w:t>
            </w:r>
          </w:p>
        </w:tc>
        <w:tc>
          <w:tcPr>
            <w:tcW w:w="1430"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 </w:t>
            </w:r>
          </w:p>
        </w:tc>
      </w:tr>
      <w:tr w:rsidR="00336793" w:rsidRPr="00A10A3B" w:rsidTr="00DF0B96">
        <w:tc>
          <w:tcPr>
            <w:tcW w:w="3617"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Less than 1 year</w:t>
            </w:r>
          </w:p>
        </w:tc>
        <w:tc>
          <w:tcPr>
            <w:tcW w:w="1147"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8" w:type="dxa"/>
            <w:tcBorders>
              <w:top w:val="single" w:sz="6" w:space="0" w:color="auto"/>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40.0)</w:t>
            </w:r>
          </w:p>
        </w:tc>
        <w:tc>
          <w:tcPr>
            <w:tcW w:w="1147"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909.0</w:t>
            </w:r>
          </w:p>
        </w:tc>
        <w:tc>
          <w:tcPr>
            <w:tcW w:w="1148"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645.0</w:t>
            </w:r>
          </w:p>
        </w:tc>
        <w:tc>
          <w:tcPr>
            <w:tcW w:w="143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555.0</w:t>
            </w:r>
          </w:p>
        </w:tc>
      </w:tr>
      <w:tr w:rsidR="00336793" w:rsidRPr="00A10A3B" w:rsidTr="00DF0B96">
        <w:tc>
          <w:tcPr>
            <w:tcW w:w="361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1 year but less than 2 years</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119.1</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90.0</w:t>
            </w:r>
          </w:p>
        </w:tc>
        <w:tc>
          <w:tcPr>
            <w:tcW w:w="14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361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2 year but less than 3 years</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7.8</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374.3</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395.0</w:t>
            </w:r>
          </w:p>
        </w:tc>
        <w:tc>
          <w:tcPr>
            <w:tcW w:w="14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361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3 years but less than 4 years</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20.0</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20.0</w:t>
            </w:r>
          </w:p>
        </w:tc>
        <w:tc>
          <w:tcPr>
            <w:tcW w:w="14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361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4 years but less than 5 years</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7"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8"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4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361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5 years or more</w:t>
            </w:r>
          </w:p>
        </w:tc>
        <w:tc>
          <w:tcPr>
            <w:tcW w:w="1147" w:type="dxa"/>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lang w:eastAsia="en-AU"/>
              </w:rPr>
              <w:t>(</w:t>
            </w:r>
            <w:r w:rsidRPr="00A10A3B">
              <w:rPr>
                <w:rFonts w:eastAsiaTheme="minorEastAsia" w:cs="Calibri"/>
                <w:color w:val="000000"/>
                <w:szCs w:val="22"/>
                <w:lang w:eastAsia="en-AU"/>
              </w:rPr>
              <w:t>174.1)</w:t>
            </w:r>
          </w:p>
        </w:tc>
        <w:tc>
          <w:tcPr>
            <w:tcW w:w="1148"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47"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1 421.9</w:t>
            </w:r>
          </w:p>
        </w:tc>
        <w:tc>
          <w:tcPr>
            <w:tcW w:w="1148"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972.0</w:t>
            </w:r>
          </w:p>
        </w:tc>
        <w:tc>
          <w:tcPr>
            <w:tcW w:w="14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361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w:t>
            </w:r>
          </w:p>
        </w:tc>
        <w:tc>
          <w:tcPr>
            <w:tcW w:w="114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A10A3B">
              <w:rPr>
                <w:rFonts w:eastAsiaTheme="minorEastAsia" w:cs="Calibri"/>
                <w:b/>
                <w:bCs/>
                <w:color w:val="000000"/>
                <w:szCs w:val="22"/>
                <w:lang w:eastAsia="en-AU"/>
              </w:rPr>
              <w:t>166.3)</w:t>
            </w:r>
          </w:p>
        </w:tc>
        <w:tc>
          <w:tcPr>
            <w:tcW w:w="1148"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A10A3B">
              <w:rPr>
                <w:rFonts w:eastAsiaTheme="minorEastAsia" w:cs="Calibri"/>
                <w:b/>
                <w:bCs/>
                <w:color w:val="000000"/>
                <w:szCs w:val="22"/>
                <w:lang w:eastAsia="en-AU"/>
              </w:rPr>
              <w:t>40.0)</w:t>
            </w:r>
          </w:p>
        </w:tc>
        <w:tc>
          <w:tcPr>
            <w:tcW w:w="114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2 844.2</w:t>
            </w:r>
          </w:p>
        </w:tc>
        <w:tc>
          <w:tcPr>
            <w:tcW w:w="1148"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2 122.0</w:t>
            </w:r>
          </w:p>
        </w:tc>
        <w:tc>
          <w:tcPr>
            <w:tcW w:w="143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555.0</w:t>
            </w:r>
          </w:p>
        </w:tc>
      </w:tr>
    </w:tbl>
    <w:p w:rsidR="00336793" w:rsidRDefault="00336793" w:rsidP="00DF0B96">
      <w:pPr>
        <w:pStyle w:val="Notes"/>
      </w:pPr>
    </w:p>
    <w:p w:rsidR="00336793" w:rsidRDefault="00336793" w:rsidP="00DF0B96"/>
    <w:p w:rsidR="00336793" w:rsidRPr="006A75A2" w:rsidRDefault="00336793" w:rsidP="00DF0B96">
      <w:r w:rsidRPr="00FD6BB0">
        <w:t>At 30 June 2015</w:t>
      </w:r>
      <w:r w:rsidRPr="006A75A2">
        <w:t xml:space="preserve">, approximately </w:t>
      </w:r>
      <w:r w:rsidRPr="00D93401">
        <w:t>96</w:t>
      </w:r>
      <w:r>
        <w:t> per cent</w:t>
      </w:r>
      <w:r w:rsidRPr="00D93401">
        <w:t xml:space="preserve"> (99</w:t>
      </w:r>
      <w:r>
        <w:t> per cent</w:t>
      </w:r>
      <w:r w:rsidRPr="00D93401">
        <w:t xml:space="preserve"> in 2014)</w:t>
      </w:r>
      <w:r w:rsidRPr="006A75A2">
        <w:t xml:space="preserve"> of the State</w:t>
      </w:r>
      <w:r>
        <w:t>’</w:t>
      </w:r>
      <w:r w:rsidRPr="006A75A2">
        <w:t>s borrowings are at fixed rates of interest. There has been no change in the State</w:t>
      </w:r>
      <w:r>
        <w:t>’</w:t>
      </w:r>
      <w:r w:rsidRPr="006A75A2">
        <w:t>s exposure to interest rate risk or the manner in which it manages and measures the risk from the previous reporting period.</w:t>
      </w:r>
    </w:p>
    <w:p w:rsidR="00336793" w:rsidRPr="001E5736" w:rsidRDefault="00336793" w:rsidP="00DF0B96">
      <w:pPr>
        <w:pStyle w:val="Heading4"/>
        <w:rPr>
          <w:sz w:val="23"/>
          <w:szCs w:val="23"/>
        </w:rPr>
      </w:pPr>
      <w:r w:rsidRPr="001E5736">
        <w:rPr>
          <w:sz w:val="23"/>
          <w:szCs w:val="23"/>
        </w:rPr>
        <w:t>Interest rate exposure</w:t>
      </w:r>
    </w:p>
    <w:p w:rsidR="00336793" w:rsidRPr="006A75A2" w:rsidRDefault="00336793" w:rsidP="00DF0B96">
      <w:r w:rsidRPr="006A75A2">
        <w:t>Disclosed is the State</w:t>
      </w:r>
      <w:r>
        <w:t>’</w:t>
      </w:r>
      <w:r w:rsidRPr="006A75A2">
        <w:t>s exposure to interest rate risk on classes of financial assets and financial liabilities.</w:t>
      </w:r>
    </w:p>
    <w:p w:rsidR="00336793" w:rsidRDefault="00336793">
      <w:pPr>
        <w:spacing w:after="0"/>
        <w:rPr>
          <w:rFonts w:ascii="Calibri" w:hAnsi="Calibri"/>
          <w:i/>
          <w:sz w:val="26"/>
          <w:szCs w:val="22"/>
        </w:rPr>
      </w:pPr>
      <w:r>
        <w:br w:type="page"/>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A75A2" w:rsidRDefault="00336793" w:rsidP="00DF0B96">
      <w:pPr>
        <w:pStyle w:val="Heading4"/>
      </w:pPr>
      <w:r w:rsidRPr="006A75A2">
        <w:t>Interest rate sensitivity analysis</w:t>
      </w:r>
    </w:p>
    <w:p w:rsidR="00336793" w:rsidRPr="006A75A2" w:rsidRDefault="00336793" w:rsidP="00DF0B96">
      <w:r w:rsidRPr="006A75A2">
        <w:t>The State has analysed the possible effects of feasible changes in interest rates on its financial position and result using the following assumptions:</w:t>
      </w:r>
    </w:p>
    <w:p w:rsidR="00336793" w:rsidRPr="006A75A2" w:rsidRDefault="00336793" w:rsidP="00DF0B96">
      <w:pPr>
        <w:pStyle w:val="BulletText"/>
      </w:pPr>
      <w:r w:rsidRPr="006A75A2">
        <w:t>the exposure to interest rates for both derivative and non</w:t>
      </w:r>
      <w:r>
        <w:noBreakHyphen/>
      </w:r>
      <w:r w:rsidRPr="006A75A2">
        <w:t>derivative instruments at the reporting date, and the stipulated change taking place at the beginning of the financial year, are held constant throughout the reporting period; and</w:t>
      </w:r>
    </w:p>
    <w:p w:rsidR="00336793" w:rsidRPr="006A75A2" w:rsidRDefault="00336793" w:rsidP="00DF0B96">
      <w:pPr>
        <w:pStyle w:val="BulletText"/>
      </w:pPr>
      <w:r w:rsidRPr="006A75A2">
        <w:t>based on historic movements, and in particular, management</w:t>
      </w:r>
      <w:r>
        <w:t>’</w:t>
      </w:r>
      <w:r w:rsidRPr="006A75A2">
        <w:t xml:space="preserve">s knowledge and experience of the recent volatility in global financial markets, the State has assessed that it may be exposed to a reasonably </w:t>
      </w:r>
      <w:r w:rsidRPr="00D93401">
        <w:t>possible increase or decrease of 100 basis points in interest rates (100 basis points in 2014).</w:t>
      </w:r>
    </w:p>
    <w:p w:rsidR="00336793" w:rsidRPr="006A75A2" w:rsidRDefault="00336793" w:rsidP="00DF0B96">
      <w:r w:rsidRPr="006A75A2">
        <w:t>With all other variables held constant, the impact of a 100 basis point increase or decrease on the net resul</w:t>
      </w:r>
      <w:r>
        <w:t xml:space="preserve">t and net assets at </w:t>
      </w:r>
      <w:r w:rsidRPr="00D93401">
        <w:t>30 June 2015 is a $1</w:t>
      </w:r>
      <w:r>
        <w:t> </w:t>
      </w:r>
      <w:r w:rsidRPr="00D93401">
        <w:t>789.0</w:t>
      </w:r>
      <w:r>
        <w:t> million</w:t>
      </w:r>
      <w:r w:rsidRPr="00D93401">
        <w:t xml:space="preserve"> increase/$</w:t>
      </w:r>
      <w:r>
        <w:t>1 </w:t>
      </w:r>
      <w:r w:rsidRPr="00D93401">
        <w:t>939.2</w:t>
      </w:r>
      <w:r>
        <w:t> million</w:t>
      </w:r>
      <w:r w:rsidRPr="00D93401">
        <w:t xml:space="preserve"> decrease</w:t>
      </w:r>
      <w:r>
        <w:t xml:space="preserve"> </w:t>
      </w:r>
      <w:r w:rsidRPr="00D93401">
        <w:t>($1</w:t>
      </w:r>
      <w:r>
        <w:t> </w:t>
      </w:r>
      <w:r w:rsidRPr="00D93401">
        <w:t>715.8</w:t>
      </w:r>
      <w:r>
        <w:t> million</w:t>
      </w:r>
      <w:r w:rsidRPr="00D93401">
        <w:t xml:space="preserve"> increase/$</w:t>
      </w:r>
      <w:r>
        <w:t>1 </w:t>
      </w:r>
      <w:r w:rsidRPr="00D93401">
        <w:t>884.4</w:t>
      </w:r>
      <w:r>
        <w:t> million</w:t>
      </w:r>
      <w:r w:rsidRPr="00D93401">
        <w:t xml:space="preserve"> decrease in 2014).</w:t>
      </w:r>
    </w:p>
    <w:p w:rsidR="00336793" w:rsidRPr="006A75A2" w:rsidRDefault="00336793" w:rsidP="00DF0B96">
      <w:r w:rsidRPr="006A75A2">
        <w:t>The State</w:t>
      </w:r>
      <w:r>
        <w:t>’</w:t>
      </w:r>
      <w:r w:rsidRPr="006A75A2">
        <w:t>s sensitivity to interest rates is mainly attributable to the revaluation of fixed interest borrowings at fair value and the revaluation of the insurance and superannuation liabilities, however this does not impact on the net result from transactions.</w:t>
      </w:r>
    </w:p>
    <w:p w:rsidR="00336793" w:rsidRDefault="00336793" w:rsidP="00DF0B96">
      <w:pPr>
        <w:spacing w:after="0"/>
      </w:pPr>
    </w:p>
    <w:p w:rsidR="00336793" w:rsidRDefault="00336793" w:rsidP="00DF0B96"/>
    <w:p w:rsidR="00336793" w:rsidRDefault="00336793" w:rsidP="00DF0B96">
      <w:pPr>
        <w:sectPr w:rsidR="00336793" w:rsidSect="00DF0B96">
          <w:headerReference w:type="even" r:id="rId106"/>
          <w:headerReference w:type="default" r:id="rId107"/>
          <w:footerReference w:type="even" r:id="rId108"/>
          <w:footerReference w:type="default" r:id="rId109"/>
          <w:headerReference w:type="first" r:id="rId110"/>
          <w:footerReference w:type="first" r:id="rId111"/>
          <w:pgSz w:w="11906" w:h="16838" w:code="9"/>
          <w:pgMar w:top="1152" w:right="1152" w:bottom="1152" w:left="1152" w:header="720" w:footer="720" w:gutter="0"/>
          <w:cols w:space="708"/>
          <w:docGrid w:linePitch="360"/>
        </w:sectPr>
      </w:pPr>
    </w:p>
    <w:p w:rsidR="00336793" w:rsidRPr="006A75A2" w:rsidRDefault="00336793" w:rsidP="000830D0">
      <w:pPr>
        <w:pStyle w:val="Heading2NotesContd"/>
        <w:spacing w:before="120"/>
      </w:pPr>
      <w:r w:rsidRPr="006A75A2">
        <w:lastRenderedPageBreak/>
        <w:t>Note 33:</w:t>
      </w:r>
      <w:r w:rsidRPr="006A75A2">
        <w:tab/>
        <w:t xml:space="preserve">Financial instruments </w:t>
      </w:r>
      <w:r w:rsidRPr="006A75A2">
        <w:rPr>
          <w:i/>
        </w:rPr>
        <w:t>(continued)</w:t>
      </w:r>
    </w:p>
    <w:p w:rsidR="00336793" w:rsidRPr="006A75A2" w:rsidRDefault="00336793" w:rsidP="00DF0B96">
      <w:pPr>
        <w:pStyle w:val="Heading5"/>
      </w:pPr>
      <w:r w:rsidRPr="006A75A2">
        <w:t>(f)</w:t>
      </w:r>
      <w:r w:rsidRPr="006A75A2">
        <w:tab/>
        <w:t>Interest rate exposure</w:t>
      </w:r>
    </w:p>
    <w:p w:rsidR="00336793" w:rsidRPr="00A10A3B" w:rsidRDefault="00336793" w:rsidP="00DF0B96">
      <w:pPr>
        <w:pStyle w:val="million"/>
        <w:rPr>
          <w:rFonts w:ascii="Times New Roman" w:hAnsi="Times New Roman"/>
          <w:i w:val="0"/>
          <w:szCs w:val="20"/>
          <w:lang w:eastAsia="en-AU"/>
        </w:rPr>
      </w:pPr>
      <w:r w:rsidRPr="006A75A2">
        <w:t>($</w:t>
      </w: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4337"/>
        <w:gridCol w:w="990"/>
        <w:gridCol w:w="1011"/>
        <w:gridCol w:w="1176"/>
        <w:gridCol w:w="236"/>
        <w:gridCol w:w="940"/>
        <w:gridCol w:w="1176"/>
        <w:gridCol w:w="924"/>
        <w:gridCol w:w="252"/>
        <w:gridCol w:w="1176"/>
        <w:gridCol w:w="1176"/>
        <w:gridCol w:w="1176"/>
      </w:tblGrid>
      <w:tr w:rsidR="00336793" w:rsidRPr="00E4342D" w:rsidTr="00DF0B96">
        <w:trPr>
          <w:tblHeader/>
        </w:trPr>
        <w:tc>
          <w:tcPr>
            <w:tcW w:w="4337" w:type="dxa"/>
            <w:tcBorders>
              <w:top w:val="single" w:sz="6" w:space="0" w:color="auto"/>
              <w:left w:val="single" w:sz="6" w:space="0" w:color="auto"/>
              <w:bottom w:val="nil"/>
              <w:right w:val="nil"/>
            </w:tcBorders>
            <w:shd w:val="clear" w:color="000000" w:fill="000000"/>
            <w:vAlign w:val="bottom"/>
          </w:tcPr>
          <w:p w:rsidR="00336793" w:rsidRPr="00E4342D" w:rsidRDefault="00336793" w:rsidP="00DF0B96">
            <w:pPr>
              <w:pStyle w:val="Tabletext"/>
              <w:rPr>
                <w:rFonts w:eastAsiaTheme="minorEastAsia"/>
                <w:b/>
                <w:i/>
                <w:sz w:val="21"/>
                <w:lang w:eastAsia="en-AU"/>
              </w:rPr>
            </w:pPr>
            <w:r w:rsidRPr="00E4342D">
              <w:rPr>
                <w:rFonts w:eastAsiaTheme="minorEastAsia"/>
                <w:b/>
                <w:i/>
                <w:sz w:val="21"/>
                <w:lang w:eastAsia="en-AU"/>
              </w:rPr>
              <w:t xml:space="preserve"> </w:t>
            </w:r>
          </w:p>
        </w:tc>
        <w:tc>
          <w:tcPr>
            <w:tcW w:w="990" w:type="dxa"/>
            <w:tcBorders>
              <w:top w:val="single" w:sz="6" w:space="0" w:color="auto"/>
              <w:left w:val="nil"/>
              <w:bottom w:val="nil"/>
              <w:right w:val="nil"/>
            </w:tcBorders>
            <w:shd w:val="clear" w:color="000000" w:fill="000000"/>
            <w:vAlign w:val="bottom"/>
          </w:tcPr>
          <w:p w:rsidR="00336793" w:rsidRPr="00E4342D" w:rsidRDefault="00336793" w:rsidP="00DF0B96">
            <w:pPr>
              <w:pStyle w:val="TabletextheadingCentred"/>
              <w:rPr>
                <w:rFonts w:eastAsiaTheme="minorEastAsia"/>
                <w:sz w:val="21"/>
                <w:lang w:eastAsia="en-AU"/>
              </w:rPr>
            </w:pPr>
            <w:r w:rsidRPr="00E4342D">
              <w:rPr>
                <w:rFonts w:eastAsiaTheme="minorEastAsia"/>
                <w:sz w:val="21"/>
                <w:lang w:eastAsia="en-AU"/>
              </w:rPr>
              <w:t xml:space="preserve"> </w:t>
            </w:r>
          </w:p>
        </w:tc>
        <w:tc>
          <w:tcPr>
            <w:tcW w:w="1011" w:type="dxa"/>
            <w:tcBorders>
              <w:top w:val="single" w:sz="6" w:space="0" w:color="auto"/>
              <w:left w:val="nil"/>
              <w:bottom w:val="nil"/>
              <w:right w:val="nil"/>
            </w:tcBorders>
            <w:shd w:val="clear" w:color="000000" w:fill="000000"/>
            <w:vAlign w:val="bottom"/>
          </w:tcPr>
          <w:p w:rsidR="00336793" w:rsidRPr="00E4342D" w:rsidRDefault="00336793" w:rsidP="00DF0B96">
            <w:pPr>
              <w:pStyle w:val="TabletextheadingCentred"/>
              <w:rPr>
                <w:rFonts w:eastAsiaTheme="minorEastAsia"/>
                <w:sz w:val="21"/>
                <w:lang w:eastAsia="en-AU"/>
              </w:rPr>
            </w:pPr>
            <w:r w:rsidRPr="00E4342D">
              <w:rPr>
                <w:rFonts w:eastAsiaTheme="minorEastAsia"/>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E4342D" w:rsidRDefault="00336793" w:rsidP="00DF0B96">
            <w:pPr>
              <w:pStyle w:val="TabletextheadingCentred"/>
              <w:rPr>
                <w:rFonts w:eastAsiaTheme="minorEastAsia"/>
                <w:sz w:val="21"/>
                <w:lang w:eastAsia="en-AU"/>
              </w:rPr>
            </w:pPr>
            <w:r w:rsidRPr="00E4342D">
              <w:rPr>
                <w:rFonts w:eastAsiaTheme="minorEastAsia"/>
                <w:sz w:val="21"/>
                <w:lang w:eastAsia="en-AU"/>
              </w:rPr>
              <w:t xml:space="preserve">  </w:t>
            </w:r>
          </w:p>
        </w:tc>
        <w:tc>
          <w:tcPr>
            <w:tcW w:w="236" w:type="dxa"/>
            <w:tcBorders>
              <w:top w:val="single" w:sz="6" w:space="0" w:color="auto"/>
              <w:left w:val="nil"/>
              <w:bottom w:val="nil"/>
              <w:right w:val="nil"/>
            </w:tcBorders>
            <w:shd w:val="clear" w:color="000000" w:fill="000000"/>
            <w:vAlign w:val="bottom"/>
          </w:tcPr>
          <w:p w:rsidR="00336793" w:rsidRPr="00E4342D" w:rsidRDefault="00336793" w:rsidP="00DF0B96">
            <w:pPr>
              <w:pStyle w:val="TabletextheadingCentred"/>
              <w:rPr>
                <w:rFonts w:eastAsiaTheme="minorEastAsia"/>
                <w:sz w:val="21"/>
                <w:lang w:eastAsia="en-AU"/>
              </w:rPr>
            </w:pPr>
            <w:r w:rsidRPr="00E4342D">
              <w:rPr>
                <w:rFonts w:eastAsiaTheme="minorEastAsia"/>
                <w:sz w:val="21"/>
                <w:lang w:eastAsia="en-AU"/>
              </w:rPr>
              <w:t xml:space="preserve"> </w:t>
            </w:r>
          </w:p>
        </w:tc>
        <w:tc>
          <w:tcPr>
            <w:tcW w:w="3040" w:type="dxa"/>
            <w:gridSpan w:val="3"/>
            <w:tcBorders>
              <w:top w:val="single" w:sz="6" w:space="0" w:color="auto"/>
              <w:left w:val="nil"/>
              <w:bottom w:val="nil"/>
              <w:right w:val="nil"/>
            </w:tcBorders>
            <w:shd w:val="clear" w:color="000000" w:fill="000000"/>
            <w:vAlign w:val="bottom"/>
          </w:tcPr>
          <w:p w:rsidR="00336793" w:rsidRPr="00E4342D" w:rsidRDefault="00336793" w:rsidP="00DF0B96">
            <w:pPr>
              <w:pStyle w:val="TabletextheadingCentred"/>
              <w:rPr>
                <w:rFonts w:eastAsiaTheme="minorEastAsia"/>
                <w:sz w:val="21"/>
                <w:lang w:eastAsia="en-AU"/>
              </w:rPr>
            </w:pPr>
            <w:r w:rsidRPr="00E4342D">
              <w:rPr>
                <w:rFonts w:eastAsiaTheme="minorEastAsia"/>
                <w:sz w:val="21"/>
                <w:lang w:eastAsia="en-AU"/>
              </w:rPr>
              <w:t>Interest rate, fixed maturities</w:t>
            </w:r>
          </w:p>
        </w:tc>
        <w:tc>
          <w:tcPr>
            <w:tcW w:w="252" w:type="dxa"/>
            <w:tcBorders>
              <w:top w:val="single" w:sz="6" w:space="0" w:color="auto"/>
              <w:left w:val="nil"/>
              <w:bottom w:val="nil"/>
              <w:right w:val="nil"/>
            </w:tcBorders>
            <w:shd w:val="clear" w:color="000000" w:fill="000000"/>
            <w:vAlign w:val="bottom"/>
          </w:tcPr>
          <w:p w:rsidR="00336793" w:rsidRPr="00E4342D" w:rsidRDefault="00336793" w:rsidP="00DF0B96">
            <w:pPr>
              <w:pStyle w:val="TabletextheadingCentred"/>
              <w:rPr>
                <w:rFonts w:eastAsiaTheme="minorEastAsia"/>
                <w:sz w:val="21"/>
                <w:lang w:eastAsia="en-AU"/>
              </w:rPr>
            </w:pPr>
            <w:r w:rsidRPr="00E4342D">
              <w:rPr>
                <w:rFonts w:eastAsiaTheme="minorEastAsia"/>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E4342D" w:rsidRDefault="00336793" w:rsidP="00DF0B96">
            <w:pPr>
              <w:pStyle w:val="TabletextheadingCentred"/>
              <w:rPr>
                <w:rFonts w:eastAsiaTheme="minorEastAsia"/>
                <w:sz w:val="21"/>
                <w:lang w:eastAsia="en-AU"/>
              </w:rPr>
            </w:pPr>
            <w:r w:rsidRPr="00E4342D">
              <w:rPr>
                <w:rFonts w:eastAsiaTheme="minorEastAsia"/>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E4342D" w:rsidRDefault="00336793" w:rsidP="00DF0B96">
            <w:pPr>
              <w:pStyle w:val="TabletextheadingCentred"/>
              <w:rPr>
                <w:rFonts w:eastAsiaTheme="minorEastAsia"/>
                <w:sz w:val="21"/>
                <w:lang w:eastAsia="en-AU"/>
              </w:rPr>
            </w:pPr>
            <w:r w:rsidRPr="00E4342D">
              <w:rPr>
                <w:rFonts w:eastAsiaTheme="minorEastAsia"/>
                <w:sz w:val="21"/>
                <w:lang w:eastAsia="en-AU"/>
              </w:rPr>
              <w:t xml:space="preserve"> </w:t>
            </w:r>
          </w:p>
        </w:tc>
        <w:tc>
          <w:tcPr>
            <w:tcW w:w="1176" w:type="dxa"/>
            <w:tcBorders>
              <w:top w:val="single" w:sz="6" w:space="0" w:color="auto"/>
              <w:left w:val="nil"/>
              <w:bottom w:val="nil"/>
              <w:right w:val="single" w:sz="6" w:space="0" w:color="auto"/>
            </w:tcBorders>
            <w:shd w:val="clear" w:color="000000" w:fill="000000"/>
            <w:vAlign w:val="bottom"/>
          </w:tcPr>
          <w:p w:rsidR="00336793" w:rsidRPr="00E4342D" w:rsidRDefault="00336793" w:rsidP="00DF0B96">
            <w:pPr>
              <w:pStyle w:val="TabletextheadingCentred"/>
              <w:rPr>
                <w:rFonts w:eastAsiaTheme="minorEastAsia"/>
                <w:sz w:val="21"/>
                <w:lang w:eastAsia="en-AU"/>
              </w:rPr>
            </w:pPr>
            <w:r w:rsidRPr="00E4342D">
              <w:rPr>
                <w:rFonts w:eastAsiaTheme="minorEastAsia"/>
                <w:sz w:val="21"/>
                <w:lang w:eastAsia="en-AU"/>
              </w:rPr>
              <w:t xml:space="preserve"> </w:t>
            </w:r>
          </w:p>
        </w:tc>
      </w:tr>
      <w:tr w:rsidR="00336793" w:rsidRPr="00E4342D" w:rsidTr="00DF0B96">
        <w:trPr>
          <w:tblHeader/>
        </w:trPr>
        <w:tc>
          <w:tcPr>
            <w:tcW w:w="4337" w:type="dxa"/>
            <w:tcBorders>
              <w:left w:val="single" w:sz="6" w:space="0" w:color="auto"/>
              <w:bottom w:val="nil"/>
              <w:right w:val="nil"/>
            </w:tcBorders>
            <w:shd w:val="clear" w:color="000000" w:fill="000000"/>
            <w:vAlign w:val="bottom"/>
          </w:tcPr>
          <w:p w:rsidR="00336793" w:rsidRPr="00E4342D" w:rsidRDefault="00336793" w:rsidP="00DF0B96">
            <w:pPr>
              <w:pStyle w:val="Tabletext"/>
              <w:rPr>
                <w:rFonts w:eastAsiaTheme="minorEastAsia"/>
                <w:i/>
                <w:sz w:val="21"/>
                <w:lang w:eastAsia="en-AU"/>
              </w:rPr>
            </w:pPr>
            <w:r w:rsidRPr="00E4342D">
              <w:rPr>
                <w:rFonts w:eastAsiaTheme="minorEastAsia"/>
                <w:i/>
                <w:sz w:val="21"/>
                <w:lang w:eastAsia="en-AU"/>
              </w:rPr>
              <w:t xml:space="preserve"> </w:t>
            </w:r>
          </w:p>
        </w:tc>
        <w:tc>
          <w:tcPr>
            <w:tcW w:w="990" w:type="dxa"/>
            <w:tcBorders>
              <w:left w:val="nil"/>
              <w:bottom w:val="nil"/>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 </w:t>
            </w:r>
          </w:p>
        </w:tc>
        <w:tc>
          <w:tcPr>
            <w:tcW w:w="1011" w:type="dxa"/>
            <w:tcBorders>
              <w:left w:val="nil"/>
              <w:bottom w:val="nil"/>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 1 year </w:t>
            </w:r>
          </w:p>
        </w:tc>
        <w:tc>
          <w:tcPr>
            <w:tcW w:w="1176" w:type="dxa"/>
            <w:gridSpan w:val="2"/>
            <w:tcBorders>
              <w:left w:val="nil"/>
              <w:bottom w:val="nil"/>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2 years </w:t>
            </w:r>
          </w:p>
        </w:tc>
        <w:tc>
          <w:tcPr>
            <w:tcW w:w="1176" w:type="dxa"/>
            <w:tcBorders>
              <w:left w:val="nil"/>
              <w:bottom w:val="nil"/>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3 years </w:t>
            </w:r>
          </w:p>
        </w:tc>
        <w:tc>
          <w:tcPr>
            <w:tcW w:w="1176" w:type="dxa"/>
            <w:gridSpan w:val="2"/>
            <w:tcBorders>
              <w:left w:val="nil"/>
              <w:bottom w:val="nil"/>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4 years </w:t>
            </w:r>
          </w:p>
        </w:tc>
        <w:tc>
          <w:tcPr>
            <w:tcW w:w="1176" w:type="dxa"/>
            <w:tcBorders>
              <w:left w:val="nil"/>
              <w:bottom w:val="nil"/>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 </w:t>
            </w:r>
          </w:p>
        </w:tc>
        <w:tc>
          <w:tcPr>
            <w:tcW w:w="1176" w:type="dxa"/>
            <w:tcBorders>
              <w:left w:val="nil"/>
              <w:bottom w:val="nil"/>
              <w:right w:val="single" w:sz="6" w:space="0" w:color="auto"/>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 </w:t>
            </w:r>
          </w:p>
        </w:tc>
      </w:tr>
      <w:tr w:rsidR="00336793" w:rsidRPr="00E4342D" w:rsidTr="00DF0B96">
        <w:trPr>
          <w:tblHeader/>
        </w:trPr>
        <w:tc>
          <w:tcPr>
            <w:tcW w:w="4337" w:type="dxa"/>
            <w:tcBorders>
              <w:top w:val="nil"/>
              <w:left w:val="single" w:sz="6" w:space="0" w:color="auto"/>
              <w:bottom w:val="single" w:sz="6" w:space="0" w:color="auto"/>
              <w:right w:val="nil"/>
            </w:tcBorders>
            <w:shd w:val="clear" w:color="000000" w:fill="000000"/>
            <w:vAlign w:val="bottom"/>
          </w:tcPr>
          <w:p w:rsidR="00336793" w:rsidRPr="00E4342D" w:rsidRDefault="00336793" w:rsidP="00DF0B96">
            <w:pPr>
              <w:pStyle w:val="Tabletext"/>
              <w:rPr>
                <w:rFonts w:eastAsiaTheme="minorEastAsia"/>
                <w:i/>
                <w:sz w:val="21"/>
                <w:lang w:eastAsia="en-AU"/>
              </w:rPr>
            </w:pPr>
            <w:r w:rsidRPr="00E4342D">
              <w:rPr>
                <w:rFonts w:eastAsiaTheme="minorEastAsia"/>
                <w:i/>
                <w:sz w:val="21"/>
                <w:lang w:eastAsia="en-AU"/>
              </w:rPr>
              <w:t>State of Victoria</w:t>
            </w:r>
          </w:p>
          <w:p w:rsidR="00336793" w:rsidRPr="00E4342D" w:rsidRDefault="00336793" w:rsidP="00DF0B96">
            <w:pPr>
              <w:pStyle w:val="Tabletext"/>
              <w:rPr>
                <w:rFonts w:eastAsiaTheme="minorEastAsia"/>
                <w:i/>
                <w:sz w:val="21"/>
                <w:lang w:eastAsia="en-AU"/>
              </w:rPr>
            </w:pPr>
            <w:r w:rsidRPr="00E4342D">
              <w:rPr>
                <w:rFonts w:eastAsiaTheme="minorEastAsia"/>
                <w:i/>
                <w:sz w:val="21"/>
                <w:lang w:eastAsia="en-AU"/>
              </w:rPr>
              <w:t>2015</w:t>
            </w:r>
          </w:p>
        </w:tc>
        <w:tc>
          <w:tcPr>
            <w:tcW w:w="990" w:type="dxa"/>
            <w:tcBorders>
              <w:top w:val="nil"/>
              <w:left w:val="nil"/>
              <w:bottom w:val="single" w:sz="6" w:space="0" w:color="auto"/>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p>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Floating</w:t>
            </w:r>
          </w:p>
        </w:tc>
        <w:tc>
          <w:tcPr>
            <w:tcW w:w="1011" w:type="dxa"/>
            <w:tcBorders>
              <w:top w:val="nil"/>
              <w:left w:val="nil"/>
              <w:bottom w:val="single" w:sz="6" w:space="0" w:color="auto"/>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Less than </w:t>
            </w:r>
          </w:p>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1 year</w:t>
            </w:r>
          </w:p>
        </w:tc>
        <w:tc>
          <w:tcPr>
            <w:tcW w:w="1176" w:type="dxa"/>
            <w:tcBorders>
              <w:top w:val="nil"/>
              <w:left w:val="nil"/>
              <w:bottom w:val="single" w:sz="6" w:space="0" w:color="auto"/>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but less </w:t>
            </w:r>
          </w:p>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than 2 years</w:t>
            </w:r>
          </w:p>
        </w:tc>
        <w:tc>
          <w:tcPr>
            <w:tcW w:w="1176" w:type="dxa"/>
            <w:gridSpan w:val="2"/>
            <w:tcBorders>
              <w:top w:val="nil"/>
              <w:left w:val="nil"/>
              <w:bottom w:val="single" w:sz="6" w:space="0" w:color="auto"/>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but less </w:t>
            </w:r>
          </w:p>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than 3 years</w:t>
            </w:r>
          </w:p>
        </w:tc>
        <w:tc>
          <w:tcPr>
            <w:tcW w:w="1176" w:type="dxa"/>
            <w:tcBorders>
              <w:top w:val="nil"/>
              <w:left w:val="nil"/>
              <w:bottom w:val="single" w:sz="6" w:space="0" w:color="auto"/>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but less </w:t>
            </w:r>
          </w:p>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than 4 years</w:t>
            </w:r>
          </w:p>
        </w:tc>
        <w:tc>
          <w:tcPr>
            <w:tcW w:w="1176" w:type="dxa"/>
            <w:gridSpan w:val="2"/>
            <w:tcBorders>
              <w:top w:val="nil"/>
              <w:left w:val="nil"/>
              <w:bottom w:val="single" w:sz="6" w:space="0" w:color="auto"/>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but less </w:t>
            </w:r>
          </w:p>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than 5 years</w:t>
            </w:r>
          </w:p>
        </w:tc>
        <w:tc>
          <w:tcPr>
            <w:tcW w:w="1176" w:type="dxa"/>
            <w:tcBorders>
              <w:top w:val="nil"/>
              <w:left w:val="nil"/>
              <w:bottom w:val="single" w:sz="6" w:space="0" w:color="auto"/>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 xml:space="preserve">5 years </w:t>
            </w:r>
          </w:p>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or more</w:t>
            </w:r>
          </w:p>
        </w:tc>
        <w:tc>
          <w:tcPr>
            <w:tcW w:w="1176" w:type="dxa"/>
            <w:tcBorders>
              <w:top w:val="nil"/>
              <w:left w:val="nil"/>
              <w:bottom w:val="single" w:sz="6" w:space="0" w:color="auto"/>
              <w:right w:val="nil"/>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Non</w:t>
            </w:r>
            <w:r>
              <w:rPr>
                <w:rFonts w:eastAsiaTheme="minorEastAsia"/>
                <w:color w:val="FFFFFF"/>
                <w:sz w:val="21"/>
                <w:lang w:eastAsia="en-AU"/>
              </w:rPr>
              <w:noBreakHyphen/>
            </w:r>
            <w:r w:rsidRPr="00E4342D">
              <w:rPr>
                <w:rFonts w:eastAsiaTheme="minorEastAsia"/>
                <w:color w:val="FFFFFF"/>
                <w:sz w:val="21"/>
                <w:lang w:eastAsia="en-AU"/>
              </w:rPr>
              <w:t xml:space="preserve">interest </w:t>
            </w:r>
          </w:p>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bearing</w:t>
            </w:r>
          </w:p>
        </w:tc>
        <w:tc>
          <w:tcPr>
            <w:tcW w:w="1176" w:type="dxa"/>
            <w:tcBorders>
              <w:top w:val="nil"/>
              <w:left w:val="nil"/>
              <w:bottom w:val="single" w:sz="6" w:space="0" w:color="auto"/>
              <w:right w:val="single" w:sz="6" w:space="0" w:color="auto"/>
            </w:tcBorders>
            <w:shd w:val="clear" w:color="000000" w:fill="000000"/>
            <w:vAlign w:val="bottom"/>
          </w:tcPr>
          <w:p w:rsidR="00336793" w:rsidRPr="00E4342D" w:rsidRDefault="00336793" w:rsidP="00DF0B96">
            <w:pPr>
              <w:pStyle w:val="Tabletextheading"/>
              <w:rPr>
                <w:rFonts w:eastAsiaTheme="minorEastAsia"/>
                <w:color w:val="FFFFFF"/>
                <w:sz w:val="21"/>
                <w:lang w:eastAsia="en-AU"/>
              </w:rPr>
            </w:pPr>
          </w:p>
          <w:p w:rsidR="00336793" w:rsidRPr="00E4342D" w:rsidRDefault="00336793" w:rsidP="00DF0B96">
            <w:pPr>
              <w:pStyle w:val="Tabletextheading"/>
              <w:rPr>
                <w:rFonts w:eastAsiaTheme="minorEastAsia"/>
                <w:color w:val="FFFFFF"/>
                <w:sz w:val="21"/>
                <w:lang w:eastAsia="en-AU"/>
              </w:rPr>
            </w:pPr>
            <w:r w:rsidRPr="00E4342D">
              <w:rPr>
                <w:rFonts w:eastAsiaTheme="minorEastAsia"/>
                <w:color w:val="FFFFFF"/>
                <w:sz w:val="21"/>
                <w:lang w:eastAsia="en-AU"/>
              </w:rPr>
              <w:t>Total</w:t>
            </w:r>
          </w:p>
        </w:tc>
      </w:tr>
      <w:tr w:rsidR="00336793" w:rsidRPr="00E4342D" w:rsidTr="00DF0B96">
        <w:tc>
          <w:tcPr>
            <w:tcW w:w="4337" w:type="dxa"/>
            <w:tcBorders>
              <w:top w:val="single" w:sz="6" w:space="0" w:color="auto"/>
              <w:left w:val="nil"/>
              <w:bottom w:val="nil"/>
              <w:right w:val="nil"/>
            </w:tcBorders>
          </w:tcPr>
          <w:p w:rsidR="00336793" w:rsidRPr="00E4342D" w:rsidRDefault="00336793" w:rsidP="00DF0B96">
            <w:pPr>
              <w:pStyle w:val="Tabletext"/>
              <w:rPr>
                <w:rFonts w:eastAsiaTheme="minorEastAsia"/>
                <w:b/>
                <w:sz w:val="21"/>
                <w:lang w:eastAsia="en-AU"/>
              </w:rPr>
            </w:pPr>
            <w:r w:rsidRPr="00E4342D">
              <w:rPr>
                <w:rFonts w:eastAsiaTheme="minorEastAsia"/>
                <w:b/>
                <w:sz w:val="21"/>
                <w:lang w:eastAsia="en-AU"/>
              </w:rPr>
              <w:t>Financial assets</w:t>
            </w:r>
          </w:p>
        </w:tc>
        <w:tc>
          <w:tcPr>
            <w:tcW w:w="990" w:type="dxa"/>
            <w:tcBorders>
              <w:top w:val="single" w:sz="6" w:space="0" w:color="auto"/>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011" w:type="dxa"/>
            <w:tcBorders>
              <w:top w:val="single" w:sz="6" w:space="0" w:color="auto"/>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tcBorders>
              <w:top w:val="single" w:sz="6" w:space="0" w:color="auto"/>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gridSpan w:val="2"/>
            <w:tcBorders>
              <w:top w:val="single" w:sz="6" w:space="0" w:color="auto"/>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tcBorders>
              <w:top w:val="single" w:sz="6" w:space="0" w:color="auto"/>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gridSpan w:val="2"/>
            <w:tcBorders>
              <w:top w:val="single" w:sz="6" w:space="0" w:color="auto"/>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tcBorders>
              <w:top w:val="single" w:sz="6" w:space="0" w:color="auto"/>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tcBorders>
              <w:top w:val="single" w:sz="6" w:space="0" w:color="auto"/>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tcBorders>
              <w:top w:val="single" w:sz="6" w:space="0" w:color="auto"/>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r>
      <w:tr w:rsidR="00336793" w:rsidRPr="00E4342D" w:rsidTr="00DF0B96">
        <w:tc>
          <w:tcPr>
            <w:tcW w:w="4337" w:type="dxa"/>
            <w:tcBorders>
              <w:top w:val="nil"/>
              <w:left w:val="nil"/>
              <w:bottom w:val="nil"/>
              <w:right w:val="nil"/>
            </w:tcBorders>
          </w:tcPr>
          <w:p w:rsidR="00336793" w:rsidRPr="00E4342D" w:rsidRDefault="00336793" w:rsidP="00DF0B96">
            <w:pPr>
              <w:pStyle w:val="Tabletext"/>
              <w:rPr>
                <w:rFonts w:eastAsiaTheme="minorEastAsia"/>
                <w:sz w:val="21"/>
                <w:lang w:eastAsia="en-AU"/>
              </w:rPr>
            </w:pPr>
            <w:r w:rsidRPr="00E4342D">
              <w:rPr>
                <w:rFonts w:eastAsiaTheme="minorEastAsia"/>
                <w:sz w:val="21"/>
                <w:lang w:eastAsia="en-AU"/>
              </w:rPr>
              <w:t>Cash and deposits</w:t>
            </w:r>
          </w:p>
        </w:tc>
        <w:tc>
          <w:tcPr>
            <w:tcW w:w="990"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3 613.0</w:t>
            </w:r>
          </w:p>
        </w:tc>
        <w:tc>
          <w:tcPr>
            <w:tcW w:w="1011"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2 804.8</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103.3</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6 521.1</w:t>
            </w:r>
          </w:p>
        </w:tc>
      </w:tr>
      <w:tr w:rsidR="00336793" w:rsidRPr="00E4342D" w:rsidTr="00DF0B96">
        <w:tc>
          <w:tcPr>
            <w:tcW w:w="4337" w:type="dxa"/>
            <w:tcBorders>
              <w:top w:val="nil"/>
              <w:left w:val="nil"/>
              <w:bottom w:val="nil"/>
              <w:right w:val="nil"/>
            </w:tcBorders>
          </w:tcPr>
          <w:p w:rsidR="00336793" w:rsidRPr="00E4342D" w:rsidRDefault="00336793" w:rsidP="00DF0B96">
            <w:pPr>
              <w:pStyle w:val="Tabletext"/>
              <w:rPr>
                <w:rFonts w:eastAsiaTheme="minorEastAsia"/>
                <w:sz w:val="21"/>
                <w:lang w:eastAsia="en-AU"/>
              </w:rPr>
            </w:pPr>
            <w:r w:rsidRPr="00E4342D">
              <w:rPr>
                <w:rFonts w:eastAsiaTheme="minorEastAsia"/>
                <w:sz w:val="21"/>
                <w:lang w:eastAsia="en-AU"/>
              </w:rPr>
              <w:t>Receivables</w:t>
            </w:r>
          </w:p>
        </w:tc>
        <w:tc>
          <w:tcPr>
            <w:tcW w:w="990"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176.6</w:t>
            </w:r>
          </w:p>
        </w:tc>
        <w:tc>
          <w:tcPr>
            <w:tcW w:w="1011"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333.7</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27.3</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14.8</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1.6</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9.2</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0.2</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1 751.2</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2 314.7</w:t>
            </w:r>
          </w:p>
        </w:tc>
      </w:tr>
      <w:tr w:rsidR="00336793" w:rsidRPr="00E4342D" w:rsidTr="00DF0B96">
        <w:tc>
          <w:tcPr>
            <w:tcW w:w="4337" w:type="dxa"/>
            <w:tcBorders>
              <w:top w:val="nil"/>
              <w:left w:val="nil"/>
              <w:bottom w:val="nil"/>
              <w:right w:val="nil"/>
            </w:tcBorders>
          </w:tcPr>
          <w:p w:rsidR="00336793" w:rsidRPr="00E4342D" w:rsidRDefault="00336793" w:rsidP="00DF0B96">
            <w:pPr>
              <w:pStyle w:val="Tabletext"/>
              <w:rPr>
                <w:rFonts w:eastAsiaTheme="minorEastAsia"/>
                <w:sz w:val="21"/>
                <w:lang w:eastAsia="en-AU"/>
              </w:rPr>
            </w:pPr>
            <w:r w:rsidRPr="00E4342D">
              <w:rPr>
                <w:rFonts w:eastAsiaTheme="minorEastAsia"/>
                <w:sz w:val="21"/>
                <w:lang w:eastAsia="en-AU"/>
              </w:rPr>
              <w:t>Advances paid</w:t>
            </w:r>
          </w:p>
        </w:tc>
        <w:tc>
          <w:tcPr>
            <w:tcW w:w="990"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21.9</w:t>
            </w:r>
          </w:p>
        </w:tc>
        <w:tc>
          <w:tcPr>
            <w:tcW w:w="1011"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4.9</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2.7</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0.2</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0.1</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33.9</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6.0</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51.7</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121.4</w:t>
            </w:r>
          </w:p>
        </w:tc>
      </w:tr>
      <w:tr w:rsidR="00336793" w:rsidRPr="00E4342D" w:rsidTr="00DF0B96">
        <w:tc>
          <w:tcPr>
            <w:tcW w:w="4337" w:type="dxa"/>
            <w:tcBorders>
              <w:top w:val="nil"/>
              <w:left w:val="nil"/>
              <w:bottom w:val="nil"/>
              <w:right w:val="nil"/>
            </w:tcBorders>
          </w:tcPr>
          <w:p w:rsidR="00336793" w:rsidRPr="00E4342D" w:rsidRDefault="00336793" w:rsidP="00DF0B96">
            <w:pPr>
              <w:pStyle w:val="Tabletext"/>
              <w:rPr>
                <w:rFonts w:eastAsiaTheme="minorEastAsia"/>
                <w:sz w:val="21"/>
                <w:lang w:eastAsia="en-AU"/>
              </w:rPr>
            </w:pPr>
            <w:r w:rsidRPr="00E4342D">
              <w:rPr>
                <w:rFonts w:eastAsiaTheme="minorEastAsia"/>
                <w:sz w:val="21"/>
                <w:lang w:eastAsia="en-AU"/>
              </w:rPr>
              <w:t>Term deposits</w:t>
            </w:r>
          </w:p>
        </w:tc>
        <w:tc>
          <w:tcPr>
            <w:tcW w:w="990"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17.5</w:t>
            </w:r>
          </w:p>
        </w:tc>
        <w:tc>
          <w:tcPr>
            <w:tcW w:w="1011"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437.6</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73.5</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6.9</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2.9</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2.9</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7.6</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0.1</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549.0</w:t>
            </w:r>
          </w:p>
        </w:tc>
      </w:tr>
      <w:tr w:rsidR="00336793" w:rsidRPr="00E4342D" w:rsidTr="00DF0B96">
        <w:tc>
          <w:tcPr>
            <w:tcW w:w="4337" w:type="dxa"/>
            <w:tcBorders>
              <w:top w:val="nil"/>
              <w:left w:val="nil"/>
              <w:bottom w:val="nil"/>
              <w:right w:val="nil"/>
            </w:tcBorders>
          </w:tcPr>
          <w:p w:rsidR="00336793" w:rsidRPr="00E4342D" w:rsidRDefault="00336793" w:rsidP="00DF0B96">
            <w:pPr>
              <w:pStyle w:val="Tabletext"/>
              <w:rPr>
                <w:rFonts w:eastAsiaTheme="minorEastAsia"/>
                <w:sz w:val="21"/>
                <w:lang w:eastAsia="en-AU"/>
              </w:rPr>
            </w:pPr>
            <w:r w:rsidRPr="00E4342D">
              <w:rPr>
                <w:rFonts w:eastAsiaTheme="minorEastAsia"/>
                <w:sz w:val="21"/>
                <w:lang w:eastAsia="en-AU"/>
              </w:rPr>
              <w:t>Derivative financial instruments</w:t>
            </w:r>
          </w:p>
        </w:tc>
        <w:tc>
          <w:tcPr>
            <w:tcW w:w="990"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237.2</w:t>
            </w:r>
          </w:p>
        </w:tc>
        <w:tc>
          <w:tcPr>
            <w:tcW w:w="1011"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22.9</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9.0</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1.0</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12.8</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21.9</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249.1</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100.9</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654.9</w:t>
            </w:r>
          </w:p>
        </w:tc>
      </w:tr>
      <w:tr w:rsidR="00336793" w:rsidRPr="00E4342D" w:rsidTr="00DF0B96">
        <w:tc>
          <w:tcPr>
            <w:tcW w:w="4337" w:type="dxa"/>
            <w:tcBorders>
              <w:top w:val="nil"/>
              <w:left w:val="nil"/>
              <w:bottom w:val="nil"/>
              <w:right w:val="nil"/>
            </w:tcBorders>
          </w:tcPr>
          <w:p w:rsidR="00336793" w:rsidRPr="00E4342D" w:rsidRDefault="00336793" w:rsidP="00DF0B96">
            <w:pPr>
              <w:pStyle w:val="Tabletext"/>
              <w:rPr>
                <w:rFonts w:eastAsiaTheme="minorEastAsia"/>
                <w:sz w:val="21"/>
                <w:lang w:eastAsia="en-AU"/>
              </w:rPr>
            </w:pPr>
            <w:r w:rsidRPr="00E4342D">
              <w:rPr>
                <w:rFonts w:eastAsiaTheme="minorEastAsia"/>
                <w:sz w:val="21"/>
                <w:lang w:eastAsia="en-AU"/>
              </w:rPr>
              <w:t>Equities and managed investment schemes</w:t>
            </w:r>
          </w:p>
        </w:tc>
        <w:tc>
          <w:tcPr>
            <w:tcW w:w="990"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529.5</w:t>
            </w:r>
          </w:p>
        </w:tc>
        <w:tc>
          <w:tcPr>
            <w:tcW w:w="1011"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201.2</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0.2</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0.6</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0.8</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0.5</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0.3</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23 463.0</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24 196.1</w:t>
            </w:r>
          </w:p>
        </w:tc>
      </w:tr>
      <w:tr w:rsidR="00336793" w:rsidRPr="00E4342D" w:rsidTr="00DF0B96">
        <w:tc>
          <w:tcPr>
            <w:tcW w:w="4337" w:type="dxa"/>
            <w:tcBorders>
              <w:top w:val="nil"/>
              <w:left w:val="nil"/>
              <w:bottom w:val="nil"/>
              <w:right w:val="nil"/>
            </w:tcBorders>
          </w:tcPr>
          <w:p w:rsidR="00336793" w:rsidRPr="00E4342D" w:rsidRDefault="00336793" w:rsidP="00DF0B96">
            <w:pPr>
              <w:pStyle w:val="Tabletext"/>
              <w:rPr>
                <w:rFonts w:eastAsiaTheme="minorEastAsia"/>
                <w:sz w:val="21"/>
                <w:lang w:eastAsia="en-AU"/>
              </w:rPr>
            </w:pPr>
            <w:r w:rsidRPr="00E4342D">
              <w:rPr>
                <w:rFonts w:eastAsiaTheme="minorEastAsia"/>
                <w:sz w:val="21"/>
                <w:lang w:eastAsia="en-AU"/>
              </w:rPr>
              <w:t>Debt securities</w:t>
            </w:r>
          </w:p>
        </w:tc>
        <w:tc>
          <w:tcPr>
            <w:tcW w:w="990"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1 518.1</w:t>
            </w:r>
          </w:p>
        </w:tc>
        <w:tc>
          <w:tcPr>
            <w:tcW w:w="1011"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4 387.9</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180.3</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314.0</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711.4</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563.0</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1 240.7</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1.6</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8 917.0</w:t>
            </w:r>
          </w:p>
        </w:tc>
      </w:tr>
      <w:tr w:rsidR="00336793" w:rsidRPr="00E4342D" w:rsidTr="00DF0B96">
        <w:tc>
          <w:tcPr>
            <w:tcW w:w="4337" w:type="dxa"/>
            <w:tcBorders>
              <w:top w:val="single" w:sz="6" w:space="0" w:color="auto"/>
              <w:left w:val="nil"/>
              <w:bottom w:val="single" w:sz="6" w:space="0" w:color="auto"/>
              <w:right w:val="nil"/>
            </w:tcBorders>
          </w:tcPr>
          <w:p w:rsidR="00336793" w:rsidRPr="00E4342D" w:rsidRDefault="00336793" w:rsidP="00DF0B96">
            <w:pPr>
              <w:pStyle w:val="Tabletext"/>
              <w:rPr>
                <w:rFonts w:eastAsiaTheme="minorEastAsia"/>
                <w:b/>
                <w:sz w:val="21"/>
                <w:lang w:eastAsia="en-AU"/>
              </w:rPr>
            </w:pPr>
            <w:r w:rsidRPr="00E4342D">
              <w:rPr>
                <w:rFonts w:eastAsiaTheme="minorEastAsia"/>
                <w:b/>
                <w:sz w:val="21"/>
                <w:lang w:eastAsia="en-AU"/>
              </w:rPr>
              <w:t>Total financial assets</w:t>
            </w:r>
          </w:p>
        </w:tc>
        <w:tc>
          <w:tcPr>
            <w:tcW w:w="990" w:type="dxa"/>
            <w:tcBorders>
              <w:top w:val="single" w:sz="6" w:space="0" w:color="auto"/>
              <w:left w:val="nil"/>
              <w:bottom w:val="single" w:sz="6" w:space="0" w:color="auto"/>
              <w:right w:val="nil"/>
            </w:tcBorders>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6 113.8</w:t>
            </w:r>
          </w:p>
        </w:tc>
        <w:tc>
          <w:tcPr>
            <w:tcW w:w="1011" w:type="dxa"/>
            <w:tcBorders>
              <w:top w:val="single" w:sz="6" w:space="0" w:color="auto"/>
              <w:left w:val="nil"/>
              <w:bottom w:val="single" w:sz="6" w:space="0" w:color="auto"/>
              <w:right w:val="nil"/>
            </w:tcBorders>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8 193.0</w:t>
            </w:r>
          </w:p>
        </w:tc>
        <w:tc>
          <w:tcPr>
            <w:tcW w:w="1176" w:type="dxa"/>
            <w:tcBorders>
              <w:top w:val="single" w:sz="6" w:space="0" w:color="auto"/>
              <w:left w:val="nil"/>
              <w:bottom w:val="single" w:sz="6" w:space="0" w:color="auto"/>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293.1</w:t>
            </w:r>
          </w:p>
        </w:tc>
        <w:tc>
          <w:tcPr>
            <w:tcW w:w="1176" w:type="dxa"/>
            <w:gridSpan w:val="2"/>
            <w:tcBorders>
              <w:top w:val="single" w:sz="6" w:space="0" w:color="auto"/>
              <w:left w:val="nil"/>
              <w:bottom w:val="single" w:sz="6" w:space="0" w:color="auto"/>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337.5</w:t>
            </w:r>
          </w:p>
        </w:tc>
        <w:tc>
          <w:tcPr>
            <w:tcW w:w="1176" w:type="dxa"/>
            <w:tcBorders>
              <w:top w:val="single" w:sz="6" w:space="0" w:color="auto"/>
              <w:left w:val="nil"/>
              <w:bottom w:val="single" w:sz="6" w:space="0" w:color="auto"/>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729.6</w:t>
            </w:r>
          </w:p>
        </w:tc>
        <w:tc>
          <w:tcPr>
            <w:tcW w:w="1176" w:type="dxa"/>
            <w:gridSpan w:val="2"/>
            <w:tcBorders>
              <w:top w:val="single" w:sz="6" w:space="0" w:color="auto"/>
              <w:left w:val="nil"/>
              <w:bottom w:val="single" w:sz="6" w:space="0" w:color="auto"/>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631.3</w:t>
            </w:r>
          </w:p>
        </w:tc>
        <w:tc>
          <w:tcPr>
            <w:tcW w:w="1176" w:type="dxa"/>
            <w:tcBorders>
              <w:top w:val="single" w:sz="6" w:space="0" w:color="auto"/>
              <w:left w:val="nil"/>
              <w:bottom w:val="single" w:sz="6" w:space="0" w:color="auto"/>
              <w:right w:val="nil"/>
            </w:tcBorders>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1 504.0</w:t>
            </w:r>
          </w:p>
        </w:tc>
        <w:tc>
          <w:tcPr>
            <w:tcW w:w="1176" w:type="dxa"/>
            <w:tcBorders>
              <w:top w:val="single" w:sz="6" w:space="0" w:color="auto"/>
              <w:left w:val="nil"/>
              <w:bottom w:val="single" w:sz="6" w:space="0" w:color="auto"/>
              <w:right w:val="nil"/>
            </w:tcBorders>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25 471.9</w:t>
            </w:r>
          </w:p>
        </w:tc>
        <w:tc>
          <w:tcPr>
            <w:tcW w:w="1176" w:type="dxa"/>
            <w:tcBorders>
              <w:top w:val="single" w:sz="6" w:space="0" w:color="auto"/>
              <w:left w:val="nil"/>
              <w:bottom w:val="single" w:sz="6" w:space="0" w:color="auto"/>
              <w:right w:val="nil"/>
            </w:tcBorders>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43 274.2</w:t>
            </w:r>
          </w:p>
        </w:tc>
      </w:tr>
      <w:tr w:rsidR="00336793" w:rsidRPr="00E4342D" w:rsidTr="00DF0B96">
        <w:tc>
          <w:tcPr>
            <w:tcW w:w="4337" w:type="dxa"/>
            <w:tcBorders>
              <w:top w:val="nil"/>
              <w:left w:val="nil"/>
              <w:bottom w:val="nil"/>
              <w:right w:val="nil"/>
            </w:tcBorders>
          </w:tcPr>
          <w:p w:rsidR="00336793" w:rsidRPr="00E4342D" w:rsidRDefault="00336793" w:rsidP="00DF0B96">
            <w:pPr>
              <w:pStyle w:val="Tabletext"/>
              <w:rPr>
                <w:rFonts w:eastAsiaTheme="minorEastAsia"/>
                <w:b/>
                <w:sz w:val="21"/>
                <w:lang w:eastAsia="en-AU"/>
              </w:rPr>
            </w:pPr>
            <w:r w:rsidRPr="00E4342D">
              <w:rPr>
                <w:rFonts w:eastAsiaTheme="minorEastAsia"/>
                <w:b/>
                <w:sz w:val="21"/>
                <w:lang w:eastAsia="en-AU"/>
              </w:rPr>
              <w:t>Financial liabilities</w:t>
            </w:r>
          </w:p>
        </w:tc>
        <w:tc>
          <w:tcPr>
            <w:tcW w:w="990" w:type="dxa"/>
            <w:tcBorders>
              <w:top w:val="nil"/>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011" w:type="dxa"/>
            <w:tcBorders>
              <w:top w:val="nil"/>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tcBorders>
              <w:top w:val="nil"/>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tcBorders>
              <w:top w:val="nil"/>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tcBorders>
              <w:top w:val="nil"/>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tcBorders>
              <w:top w:val="nil"/>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c>
          <w:tcPr>
            <w:tcW w:w="1176" w:type="dxa"/>
            <w:tcBorders>
              <w:top w:val="nil"/>
              <w:left w:val="nil"/>
              <w:bottom w:val="nil"/>
              <w:right w:val="nil"/>
            </w:tcBorders>
          </w:tcPr>
          <w:p w:rsidR="00336793" w:rsidRPr="00E4342D" w:rsidRDefault="00336793" w:rsidP="00DF0B96">
            <w:pPr>
              <w:pStyle w:val="TableofFigures"/>
              <w:rPr>
                <w:rFonts w:eastAsiaTheme="minorEastAsia"/>
                <w:b/>
                <w:sz w:val="21"/>
                <w:lang w:eastAsia="en-AU"/>
              </w:rPr>
            </w:pPr>
            <w:r w:rsidRPr="00E4342D">
              <w:rPr>
                <w:rFonts w:eastAsiaTheme="minorEastAsia"/>
                <w:b/>
                <w:sz w:val="21"/>
                <w:lang w:eastAsia="en-AU"/>
              </w:rPr>
              <w:t xml:space="preserve"> </w:t>
            </w:r>
          </w:p>
        </w:tc>
      </w:tr>
      <w:tr w:rsidR="00336793" w:rsidRPr="00E4342D" w:rsidTr="00DF0B96">
        <w:tc>
          <w:tcPr>
            <w:tcW w:w="4337" w:type="dxa"/>
            <w:tcBorders>
              <w:top w:val="nil"/>
              <w:left w:val="nil"/>
              <w:bottom w:val="nil"/>
              <w:right w:val="nil"/>
            </w:tcBorders>
          </w:tcPr>
          <w:p w:rsidR="00336793" w:rsidRPr="00E4342D" w:rsidRDefault="00336793" w:rsidP="00DF0B96">
            <w:pPr>
              <w:pStyle w:val="Tabletext"/>
              <w:rPr>
                <w:rFonts w:eastAsiaTheme="minorEastAsia"/>
                <w:sz w:val="21"/>
                <w:lang w:eastAsia="en-AU"/>
              </w:rPr>
            </w:pPr>
            <w:r w:rsidRPr="00E4342D">
              <w:rPr>
                <w:rFonts w:eastAsiaTheme="minorEastAsia"/>
                <w:sz w:val="21"/>
                <w:lang w:eastAsia="en-AU"/>
              </w:rPr>
              <w:t>Payables, deposits held and advances received</w:t>
            </w:r>
          </w:p>
        </w:tc>
        <w:tc>
          <w:tcPr>
            <w:tcW w:w="990"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2 566.9</w:t>
            </w:r>
          </w:p>
        </w:tc>
        <w:tc>
          <w:tcPr>
            <w:tcW w:w="1011"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283.5</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14.6</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2.0</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2.0</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77.9</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38.1</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3 573.7</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6 558.7</w:t>
            </w:r>
          </w:p>
        </w:tc>
      </w:tr>
      <w:tr w:rsidR="00336793" w:rsidRPr="00E4342D" w:rsidTr="00DF0B96">
        <w:tc>
          <w:tcPr>
            <w:tcW w:w="4337" w:type="dxa"/>
            <w:tcBorders>
              <w:top w:val="nil"/>
              <w:left w:val="nil"/>
              <w:bottom w:val="nil"/>
              <w:right w:val="nil"/>
            </w:tcBorders>
          </w:tcPr>
          <w:p w:rsidR="00336793" w:rsidRPr="00E4342D" w:rsidRDefault="00336793" w:rsidP="00DF0B96">
            <w:pPr>
              <w:pStyle w:val="Tabletext"/>
              <w:rPr>
                <w:rFonts w:eastAsiaTheme="minorEastAsia"/>
                <w:sz w:val="21"/>
                <w:lang w:eastAsia="en-AU"/>
              </w:rPr>
            </w:pPr>
            <w:r w:rsidRPr="00E4342D">
              <w:rPr>
                <w:rFonts w:eastAsiaTheme="minorEastAsia"/>
                <w:sz w:val="21"/>
                <w:lang w:eastAsia="en-AU"/>
              </w:rPr>
              <w:t>Derivative financial instruments</w:t>
            </w:r>
          </w:p>
        </w:tc>
        <w:tc>
          <w:tcPr>
            <w:tcW w:w="990"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76.7</w:t>
            </w:r>
          </w:p>
        </w:tc>
        <w:tc>
          <w:tcPr>
            <w:tcW w:w="1011"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16.8</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11.4</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0.6</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21.2</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35.8</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457.0</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228.2</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847.7</w:t>
            </w:r>
          </w:p>
        </w:tc>
      </w:tr>
      <w:tr w:rsidR="00336793" w:rsidRPr="00E4342D" w:rsidTr="00DF0B96">
        <w:tc>
          <w:tcPr>
            <w:tcW w:w="4337" w:type="dxa"/>
            <w:tcBorders>
              <w:top w:val="nil"/>
              <w:left w:val="nil"/>
              <w:bottom w:val="nil"/>
              <w:right w:val="nil"/>
            </w:tcBorders>
          </w:tcPr>
          <w:p w:rsidR="00336793" w:rsidRPr="00E4342D" w:rsidRDefault="00336793" w:rsidP="00DF0B96">
            <w:pPr>
              <w:pStyle w:val="Tabletext"/>
              <w:rPr>
                <w:rFonts w:eastAsiaTheme="minorEastAsia"/>
                <w:sz w:val="21"/>
                <w:lang w:eastAsia="en-AU"/>
              </w:rPr>
            </w:pPr>
            <w:r w:rsidRPr="00E4342D">
              <w:rPr>
                <w:rFonts w:eastAsiaTheme="minorEastAsia"/>
                <w:sz w:val="21"/>
                <w:lang w:eastAsia="en-AU"/>
              </w:rPr>
              <w:t>Interest</w:t>
            </w:r>
            <w:r>
              <w:rPr>
                <w:rFonts w:eastAsiaTheme="minorEastAsia"/>
                <w:sz w:val="21"/>
                <w:lang w:eastAsia="en-AU"/>
              </w:rPr>
              <w:noBreakHyphen/>
            </w:r>
            <w:r w:rsidRPr="00E4342D">
              <w:rPr>
                <w:rFonts w:eastAsiaTheme="minorEastAsia"/>
                <w:sz w:val="21"/>
                <w:lang w:eastAsia="en-AU"/>
              </w:rPr>
              <w:t>bearing liabilities</w:t>
            </w:r>
          </w:p>
        </w:tc>
        <w:tc>
          <w:tcPr>
            <w:tcW w:w="990"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0.8</w:t>
            </w:r>
          </w:p>
        </w:tc>
        <w:tc>
          <w:tcPr>
            <w:tcW w:w="1011"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4 319.3</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3 186.9</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3 307.4</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5 089.4</w:t>
            </w:r>
          </w:p>
        </w:tc>
        <w:tc>
          <w:tcPr>
            <w:tcW w:w="1176" w:type="dxa"/>
            <w:gridSpan w:val="2"/>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7 211.0</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18 964.8</w:t>
            </w:r>
          </w:p>
        </w:tc>
        <w:tc>
          <w:tcPr>
            <w:tcW w:w="1176" w:type="dxa"/>
            <w:tcBorders>
              <w:top w:val="nil"/>
              <w:left w:val="nil"/>
              <w:bottom w:val="nil"/>
              <w:right w:val="nil"/>
            </w:tcBorders>
          </w:tcPr>
          <w:p w:rsidR="00336793" w:rsidRPr="00E4342D" w:rsidRDefault="00336793" w:rsidP="00DF0B96">
            <w:pPr>
              <w:pStyle w:val="TableofFigures"/>
              <w:rPr>
                <w:rFonts w:eastAsiaTheme="minorEastAsia"/>
                <w:sz w:val="21"/>
                <w:lang w:eastAsia="en-AU"/>
              </w:rPr>
            </w:pPr>
            <w:r>
              <w:rPr>
                <w:rFonts w:eastAsiaTheme="minorEastAsia"/>
                <w:sz w:val="21"/>
                <w:lang w:eastAsia="en-AU"/>
              </w:rPr>
              <w:t>..</w:t>
            </w:r>
          </w:p>
        </w:tc>
        <w:tc>
          <w:tcPr>
            <w:tcW w:w="1176" w:type="dxa"/>
            <w:tcBorders>
              <w:top w:val="nil"/>
              <w:left w:val="nil"/>
              <w:bottom w:val="nil"/>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42 079.6</w:t>
            </w:r>
          </w:p>
        </w:tc>
      </w:tr>
      <w:tr w:rsidR="00336793" w:rsidRPr="00E4342D" w:rsidTr="00DF0B96">
        <w:tc>
          <w:tcPr>
            <w:tcW w:w="4337" w:type="dxa"/>
            <w:tcBorders>
              <w:top w:val="nil"/>
              <w:left w:val="nil"/>
              <w:bottom w:val="single" w:sz="6" w:space="0" w:color="auto"/>
              <w:right w:val="nil"/>
            </w:tcBorders>
          </w:tcPr>
          <w:p w:rsidR="00336793" w:rsidRPr="00E4342D" w:rsidRDefault="00336793" w:rsidP="00DF0B96">
            <w:pPr>
              <w:pStyle w:val="Tabletext"/>
              <w:rPr>
                <w:rFonts w:eastAsiaTheme="minorEastAsia"/>
                <w:sz w:val="21"/>
                <w:lang w:eastAsia="en-AU"/>
              </w:rPr>
            </w:pPr>
            <w:r w:rsidRPr="00E4342D">
              <w:rPr>
                <w:rFonts w:eastAsiaTheme="minorEastAsia"/>
                <w:sz w:val="21"/>
                <w:lang w:eastAsia="en-AU"/>
              </w:rPr>
              <w:t>Finance lease liabilities</w:t>
            </w:r>
          </w:p>
        </w:tc>
        <w:tc>
          <w:tcPr>
            <w:tcW w:w="990" w:type="dxa"/>
            <w:tcBorders>
              <w:top w:val="nil"/>
              <w:left w:val="nil"/>
              <w:bottom w:val="single" w:sz="6" w:space="0" w:color="auto"/>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0.2</w:t>
            </w:r>
          </w:p>
        </w:tc>
        <w:tc>
          <w:tcPr>
            <w:tcW w:w="1011" w:type="dxa"/>
            <w:tcBorders>
              <w:top w:val="nil"/>
              <w:left w:val="nil"/>
              <w:bottom w:val="single" w:sz="6" w:space="0" w:color="auto"/>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267.3</w:t>
            </w:r>
          </w:p>
        </w:tc>
        <w:tc>
          <w:tcPr>
            <w:tcW w:w="1176" w:type="dxa"/>
            <w:tcBorders>
              <w:top w:val="nil"/>
              <w:left w:val="nil"/>
              <w:bottom w:val="single" w:sz="6" w:space="0" w:color="auto"/>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259.6</w:t>
            </w:r>
          </w:p>
        </w:tc>
        <w:tc>
          <w:tcPr>
            <w:tcW w:w="1176" w:type="dxa"/>
            <w:gridSpan w:val="2"/>
            <w:tcBorders>
              <w:top w:val="nil"/>
              <w:left w:val="nil"/>
              <w:bottom w:val="single" w:sz="6" w:space="0" w:color="auto"/>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326.4</w:t>
            </w:r>
          </w:p>
        </w:tc>
        <w:tc>
          <w:tcPr>
            <w:tcW w:w="1176" w:type="dxa"/>
            <w:tcBorders>
              <w:top w:val="nil"/>
              <w:left w:val="nil"/>
              <w:bottom w:val="single" w:sz="6" w:space="0" w:color="auto"/>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388.5</w:t>
            </w:r>
          </w:p>
        </w:tc>
        <w:tc>
          <w:tcPr>
            <w:tcW w:w="1176" w:type="dxa"/>
            <w:gridSpan w:val="2"/>
            <w:tcBorders>
              <w:top w:val="nil"/>
              <w:left w:val="nil"/>
              <w:bottom w:val="single" w:sz="6" w:space="0" w:color="auto"/>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366.7</w:t>
            </w:r>
          </w:p>
        </w:tc>
        <w:tc>
          <w:tcPr>
            <w:tcW w:w="1176" w:type="dxa"/>
            <w:tcBorders>
              <w:top w:val="nil"/>
              <w:left w:val="nil"/>
              <w:bottom w:val="single" w:sz="6" w:space="0" w:color="auto"/>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7 142.4</w:t>
            </w:r>
          </w:p>
        </w:tc>
        <w:tc>
          <w:tcPr>
            <w:tcW w:w="1176" w:type="dxa"/>
            <w:tcBorders>
              <w:top w:val="nil"/>
              <w:left w:val="nil"/>
              <w:bottom w:val="single" w:sz="6" w:space="0" w:color="auto"/>
              <w:right w:val="nil"/>
            </w:tcBorders>
          </w:tcPr>
          <w:p w:rsidR="00336793" w:rsidRPr="00E4342D" w:rsidRDefault="00336793" w:rsidP="00DF0B96">
            <w:pPr>
              <w:pStyle w:val="TableofFigures"/>
              <w:rPr>
                <w:rFonts w:eastAsiaTheme="minorEastAsia"/>
                <w:sz w:val="21"/>
                <w:lang w:eastAsia="en-AU"/>
              </w:rPr>
            </w:pPr>
            <w:r w:rsidRPr="00E4342D">
              <w:rPr>
                <w:rFonts w:eastAsiaTheme="minorEastAsia"/>
                <w:sz w:val="21"/>
                <w:lang w:eastAsia="en-AU"/>
              </w:rPr>
              <w:t xml:space="preserve"> 9.4</w:t>
            </w:r>
          </w:p>
        </w:tc>
        <w:tc>
          <w:tcPr>
            <w:tcW w:w="1176" w:type="dxa"/>
            <w:tcBorders>
              <w:top w:val="nil"/>
              <w:left w:val="nil"/>
              <w:bottom w:val="single" w:sz="6" w:space="0" w:color="auto"/>
              <w:right w:val="nil"/>
            </w:tcBorders>
          </w:tcPr>
          <w:p w:rsidR="00336793" w:rsidRPr="00E4342D" w:rsidRDefault="00336793" w:rsidP="00DF0B96">
            <w:pPr>
              <w:pStyle w:val="TableofFigures"/>
              <w:rPr>
                <w:rFonts w:eastAsiaTheme="minorEastAsia" w:cs="Calibri"/>
                <w:color w:val="000000"/>
                <w:sz w:val="21"/>
                <w:szCs w:val="22"/>
                <w:lang w:eastAsia="en-AU"/>
              </w:rPr>
            </w:pPr>
            <w:r w:rsidRPr="00E4342D">
              <w:rPr>
                <w:rFonts w:eastAsiaTheme="minorEastAsia"/>
                <w:sz w:val="21"/>
                <w:lang w:eastAsia="en-AU"/>
              </w:rPr>
              <w:t>8 760.4</w:t>
            </w:r>
          </w:p>
        </w:tc>
      </w:tr>
      <w:tr w:rsidR="00336793" w:rsidRPr="00E4342D" w:rsidTr="00DF0B96">
        <w:tc>
          <w:tcPr>
            <w:tcW w:w="4337" w:type="dxa"/>
            <w:tcBorders>
              <w:top w:val="single" w:sz="6" w:space="0" w:color="auto"/>
              <w:left w:val="nil"/>
              <w:bottom w:val="single" w:sz="12" w:space="0" w:color="000000"/>
              <w:right w:val="nil"/>
            </w:tcBorders>
            <w:shd w:val="clear" w:color="auto" w:fill="auto"/>
          </w:tcPr>
          <w:p w:rsidR="00336793" w:rsidRPr="00E4342D" w:rsidRDefault="00336793" w:rsidP="00DF0B96">
            <w:pPr>
              <w:pStyle w:val="Tabletext"/>
              <w:rPr>
                <w:rFonts w:eastAsiaTheme="minorEastAsia"/>
                <w:b/>
                <w:sz w:val="21"/>
                <w:lang w:eastAsia="en-AU"/>
              </w:rPr>
            </w:pPr>
            <w:r w:rsidRPr="00E4342D">
              <w:rPr>
                <w:rFonts w:eastAsiaTheme="minorEastAsia"/>
                <w:b/>
                <w:sz w:val="21"/>
                <w:lang w:eastAsia="en-AU"/>
              </w:rPr>
              <w:t>Total financial liabilities</w:t>
            </w:r>
          </w:p>
        </w:tc>
        <w:tc>
          <w:tcPr>
            <w:tcW w:w="990" w:type="dxa"/>
            <w:tcBorders>
              <w:top w:val="single" w:sz="6" w:space="0" w:color="auto"/>
              <w:left w:val="nil"/>
              <w:bottom w:val="single" w:sz="12" w:space="0" w:color="000000"/>
              <w:right w:val="nil"/>
            </w:tcBorders>
            <w:shd w:val="clear" w:color="auto" w:fill="auto"/>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2 644.6</w:t>
            </w:r>
          </w:p>
        </w:tc>
        <w:tc>
          <w:tcPr>
            <w:tcW w:w="1011" w:type="dxa"/>
            <w:tcBorders>
              <w:top w:val="single" w:sz="6" w:space="0" w:color="auto"/>
              <w:left w:val="nil"/>
              <w:bottom w:val="single" w:sz="12" w:space="0" w:color="000000"/>
              <w:right w:val="nil"/>
            </w:tcBorders>
            <w:shd w:val="clear" w:color="auto" w:fill="auto"/>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4 887.0</w:t>
            </w:r>
          </w:p>
        </w:tc>
        <w:tc>
          <w:tcPr>
            <w:tcW w:w="1176" w:type="dxa"/>
            <w:tcBorders>
              <w:top w:val="single" w:sz="6" w:space="0" w:color="auto"/>
              <w:left w:val="nil"/>
              <w:bottom w:val="single" w:sz="12" w:space="0" w:color="000000"/>
              <w:right w:val="nil"/>
            </w:tcBorders>
            <w:shd w:val="clear" w:color="auto" w:fill="auto"/>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3 472.6</w:t>
            </w:r>
          </w:p>
        </w:tc>
        <w:tc>
          <w:tcPr>
            <w:tcW w:w="1176" w:type="dxa"/>
            <w:gridSpan w:val="2"/>
            <w:tcBorders>
              <w:top w:val="single" w:sz="6" w:space="0" w:color="auto"/>
              <w:left w:val="nil"/>
              <w:bottom w:val="single" w:sz="12" w:space="0" w:color="000000"/>
              <w:right w:val="nil"/>
            </w:tcBorders>
            <w:shd w:val="clear" w:color="auto" w:fill="auto"/>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3 636.2</w:t>
            </w:r>
          </w:p>
        </w:tc>
        <w:tc>
          <w:tcPr>
            <w:tcW w:w="1176" w:type="dxa"/>
            <w:tcBorders>
              <w:top w:val="single" w:sz="6" w:space="0" w:color="auto"/>
              <w:left w:val="nil"/>
              <w:bottom w:val="single" w:sz="12" w:space="0" w:color="000000"/>
              <w:right w:val="nil"/>
            </w:tcBorders>
            <w:shd w:val="clear" w:color="auto" w:fill="auto"/>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5 501.0</w:t>
            </w:r>
          </w:p>
        </w:tc>
        <w:tc>
          <w:tcPr>
            <w:tcW w:w="1176" w:type="dxa"/>
            <w:gridSpan w:val="2"/>
            <w:tcBorders>
              <w:top w:val="single" w:sz="6" w:space="0" w:color="auto"/>
              <w:left w:val="nil"/>
              <w:bottom w:val="single" w:sz="12" w:space="0" w:color="000000"/>
              <w:right w:val="nil"/>
            </w:tcBorders>
            <w:shd w:val="clear" w:color="auto" w:fill="auto"/>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7 691.4</w:t>
            </w:r>
          </w:p>
        </w:tc>
        <w:tc>
          <w:tcPr>
            <w:tcW w:w="1176" w:type="dxa"/>
            <w:tcBorders>
              <w:top w:val="single" w:sz="6" w:space="0" w:color="auto"/>
              <w:left w:val="nil"/>
              <w:bottom w:val="single" w:sz="12" w:space="0" w:color="000000"/>
              <w:right w:val="nil"/>
            </w:tcBorders>
            <w:shd w:val="clear" w:color="auto" w:fill="auto"/>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26 602.3</w:t>
            </w:r>
          </w:p>
        </w:tc>
        <w:tc>
          <w:tcPr>
            <w:tcW w:w="1176" w:type="dxa"/>
            <w:tcBorders>
              <w:top w:val="single" w:sz="6" w:space="0" w:color="auto"/>
              <w:left w:val="nil"/>
              <w:bottom w:val="single" w:sz="12" w:space="0" w:color="000000"/>
              <w:right w:val="nil"/>
            </w:tcBorders>
            <w:shd w:val="clear" w:color="auto" w:fill="auto"/>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3 811.3</w:t>
            </w:r>
          </w:p>
        </w:tc>
        <w:tc>
          <w:tcPr>
            <w:tcW w:w="1176" w:type="dxa"/>
            <w:tcBorders>
              <w:top w:val="single" w:sz="6" w:space="0" w:color="auto"/>
              <w:left w:val="nil"/>
              <w:bottom w:val="single" w:sz="12" w:space="0" w:color="000000"/>
              <w:right w:val="nil"/>
            </w:tcBorders>
            <w:shd w:val="clear" w:color="auto" w:fill="auto"/>
          </w:tcPr>
          <w:p w:rsidR="00336793" w:rsidRPr="00E4342D" w:rsidRDefault="00336793" w:rsidP="00DF0B96">
            <w:pPr>
              <w:pStyle w:val="TableofFigures"/>
              <w:rPr>
                <w:rFonts w:eastAsiaTheme="minorEastAsia" w:cs="Calibri"/>
                <w:b/>
                <w:bCs/>
                <w:color w:val="000000"/>
                <w:sz w:val="21"/>
                <w:szCs w:val="22"/>
                <w:lang w:eastAsia="en-AU"/>
              </w:rPr>
            </w:pPr>
            <w:r w:rsidRPr="00E4342D">
              <w:rPr>
                <w:rFonts w:eastAsiaTheme="minorEastAsia"/>
                <w:b/>
                <w:sz w:val="21"/>
                <w:lang w:eastAsia="en-AU"/>
              </w:rPr>
              <w:t>58 246.4</w:t>
            </w:r>
          </w:p>
        </w:tc>
      </w:tr>
    </w:tbl>
    <w:p w:rsidR="00336793" w:rsidRDefault="00336793" w:rsidP="00DF0B96">
      <w:pPr>
        <w:pStyle w:val="Notes"/>
      </w:pPr>
    </w:p>
    <w:p w:rsidR="00336793" w:rsidRDefault="00336793" w:rsidP="00DF0B96"/>
    <w:p w:rsidR="00336793" w:rsidRDefault="00336793">
      <w:pPr>
        <w:spacing w:after="0"/>
        <w:rPr>
          <w:rFonts w:ascii="Calibri" w:hAnsi="Calibri"/>
          <w:i/>
          <w:sz w:val="16"/>
          <w:lang w:eastAsia="en-AU"/>
        </w:rPr>
      </w:pPr>
      <w:r>
        <w:br w:type="page"/>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E0167" w:rsidRDefault="00336793" w:rsidP="00DF0B96">
      <w:pPr>
        <w:pStyle w:val="Heading5"/>
        <w:rPr>
          <w:i/>
        </w:rPr>
      </w:pPr>
      <w:r w:rsidRPr="006A75A2">
        <w:t>(f)</w:t>
      </w:r>
      <w:r w:rsidRPr="006A75A2">
        <w:tab/>
        <w:t>Interest rate exposure</w:t>
      </w:r>
      <w:r>
        <w:t xml:space="preserve"> </w:t>
      </w:r>
      <w:r>
        <w:rPr>
          <w:i/>
        </w:rPr>
        <w:t>(continued)</w:t>
      </w:r>
    </w:p>
    <w:p w:rsidR="00336793" w:rsidRPr="00A10A3B"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3986"/>
        <w:gridCol w:w="1176"/>
        <w:gridCol w:w="1176"/>
        <w:gridCol w:w="1176"/>
        <w:gridCol w:w="236"/>
        <w:gridCol w:w="940"/>
        <w:gridCol w:w="1176"/>
        <w:gridCol w:w="924"/>
        <w:gridCol w:w="252"/>
        <w:gridCol w:w="1176"/>
        <w:gridCol w:w="1176"/>
        <w:gridCol w:w="1176"/>
      </w:tblGrid>
      <w:tr w:rsidR="00336793" w:rsidRPr="00A10A3B" w:rsidTr="00DF0B96">
        <w:trPr>
          <w:tblHeader/>
        </w:trPr>
        <w:tc>
          <w:tcPr>
            <w:tcW w:w="3986"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heading"/>
              <w:jc w:val="left"/>
              <w:rPr>
                <w:rFonts w:eastAsiaTheme="minorEastAsia"/>
                <w:color w:val="FFFFFF"/>
                <w:sz w:val="21"/>
                <w:lang w:eastAsia="en-AU"/>
              </w:rPr>
            </w:pPr>
            <w:r w:rsidRPr="00A10A3B">
              <w:rPr>
                <w:rFonts w:eastAsiaTheme="minorEastAsia"/>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sz w:val="21"/>
                <w:lang w:eastAsia="en-AU"/>
              </w:rPr>
            </w:pPr>
            <w:r w:rsidRPr="00A10A3B">
              <w:rPr>
                <w:rFonts w:eastAsiaTheme="minorEastAsia"/>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sz w:val="21"/>
                <w:lang w:eastAsia="en-AU"/>
              </w:rPr>
            </w:pPr>
            <w:r w:rsidRPr="00A10A3B">
              <w:rPr>
                <w:rFonts w:eastAsiaTheme="minorEastAsia"/>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sz w:val="21"/>
                <w:lang w:eastAsia="en-AU"/>
              </w:rPr>
            </w:pPr>
            <w:r w:rsidRPr="00A10A3B">
              <w:rPr>
                <w:rFonts w:eastAsiaTheme="minorEastAsia"/>
                <w:color w:val="FFFFFF"/>
                <w:sz w:val="21"/>
                <w:lang w:eastAsia="en-AU"/>
              </w:rPr>
              <w:t xml:space="preserve">  </w:t>
            </w:r>
          </w:p>
        </w:tc>
        <w:tc>
          <w:tcPr>
            <w:tcW w:w="236"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sz w:val="21"/>
                <w:lang w:eastAsia="en-AU"/>
              </w:rPr>
            </w:pPr>
            <w:r w:rsidRPr="00A10A3B">
              <w:rPr>
                <w:rFonts w:eastAsiaTheme="minorEastAsia"/>
                <w:color w:val="FFFFFF"/>
                <w:sz w:val="21"/>
                <w:lang w:eastAsia="en-AU"/>
              </w:rPr>
              <w:t xml:space="preserve"> </w:t>
            </w:r>
          </w:p>
        </w:tc>
        <w:tc>
          <w:tcPr>
            <w:tcW w:w="3040" w:type="dxa"/>
            <w:gridSpan w:val="3"/>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sz w:val="21"/>
                <w:lang w:eastAsia="en-AU"/>
              </w:rPr>
            </w:pPr>
            <w:r w:rsidRPr="00A10A3B">
              <w:rPr>
                <w:rFonts w:eastAsiaTheme="minorEastAsia"/>
                <w:color w:val="FFFFFF"/>
                <w:sz w:val="21"/>
                <w:lang w:eastAsia="en-AU"/>
              </w:rPr>
              <w:t>Interest rate, fixed maturities</w:t>
            </w:r>
          </w:p>
        </w:tc>
        <w:tc>
          <w:tcPr>
            <w:tcW w:w="252"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sz w:val="21"/>
                <w:lang w:eastAsia="en-AU"/>
              </w:rPr>
            </w:pPr>
            <w:r w:rsidRPr="00A10A3B">
              <w:rPr>
                <w:rFonts w:eastAsiaTheme="minorEastAsia"/>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sz w:val="21"/>
                <w:lang w:eastAsia="en-AU"/>
              </w:rPr>
            </w:pPr>
            <w:r w:rsidRPr="00A10A3B">
              <w:rPr>
                <w:rFonts w:eastAsiaTheme="minorEastAsia"/>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olor w:val="FFFFFF"/>
                <w:sz w:val="21"/>
                <w:lang w:eastAsia="en-AU"/>
              </w:rPr>
            </w:pPr>
            <w:r w:rsidRPr="00A10A3B">
              <w:rPr>
                <w:rFonts w:eastAsiaTheme="minorEastAsia"/>
                <w:color w:val="FFFFFF"/>
                <w:sz w:val="21"/>
                <w:lang w:eastAsia="en-AU"/>
              </w:rPr>
              <w:t xml:space="preserve"> </w:t>
            </w:r>
          </w:p>
        </w:tc>
        <w:tc>
          <w:tcPr>
            <w:tcW w:w="1176"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olor w:val="FFFFFF"/>
                <w:sz w:val="21"/>
                <w:lang w:eastAsia="en-AU"/>
              </w:rPr>
            </w:pPr>
            <w:r w:rsidRPr="00A10A3B">
              <w:rPr>
                <w:rFonts w:eastAsiaTheme="minorEastAsia"/>
                <w:color w:val="FFFFFF"/>
                <w:sz w:val="21"/>
                <w:lang w:eastAsia="en-AU"/>
              </w:rPr>
              <w:t xml:space="preserve"> </w:t>
            </w:r>
          </w:p>
        </w:tc>
      </w:tr>
      <w:tr w:rsidR="00336793" w:rsidRPr="00A10A3B" w:rsidTr="00DF0B96">
        <w:trPr>
          <w:tblHeader/>
        </w:trPr>
        <w:tc>
          <w:tcPr>
            <w:tcW w:w="3986" w:type="dxa"/>
            <w:tcBorders>
              <w:left w:val="single" w:sz="6" w:space="0" w:color="auto"/>
              <w:bottom w:val="nil"/>
              <w:right w:val="nil"/>
            </w:tcBorders>
            <w:shd w:val="clear" w:color="000000" w:fill="000000"/>
            <w:vAlign w:val="bottom"/>
          </w:tcPr>
          <w:p w:rsidR="00336793" w:rsidRPr="00A10A3B" w:rsidRDefault="00336793" w:rsidP="00DF0B96">
            <w:pPr>
              <w:pStyle w:val="Tabletextheading"/>
              <w:jc w:val="left"/>
              <w:rPr>
                <w:rFonts w:eastAsiaTheme="minorEastAsia"/>
                <w:color w:val="FFFFFF"/>
                <w:sz w:val="21"/>
                <w:lang w:eastAsia="en-AU"/>
              </w:rPr>
            </w:pPr>
            <w:r w:rsidRPr="00A10A3B">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1 year </w:t>
            </w:r>
          </w:p>
        </w:tc>
        <w:tc>
          <w:tcPr>
            <w:tcW w:w="1176" w:type="dxa"/>
            <w:gridSpan w:val="2"/>
            <w:tcBorders>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2 years </w:t>
            </w:r>
          </w:p>
        </w:tc>
        <w:tc>
          <w:tcPr>
            <w:tcW w:w="1176" w:type="dxa"/>
            <w:tcBorders>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3 years </w:t>
            </w:r>
          </w:p>
        </w:tc>
        <w:tc>
          <w:tcPr>
            <w:tcW w:w="1176" w:type="dxa"/>
            <w:gridSpan w:val="2"/>
            <w:tcBorders>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4 years </w:t>
            </w:r>
          </w:p>
        </w:tc>
        <w:tc>
          <w:tcPr>
            <w:tcW w:w="1176" w:type="dxa"/>
            <w:tcBorders>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w:t>
            </w:r>
          </w:p>
        </w:tc>
        <w:tc>
          <w:tcPr>
            <w:tcW w:w="1176" w:type="dxa"/>
            <w:tcBorders>
              <w:left w:val="nil"/>
              <w:bottom w:val="nil"/>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w:t>
            </w:r>
          </w:p>
        </w:tc>
      </w:tr>
      <w:tr w:rsidR="00336793" w:rsidRPr="00A10A3B" w:rsidTr="00DF0B96">
        <w:trPr>
          <w:tblHeader/>
        </w:trPr>
        <w:tc>
          <w:tcPr>
            <w:tcW w:w="3986"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sz w:val="21"/>
                <w:lang w:eastAsia="en-AU"/>
              </w:rPr>
            </w:pPr>
            <w:r w:rsidRPr="00A10A3B">
              <w:rPr>
                <w:rFonts w:eastAsiaTheme="minorEastAsia"/>
                <w:color w:val="FFFFFF"/>
                <w:sz w:val="21"/>
                <w:lang w:eastAsia="en-AU"/>
              </w:rPr>
              <w:t>2014</w:t>
            </w:r>
          </w:p>
        </w:tc>
        <w:tc>
          <w:tcPr>
            <w:tcW w:w="1176"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p>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Floating</w:t>
            </w:r>
          </w:p>
        </w:tc>
        <w:tc>
          <w:tcPr>
            <w:tcW w:w="1176"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Less than </w:t>
            </w:r>
          </w:p>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1 year</w:t>
            </w:r>
          </w:p>
        </w:tc>
        <w:tc>
          <w:tcPr>
            <w:tcW w:w="1176"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but less </w:t>
            </w:r>
          </w:p>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than 2 years</w:t>
            </w:r>
          </w:p>
        </w:tc>
        <w:tc>
          <w:tcPr>
            <w:tcW w:w="1176"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but less </w:t>
            </w:r>
          </w:p>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than 3 years</w:t>
            </w:r>
          </w:p>
        </w:tc>
        <w:tc>
          <w:tcPr>
            <w:tcW w:w="1176"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but less </w:t>
            </w:r>
          </w:p>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than 4 years</w:t>
            </w:r>
          </w:p>
        </w:tc>
        <w:tc>
          <w:tcPr>
            <w:tcW w:w="1176"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but less </w:t>
            </w:r>
          </w:p>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than 5 years</w:t>
            </w:r>
          </w:p>
        </w:tc>
        <w:tc>
          <w:tcPr>
            <w:tcW w:w="1176"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5 years </w:t>
            </w:r>
          </w:p>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or more</w:t>
            </w:r>
          </w:p>
        </w:tc>
        <w:tc>
          <w:tcPr>
            <w:tcW w:w="1176" w:type="dxa"/>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Non</w:t>
            </w:r>
            <w:r>
              <w:rPr>
                <w:rFonts w:eastAsiaTheme="minorEastAsia"/>
                <w:color w:val="FFFFFF"/>
                <w:sz w:val="21"/>
                <w:lang w:eastAsia="en-AU"/>
              </w:rPr>
              <w:noBreakHyphen/>
            </w:r>
            <w:r w:rsidRPr="00A10A3B">
              <w:rPr>
                <w:rFonts w:eastAsiaTheme="minorEastAsia"/>
                <w:color w:val="FFFFFF"/>
                <w:sz w:val="21"/>
                <w:lang w:eastAsia="en-AU"/>
              </w:rPr>
              <w:t xml:space="preserve">interest </w:t>
            </w:r>
          </w:p>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bearing</w:t>
            </w:r>
          </w:p>
        </w:tc>
        <w:tc>
          <w:tcPr>
            <w:tcW w:w="1176" w:type="dxa"/>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p>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Total</w:t>
            </w:r>
          </w:p>
        </w:tc>
      </w:tr>
      <w:tr w:rsidR="00336793" w:rsidRPr="00A10A3B" w:rsidTr="00DF0B96">
        <w:tc>
          <w:tcPr>
            <w:tcW w:w="3986" w:type="dxa"/>
            <w:tcBorders>
              <w:top w:val="single" w:sz="6" w:space="0" w:color="auto"/>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Financial assets</w:t>
            </w:r>
          </w:p>
        </w:tc>
        <w:tc>
          <w:tcPr>
            <w:tcW w:w="1176"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gridSpan w:val="2"/>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single" w:sz="6" w:space="0" w:color="auto"/>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r>
      <w:tr w:rsidR="00336793" w:rsidRPr="00A10A3B" w:rsidTr="00DF0B96">
        <w:tc>
          <w:tcPr>
            <w:tcW w:w="3986"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color w:val="000000"/>
                <w:sz w:val="22"/>
                <w:szCs w:val="22"/>
                <w:vertAlign w:val="superscript"/>
                <w:lang w:eastAsia="en-AU"/>
              </w:rPr>
            </w:pPr>
            <w:r w:rsidRPr="00A10A3B">
              <w:rPr>
                <w:rFonts w:ascii="Calibri" w:eastAsiaTheme="minorEastAsia" w:hAnsi="Calibri" w:cs="Calibri"/>
                <w:sz w:val="21"/>
                <w:szCs w:val="22"/>
                <w:lang w:eastAsia="en-AU"/>
              </w:rPr>
              <w:t>Cash and deposits</w:t>
            </w:r>
            <w:r w:rsidRPr="00D707DF">
              <w:rPr>
                <w:rFonts w:ascii="Calibri" w:eastAsiaTheme="minorEastAsia" w:hAnsi="Calibri" w:cs="Calibri"/>
                <w:sz w:val="21"/>
                <w:szCs w:val="22"/>
                <w:vertAlign w:val="superscript"/>
                <w:lang w:eastAsia="en-AU"/>
              </w:rPr>
              <w:t>(</w:t>
            </w:r>
            <w:r w:rsidRPr="00D707DF">
              <w:rPr>
                <w:rFonts w:ascii="Calibri" w:eastAsiaTheme="minorEastAsia" w:hAnsi="Calibri" w:cs="Calibri"/>
                <w:color w:val="000000"/>
                <w:sz w:val="22"/>
                <w:szCs w:val="22"/>
                <w:vertAlign w:val="superscript"/>
                <w:lang w:eastAsia="en-AU"/>
              </w:rPr>
              <w:t>a</w:t>
            </w:r>
            <w:r w:rsidRPr="00A10A3B">
              <w:rPr>
                <w:rFonts w:ascii="Calibri" w:eastAsiaTheme="minorEastAsia" w:hAnsi="Calibri" w:cs="Calibri"/>
                <w:color w:val="000000"/>
                <w:sz w:val="22"/>
                <w:szCs w:val="22"/>
                <w:vertAlign w:val="superscript"/>
                <w:lang w:eastAsia="en-AU"/>
              </w:rPr>
              <w:t>)</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4 104.6</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4 036.7</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140.7</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8 282.0</w:t>
            </w:r>
          </w:p>
        </w:tc>
      </w:tr>
      <w:tr w:rsidR="00336793" w:rsidRPr="00A10A3B" w:rsidTr="00DF0B96">
        <w:tc>
          <w:tcPr>
            <w:tcW w:w="3986"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Receivables</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45.8</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362.5</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12.4</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2.0</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1.9</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1.4</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9.0</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1 688.6</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2 123.6</w:t>
            </w:r>
          </w:p>
        </w:tc>
      </w:tr>
      <w:tr w:rsidR="00336793" w:rsidRPr="00A10A3B" w:rsidTr="00DF0B96">
        <w:tc>
          <w:tcPr>
            <w:tcW w:w="3986"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Advances paid</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966.8</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138.9</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96.7</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94.2</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81.1</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75.6</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320.1</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21.7</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1 795.1</w:t>
            </w:r>
          </w:p>
        </w:tc>
      </w:tr>
      <w:tr w:rsidR="00336793" w:rsidRPr="00A10A3B" w:rsidTr="00DF0B96">
        <w:tc>
          <w:tcPr>
            <w:tcW w:w="3986"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color w:val="000000"/>
                <w:sz w:val="22"/>
                <w:szCs w:val="22"/>
                <w:vertAlign w:val="superscript"/>
                <w:lang w:eastAsia="en-AU"/>
              </w:rPr>
            </w:pPr>
            <w:r w:rsidRPr="00A10A3B">
              <w:rPr>
                <w:rFonts w:ascii="Calibri" w:eastAsiaTheme="minorEastAsia" w:hAnsi="Calibri" w:cs="Calibri"/>
                <w:sz w:val="21"/>
                <w:szCs w:val="22"/>
                <w:lang w:eastAsia="en-AU"/>
              </w:rPr>
              <w:t>Term deposits</w:t>
            </w:r>
            <w:r w:rsidRPr="00D707DF">
              <w:rPr>
                <w:rFonts w:ascii="Calibri" w:eastAsiaTheme="minorEastAsia" w:hAnsi="Calibri" w:cs="Calibri"/>
                <w:sz w:val="21"/>
                <w:szCs w:val="22"/>
                <w:vertAlign w:val="superscript"/>
                <w:lang w:eastAsia="en-AU"/>
              </w:rPr>
              <w:t>(</w:t>
            </w:r>
            <w:r w:rsidRPr="00A10A3B">
              <w:rPr>
                <w:rFonts w:ascii="Calibri" w:eastAsiaTheme="minorEastAsia" w:hAnsi="Calibri" w:cs="Calibri"/>
                <w:color w:val="000000"/>
                <w:sz w:val="22"/>
                <w:szCs w:val="22"/>
                <w:vertAlign w:val="superscript"/>
                <w:lang w:eastAsia="en-AU"/>
              </w:rPr>
              <w:t>a)</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143.7</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747.6</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31.4</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4.5</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1.8</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4.1</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4.3</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0.4</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937.8</w:t>
            </w:r>
          </w:p>
        </w:tc>
      </w:tr>
      <w:tr w:rsidR="00336793" w:rsidRPr="00A10A3B" w:rsidTr="00DF0B96">
        <w:tc>
          <w:tcPr>
            <w:tcW w:w="3986"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0A3B">
              <w:rPr>
                <w:rFonts w:ascii="Calibri" w:eastAsiaTheme="minorEastAsia" w:hAnsi="Calibri" w:cs="Calibri"/>
                <w:sz w:val="21"/>
                <w:szCs w:val="22"/>
                <w:lang w:eastAsia="en-AU"/>
              </w:rPr>
              <w:t>Derivative financial instruments</w:t>
            </w:r>
            <w:r w:rsidRPr="00A10A3B">
              <w:rPr>
                <w:rFonts w:ascii="Calibri" w:eastAsiaTheme="minorEastAsia" w:hAnsi="Calibri" w:cs="Calibri"/>
                <w:sz w:val="21"/>
                <w:szCs w:val="22"/>
                <w:vertAlign w:val="superscript"/>
                <w:lang w:eastAsia="en-AU"/>
              </w:rPr>
              <w:t>(a)</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84.5</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161.1</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11.1</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0.9</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10.8</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239.7</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85.6</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593.7</w:t>
            </w:r>
          </w:p>
        </w:tc>
      </w:tr>
      <w:tr w:rsidR="00336793" w:rsidRPr="00A10A3B" w:rsidTr="00DF0B96">
        <w:tc>
          <w:tcPr>
            <w:tcW w:w="3986"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Equities and managed investment schemes</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422.4</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168.2</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3.3</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7.1</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16 170.7</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16 771.7</w:t>
            </w:r>
          </w:p>
        </w:tc>
      </w:tr>
      <w:tr w:rsidR="00336793" w:rsidRPr="00A10A3B" w:rsidTr="00DF0B96">
        <w:tc>
          <w:tcPr>
            <w:tcW w:w="3986"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Debt securities</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4 182.9</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3 939.6</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671.3</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164.7</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450.7</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672.0</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1 327.2</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43.9</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11 452.1</w:t>
            </w:r>
          </w:p>
        </w:tc>
      </w:tr>
      <w:tr w:rsidR="00336793" w:rsidRPr="00A10A3B" w:rsidTr="00DF0B96">
        <w:tc>
          <w:tcPr>
            <w:tcW w:w="3986" w:type="dxa"/>
            <w:tcBorders>
              <w:top w:val="single" w:sz="6" w:space="0" w:color="auto"/>
              <w:left w:val="nil"/>
              <w:bottom w:val="single" w:sz="6" w:space="0" w:color="auto"/>
              <w:right w:val="nil"/>
            </w:tcBorders>
          </w:tcPr>
          <w:p w:rsidR="00336793" w:rsidRPr="00A10A3B" w:rsidRDefault="00336793" w:rsidP="00DF0B96">
            <w:pPr>
              <w:autoSpaceDE w:val="0"/>
              <w:autoSpaceDN w:val="0"/>
              <w:adjustRightInd w:val="0"/>
              <w:spacing w:after="0"/>
              <w:rPr>
                <w:rFonts w:ascii="Calibri" w:eastAsiaTheme="minorEastAsia" w:hAnsi="Calibri" w:cs="Calibri"/>
                <w:b/>
                <w:bCs/>
                <w:sz w:val="21"/>
                <w:szCs w:val="22"/>
                <w:vertAlign w:val="superscript"/>
                <w:lang w:eastAsia="en-AU"/>
              </w:rPr>
            </w:pPr>
            <w:r w:rsidRPr="00A10A3B">
              <w:rPr>
                <w:rFonts w:ascii="Calibri" w:eastAsiaTheme="minorEastAsia" w:hAnsi="Calibri" w:cs="Calibri"/>
                <w:b/>
                <w:bCs/>
                <w:sz w:val="21"/>
                <w:szCs w:val="22"/>
                <w:lang w:eastAsia="en-AU"/>
              </w:rPr>
              <w:t>Total financial assets</w:t>
            </w:r>
            <w:r w:rsidRPr="00A10A3B">
              <w:rPr>
                <w:rFonts w:ascii="Calibri" w:eastAsiaTheme="minorEastAsia" w:hAnsi="Calibri" w:cs="Calibri"/>
                <w:b/>
                <w:bCs/>
                <w:sz w:val="21"/>
                <w:szCs w:val="22"/>
                <w:vertAlign w:val="superscript"/>
                <w:lang w:eastAsia="en-AU"/>
              </w:rPr>
              <w:t>(a)</w:t>
            </w:r>
          </w:p>
        </w:tc>
        <w:tc>
          <w:tcPr>
            <w:tcW w:w="1176" w:type="dxa"/>
            <w:tcBorders>
              <w:top w:val="single" w:sz="6" w:space="0" w:color="auto"/>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9 950.8</w:t>
            </w:r>
          </w:p>
        </w:tc>
        <w:tc>
          <w:tcPr>
            <w:tcW w:w="1176" w:type="dxa"/>
            <w:tcBorders>
              <w:top w:val="single" w:sz="6" w:space="0" w:color="auto"/>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9 554.6</w:t>
            </w:r>
          </w:p>
        </w:tc>
        <w:tc>
          <w:tcPr>
            <w:tcW w:w="1176" w:type="dxa"/>
            <w:tcBorders>
              <w:top w:val="single" w:sz="6" w:space="0" w:color="auto"/>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 xml:space="preserve"> 811.7</w:t>
            </w:r>
          </w:p>
        </w:tc>
        <w:tc>
          <w:tcPr>
            <w:tcW w:w="1176" w:type="dxa"/>
            <w:gridSpan w:val="2"/>
            <w:tcBorders>
              <w:top w:val="single" w:sz="6" w:space="0" w:color="auto"/>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 xml:space="preserve"> 279.7</w:t>
            </w:r>
          </w:p>
        </w:tc>
        <w:tc>
          <w:tcPr>
            <w:tcW w:w="1176" w:type="dxa"/>
            <w:tcBorders>
              <w:top w:val="single" w:sz="6" w:space="0" w:color="auto"/>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 xml:space="preserve"> 536.4</w:t>
            </w:r>
          </w:p>
        </w:tc>
        <w:tc>
          <w:tcPr>
            <w:tcW w:w="1176" w:type="dxa"/>
            <w:gridSpan w:val="2"/>
            <w:tcBorders>
              <w:top w:val="single" w:sz="6" w:space="0" w:color="auto"/>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 xml:space="preserve"> 763.9</w:t>
            </w:r>
          </w:p>
        </w:tc>
        <w:tc>
          <w:tcPr>
            <w:tcW w:w="1176" w:type="dxa"/>
            <w:tcBorders>
              <w:top w:val="single" w:sz="6" w:space="0" w:color="auto"/>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1 907.3</w:t>
            </w:r>
          </w:p>
        </w:tc>
        <w:tc>
          <w:tcPr>
            <w:tcW w:w="1176" w:type="dxa"/>
            <w:tcBorders>
              <w:top w:val="single" w:sz="6" w:space="0" w:color="auto"/>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18 151.6</w:t>
            </w:r>
          </w:p>
        </w:tc>
        <w:tc>
          <w:tcPr>
            <w:tcW w:w="1176" w:type="dxa"/>
            <w:tcBorders>
              <w:top w:val="single" w:sz="6" w:space="0" w:color="auto"/>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41 956.0</w:t>
            </w:r>
          </w:p>
        </w:tc>
      </w:tr>
      <w:tr w:rsidR="00336793" w:rsidRPr="00A10A3B" w:rsidTr="00DF0B96">
        <w:tc>
          <w:tcPr>
            <w:tcW w:w="3986"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Financial liabilities</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r>
      <w:tr w:rsidR="00336793" w:rsidRPr="00A10A3B" w:rsidTr="00DF0B96">
        <w:tc>
          <w:tcPr>
            <w:tcW w:w="3986"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color w:val="000000"/>
                <w:sz w:val="22"/>
                <w:szCs w:val="22"/>
                <w:vertAlign w:val="superscript"/>
                <w:lang w:eastAsia="en-AU"/>
              </w:rPr>
            </w:pPr>
            <w:r w:rsidRPr="00A10A3B">
              <w:rPr>
                <w:rFonts w:ascii="Calibri" w:eastAsiaTheme="minorEastAsia" w:hAnsi="Calibri" w:cs="Calibri"/>
                <w:sz w:val="21"/>
                <w:szCs w:val="22"/>
                <w:lang w:eastAsia="en-AU"/>
              </w:rPr>
              <w:t>Payables, deposits held and advances received</w:t>
            </w:r>
            <w:r w:rsidRPr="00D707DF">
              <w:rPr>
                <w:rFonts w:ascii="Calibri" w:eastAsiaTheme="minorEastAsia" w:hAnsi="Calibri" w:cs="Calibri"/>
                <w:sz w:val="21"/>
                <w:szCs w:val="22"/>
                <w:vertAlign w:val="superscript"/>
                <w:lang w:eastAsia="en-AU"/>
              </w:rPr>
              <w:t>(</w:t>
            </w:r>
            <w:r w:rsidRPr="00D707DF">
              <w:rPr>
                <w:rFonts w:ascii="Calibri" w:eastAsiaTheme="minorEastAsia" w:hAnsi="Calibri" w:cs="Calibri"/>
                <w:color w:val="000000"/>
                <w:sz w:val="22"/>
                <w:szCs w:val="22"/>
                <w:vertAlign w:val="superscript"/>
                <w:lang w:eastAsia="en-AU"/>
              </w:rPr>
              <w:t>a</w:t>
            </w:r>
            <w:r w:rsidRPr="00A10A3B">
              <w:rPr>
                <w:rFonts w:ascii="Calibri" w:eastAsiaTheme="minorEastAsia" w:hAnsi="Calibri" w:cs="Calibri"/>
                <w:color w:val="000000"/>
                <w:sz w:val="22"/>
                <w:szCs w:val="22"/>
                <w:vertAlign w:val="superscript"/>
                <w:lang w:eastAsia="en-AU"/>
              </w:rPr>
              <w:t>)</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1 969.8</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646.3</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27.5</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5.9</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21.2</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35.7</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41.4</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3 696.7</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6 444.5</w:t>
            </w:r>
          </w:p>
        </w:tc>
      </w:tr>
      <w:tr w:rsidR="00336793" w:rsidRPr="00A10A3B" w:rsidTr="00DF0B96">
        <w:tc>
          <w:tcPr>
            <w:tcW w:w="3986"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0A3B">
              <w:rPr>
                <w:rFonts w:ascii="Calibri" w:eastAsiaTheme="minorEastAsia" w:hAnsi="Calibri" w:cs="Calibri"/>
                <w:sz w:val="21"/>
                <w:szCs w:val="22"/>
                <w:lang w:eastAsia="en-AU"/>
              </w:rPr>
              <w:t>Derivative financial instruments</w:t>
            </w:r>
            <w:r w:rsidRPr="00A10A3B">
              <w:rPr>
                <w:rFonts w:ascii="Calibri" w:eastAsiaTheme="minorEastAsia" w:hAnsi="Calibri" w:cs="Calibri"/>
                <w:sz w:val="21"/>
                <w:szCs w:val="22"/>
                <w:vertAlign w:val="superscript"/>
                <w:lang w:eastAsia="en-AU"/>
              </w:rPr>
              <w:t>(a)</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28.3</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176.2</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0.8</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11.1</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0.3</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20.8</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215.9</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188.1</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641.6</w:t>
            </w:r>
          </w:p>
        </w:tc>
      </w:tr>
      <w:tr w:rsidR="00336793" w:rsidRPr="00A10A3B" w:rsidTr="00DF0B96">
        <w:tc>
          <w:tcPr>
            <w:tcW w:w="3986" w:type="dxa"/>
            <w:tcBorders>
              <w:top w:val="nil"/>
              <w:left w:val="nil"/>
              <w:bottom w:val="nil"/>
              <w:right w:val="nil"/>
            </w:tcBorders>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Interest</w:t>
            </w:r>
            <w:r>
              <w:rPr>
                <w:rFonts w:ascii="Calibri" w:eastAsiaTheme="minorEastAsia" w:hAnsi="Calibri" w:cs="Calibri"/>
                <w:sz w:val="21"/>
                <w:szCs w:val="22"/>
                <w:lang w:eastAsia="en-AU"/>
              </w:rPr>
              <w:noBreakHyphen/>
            </w:r>
            <w:r w:rsidRPr="00A10A3B">
              <w:rPr>
                <w:rFonts w:ascii="Calibri" w:eastAsiaTheme="minorEastAsia" w:hAnsi="Calibri" w:cs="Calibri"/>
                <w:sz w:val="21"/>
                <w:szCs w:val="22"/>
                <w:lang w:eastAsia="en-AU"/>
              </w:rPr>
              <w:t>bearing liabilities</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119.2</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2 816.7</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2 373.5</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3 823.3</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3 399.2</w:t>
            </w:r>
          </w:p>
        </w:tc>
        <w:tc>
          <w:tcPr>
            <w:tcW w:w="1176" w:type="dxa"/>
            <w:gridSpan w:val="2"/>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5 141.5</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24 213.0</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41 886.4</w:t>
            </w:r>
          </w:p>
        </w:tc>
      </w:tr>
      <w:tr w:rsidR="00336793" w:rsidRPr="00A10A3B" w:rsidTr="00DF0B96">
        <w:tc>
          <w:tcPr>
            <w:tcW w:w="3986" w:type="dxa"/>
            <w:tcBorders>
              <w:top w:val="nil"/>
              <w:left w:val="nil"/>
              <w:bottom w:val="single" w:sz="6" w:space="0" w:color="auto"/>
              <w:right w:val="nil"/>
            </w:tcBorders>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Finance lease liabilities</w:t>
            </w:r>
          </w:p>
        </w:tc>
        <w:tc>
          <w:tcPr>
            <w:tcW w:w="1176"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76"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107.9</w:t>
            </w:r>
          </w:p>
        </w:tc>
        <w:tc>
          <w:tcPr>
            <w:tcW w:w="1176"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258.5</w:t>
            </w:r>
          </w:p>
        </w:tc>
        <w:tc>
          <w:tcPr>
            <w:tcW w:w="1176" w:type="dxa"/>
            <w:gridSpan w:val="2"/>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248.2</w:t>
            </w:r>
          </w:p>
        </w:tc>
        <w:tc>
          <w:tcPr>
            <w:tcW w:w="1176"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310.7</w:t>
            </w:r>
          </w:p>
        </w:tc>
        <w:tc>
          <w:tcPr>
            <w:tcW w:w="1176" w:type="dxa"/>
            <w:gridSpan w:val="2"/>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377.7</w:t>
            </w:r>
          </w:p>
        </w:tc>
        <w:tc>
          <w:tcPr>
            <w:tcW w:w="1176"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7 500.6</w:t>
            </w:r>
          </w:p>
        </w:tc>
        <w:tc>
          <w:tcPr>
            <w:tcW w:w="1176"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13.7</w:t>
            </w:r>
          </w:p>
        </w:tc>
        <w:tc>
          <w:tcPr>
            <w:tcW w:w="1176"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8 817.3</w:t>
            </w:r>
          </w:p>
        </w:tc>
      </w:tr>
      <w:tr w:rsidR="00336793" w:rsidRPr="00A10A3B" w:rsidTr="00DF0B96">
        <w:tc>
          <w:tcPr>
            <w:tcW w:w="3986"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rPr>
                <w:rFonts w:ascii="Calibri" w:eastAsiaTheme="minorEastAsia" w:hAnsi="Calibri" w:cs="Calibri"/>
                <w:b/>
                <w:bCs/>
                <w:sz w:val="21"/>
                <w:szCs w:val="22"/>
                <w:vertAlign w:val="superscript"/>
                <w:lang w:eastAsia="en-AU"/>
              </w:rPr>
            </w:pPr>
            <w:r w:rsidRPr="00A10A3B">
              <w:rPr>
                <w:rFonts w:ascii="Calibri" w:eastAsiaTheme="minorEastAsia" w:hAnsi="Calibri" w:cs="Calibri"/>
                <w:b/>
                <w:bCs/>
                <w:sz w:val="21"/>
                <w:szCs w:val="22"/>
                <w:lang w:eastAsia="en-AU"/>
              </w:rPr>
              <w:t>Total financial liabilities</w:t>
            </w:r>
            <w:r w:rsidRPr="00A10A3B">
              <w:rPr>
                <w:rFonts w:ascii="Calibri" w:eastAsiaTheme="minorEastAsia" w:hAnsi="Calibri" w:cs="Calibri"/>
                <w:b/>
                <w:bCs/>
                <w:sz w:val="21"/>
                <w:szCs w:val="22"/>
                <w:vertAlign w:val="superscript"/>
                <w:lang w:eastAsia="en-AU"/>
              </w:rPr>
              <w:t>(a)</w:t>
            </w:r>
          </w:p>
        </w:tc>
        <w:tc>
          <w:tcPr>
            <w:tcW w:w="1176"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2 117.3</w:t>
            </w:r>
          </w:p>
        </w:tc>
        <w:tc>
          <w:tcPr>
            <w:tcW w:w="1176"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3 747.1</w:t>
            </w:r>
          </w:p>
        </w:tc>
        <w:tc>
          <w:tcPr>
            <w:tcW w:w="1176"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2 660.2</w:t>
            </w:r>
          </w:p>
        </w:tc>
        <w:tc>
          <w:tcPr>
            <w:tcW w:w="1176"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4 088.6</w:t>
            </w:r>
          </w:p>
        </w:tc>
        <w:tc>
          <w:tcPr>
            <w:tcW w:w="1176"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3 731.5</w:t>
            </w:r>
          </w:p>
        </w:tc>
        <w:tc>
          <w:tcPr>
            <w:tcW w:w="1176"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5 575.8</w:t>
            </w:r>
          </w:p>
        </w:tc>
        <w:tc>
          <w:tcPr>
            <w:tcW w:w="1176"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31 970.9</w:t>
            </w:r>
          </w:p>
        </w:tc>
        <w:tc>
          <w:tcPr>
            <w:tcW w:w="1176"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3 898.5</w:t>
            </w:r>
          </w:p>
        </w:tc>
        <w:tc>
          <w:tcPr>
            <w:tcW w:w="1176" w:type="dxa"/>
            <w:tcBorders>
              <w:top w:val="single" w:sz="6" w:space="0" w:color="auto"/>
              <w:left w:val="nil"/>
              <w:bottom w:val="single" w:sz="12" w:space="0" w:color="000000"/>
              <w:right w:val="nil"/>
            </w:tcBorders>
            <w:shd w:val="clear" w:color="auto"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57 789.9</w:t>
            </w:r>
          </w:p>
        </w:tc>
      </w:tr>
    </w:tbl>
    <w:p w:rsidR="00336793" w:rsidRDefault="00336793" w:rsidP="00DF0B96">
      <w:pPr>
        <w:pStyle w:val="Notes"/>
      </w:pPr>
      <w:r>
        <w:t>Note:</w:t>
      </w:r>
    </w:p>
    <w:p w:rsidR="00336793" w:rsidRDefault="00336793" w:rsidP="00DF0B96">
      <w:pPr>
        <w:pStyle w:val="Notes"/>
      </w:pPr>
      <w:r>
        <w:t>(a)</w:t>
      </w:r>
      <w:r>
        <w:tab/>
      </w:r>
      <w:r w:rsidRPr="00DF7C4A">
        <w:t>June 2014 comparative figures have been restated. See Note 37.</w:t>
      </w:r>
    </w:p>
    <w:p w:rsidR="00336793" w:rsidRDefault="00336793" w:rsidP="00DF0B96">
      <w:pPr>
        <w:pStyle w:val="Notes"/>
      </w:pPr>
    </w:p>
    <w:p w:rsidR="00336793" w:rsidRDefault="00336793">
      <w:pPr>
        <w:spacing w:after="0"/>
        <w:rPr>
          <w:rFonts w:ascii="Calibri" w:hAnsi="Calibri"/>
          <w:i/>
          <w:sz w:val="16"/>
          <w:lang w:eastAsia="en-AU"/>
        </w:rPr>
      </w:pPr>
      <w:r>
        <w:br w:type="page"/>
      </w:r>
    </w:p>
    <w:p w:rsidR="00336793" w:rsidRPr="006A75A2" w:rsidRDefault="00336793" w:rsidP="00DF0B96">
      <w:pPr>
        <w:pStyle w:val="Heading2NotesContd"/>
      </w:pPr>
      <w:r w:rsidRPr="006A75A2">
        <w:lastRenderedPageBreak/>
        <w:t>Note 33:</w:t>
      </w:r>
      <w:r w:rsidRPr="006A75A2">
        <w:tab/>
        <w:t xml:space="preserve">Financial instruments </w:t>
      </w:r>
      <w:r w:rsidRPr="006A75A2">
        <w:rPr>
          <w:i/>
        </w:rPr>
        <w:t>(continued)</w:t>
      </w:r>
    </w:p>
    <w:p w:rsidR="00336793" w:rsidRDefault="00336793" w:rsidP="00DF0B96">
      <w:pPr>
        <w:pStyle w:val="Heading5"/>
      </w:pPr>
      <w:r w:rsidRPr="006A75A2">
        <w:t>(f)</w:t>
      </w:r>
      <w:r w:rsidRPr="006A75A2">
        <w:tab/>
        <w:t>Interest rate exposure</w:t>
      </w:r>
      <w:r>
        <w:t xml:space="preserve"> </w:t>
      </w:r>
      <w:r w:rsidRPr="00146833">
        <w:rPr>
          <w:i/>
        </w:rPr>
        <w:t>(continued)</w:t>
      </w:r>
    </w:p>
    <w:p w:rsidR="00336793" w:rsidRPr="00A10A3B" w:rsidRDefault="00336793" w:rsidP="00DF0B96">
      <w:pPr>
        <w:pStyle w:val="million"/>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3986"/>
        <w:gridCol w:w="1176"/>
        <w:gridCol w:w="1176"/>
        <w:gridCol w:w="1176"/>
        <w:gridCol w:w="236"/>
        <w:gridCol w:w="940"/>
        <w:gridCol w:w="1176"/>
        <w:gridCol w:w="924"/>
        <w:gridCol w:w="252"/>
        <w:gridCol w:w="1176"/>
        <w:gridCol w:w="1176"/>
        <w:gridCol w:w="1176"/>
      </w:tblGrid>
      <w:tr w:rsidR="00336793" w:rsidRPr="00127415" w:rsidTr="00DF0B96">
        <w:trPr>
          <w:tblHeader/>
        </w:trPr>
        <w:tc>
          <w:tcPr>
            <w:tcW w:w="3986" w:type="dxa"/>
            <w:tcBorders>
              <w:top w:val="single" w:sz="6" w:space="0" w:color="auto"/>
              <w:left w:val="single" w:sz="6" w:space="0" w:color="auto"/>
              <w:bottom w:val="nil"/>
              <w:right w:val="nil"/>
            </w:tcBorders>
            <w:shd w:val="clear" w:color="000000" w:fill="000000"/>
            <w:vAlign w:val="bottom"/>
          </w:tcPr>
          <w:p w:rsidR="00336793" w:rsidRPr="00127415" w:rsidRDefault="00336793" w:rsidP="00DF0B96">
            <w:pPr>
              <w:pStyle w:val="Tabletext"/>
              <w:rPr>
                <w:rFonts w:eastAsiaTheme="minorEastAsia"/>
                <w:b/>
                <w:i/>
                <w:sz w:val="21"/>
                <w:lang w:eastAsia="en-AU"/>
              </w:rPr>
            </w:pPr>
            <w:r w:rsidRPr="00127415">
              <w:rPr>
                <w:rFonts w:eastAsiaTheme="minorEastAsia"/>
                <w:b/>
                <w:i/>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b/>
                <w:color w:val="FFFFFF"/>
                <w:sz w:val="21"/>
                <w:lang w:eastAsia="en-AU"/>
              </w:rPr>
            </w:pPr>
            <w:r w:rsidRPr="00127415">
              <w:rPr>
                <w:rFonts w:eastAsiaTheme="minorEastAsia"/>
                <w:b/>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b/>
                <w:color w:val="FFFFFF"/>
                <w:sz w:val="21"/>
                <w:lang w:eastAsia="en-AU"/>
              </w:rPr>
            </w:pPr>
            <w:r w:rsidRPr="00127415">
              <w:rPr>
                <w:rFonts w:eastAsiaTheme="minorEastAsia"/>
                <w:b/>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b/>
                <w:color w:val="FFFFFF"/>
                <w:sz w:val="21"/>
                <w:lang w:eastAsia="en-AU"/>
              </w:rPr>
            </w:pPr>
            <w:r w:rsidRPr="00127415">
              <w:rPr>
                <w:rFonts w:eastAsiaTheme="minorEastAsia"/>
                <w:b/>
                <w:color w:val="FFFFFF"/>
                <w:sz w:val="21"/>
                <w:lang w:eastAsia="en-AU"/>
              </w:rPr>
              <w:t xml:space="preserve">  </w:t>
            </w:r>
          </w:p>
        </w:tc>
        <w:tc>
          <w:tcPr>
            <w:tcW w:w="23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Centred"/>
              <w:rPr>
                <w:rFonts w:eastAsiaTheme="minorEastAsia"/>
                <w:sz w:val="21"/>
                <w:lang w:eastAsia="en-AU"/>
              </w:rPr>
            </w:pPr>
            <w:r w:rsidRPr="00127415">
              <w:rPr>
                <w:rFonts w:eastAsiaTheme="minorEastAsia"/>
                <w:sz w:val="21"/>
                <w:lang w:eastAsia="en-AU"/>
              </w:rPr>
              <w:t xml:space="preserve"> </w:t>
            </w:r>
          </w:p>
        </w:tc>
        <w:tc>
          <w:tcPr>
            <w:tcW w:w="3040" w:type="dxa"/>
            <w:gridSpan w:val="3"/>
            <w:tcBorders>
              <w:top w:val="single" w:sz="6" w:space="0" w:color="auto"/>
              <w:left w:val="nil"/>
              <w:bottom w:val="nil"/>
              <w:right w:val="nil"/>
            </w:tcBorders>
            <w:shd w:val="clear" w:color="000000" w:fill="000000"/>
            <w:vAlign w:val="bottom"/>
          </w:tcPr>
          <w:p w:rsidR="00336793" w:rsidRPr="00127415" w:rsidRDefault="00336793" w:rsidP="00DF0B96">
            <w:pPr>
              <w:pStyle w:val="TabletextheadingCentred"/>
              <w:rPr>
                <w:rFonts w:eastAsiaTheme="minorEastAsia"/>
                <w:sz w:val="21"/>
                <w:lang w:eastAsia="en-AU"/>
              </w:rPr>
            </w:pPr>
            <w:r w:rsidRPr="00127415">
              <w:rPr>
                <w:rFonts w:eastAsiaTheme="minorEastAsia"/>
                <w:sz w:val="21"/>
                <w:lang w:eastAsia="en-AU"/>
              </w:rPr>
              <w:t>Interest rate, fixed maturities</w:t>
            </w:r>
          </w:p>
        </w:tc>
        <w:tc>
          <w:tcPr>
            <w:tcW w:w="252"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Centred"/>
              <w:rPr>
                <w:rFonts w:eastAsiaTheme="minorEastAsia"/>
                <w:sz w:val="21"/>
                <w:lang w:eastAsia="en-AU"/>
              </w:rPr>
            </w:pPr>
            <w:r w:rsidRPr="00127415">
              <w:rPr>
                <w:rFonts w:eastAsiaTheme="minorEastAsia"/>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b/>
                <w:color w:val="FFFFFF"/>
                <w:sz w:val="21"/>
                <w:lang w:eastAsia="en-AU"/>
              </w:rPr>
            </w:pPr>
            <w:r w:rsidRPr="00127415">
              <w:rPr>
                <w:rFonts w:eastAsiaTheme="minorEastAsia"/>
                <w:b/>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b/>
                <w:color w:val="FFFFFF"/>
                <w:sz w:val="21"/>
                <w:lang w:eastAsia="en-AU"/>
              </w:rPr>
            </w:pPr>
            <w:r w:rsidRPr="00127415">
              <w:rPr>
                <w:rFonts w:eastAsiaTheme="minorEastAsia"/>
                <w:b/>
                <w:color w:val="FFFFFF"/>
                <w:sz w:val="21"/>
                <w:lang w:eastAsia="en-AU"/>
              </w:rPr>
              <w:t xml:space="preserve"> </w:t>
            </w:r>
          </w:p>
        </w:tc>
        <w:tc>
          <w:tcPr>
            <w:tcW w:w="1176" w:type="dxa"/>
            <w:tcBorders>
              <w:top w:val="single" w:sz="6" w:space="0" w:color="auto"/>
              <w:left w:val="nil"/>
              <w:bottom w:val="nil"/>
              <w:right w:val="single" w:sz="6" w:space="0" w:color="auto"/>
            </w:tcBorders>
            <w:shd w:val="clear" w:color="000000" w:fill="000000"/>
            <w:vAlign w:val="bottom"/>
          </w:tcPr>
          <w:p w:rsidR="00336793" w:rsidRPr="00127415" w:rsidRDefault="00336793" w:rsidP="00DF0B96">
            <w:pPr>
              <w:pStyle w:val="Tabletextheading"/>
              <w:jc w:val="center"/>
              <w:rPr>
                <w:rFonts w:eastAsiaTheme="minorEastAsia"/>
                <w:b/>
                <w:color w:val="FFFFFF"/>
                <w:sz w:val="21"/>
                <w:lang w:eastAsia="en-AU"/>
              </w:rPr>
            </w:pPr>
            <w:r w:rsidRPr="00127415">
              <w:rPr>
                <w:rFonts w:eastAsiaTheme="minorEastAsia"/>
                <w:b/>
                <w:color w:val="FFFFFF"/>
                <w:sz w:val="21"/>
                <w:lang w:eastAsia="en-AU"/>
              </w:rPr>
              <w:t xml:space="preserve"> </w:t>
            </w:r>
          </w:p>
        </w:tc>
      </w:tr>
      <w:tr w:rsidR="00336793" w:rsidRPr="00127415" w:rsidTr="00DF0B96">
        <w:trPr>
          <w:tblHeader/>
        </w:trPr>
        <w:tc>
          <w:tcPr>
            <w:tcW w:w="3986" w:type="dxa"/>
            <w:tcBorders>
              <w:left w:val="single" w:sz="6" w:space="0" w:color="auto"/>
              <w:bottom w:val="nil"/>
              <w:right w:val="nil"/>
            </w:tcBorders>
            <w:shd w:val="clear" w:color="000000" w:fill="000000"/>
            <w:vAlign w:val="bottom"/>
          </w:tcPr>
          <w:p w:rsidR="00336793" w:rsidRPr="00127415" w:rsidRDefault="00336793" w:rsidP="00DF0B96">
            <w:pPr>
              <w:pStyle w:val="Tabletext"/>
              <w:rPr>
                <w:rFonts w:eastAsiaTheme="minorEastAsia"/>
                <w:i/>
                <w:sz w:val="21"/>
                <w:lang w:eastAsia="en-AU"/>
              </w:rPr>
            </w:pPr>
            <w:r w:rsidRPr="00127415">
              <w:rPr>
                <w:rFonts w:eastAsiaTheme="minorEastAsia"/>
                <w:i/>
                <w:sz w:val="21"/>
                <w:lang w:eastAsia="en-AU"/>
              </w:rPr>
              <w:t xml:space="preserve">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1 year </w:t>
            </w:r>
          </w:p>
        </w:tc>
        <w:tc>
          <w:tcPr>
            <w:tcW w:w="1176" w:type="dxa"/>
            <w:gridSpan w:val="2"/>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2 years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3 years </w:t>
            </w:r>
          </w:p>
        </w:tc>
        <w:tc>
          <w:tcPr>
            <w:tcW w:w="1176" w:type="dxa"/>
            <w:gridSpan w:val="2"/>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4 years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left w:val="nil"/>
              <w:bottom w:val="nil"/>
              <w:right w:val="single" w:sz="6" w:space="0" w:color="auto"/>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w:t>
            </w:r>
          </w:p>
        </w:tc>
      </w:tr>
      <w:tr w:rsidR="00336793" w:rsidRPr="00127415" w:rsidTr="00DF0B96">
        <w:trPr>
          <w:tblHeader/>
        </w:trPr>
        <w:tc>
          <w:tcPr>
            <w:tcW w:w="3986" w:type="dxa"/>
            <w:tcBorders>
              <w:top w:val="nil"/>
              <w:left w:val="single" w:sz="6" w:space="0" w:color="auto"/>
              <w:bottom w:val="single" w:sz="6" w:space="0" w:color="auto"/>
              <w:right w:val="nil"/>
            </w:tcBorders>
            <w:shd w:val="clear" w:color="000000" w:fill="000000"/>
            <w:vAlign w:val="bottom"/>
          </w:tcPr>
          <w:p w:rsidR="00336793" w:rsidRPr="00127415" w:rsidRDefault="00336793" w:rsidP="00DF0B96">
            <w:pPr>
              <w:pStyle w:val="Tabletext"/>
              <w:rPr>
                <w:rFonts w:eastAsiaTheme="minorEastAsia"/>
                <w:i/>
                <w:sz w:val="21"/>
                <w:lang w:eastAsia="en-AU"/>
              </w:rPr>
            </w:pPr>
            <w:r w:rsidRPr="00127415">
              <w:rPr>
                <w:rFonts w:eastAsiaTheme="minorEastAsia"/>
                <w:i/>
                <w:sz w:val="21"/>
                <w:lang w:eastAsia="en-AU"/>
              </w:rPr>
              <w:t>General government sector</w:t>
            </w:r>
          </w:p>
          <w:p w:rsidR="00336793" w:rsidRPr="00127415" w:rsidRDefault="00336793" w:rsidP="00DF0B96">
            <w:pPr>
              <w:pStyle w:val="Tabletext"/>
              <w:rPr>
                <w:rFonts w:eastAsiaTheme="minorEastAsia"/>
                <w:i/>
                <w:sz w:val="21"/>
                <w:lang w:eastAsia="en-AU"/>
              </w:rPr>
            </w:pPr>
            <w:r w:rsidRPr="00127415">
              <w:rPr>
                <w:rFonts w:eastAsiaTheme="minorEastAsia"/>
                <w:i/>
                <w:sz w:val="21"/>
                <w:lang w:eastAsia="en-AU"/>
              </w:rPr>
              <w:t>2015</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Floating</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Less than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1 year</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but less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than 2 years</w:t>
            </w:r>
          </w:p>
        </w:tc>
        <w:tc>
          <w:tcPr>
            <w:tcW w:w="1176" w:type="dxa"/>
            <w:gridSpan w:val="2"/>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but less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than 3 years</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but less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than 4 years</w:t>
            </w:r>
          </w:p>
        </w:tc>
        <w:tc>
          <w:tcPr>
            <w:tcW w:w="1176" w:type="dxa"/>
            <w:gridSpan w:val="2"/>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but less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than 5 years</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5 years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or more</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ind w:hanging="234"/>
              <w:rPr>
                <w:rFonts w:eastAsiaTheme="minorEastAsia"/>
                <w:color w:val="FFFFFF"/>
                <w:sz w:val="21"/>
                <w:lang w:eastAsia="en-AU"/>
              </w:rPr>
            </w:pPr>
            <w:r w:rsidRPr="00127415">
              <w:rPr>
                <w:rFonts w:eastAsiaTheme="minorEastAsia"/>
                <w:color w:val="FFFFFF"/>
                <w:sz w:val="21"/>
                <w:lang w:eastAsia="en-AU"/>
              </w:rPr>
              <w:t>Non</w:t>
            </w:r>
            <w:r>
              <w:rPr>
                <w:rFonts w:eastAsiaTheme="minorEastAsia"/>
                <w:color w:val="FFFFFF"/>
                <w:sz w:val="21"/>
                <w:lang w:eastAsia="en-AU"/>
              </w:rPr>
              <w:noBreakHyphen/>
            </w:r>
            <w:r w:rsidRPr="00127415">
              <w:rPr>
                <w:rFonts w:eastAsiaTheme="minorEastAsia"/>
                <w:color w:val="FFFFFF"/>
                <w:sz w:val="21"/>
                <w:lang w:eastAsia="en-AU"/>
              </w:rPr>
              <w:t xml:space="preserve">interest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bearing</w:t>
            </w:r>
          </w:p>
        </w:tc>
        <w:tc>
          <w:tcPr>
            <w:tcW w:w="1176" w:type="dxa"/>
            <w:tcBorders>
              <w:top w:val="nil"/>
              <w:left w:val="nil"/>
              <w:bottom w:val="single" w:sz="6" w:space="0" w:color="auto"/>
              <w:right w:val="single" w:sz="6" w:space="0" w:color="auto"/>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Total</w:t>
            </w:r>
          </w:p>
        </w:tc>
      </w:tr>
      <w:tr w:rsidR="00336793" w:rsidRPr="00127415" w:rsidTr="00DF0B96">
        <w:tc>
          <w:tcPr>
            <w:tcW w:w="3986" w:type="dxa"/>
            <w:tcBorders>
              <w:top w:val="single" w:sz="6" w:space="0" w:color="auto"/>
              <w:left w:val="nil"/>
              <w:bottom w:val="nil"/>
              <w:right w:val="nil"/>
            </w:tcBorders>
          </w:tcPr>
          <w:p w:rsidR="00336793" w:rsidRPr="00127415" w:rsidRDefault="00336793" w:rsidP="00DF0B96">
            <w:pPr>
              <w:pStyle w:val="Tabletext"/>
              <w:rPr>
                <w:rFonts w:eastAsiaTheme="minorEastAsia"/>
                <w:b/>
                <w:sz w:val="21"/>
                <w:lang w:eastAsia="en-AU"/>
              </w:rPr>
            </w:pPr>
            <w:r w:rsidRPr="00127415">
              <w:rPr>
                <w:rFonts w:eastAsiaTheme="minorEastAsia"/>
                <w:b/>
                <w:sz w:val="21"/>
                <w:lang w:eastAsia="en-AU"/>
              </w:rPr>
              <w:t>Financial assets</w:t>
            </w:r>
          </w:p>
        </w:tc>
        <w:tc>
          <w:tcPr>
            <w:tcW w:w="1176" w:type="dxa"/>
            <w:tcBorders>
              <w:top w:val="single" w:sz="6" w:space="0" w:color="auto"/>
              <w:left w:val="nil"/>
              <w:bottom w:val="nil"/>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w:t>
            </w:r>
          </w:p>
        </w:tc>
        <w:tc>
          <w:tcPr>
            <w:tcW w:w="1176" w:type="dxa"/>
            <w:tcBorders>
              <w:top w:val="single" w:sz="6" w:space="0" w:color="auto"/>
              <w:left w:val="nil"/>
              <w:bottom w:val="nil"/>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w:t>
            </w:r>
          </w:p>
        </w:tc>
        <w:tc>
          <w:tcPr>
            <w:tcW w:w="1176" w:type="dxa"/>
            <w:tcBorders>
              <w:top w:val="single" w:sz="6" w:space="0" w:color="auto"/>
              <w:left w:val="nil"/>
              <w:bottom w:val="nil"/>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w:t>
            </w:r>
          </w:p>
        </w:tc>
        <w:tc>
          <w:tcPr>
            <w:tcW w:w="1176" w:type="dxa"/>
            <w:gridSpan w:val="2"/>
            <w:tcBorders>
              <w:top w:val="single" w:sz="6" w:space="0" w:color="auto"/>
              <w:left w:val="nil"/>
              <w:bottom w:val="nil"/>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w:t>
            </w:r>
          </w:p>
        </w:tc>
        <w:tc>
          <w:tcPr>
            <w:tcW w:w="1176" w:type="dxa"/>
            <w:tcBorders>
              <w:top w:val="single" w:sz="6" w:space="0" w:color="auto"/>
              <w:left w:val="nil"/>
              <w:bottom w:val="nil"/>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w:t>
            </w:r>
          </w:p>
        </w:tc>
        <w:tc>
          <w:tcPr>
            <w:tcW w:w="1176" w:type="dxa"/>
            <w:gridSpan w:val="2"/>
            <w:tcBorders>
              <w:top w:val="single" w:sz="6" w:space="0" w:color="auto"/>
              <w:left w:val="nil"/>
              <w:bottom w:val="nil"/>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w:t>
            </w:r>
          </w:p>
        </w:tc>
        <w:tc>
          <w:tcPr>
            <w:tcW w:w="1176" w:type="dxa"/>
            <w:tcBorders>
              <w:top w:val="single" w:sz="6" w:space="0" w:color="auto"/>
              <w:left w:val="nil"/>
              <w:bottom w:val="nil"/>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w:t>
            </w:r>
          </w:p>
        </w:tc>
        <w:tc>
          <w:tcPr>
            <w:tcW w:w="1176" w:type="dxa"/>
            <w:tcBorders>
              <w:top w:val="single" w:sz="6" w:space="0" w:color="auto"/>
              <w:left w:val="nil"/>
              <w:bottom w:val="nil"/>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w:t>
            </w:r>
          </w:p>
        </w:tc>
        <w:tc>
          <w:tcPr>
            <w:tcW w:w="1176" w:type="dxa"/>
            <w:tcBorders>
              <w:top w:val="single" w:sz="6" w:space="0" w:color="auto"/>
              <w:left w:val="nil"/>
              <w:bottom w:val="nil"/>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w:t>
            </w:r>
          </w:p>
        </w:tc>
      </w:tr>
      <w:tr w:rsidR="00336793" w:rsidRPr="00127415" w:rsidTr="00DF0B96">
        <w:tc>
          <w:tcPr>
            <w:tcW w:w="3986" w:type="dxa"/>
            <w:tcBorders>
              <w:top w:val="nil"/>
              <w:left w:val="nil"/>
              <w:bottom w:val="nil"/>
              <w:right w:val="nil"/>
            </w:tcBorders>
          </w:tcPr>
          <w:p w:rsidR="00336793" w:rsidRPr="00127415" w:rsidRDefault="00336793" w:rsidP="00DF0B96">
            <w:pPr>
              <w:pStyle w:val="Tabletext"/>
              <w:rPr>
                <w:rFonts w:eastAsiaTheme="minorEastAsia"/>
                <w:sz w:val="21"/>
                <w:lang w:eastAsia="en-AU"/>
              </w:rPr>
            </w:pPr>
            <w:r w:rsidRPr="00127415">
              <w:rPr>
                <w:rFonts w:eastAsiaTheme="minorEastAsia"/>
                <w:sz w:val="21"/>
                <w:lang w:eastAsia="en-AU"/>
              </w:rPr>
              <w:t>Cash and deposits</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3 341.1</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835.2</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105.4</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4 281.7</w:t>
            </w:r>
          </w:p>
        </w:tc>
      </w:tr>
      <w:tr w:rsidR="00336793" w:rsidRPr="00127415" w:rsidTr="00DF0B96">
        <w:tc>
          <w:tcPr>
            <w:tcW w:w="3986" w:type="dxa"/>
            <w:tcBorders>
              <w:top w:val="nil"/>
              <w:left w:val="nil"/>
              <w:bottom w:val="nil"/>
              <w:right w:val="nil"/>
            </w:tcBorders>
          </w:tcPr>
          <w:p w:rsidR="00336793" w:rsidRPr="00127415" w:rsidRDefault="00336793" w:rsidP="00DF0B96">
            <w:pPr>
              <w:pStyle w:val="Tabletext"/>
              <w:rPr>
                <w:rFonts w:eastAsiaTheme="minorEastAsia"/>
                <w:sz w:val="21"/>
                <w:lang w:eastAsia="en-AU"/>
              </w:rPr>
            </w:pPr>
            <w:r w:rsidRPr="00127415">
              <w:rPr>
                <w:rFonts w:eastAsiaTheme="minorEastAsia"/>
                <w:sz w:val="21"/>
                <w:lang w:eastAsia="en-AU"/>
              </w:rPr>
              <w:t>Receivables</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154.4</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130.2</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59.1</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48.6</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37.9</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40.2</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135.2</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1 278.3</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1 884.0</w:t>
            </w:r>
          </w:p>
        </w:tc>
      </w:tr>
      <w:tr w:rsidR="00336793" w:rsidRPr="00127415" w:rsidTr="00DF0B96">
        <w:tc>
          <w:tcPr>
            <w:tcW w:w="3986" w:type="dxa"/>
            <w:tcBorders>
              <w:top w:val="nil"/>
              <w:left w:val="nil"/>
              <w:bottom w:val="nil"/>
              <w:right w:val="nil"/>
            </w:tcBorders>
          </w:tcPr>
          <w:p w:rsidR="00336793" w:rsidRPr="00127415" w:rsidRDefault="00336793" w:rsidP="00DF0B96">
            <w:pPr>
              <w:pStyle w:val="Tabletext"/>
              <w:rPr>
                <w:rFonts w:eastAsiaTheme="minorEastAsia"/>
                <w:sz w:val="21"/>
                <w:lang w:eastAsia="en-AU"/>
              </w:rPr>
            </w:pPr>
            <w:r w:rsidRPr="00127415">
              <w:rPr>
                <w:rFonts w:eastAsiaTheme="minorEastAsia"/>
                <w:sz w:val="21"/>
                <w:lang w:eastAsia="en-AU"/>
              </w:rPr>
              <w:t>Advances paid</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1.2</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56.3</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55.5</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62.3</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67.5</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72.1</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4 205.5</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51.3</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4 571.8</w:t>
            </w:r>
          </w:p>
        </w:tc>
      </w:tr>
      <w:tr w:rsidR="00336793" w:rsidRPr="00127415" w:rsidTr="00DF0B96">
        <w:tc>
          <w:tcPr>
            <w:tcW w:w="3986" w:type="dxa"/>
            <w:tcBorders>
              <w:top w:val="nil"/>
              <w:left w:val="nil"/>
              <w:bottom w:val="nil"/>
              <w:right w:val="nil"/>
            </w:tcBorders>
          </w:tcPr>
          <w:p w:rsidR="00336793" w:rsidRPr="00127415" w:rsidRDefault="00336793" w:rsidP="00DF0B96">
            <w:pPr>
              <w:pStyle w:val="Tabletext"/>
              <w:rPr>
                <w:rFonts w:eastAsiaTheme="minorEastAsia"/>
                <w:sz w:val="21"/>
                <w:lang w:eastAsia="en-AU"/>
              </w:rPr>
            </w:pPr>
            <w:r w:rsidRPr="00127415">
              <w:rPr>
                <w:rFonts w:eastAsiaTheme="minorEastAsia"/>
                <w:sz w:val="21"/>
                <w:lang w:eastAsia="en-AU"/>
              </w:rPr>
              <w:t>Term deposits</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17.1</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2 015.5</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77.0</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6.8</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2.9</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2.9</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7.6</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2 129.9</w:t>
            </w:r>
          </w:p>
        </w:tc>
      </w:tr>
      <w:tr w:rsidR="00336793" w:rsidRPr="00127415" w:rsidTr="00DF0B96">
        <w:tc>
          <w:tcPr>
            <w:tcW w:w="3986" w:type="dxa"/>
            <w:tcBorders>
              <w:top w:val="nil"/>
              <w:left w:val="nil"/>
              <w:bottom w:val="nil"/>
              <w:right w:val="nil"/>
            </w:tcBorders>
          </w:tcPr>
          <w:p w:rsidR="00336793" w:rsidRPr="00127415" w:rsidRDefault="00336793" w:rsidP="00DF0B96">
            <w:pPr>
              <w:pStyle w:val="Tabletext"/>
              <w:rPr>
                <w:rFonts w:eastAsiaTheme="minorEastAsia"/>
                <w:sz w:val="21"/>
                <w:lang w:eastAsia="en-AU"/>
              </w:rPr>
            </w:pPr>
            <w:r w:rsidRPr="00127415">
              <w:rPr>
                <w:rFonts w:eastAsiaTheme="minorEastAsia"/>
                <w:sz w:val="21"/>
                <w:lang w:eastAsia="en-AU"/>
              </w:rPr>
              <w:t>Derivative financial instruments</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0.2</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0.2</w:t>
            </w:r>
          </w:p>
        </w:tc>
      </w:tr>
      <w:tr w:rsidR="00336793" w:rsidRPr="00127415" w:rsidTr="00DF0B96">
        <w:tc>
          <w:tcPr>
            <w:tcW w:w="3986" w:type="dxa"/>
            <w:tcBorders>
              <w:top w:val="nil"/>
              <w:left w:val="nil"/>
              <w:bottom w:val="nil"/>
              <w:right w:val="nil"/>
            </w:tcBorders>
          </w:tcPr>
          <w:p w:rsidR="00336793" w:rsidRPr="00127415" w:rsidRDefault="00336793" w:rsidP="00DF0B96">
            <w:pPr>
              <w:pStyle w:val="Tabletext"/>
              <w:rPr>
                <w:rFonts w:eastAsiaTheme="minorEastAsia"/>
                <w:sz w:val="21"/>
                <w:lang w:eastAsia="en-AU"/>
              </w:rPr>
            </w:pPr>
            <w:r w:rsidRPr="00127415">
              <w:rPr>
                <w:rFonts w:eastAsiaTheme="minorEastAsia"/>
                <w:sz w:val="21"/>
                <w:lang w:eastAsia="en-AU"/>
              </w:rPr>
              <w:t>Equities and managed investment schemes</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446.1</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201.2</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0.2</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0.2</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0.3</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587.0</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1 235.0</w:t>
            </w:r>
          </w:p>
        </w:tc>
      </w:tr>
      <w:tr w:rsidR="00336793" w:rsidRPr="00127415" w:rsidTr="00DF0B96">
        <w:tc>
          <w:tcPr>
            <w:tcW w:w="3986" w:type="dxa"/>
            <w:tcBorders>
              <w:top w:val="nil"/>
              <w:left w:val="nil"/>
              <w:bottom w:val="nil"/>
              <w:right w:val="nil"/>
            </w:tcBorders>
          </w:tcPr>
          <w:p w:rsidR="00336793" w:rsidRPr="00127415" w:rsidRDefault="00336793" w:rsidP="00DF0B96">
            <w:pPr>
              <w:pStyle w:val="Tabletext"/>
              <w:rPr>
                <w:rFonts w:eastAsiaTheme="minorEastAsia"/>
                <w:sz w:val="21"/>
                <w:lang w:eastAsia="en-AU"/>
              </w:rPr>
            </w:pPr>
            <w:r w:rsidRPr="00127415">
              <w:rPr>
                <w:rFonts w:eastAsiaTheme="minorEastAsia"/>
                <w:sz w:val="21"/>
                <w:lang w:eastAsia="en-AU"/>
              </w:rPr>
              <w:t>Debt securities</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38.3</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2.1</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0.4</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40.8</w:t>
            </w:r>
          </w:p>
        </w:tc>
      </w:tr>
      <w:tr w:rsidR="00336793" w:rsidRPr="00127415" w:rsidTr="00DF0B96">
        <w:tc>
          <w:tcPr>
            <w:tcW w:w="3986" w:type="dxa"/>
            <w:tcBorders>
              <w:top w:val="single" w:sz="6" w:space="0" w:color="auto"/>
              <w:left w:val="nil"/>
              <w:bottom w:val="single" w:sz="6" w:space="0" w:color="auto"/>
              <w:right w:val="nil"/>
            </w:tcBorders>
          </w:tcPr>
          <w:p w:rsidR="00336793" w:rsidRPr="00127415" w:rsidRDefault="00336793" w:rsidP="00DF0B96">
            <w:pPr>
              <w:pStyle w:val="Tabletext"/>
              <w:rPr>
                <w:rFonts w:eastAsiaTheme="minorEastAsia"/>
                <w:b/>
                <w:sz w:val="21"/>
                <w:lang w:eastAsia="en-AU"/>
              </w:rPr>
            </w:pPr>
            <w:r w:rsidRPr="00127415">
              <w:rPr>
                <w:rFonts w:eastAsiaTheme="minorEastAsia"/>
                <w:b/>
                <w:sz w:val="21"/>
                <w:lang w:eastAsia="en-AU"/>
              </w:rPr>
              <w:t>Total financial assets</w:t>
            </w:r>
          </w:p>
        </w:tc>
        <w:tc>
          <w:tcPr>
            <w:tcW w:w="1176" w:type="dxa"/>
            <w:tcBorders>
              <w:top w:val="single" w:sz="6" w:space="0" w:color="auto"/>
              <w:left w:val="nil"/>
              <w:bottom w:val="single" w:sz="6" w:space="0" w:color="auto"/>
              <w:right w:val="nil"/>
            </w:tcBorders>
          </w:tcPr>
          <w:p w:rsidR="00336793" w:rsidRPr="00127415" w:rsidRDefault="00336793" w:rsidP="00DF0B96">
            <w:pPr>
              <w:pStyle w:val="TableofFigures"/>
              <w:rPr>
                <w:rFonts w:eastAsiaTheme="minorEastAsia" w:cs="Calibri"/>
                <w:b/>
                <w:bCs/>
                <w:color w:val="000000"/>
                <w:sz w:val="21"/>
                <w:szCs w:val="22"/>
                <w:lang w:eastAsia="en-AU"/>
              </w:rPr>
            </w:pPr>
            <w:r w:rsidRPr="00127415">
              <w:rPr>
                <w:rFonts w:eastAsiaTheme="minorEastAsia"/>
                <w:b/>
                <w:sz w:val="21"/>
                <w:lang w:eastAsia="en-AU"/>
              </w:rPr>
              <w:t>3 998.4</w:t>
            </w:r>
          </w:p>
        </w:tc>
        <w:tc>
          <w:tcPr>
            <w:tcW w:w="1176" w:type="dxa"/>
            <w:tcBorders>
              <w:top w:val="single" w:sz="6" w:space="0" w:color="auto"/>
              <w:left w:val="nil"/>
              <w:bottom w:val="single" w:sz="6" w:space="0" w:color="auto"/>
              <w:right w:val="nil"/>
            </w:tcBorders>
          </w:tcPr>
          <w:p w:rsidR="00336793" w:rsidRPr="00127415" w:rsidRDefault="00336793" w:rsidP="00DF0B96">
            <w:pPr>
              <w:pStyle w:val="TableofFigures"/>
              <w:rPr>
                <w:rFonts w:eastAsiaTheme="minorEastAsia" w:cs="Calibri"/>
                <w:b/>
                <w:bCs/>
                <w:color w:val="000000"/>
                <w:sz w:val="21"/>
                <w:szCs w:val="22"/>
                <w:lang w:eastAsia="en-AU"/>
              </w:rPr>
            </w:pPr>
            <w:r w:rsidRPr="00127415">
              <w:rPr>
                <w:rFonts w:eastAsiaTheme="minorEastAsia"/>
                <w:b/>
                <w:sz w:val="21"/>
                <w:lang w:eastAsia="en-AU"/>
              </w:rPr>
              <w:t>3 240.6</w:t>
            </w:r>
          </w:p>
        </w:tc>
        <w:tc>
          <w:tcPr>
            <w:tcW w:w="1176" w:type="dxa"/>
            <w:tcBorders>
              <w:top w:val="single" w:sz="6" w:space="0" w:color="auto"/>
              <w:left w:val="nil"/>
              <w:bottom w:val="single" w:sz="6" w:space="0" w:color="auto"/>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191.8</w:t>
            </w:r>
          </w:p>
        </w:tc>
        <w:tc>
          <w:tcPr>
            <w:tcW w:w="1176" w:type="dxa"/>
            <w:gridSpan w:val="2"/>
            <w:tcBorders>
              <w:top w:val="single" w:sz="6" w:space="0" w:color="auto"/>
              <w:left w:val="nil"/>
              <w:bottom w:val="single" w:sz="6" w:space="0" w:color="auto"/>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117.7</w:t>
            </w:r>
          </w:p>
        </w:tc>
        <w:tc>
          <w:tcPr>
            <w:tcW w:w="1176" w:type="dxa"/>
            <w:tcBorders>
              <w:top w:val="single" w:sz="6" w:space="0" w:color="auto"/>
              <w:left w:val="nil"/>
              <w:bottom w:val="single" w:sz="6" w:space="0" w:color="auto"/>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108.5</w:t>
            </w:r>
          </w:p>
        </w:tc>
        <w:tc>
          <w:tcPr>
            <w:tcW w:w="1176" w:type="dxa"/>
            <w:gridSpan w:val="2"/>
            <w:tcBorders>
              <w:top w:val="single" w:sz="6" w:space="0" w:color="auto"/>
              <w:left w:val="nil"/>
              <w:bottom w:val="single" w:sz="6" w:space="0" w:color="auto"/>
              <w:right w:val="nil"/>
            </w:tcBorders>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115.2</w:t>
            </w:r>
          </w:p>
        </w:tc>
        <w:tc>
          <w:tcPr>
            <w:tcW w:w="1176" w:type="dxa"/>
            <w:tcBorders>
              <w:top w:val="single" w:sz="6" w:space="0" w:color="auto"/>
              <w:left w:val="nil"/>
              <w:bottom w:val="single" w:sz="6" w:space="0" w:color="auto"/>
              <w:right w:val="nil"/>
            </w:tcBorders>
          </w:tcPr>
          <w:p w:rsidR="00336793" w:rsidRPr="00127415" w:rsidRDefault="00336793" w:rsidP="00DF0B96">
            <w:pPr>
              <w:pStyle w:val="TableofFigures"/>
              <w:rPr>
                <w:rFonts w:eastAsiaTheme="minorEastAsia" w:cs="Calibri"/>
                <w:b/>
                <w:bCs/>
                <w:color w:val="000000"/>
                <w:sz w:val="21"/>
                <w:szCs w:val="22"/>
                <w:lang w:eastAsia="en-AU"/>
              </w:rPr>
            </w:pPr>
            <w:r w:rsidRPr="00127415">
              <w:rPr>
                <w:rFonts w:eastAsiaTheme="minorEastAsia"/>
                <w:b/>
                <w:sz w:val="21"/>
                <w:lang w:eastAsia="en-AU"/>
              </w:rPr>
              <w:t>4 348.6</w:t>
            </w:r>
          </w:p>
        </w:tc>
        <w:tc>
          <w:tcPr>
            <w:tcW w:w="1176" w:type="dxa"/>
            <w:tcBorders>
              <w:top w:val="single" w:sz="6" w:space="0" w:color="auto"/>
              <w:left w:val="nil"/>
              <w:bottom w:val="single" w:sz="6" w:space="0" w:color="auto"/>
              <w:right w:val="nil"/>
            </w:tcBorders>
          </w:tcPr>
          <w:p w:rsidR="00336793" w:rsidRPr="00127415" w:rsidRDefault="00336793" w:rsidP="00DF0B96">
            <w:pPr>
              <w:pStyle w:val="TableofFigures"/>
              <w:rPr>
                <w:rFonts w:eastAsiaTheme="minorEastAsia" w:cs="Calibri"/>
                <w:b/>
                <w:bCs/>
                <w:color w:val="000000"/>
                <w:sz w:val="21"/>
                <w:szCs w:val="22"/>
                <w:lang w:eastAsia="en-AU"/>
              </w:rPr>
            </w:pPr>
            <w:r w:rsidRPr="00127415">
              <w:rPr>
                <w:rFonts w:eastAsiaTheme="minorEastAsia"/>
                <w:b/>
                <w:sz w:val="21"/>
                <w:lang w:eastAsia="en-AU"/>
              </w:rPr>
              <w:t>2 022.5</w:t>
            </w:r>
          </w:p>
        </w:tc>
        <w:tc>
          <w:tcPr>
            <w:tcW w:w="1176" w:type="dxa"/>
            <w:tcBorders>
              <w:top w:val="single" w:sz="6" w:space="0" w:color="auto"/>
              <w:left w:val="nil"/>
              <w:bottom w:val="single" w:sz="6" w:space="0" w:color="auto"/>
              <w:right w:val="nil"/>
            </w:tcBorders>
          </w:tcPr>
          <w:p w:rsidR="00336793" w:rsidRPr="00127415" w:rsidRDefault="00336793" w:rsidP="00DF0B96">
            <w:pPr>
              <w:pStyle w:val="TableofFigures"/>
              <w:rPr>
                <w:rFonts w:eastAsiaTheme="minorEastAsia" w:cs="Calibri"/>
                <w:b/>
                <w:bCs/>
                <w:color w:val="000000"/>
                <w:sz w:val="21"/>
                <w:szCs w:val="22"/>
                <w:lang w:eastAsia="en-AU"/>
              </w:rPr>
            </w:pPr>
            <w:r w:rsidRPr="00127415">
              <w:rPr>
                <w:rFonts w:eastAsiaTheme="minorEastAsia"/>
                <w:b/>
                <w:sz w:val="21"/>
                <w:lang w:eastAsia="en-AU"/>
              </w:rPr>
              <w:t>14 143.3</w:t>
            </w:r>
          </w:p>
        </w:tc>
      </w:tr>
      <w:tr w:rsidR="00336793" w:rsidRPr="00127415" w:rsidTr="00DF0B96">
        <w:tc>
          <w:tcPr>
            <w:tcW w:w="3986" w:type="dxa"/>
            <w:tcBorders>
              <w:top w:val="nil"/>
              <w:left w:val="nil"/>
              <w:bottom w:val="nil"/>
              <w:right w:val="nil"/>
            </w:tcBorders>
          </w:tcPr>
          <w:p w:rsidR="00336793" w:rsidRPr="00127415" w:rsidRDefault="00336793" w:rsidP="00DF0B96">
            <w:pPr>
              <w:pStyle w:val="Tabletext"/>
              <w:rPr>
                <w:rFonts w:eastAsiaTheme="minorEastAsia"/>
                <w:b/>
                <w:sz w:val="21"/>
                <w:lang w:eastAsia="en-AU"/>
              </w:rPr>
            </w:pPr>
            <w:r w:rsidRPr="00127415">
              <w:rPr>
                <w:rFonts w:eastAsiaTheme="minorEastAsia"/>
                <w:b/>
                <w:sz w:val="21"/>
                <w:lang w:eastAsia="en-AU"/>
              </w:rPr>
              <w:t>Financial liabilities</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FF0000"/>
                <w:sz w:val="21"/>
                <w:szCs w:val="22"/>
                <w:lang w:eastAsia="en-AU"/>
              </w:rPr>
            </w:pPr>
            <w:r w:rsidRPr="00127415">
              <w:rPr>
                <w:rFonts w:eastAsiaTheme="minorEastAsia"/>
                <w:b/>
                <w:sz w:val="21"/>
                <w:lang w:eastAsia="en-AU"/>
              </w:rPr>
              <w:t xml:space="preserve"> </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FF0000"/>
                <w:sz w:val="21"/>
                <w:szCs w:val="22"/>
                <w:lang w:eastAsia="en-AU"/>
              </w:rPr>
            </w:pPr>
            <w:r w:rsidRPr="00127415">
              <w:rPr>
                <w:rFonts w:eastAsiaTheme="minorEastAsia"/>
                <w:b/>
                <w:sz w:val="21"/>
                <w:lang w:eastAsia="en-AU"/>
              </w:rPr>
              <w:t xml:space="preserve"> </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FF0000"/>
                <w:sz w:val="21"/>
                <w:szCs w:val="22"/>
                <w:lang w:eastAsia="en-AU"/>
              </w:rPr>
            </w:pPr>
            <w:r w:rsidRPr="00127415">
              <w:rPr>
                <w:rFonts w:eastAsiaTheme="minorEastAsia"/>
                <w:b/>
                <w:sz w:val="21"/>
                <w:lang w:eastAsia="en-AU"/>
              </w:rPr>
              <w:t xml:space="preserve"> </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cs="Calibri"/>
                <w:color w:val="FF0000"/>
                <w:sz w:val="21"/>
                <w:szCs w:val="22"/>
                <w:lang w:eastAsia="en-AU"/>
              </w:rPr>
            </w:pPr>
            <w:r w:rsidRPr="00127415">
              <w:rPr>
                <w:rFonts w:eastAsiaTheme="minorEastAsia"/>
                <w:b/>
                <w:sz w:val="21"/>
                <w:lang w:eastAsia="en-AU"/>
              </w:rPr>
              <w:t xml:space="preserve"> </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FF0000"/>
                <w:sz w:val="21"/>
                <w:szCs w:val="22"/>
                <w:lang w:eastAsia="en-AU"/>
              </w:rPr>
            </w:pPr>
            <w:r w:rsidRPr="00127415">
              <w:rPr>
                <w:rFonts w:eastAsiaTheme="minorEastAsia"/>
                <w:b/>
                <w:sz w:val="21"/>
                <w:lang w:eastAsia="en-AU"/>
              </w:rPr>
              <w:t xml:space="preserve"> </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cs="Calibri"/>
                <w:color w:val="FF0000"/>
                <w:sz w:val="21"/>
                <w:szCs w:val="22"/>
                <w:lang w:eastAsia="en-AU"/>
              </w:rPr>
            </w:pPr>
            <w:r w:rsidRPr="00127415">
              <w:rPr>
                <w:rFonts w:eastAsiaTheme="minorEastAsia"/>
                <w:b/>
                <w:sz w:val="21"/>
                <w:lang w:eastAsia="en-AU"/>
              </w:rPr>
              <w:t xml:space="preserve"> </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FF0000"/>
                <w:sz w:val="21"/>
                <w:szCs w:val="22"/>
                <w:lang w:eastAsia="en-AU"/>
              </w:rPr>
            </w:pPr>
            <w:r w:rsidRPr="00127415">
              <w:rPr>
                <w:rFonts w:eastAsiaTheme="minorEastAsia"/>
                <w:b/>
                <w:sz w:val="21"/>
                <w:lang w:eastAsia="en-AU"/>
              </w:rPr>
              <w:t xml:space="preserve"> </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FF0000"/>
                <w:sz w:val="21"/>
                <w:szCs w:val="22"/>
                <w:lang w:eastAsia="en-AU"/>
              </w:rPr>
            </w:pPr>
            <w:r w:rsidRPr="00127415">
              <w:rPr>
                <w:rFonts w:eastAsiaTheme="minorEastAsia"/>
                <w:b/>
                <w:sz w:val="21"/>
                <w:lang w:eastAsia="en-AU"/>
              </w:rPr>
              <w:t xml:space="preserve"> </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FF0000"/>
                <w:sz w:val="21"/>
                <w:szCs w:val="22"/>
                <w:lang w:eastAsia="en-AU"/>
              </w:rPr>
            </w:pPr>
            <w:r w:rsidRPr="00127415">
              <w:rPr>
                <w:rFonts w:eastAsiaTheme="minorEastAsia"/>
                <w:b/>
                <w:sz w:val="21"/>
                <w:lang w:eastAsia="en-AU"/>
              </w:rPr>
              <w:t xml:space="preserve"> </w:t>
            </w:r>
          </w:p>
        </w:tc>
      </w:tr>
      <w:tr w:rsidR="00336793" w:rsidRPr="00127415" w:rsidTr="00DF0B96">
        <w:tc>
          <w:tcPr>
            <w:tcW w:w="3986" w:type="dxa"/>
            <w:tcBorders>
              <w:top w:val="nil"/>
              <w:left w:val="nil"/>
              <w:bottom w:val="nil"/>
              <w:right w:val="nil"/>
            </w:tcBorders>
          </w:tcPr>
          <w:p w:rsidR="00336793" w:rsidRPr="00127415" w:rsidRDefault="00336793" w:rsidP="00DF0B96">
            <w:pPr>
              <w:pStyle w:val="Tabletext"/>
              <w:rPr>
                <w:rFonts w:eastAsiaTheme="minorEastAsia"/>
                <w:sz w:val="21"/>
                <w:lang w:eastAsia="en-AU"/>
              </w:rPr>
            </w:pPr>
            <w:r w:rsidRPr="00127415">
              <w:rPr>
                <w:rFonts w:eastAsiaTheme="minorEastAsia"/>
                <w:sz w:val="21"/>
                <w:lang w:eastAsia="en-AU"/>
              </w:rPr>
              <w:t>Payables, deposits held and advances received</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912.0</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135.4</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14.4</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2.0</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2.0</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2.0</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19.7</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2 760.3</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3 847.7</w:t>
            </w:r>
          </w:p>
        </w:tc>
      </w:tr>
      <w:tr w:rsidR="00336793" w:rsidRPr="00127415" w:rsidTr="00DF0B96">
        <w:tc>
          <w:tcPr>
            <w:tcW w:w="3986" w:type="dxa"/>
            <w:tcBorders>
              <w:top w:val="nil"/>
              <w:left w:val="nil"/>
              <w:bottom w:val="nil"/>
              <w:right w:val="nil"/>
            </w:tcBorders>
          </w:tcPr>
          <w:p w:rsidR="00336793" w:rsidRPr="00127415" w:rsidRDefault="00336793" w:rsidP="00DF0B96">
            <w:pPr>
              <w:pStyle w:val="Tabletext"/>
              <w:rPr>
                <w:rFonts w:eastAsiaTheme="minorEastAsia"/>
                <w:sz w:val="21"/>
                <w:lang w:eastAsia="en-AU"/>
              </w:rPr>
            </w:pPr>
            <w:r w:rsidRPr="00127415">
              <w:rPr>
                <w:rFonts w:eastAsiaTheme="minorEastAsia"/>
                <w:sz w:val="21"/>
                <w:lang w:eastAsia="en-AU"/>
              </w:rPr>
              <w:t>Derivative financial instruments</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50.5</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50.5</w:t>
            </w:r>
          </w:p>
        </w:tc>
      </w:tr>
      <w:tr w:rsidR="00336793" w:rsidRPr="00127415" w:rsidTr="00DF0B96">
        <w:tc>
          <w:tcPr>
            <w:tcW w:w="3986" w:type="dxa"/>
            <w:tcBorders>
              <w:top w:val="nil"/>
              <w:left w:val="nil"/>
              <w:bottom w:val="nil"/>
              <w:right w:val="nil"/>
            </w:tcBorders>
          </w:tcPr>
          <w:p w:rsidR="00336793" w:rsidRPr="00127415" w:rsidRDefault="00336793" w:rsidP="00DF0B96">
            <w:pPr>
              <w:pStyle w:val="Tabletext"/>
              <w:rPr>
                <w:rFonts w:eastAsiaTheme="minorEastAsia"/>
                <w:sz w:val="21"/>
                <w:lang w:eastAsia="en-AU"/>
              </w:rPr>
            </w:pPr>
            <w:r w:rsidRPr="00127415">
              <w:rPr>
                <w:rFonts w:eastAsiaTheme="minorEastAsia"/>
                <w:sz w:val="21"/>
                <w:lang w:eastAsia="en-AU"/>
              </w:rPr>
              <w:t>Interest</w:t>
            </w:r>
            <w:r>
              <w:rPr>
                <w:rFonts w:eastAsiaTheme="minorEastAsia"/>
                <w:sz w:val="21"/>
                <w:lang w:eastAsia="en-AU"/>
              </w:rPr>
              <w:noBreakHyphen/>
            </w:r>
            <w:r w:rsidRPr="00127415">
              <w:rPr>
                <w:rFonts w:eastAsiaTheme="minorEastAsia"/>
                <w:sz w:val="21"/>
                <w:lang w:eastAsia="en-AU"/>
              </w:rPr>
              <w:t>bearing liabilities</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0.8</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8 167.3</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6.8</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7.4</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2 005.0</w:t>
            </w:r>
          </w:p>
        </w:tc>
        <w:tc>
          <w:tcPr>
            <w:tcW w:w="1176" w:type="dxa"/>
            <w:gridSpan w:val="2"/>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2 006.2</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13 766.5</w:t>
            </w:r>
          </w:p>
        </w:tc>
        <w:tc>
          <w:tcPr>
            <w:tcW w:w="1176" w:type="dxa"/>
            <w:tcBorders>
              <w:top w:val="nil"/>
              <w:left w:val="nil"/>
              <w:bottom w:val="nil"/>
              <w:right w:val="nil"/>
            </w:tcBorders>
          </w:tcPr>
          <w:p w:rsidR="00336793" w:rsidRPr="00127415" w:rsidRDefault="00336793" w:rsidP="00DF0B96">
            <w:pPr>
              <w:pStyle w:val="TableofFigures"/>
              <w:rPr>
                <w:rFonts w:eastAsiaTheme="minorEastAsia"/>
                <w:sz w:val="21"/>
                <w:lang w:eastAsia="en-AU"/>
              </w:rPr>
            </w:pPr>
            <w:r>
              <w:rPr>
                <w:rFonts w:eastAsiaTheme="minorEastAsia"/>
                <w:sz w:val="21"/>
                <w:lang w:eastAsia="en-AU"/>
              </w:rPr>
              <w:t>..</w:t>
            </w:r>
          </w:p>
        </w:tc>
        <w:tc>
          <w:tcPr>
            <w:tcW w:w="1176" w:type="dxa"/>
            <w:tcBorders>
              <w:top w:val="nil"/>
              <w:left w:val="nil"/>
              <w:bottom w:val="nil"/>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25 959.9</w:t>
            </w:r>
          </w:p>
        </w:tc>
      </w:tr>
      <w:tr w:rsidR="00336793" w:rsidRPr="00127415" w:rsidTr="00DF0B96">
        <w:tc>
          <w:tcPr>
            <w:tcW w:w="3986" w:type="dxa"/>
            <w:tcBorders>
              <w:top w:val="nil"/>
              <w:left w:val="nil"/>
              <w:bottom w:val="single" w:sz="6" w:space="0" w:color="auto"/>
              <w:right w:val="nil"/>
            </w:tcBorders>
          </w:tcPr>
          <w:p w:rsidR="00336793" w:rsidRPr="00127415" w:rsidRDefault="00336793" w:rsidP="00DF0B96">
            <w:pPr>
              <w:pStyle w:val="Tabletext"/>
              <w:rPr>
                <w:rFonts w:eastAsiaTheme="minorEastAsia"/>
                <w:sz w:val="21"/>
                <w:lang w:eastAsia="en-AU"/>
              </w:rPr>
            </w:pPr>
            <w:r w:rsidRPr="00127415">
              <w:rPr>
                <w:rFonts w:eastAsiaTheme="minorEastAsia"/>
                <w:sz w:val="21"/>
                <w:lang w:eastAsia="en-AU"/>
              </w:rPr>
              <w:t>Finance lease liabilities</w:t>
            </w:r>
          </w:p>
        </w:tc>
        <w:tc>
          <w:tcPr>
            <w:tcW w:w="1176" w:type="dxa"/>
            <w:tcBorders>
              <w:top w:val="nil"/>
              <w:left w:val="nil"/>
              <w:bottom w:val="single" w:sz="6" w:space="0" w:color="auto"/>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0.2</w:t>
            </w:r>
          </w:p>
        </w:tc>
        <w:tc>
          <w:tcPr>
            <w:tcW w:w="1176" w:type="dxa"/>
            <w:tcBorders>
              <w:top w:val="nil"/>
              <w:left w:val="nil"/>
              <w:bottom w:val="single" w:sz="6" w:space="0" w:color="auto"/>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196.4</w:t>
            </w:r>
          </w:p>
        </w:tc>
        <w:tc>
          <w:tcPr>
            <w:tcW w:w="1176" w:type="dxa"/>
            <w:tcBorders>
              <w:top w:val="nil"/>
              <w:left w:val="nil"/>
              <w:bottom w:val="single" w:sz="6" w:space="0" w:color="auto"/>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189.6</w:t>
            </w:r>
          </w:p>
        </w:tc>
        <w:tc>
          <w:tcPr>
            <w:tcW w:w="1176" w:type="dxa"/>
            <w:gridSpan w:val="2"/>
            <w:tcBorders>
              <w:top w:val="nil"/>
              <w:left w:val="nil"/>
              <w:bottom w:val="single" w:sz="6" w:space="0" w:color="auto"/>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196.6</w:t>
            </w:r>
          </w:p>
        </w:tc>
        <w:tc>
          <w:tcPr>
            <w:tcW w:w="1176" w:type="dxa"/>
            <w:tcBorders>
              <w:top w:val="nil"/>
              <w:left w:val="nil"/>
              <w:bottom w:val="single" w:sz="6" w:space="0" w:color="auto"/>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203.6</w:t>
            </w:r>
          </w:p>
        </w:tc>
        <w:tc>
          <w:tcPr>
            <w:tcW w:w="1176" w:type="dxa"/>
            <w:gridSpan w:val="2"/>
            <w:tcBorders>
              <w:top w:val="nil"/>
              <w:left w:val="nil"/>
              <w:bottom w:val="single" w:sz="6" w:space="0" w:color="auto"/>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257.5</w:t>
            </w:r>
          </w:p>
        </w:tc>
        <w:tc>
          <w:tcPr>
            <w:tcW w:w="1176" w:type="dxa"/>
            <w:tcBorders>
              <w:top w:val="nil"/>
              <w:left w:val="nil"/>
              <w:bottom w:val="single" w:sz="6" w:space="0" w:color="auto"/>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7 005.4</w:t>
            </w:r>
          </w:p>
        </w:tc>
        <w:tc>
          <w:tcPr>
            <w:tcW w:w="1176" w:type="dxa"/>
            <w:tcBorders>
              <w:top w:val="nil"/>
              <w:left w:val="nil"/>
              <w:bottom w:val="single" w:sz="6" w:space="0" w:color="auto"/>
              <w:right w:val="nil"/>
            </w:tcBorders>
          </w:tcPr>
          <w:p w:rsidR="00336793" w:rsidRPr="00127415" w:rsidRDefault="00336793" w:rsidP="00DF0B96">
            <w:pPr>
              <w:pStyle w:val="TableofFigures"/>
              <w:rPr>
                <w:rFonts w:eastAsiaTheme="minorEastAsia"/>
                <w:sz w:val="21"/>
                <w:lang w:eastAsia="en-AU"/>
              </w:rPr>
            </w:pPr>
            <w:r w:rsidRPr="00127415">
              <w:rPr>
                <w:rFonts w:eastAsiaTheme="minorEastAsia"/>
                <w:sz w:val="21"/>
                <w:lang w:eastAsia="en-AU"/>
              </w:rPr>
              <w:t xml:space="preserve"> 9.4</w:t>
            </w:r>
          </w:p>
        </w:tc>
        <w:tc>
          <w:tcPr>
            <w:tcW w:w="1176" w:type="dxa"/>
            <w:tcBorders>
              <w:top w:val="nil"/>
              <w:left w:val="nil"/>
              <w:bottom w:val="single" w:sz="6" w:space="0" w:color="auto"/>
              <w:right w:val="nil"/>
            </w:tcBorders>
          </w:tcPr>
          <w:p w:rsidR="00336793" w:rsidRPr="00127415" w:rsidRDefault="00336793" w:rsidP="00DF0B96">
            <w:pPr>
              <w:pStyle w:val="TableofFigures"/>
              <w:rPr>
                <w:rFonts w:eastAsiaTheme="minorEastAsia" w:cs="Calibri"/>
                <w:color w:val="000000"/>
                <w:sz w:val="21"/>
                <w:szCs w:val="22"/>
                <w:lang w:eastAsia="en-AU"/>
              </w:rPr>
            </w:pPr>
            <w:r w:rsidRPr="00127415">
              <w:rPr>
                <w:rFonts w:eastAsiaTheme="minorEastAsia"/>
                <w:sz w:val="21"/>
                <w:lang w:eastAsia="en-AU"/>
              </w:rPr>
              <w:t>8 058.6</w:t>
            </w:r>
          </w:p>
        </w:tc>
      </w:tr>
      <w:tr w:rsidR="00336793" w:rsidRPr="00127415" w:rsidTr="00DF0B96">
        <w:tc>
          <w:tcPr>
            <w:tcW w:w="3986" w:type="dxa"/>
            <w:tcBorders>
              <w:top w:val="single" w:sz="6" w:space="0" w:color="auto"/>
              <w:left w:val="nil"/>
              <w:bottom w:val="single" w:sz="12" w:space="0" w:color="000000"/>
              <w:right w:val="nil"/>
            </w:tcBorders>
            <w:shd w:val="clear" w:color="auto" w:fill="auto"/>
          </w:tcPr>
          <w:p w:rsidR="00336793" w:rsidRPr="00127415" w:rsidRDefault="00336793" w:rsidP="00DF0B96">
            <w:pPr>
              <w:pStyle w:val="Tabletext"/>
              <w:rPr>
                <w:rFonts w:eastAsiaTheme="minorEastAsia"/>
                <w:b/>
                <w:sz w:val="21"/>
                <w:lang w:eastAsia="en-AU"/>
              </w:rPr>
            </w:pPr>
            <w:r w:rsidRPr="00127415">
              <w:rPr>
                <w:rFonts w:eastAsiaTheme="minorEastAsia"/>
                <w:b/>
                <w:sz w:val="21"/>
                <w:lang w:eastAsia="en-AU"/>
              </w:rPr>
              <w:t>Total financial liabilities</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913.0</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pStyle w:val="TableofFigures"/>
              <w:rPr>
                <w:rFonts w:eastAsiaTheme="minorEastAsia" w:cs="Calibri"/>
                <w:b/>
                <w:bCs/>
                <w:color w:val="000000"/>
                <w:sz w:val="21"/>
                <w:szCs w:val="22"/>
                <w:lang w:eastAsia="en-AU"/>
              </w:rPr>
            </w:pPr>
            <w:r w:rsidRPr="00127415">
              <w:rPr>
                <w:rFonts w:eastAsiaTheme="minorEastAsia"/>
                <w:b/>
                <w:sz w:val="21"/>
                <w:lang w:eastAsia="en-AU"/>
              </w:rPr>
              <w:t>8 499.1</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210.8</w:t>
            </w:r>
          </w:p>
        </w:tc>
        <w:tc>
          <w:tcPr>
            <w:tcW w:w="1176" w:type="dxa"/>
            <w:gridSpan w:val="2"/>
            <w:tcBorders>
              <w:top w:val="single" w:sz="6" w:space="0" w:color="auto"/>
              <w:left w:val="nil"/>
              <w:bottom w:val="single" w:sz="12" w:space="0" w:color="000000"/>
              <w:right w:val="nil"/>
            </w:tcBorders>
            <w:shd w:val="clear" w:color="auto" w:fill="auto"/>
          </w:tcPr>
          <w:p w:rsidR="00336793" w:rsidRPr="00127415" w:rsidRDefault="00336793" w:rsidP="00DF0B96">
            <w:pPr>
              <w:pStyle w:val="TableofFigures"/>
              <w:rPr>
                <w:rFonts w:eastAsiaTheme="minorEastAsia"/>
                <w:b/>
                <w:sz w:val="21"/>
                <w:lang w:eastAsia="en-AU"/>
              </w:rPr>
            </w:pPr>
            <w:r w:rsidRPr="00127415">
              <w:rPr>
                <w:rFonts w:eastAsiaTheme="minorEastAsia"/>
                <w:b/>
                <w:sz w:val="21"/>
                <w:lang w:eastAsia="en-AU"/>
              </w:rPr>
              <w:t xml:space="preserve"> 205.9</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pStyle w:val="TableofFigures"/>
              <w:rPr>
                <w:rFonts w:eastAsiaTheme="minorEastAsia" w:cs="Calibri"/>
                <w:b/>
                <w:bCs/>
                <w:color w:val="000000"/>
                <w:sz w:val="21"/>
                <w:szCs w:val="22"/>
                <w:lang w:eastAsia="en-AU"/>
              </w:rPr>
            </w:pPr>
            <w:r w:rsidRPr="00127415">
              <w:rPr>
                <w:rFonts w:eastAsiaTheme="minorEastAsia"/>
                <w:b/>
                <w:sz w:val="21"/>
                <w:lang w:eastAsia="en-AU"/>
              </w:rPr>
              <w:t>2 210.6</w:t>
            </w:r>
          </w:p>
        </w:tc>
        <w:tc>
          <w:tcPr>
            <w:tcW w:w="1176" w:type="dxa"/>
            <w:gridSpan w:val="2"/>
            <w:tcBorders>
              <w:top w:val="single" w:sz="6" w:space="0" w:color="auto"/>
              <w:left w:val="nil"/>
              <w:bottom w:val="single" w:sz="12" w:space="0" w:color="000000"/>
              <w:right w:val="nil"/>
            </w:tcBorders>
            <w:shd w:val="clear" w:color="auto" w:fill="auto"/>
          </w:tcPr>
          <w:p w:rsidR="00336793" w:rsidRPr="00127415" w:rsidRDefault="00336793" w:rsidP="00DF0B96">
            <w:pPr>
              <w:pStyle w:val="TableofFigures"/>
              <w:rPr>
                <w:rFonts w:eastAsiaTheme="minorEastAsia" w:cs="Calibri"/>
                <w:b/>
                <w:bCs/>
                <w:color w:val="000000"/>
                <w:sz w:val="21"/>
                <w:szCs w:val="22"/>
                <w:lang w:eastAsia="en-AU"/>
              </w:rPr>
            </w:pPr>
            <w:r w:rsidRPr="00127415">
              <w:rPr>
                <w:rFonts w:eastAsiaTheme="minorEastAsia"/>
                <w:b/>
                <w:sz w:val="21"/>
                <w:lang w:eastAsia="en-AU"/>
              </w:rPr>
              <w:t>2 265.6</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pStyle w:val="TableofFigures"/>
              <w:rPr>
                <w:rFonts w:eastAsiaTheme="minorEastAsia" w:cs="Calibri"/>
                <w:b/>
                <w:bCs/>
                <w:color w:val="000000"/>
                <w:sz w:val="21"/>
                <w:szCs w:val="22"/>
                <w:lang w:eastAsia="en-AU"/>
              </w:rPr>
            </w:pPr>
            <w:r w:rsidRPr="00127415">
              <w:rPr>
                <w:rFonts w:eastAsiaTheme="minorEastAsia"/>
                <w:b/>
                <w:sz w:val="21"/>
                <w:lang w:eastAsia="en-AU"/>
              </w:rPr>
              <w:t>20 791.6</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pStyle w:val="TableofFigures"/>
              <w:rPr>
                <w:rFonts w:eastAsiaTheme="minorEastAsia" w:cs="Calibri"/>
                <w:b/>
                <w:bCs/>
                <w:color w:val="000000"/>
                <w:sz w:val="21"/>
                <w:szCs w:val="22"/>
                <w:lang w:eastAsia="en-AU"/>
              </w:rPr>
            </w:pPr>
            <w:r w:rsidRPr="00127415">
              <w:rPr>
                <w:rFonts w:eastAsiaTheme="minorEastAsia"/>
                <w:b/>
                <w:sz w:val="21"/>
                <w:lang w:eastAsia="en-AU"/>
              </w:rPr>
              <w:t>2 820.2</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pStyle w:val="TableofFigures"/>
              <w:rPr>
                <w:rFonts w:eastAsiaTheme="minorEastAsia" w:cs="Calibri"/>
                <w:b/>
                <w:bCs/>
                <w:color w:val="000000"/>
                <w:sz w:val="21"/>
                <w:szCs w:val="22"/>
                <w:lang w:eastAsia="en-AU"/>
              </w:rPr>
            </w:pPr>
            <w:r w:rsidRPr="00127415">
              <w:rPr>
                <w:rFonts w:eastAsiaTheme="minorEastAsia"/>
                <w:b/>
                <w:sz w:val="21"/>
                <w:lang w:eastAsia="en-AU"/>
              </w:rPr>
              <w:t>37 916.7</w:t>
            </w:r>
          </w:p>
        </w:tc>
      </w:tr>
    </w:tbl>
    <w:p w:rsidR="00336793" w:rsidRDefault="00336793" w:rsidP="00DF0B96">
      <w:pPr>
        <w:pStyle w:val="Notes"/>
      </w:pPr>
    </w:p>
    <w:p w:rsidR="00336793" w:rsidRDefault="00336793">
      <w:pPr>
        <w:spacing w:after="0"/>
        <w:rPr>
          <w:rFonts w:ascii="Calibri" w:hAnsi="Calibri"/>
          <w:i/>
          <w:sz w:val="20"/>
          <w:szCs w:val="18"/>
        </w:rPr>
      </w:pPr>
      <w:r>
        <w:br w:type="page"/>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E0167" w:rsidRDefault="00336793" w:rsidP="00DF0B96">
      <w:pPr>
        <w:pStyle w:val="Heading5"/>
        <w:rPr>
          <w:i/>
        </w:rPr>
      </w:pPr>
      <w:r w:rsidRPr="006A75A2">
        <w:t>(f)</w:t>
      </w:r>
      <w:r w:rsidRPr="006A75A2">
        <w:tab/>
        <w:t>Interest rate exposure</w:t>
      </w:r>
      <w:r>
        <w:t xml:space="preserve"> </w:t>
      </w:r>
      <w:r>
        <w:rPr>
          <w:i/>
        </w:rPr>
        <w:t>(continued)</w:t>
      </w:r>
    </w:p>
    <w:p w:rsidR="00336793" w:rsidRPr="00A10A3B"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3986"/>
        <w:gridCol w:w="1176"/>
        <w:gridCol w:w="1176"/>
        <w:gridCol w:w="1176"/>
        <w:gridCol w:w="236"/>
        <w:gridCol w:w="940"/>
        <w:gridCol w:w="1176"/>
        <w:gridCol w:w="924"/>
        <w:gridCol w:w="252"/>
        <w:gridCol w:w="1176"/>
        <w:gridCol w:w="1176"/>
        <w:gridCol w:w="1176"/>
      </w:tblGrid>
      <w:tr w:rsidR="00336793" w:rsidRPr="00127415" w:rsidTr="00DF0B96">
        <w:trPr>
          <w:tblHeader/>
        </w:trPr>
        <w:tc>
          <w:tcPr>
            <w:tcW w:w="3986" w:type="dxa"/>
            <w:tcBorders>
              <w:top w:val="single" w:sz="6" w:space="0" w:color="auto"/>
              <w:left w:val="single" w:sz="6" w:space="0" w:color="auto"/>
              <w:bottom w:val="nil"/>
              <w:right w:val="nil"/>
            </w:tcBorders>
            <w:shd w:val="clear" w:color="000000" w:fill="000000"/>
            <w:vAlign w:val="bottom"/>
          </w:tcPr>
          <w:p w:rsidR="00336793" w:rsidRPr="00127415" w:rsidRDefault="00336793" w:rsidP="00DF0B96">
            <w:pPr>
              <w:pStyle w:val="Tabletextheading"/>
              <w:jc w:val="left"/>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color w:val="FFFFFF"/>
                <w:sz w:val="21"/>
                <w:lang w:eastAsia="en-AU"/>
              </w:rPr>
            </w:pPr>
            <w:r w:rsidRPr="00127415">
              <w:rPr>
                <w:rFonts w:eastAsiaTheme="minorEastAsia"/>
                <w:color w:val="FFFFFF"/>
                <w:sz w:val="21"/>
                <w:lang w:eastAsia="en-AU"/>
              </w:rPr>
              <w:t xml:space="preserve">  </w:t>
            </w:r>
          </w:p>
        </w:tc>
        <w:tc>
          <w:tcPr>
            <w:tcW w:w="23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color w:val="FFFFFF"/>
                <w:sz w:val="21"/>
                <w:lang w:eastAsia="en-AU"/>
              </w:rPr>
            </w:pPr>
            <w:r w:rsidRPr="00127415">
              <w:rPr>
                <w:rFonts w:eastAsiaTheme="minorEastAsia"/>
                <w:color w:val="FFFFFF"/>
                <w:sz w:val="21"/>
                <w:lang w:eastAsia="en-AU"/>
              </w:rPr>
              <w:t xml:space="preserve"> </w:t>
            </w:r>
          </w:p>
        </w:tc>
        <w:tc>
          <w:tcPr>
            <w:tcW w:w="3040" w:type="dxa"/>
            <w:gridSpan w:val="3"/>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color w:val="FFFFFF"/>
                <w:sz w:val="21"/>
                <w:lang w:eastAsia="en-AU"/>
              </w:rPr>
            </w:pPr>
            <w:r w:rsidRPr="00127415">
              <w:rPr>
                <w:rFonts w:eastAsiaTheme="minorEastAsia"/>
                <w:color w:val="FFFFFF"/>
                <w:sz w:val="21"/>
                <w:lang w:eastAsia="en-AU"/>
              </w:rPr>
              <w:t>Interest rate, fixed maturities</w:t>
            </w:r>
          </w:p>
        </w:tc>
        <w:tc>
          <w:tcPr>
            <w:tcW w:w="252"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top w:val="single" w:sz="6" w:space="0" w:color="auto"/>
              <w:left w:val="nil"/>
              <w:bottom w:val="nil"/>
              <w:right w:val="nil"/>
            </w:tcBorders>
            <w:shd w:val="clear" w:color="000000" w:fill="000000"/>
            <w:vAlign w:val="bottom"/>
          </w:tcPr>
          <w:p w:rsidR="00336793" w:rsidRPr="00127415" w:rsidRDefault="00336793" w:rsidP="00DF0B96">
            <w:pPr>
              <w:pStyle w:val="Tabletextheading"/>
              <w:jc w:val="center"/>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top w:val="single" w:sz="6" w:space="0" w:color="auto"/>
              <w:left w:val="nil"/>
              <w:bottom w:val="nil"/>
              <w:right w:val="single" w:sz="6" w:space="0" w:color="auto"/>
            </w:tcBorders>
            <w:shd w:val="clear" w:color="000000" w:fill="000000"/>
            <w:vAlign w:val="bottom"/>
          </w:tcPr>
          <w:p w:rsidR="00336793" w:rsidRPr="00127415" w:rsidRDefault="00336793" w:rsidP="00DF0B96">
            <w:pPr>
              <w:pStyle w:val="Tabletextheading"/>
              <w:jc w:val="center"/>
              <w:rPr>
                <w:rFonts w:eastAsiaTheme="minorEastAsia"/>
                <w:color w:val="FFFFFF"/>
                <w:sz w:val="21"/>
                <w:lang w:eastAsia="en-AU"/>
              </w:rPr>
            </w:pPr>
            <w:r w:rsidRPr="00127415">
              <w:rPr>
                <w:rFonts w:eastAsiaTheme="minorEastAsia"/>
                <w:color w:val="FFFFFF"/>
                <w:sz w:val="21"/>
                <w:lang w:eastAsia="en-AU"/>
              </w:rPr>
              <w:t xml:space="preserve"> </w:t>
            </w:r>
          </w:p>
        </w:tc>
      </w:tr>
      <w:tr w:rsidR="00336793" w:rsidRPr="00127415" w:rsidTr="00DF0B96">
        <w:trPr>
          <w:tblHeader/>
        </w:trPr>
        <w:tc>
          <w:tcPr>
            <w:tcW w:w="3986" w:type="dxa"/>
            <w:tcBorders>
              <w:left w:val="single" w:sz="6" w:space="0" w:color="auto"/>
              <w:bottom w:val="nil"/>
              <w:right w:val="nil"/>
            </w:tcBorders>
            <w:shd w:val="clear" w:color="000000" w:fill="000000"/>
            <w:vAlign w:val="bottom"/>
          </w:tcPr>
          <w:p w:rsidR="00336793" w:rsidRPr="00127415" w:rsidRDefault="00336793" w:rsidP="00DF0B96">
            <w:pPr>
              <w:pStyle w:val="Tabletextheading"/>
              <w:jc w:val="left"/>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1 year </w:t>
            </w:r>
          </w:p>
        </w:tc>
        <w:tc>
          <w:tcPr>
            <w:tcW w:w="1176" w:type="dxa"/>
            <w:gridSpan w:val="2"/>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2 years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3 years </w:t>
            </w:r>
          </w:p>
        </w:tc>
        <w:tc>
          <w:tcPr>
            <w:tcW w:w="1176" w:type="dxa"/>
            <w:gridSpan w:val="2"/>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4 years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left w:val="nil"/>
              <w:bottom w:val="nil"/>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w:t>
            </w:r>
          </w:p>
        </w:tc>
        <w:tc>
          <w:tcPr>
            <w:tcW w:w="1176" w:type="dxa"/>
            <w:tcBorders>
              <w:left w:val="nil"/>
              <w:bottom w:val="nil"/>
              <w:right w:val="single" w:sz="6" w:space="0" w:color="auto"/>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 </w:t>
            </w:r>
          </w:p>
        </w:tc>
      </w:tr>
      <w:tr w:rsidR="00336793" w:rsidRPr="00127415" w:rsidTr="00DF0B96">
        <w:trPr>
          <w:tblHeader/>
        </w:trPr>
        <w:tc>
          <w:tcPr>
            <w:tcW w:w="3986" w:type="dxa"/>
            <w:tcBorders>
              <w:top w:val="nil"/>
              <w:left w:val="single" w:sz="6" w:space="0" w:color="auto"/>
              <w:bottom w:val="single" w:sz="6" w:space="0" w:color="auto"/>
              <w:right w:val="nil"/>
            </w:tcBorders>
            <w:shd w:val="clear" w:color="000000" w:fill="000000"/>
            <w:vAlign w:val="bottom"/>
          </w:tcPr>
          <w:p w:rsidR="00336793" w:rsidRPr="00127415" w:rsidRDefault="00336793" w:rsidP="00DF0B96">
            <w:pPr>
              <w:pStyle w:val="Tabletextheading"/>
              <w:jc w:val="left"/>
              <w:rPr>
                <w:rFonts w:eastAsiaTheme="minorEastAsia"/>
                <w:color w:val="FFFFFF"/>
                <w:sz w:val="21"/>
                <w:lang w:eastAsia="en-AU"/>
              </w:rPr>
            </w:pPr>
            <w:r w:rsidRPr="00127415">
              <w:rPr>
                <w:rFonts w:eastAsiaTheme="minorEastAsia"/>
                <w:color w:val="FFFFFF"/>
                <w:sz w:val="21"/>
                <w:lang w:eastAsia="en-AU"/>
              </w:rPr>
              <w:t>2014</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Floating</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Less than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1 year</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but less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than 2 years</w:t>
            </w:r>
          </w:p>
        </w:tc>
        <w:tc>
          <w:tcPr>
            <w:tcW w:w="1176" w:type="dxa"/>
            <w:gridSpan w:val="2"/>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but less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than 3 years</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but less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than 4 years</w:t>
            </w:r>
          </w:p>
        </w:tc>
        <w:tc>
          <w:tcPr>
            <w:tcW w:w="1176" w:type="dxa"/>
            <w:gridSpan w:val="2"/>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but less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than 5 years</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 xml:space="preserve">5 years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or more</w:t>
            </w:r>
          </w:p>
        </w:tc>
        <w:tc>
          <w:tcPr>
            <w:tcW w:w="1176" w:type="dxa"/>
            <w:tcBorders>
              <w:top w:val="nil"/>
              <w:left w:val="nil"/>
              <w:bottom w:val="single" w:sz="6" w:space="0" w:color="auto"/>
              <w:right w:val="nil"/>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Non</w:t>
            </w:r>
            <w:r>
              <w:rPr>
                <w:rFonts w:eastAsiaTheme="minorEastAsia"/>
                <w:color w:val="FFFFFF"/>
                <w:sz w:val="21"/>
                <w:lang w:eastAsia="en-AU"/>
              </w:rPr>
              <w:noBreakHyphen/>
            </w:r>
            <w:r w:rsidRPr="00127415">
              <w:rPr>
                <w:rFonts w:eastAsiaTheme="minorEastAsia"/>
                <w:color w:val="FFFFFF"/>
                <w:sz w:val="21"/>
                <w:lang w:eastAsia="en-AU"/>
              </w:rPr>
              <w:t xml:space="preserve">interest </w:t>
            </w: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bearing</w:t>
            </w:r>
          </w:p>
        </w:tc>
        <w:tc>
          <w:tcPr>
            <w:tcW w:w="1176" w:type="dxa"/>
            <w:tcBorders>
              <w:top w:val="nil"/>
              <w:left w:val="nil"/>
              <w:bottom w:val="single" w:sz="6" w:space="0" w:color="auto"/>
              <w:right w:val="single" w:sz="6" w:space="0" w:color="auto"/>
            </w:tcBorders>
            <w:shd w:val="clear" w:color="000000" w:fill="000000"/>
            <w:vAlign w:val="bottom"/>
          </w:tcPr>
          <w:p w:rsidR="00336793" w:rsidRPr="00127415" w:rsidRDefault="00336793" w:rsidP="00DF0B96">
            <w:pPr>
              <w:pStyle w:val="Tabletextheading"/>
              <w:rPr>
                <w:rFonts w:eastAsiaTheme="minorEastAsia"/>
                <w:color w:val="FFFFFF"/>
                <w:sz w:val="21"/>
                <w:lang w:eastAsia="en-AU"/>
              </w:rPr>
            </w:pPr>
          </w:p>
          <w:p w:rsidR="00336793" w:rsidRPr="00127415" w:rsidRDefault="00336793" w:rsidP="00DF0B96">
            <w:pPr>
              <w:pStyle w:val="Tabletextheading"/>
              <w:rPr>
                <w:rFonts w:eastAsiaTheme="minorEastAsia"/>
                <w:color w:val="FFFFFF"/>
                <w:sz w:val="21"/>
                <w:lang w:eastAsia="en-AU"/>
              </w:rPr>
            </w:pPr>
            <w:r w:rsidRPr="00127415">
              <w:rPr>
                <w:rFonts w:eastAsiaTheme="minorEastAsia"/>
                <w:color w:val="FFFFFF"/>
                <w:sz w:val="21"/>
                <w:lang w:eastAsia="en-AU"/>
              </w:rPr>
              <w:t>Total</w:t>
            </w:r>
          </w:p>
        </w:tc>
      </w:tr>
      <w:tr w:rsidR="00336793" w:rsidRPr="00127415" w:rsidTr="00DF0B96">
        <w:tc>
          <w:tcPr>
            <w:tcW w:w="3986" w:type="dxa"/>
            <w:gridSpan w:val="3"/>
            <w:tcBorders>
              <w:top w:val="single" w:sz="6" w:space="0" w:color="auto"/>
              <w:left w:val="nil"/>
              <w:bottom w:val="nil"/>
              <w:right w:val="nil"/>
            </w:tcBorders>
          </w:tcPr>
          <w:p w:rsidR="00336793" w:rsidRPr="00127415" w:rsidRDefault="00336793" w:rsidP="00DF0B96">
            <w:pPr>
              <w:autoSpaceDE w:val="0"/>
              <w:autoSpaceDN w:val="0"/>
              <w:adjustRightInd w:val="0"/>
              <w:spacing w:after="0"/>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Financial assets</w:t>
            </w:r>
          </w:p>
        </w:tc>
        <w:tc>
          <w:tcPr>
            <w:tcW w:w="1176" w:type="dxa"/>
            <w:tcBorders>
              <w:top w:val="single" w:sz="6" w:space="0" w:color="auto"/>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76" w:type="dxa"/>
            <w:gridSpan w:val="2"/>
            <w:tcBorders>
              <w:top w:val="single" w:sz="6" w:space="0" w:color="auto"/>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76" w:type="dxa"/>
            <w:tcBorders>
              <w:top w:val="single" w:sz="6" w:space="0" w:color="auto"/>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76" w:type="dxa"/>
            <w:gridSpan w:val="2"/>
            <w:tcBorders>
              <w:top w:val="single" w:sz="6" w:space="0" w:color="auto"/>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76" w:type="dxa"/>
            <w:tcBorders>
              <w:top w:val="single" w:sz="6" w:space="0" w:color="auto"/>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76" w:type="dxa"/>
            <w:tcBorders>
              <w:top w:val="single" w:sz="6" w:space="0" w:color="auto"/>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76" w:type="dxa"/>
            <w:tcBorders>
              <w:top w:val="single" w:sz="6" w:space="0" w:color="auto"/>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r>
      <w:tr w:rsidR="00336793" w:rsidRPr="00127415" w:rsidTr="00DF0B96">
        <w:tc>
          <w:tcPr>
            <w:tcW w:w="3986" w:type="dxa"/>
            <w:tcBorders>
              <w:top w:val="nil"/>
              <w:left w:val="nil"/>
              <w:bottom w:val="nil"/>
              <w:right w:val="nil"/>
            </w:tcBorders>
            <w:shd w:val="solid" w:color="FFFFFF" w:fill="auto"/>
          </w:tcPr>
          <w:p w:rsidR="00336793" w:rsidRPr="00127415" w:rsidRDefault="00336793" w:rsidP="00DF0B96">
            <w:pPr>
              <w:autoSpaceDE w:val="0"/>
              <w:autoSpaceDN w:val="0"/>
              <w:adjustRightInd w:val="0"/>
              <w:spacing w:after="0"/>
              <w:rPr>
                <w:rFonts w:ascii="Calibri" w:eastAsiaTheme="minorEastAsia" w:hAnsi="Calibri" w:cs="Calibri"/>
                <w:color w:val="000000"/>
                <w:sz w:val="21"/>
                <w:szCs w:val="22"/>
                <w:vertAlign w:val="superscript"/>
                <w:lang w:eastAsia="en-AU"/>
              </w:rPr>
            </w:pPr>
            <w:r w:rsidRPr="00127415">
              <w:rPr>
                <w:rFonts w:ascii="Calibri" w:eastAsiaTheme="minorEastAsia" w:hAnsi="Calibri" w:cs="Calibri"/>
                <w:sz w:val="21"/>
                <w:szCs w:val="22"/>
                <w:lang w:eastAsia="en-AU"/>
              </w:rPr>
              <w:t>Cash and deposits</w:t>
            </w:r>
            <w:r w:rsidRPr="00127415">
              <w:rPr>
                <w:rFonts w:ascii="Calibri" w:eastAsiaTheme="minorEastAsia" w:hAnsi="Calibri" w:cs="Calibri"/>
                <w:sz w:val="21"/>
                <w:szCs w:val="22"/>
                <w:vertAlign w:val="superscript"/>
                <w:lang w:eastAsia="en-AU"/>
              </w:rPr>
              <w:t>(</w:t>
            </w:r>
            <w:r w:rsidRPr="00127415">
              <w:rPr>
                <w:rFonts w:ascii="Calibri" w:eastAsiaTheme="minorEastAsia" w:hAnsi="Calibri" w:cs="Calibri"/>
                <w:color w:val="000000"/>
                <w:sz w:val="21"/>
                <w:szCs w:val="22"/>
                <w:vertAlign w:val="superscript"/>
                <w:lang w:eastAsia="en-AU"/>
              </w:rPr>
              <w:t>a)</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3 574.9</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848.7</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158.7</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4 582.2</w:t>
            </w:r>
          </w:p>
        </w:tc>
      </w:tr>
      <w:tr w:rsidR="00336793" w:rsidRPr="00127415" w:rsidTr="00DF0B96">
        <w:tc>
          <w:tcPr>
            <w:tcW w:w="3986" w:type="dxa"/>
            <w:tcBorders>
              <w:top w:val="nil"/>
              <w:left w:val="nil"/>
              <w:bottom w:val="nil"/>
              <w:right w:val="nil"/>
            </w:tcBorders>
          </w:tcPr>
          <w:p w:rsidR="00336793" w:rsidRPr="00127415" w:rsidRDefault="00336793" w:rsidP="00DF0B96">
            <w:pPr>
              <w:autoSpaceDE w:val="0"/>
              <w:autoSpaceDN w:val="0"/>
              <w:adjustRightInd w:val="0"/>
              <w:spacing w:after="0"/>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Receivables</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11.6</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154.3</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42.4</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33.8</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35.8</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37.9</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175.4</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1 204.4</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1 695.6</w:t>
            </w:r>
          </w:p>
        </w:tc>
      </w:tr>
      <w:tr w:rsidR="00336793" w:rsidRPr="00127415" w:rsidTr="00DF0B96">
        <w:tc>
          <w:tcPr>
            <w:tcW w:w="3986" w:type="dxa"/>
            <w:tcBorders>
              <w:top w:val="nil"/>
              <w:left w:val="nil"/>
              <w:bottom w:val="nil"/>
              <w:right w:val="nil"/>
            </w:tcBorders>
          </w:tcPr>
          <w:p w:rsidR="00336793" w:rsidRPr="00127415" w:rsidRDefault="00336793" w:rsidP="00DF0B96">
            <w:pPr>
              <w:autoSpaceDE w:val="0"/>
              <w:autoSpaceDN w:val="0"/>
              <w:adjustRightInd w:val="0"/>
              <w:spacing w:after="0"/>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Advances paid</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50.4</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55.6</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44.8</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54.1</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58.2</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4 301.4</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22.4</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4 586.9</w:t>
            </w:r>
          </w:p>
        </w:tc>
      </w:tr>
      <w:tr w:rsidR="00336793" w:rsidRPr="00127415" w:rsidTr="00DF0B96">
        <w:tc>
          <w:tcPr>
            <w:tcW w:w="3986" w:type="dxa"/>
            <w:tcBorders>
              <w:top w:val="nil"/>
              <w:left w:val="nil"/>
              <w:bottom w:val="nil"/>
              <w:right w:val="nil"/>
            </w:tcBorders>
            <w:shd w:val="solid" w:color="FFFFFF" w:fill="auto"/>
          </w:tcPr>
          <w:p w:rsidR="00336793" w:rsidRPr="00127415" w:rsidRDefault="00336793" w:rsidP="00DF0B96">
            <w:pPr>
              <w:autoSpaceDE w:val="0"/>
              <w:autoSpaceDN w:val="0"/>
              <w:adjustRightInd w:val="0"/>
              <w:spacing w:after="0"/>
              <w:rPr>
                <w:rFonts w:ascii="Calibri" w:eastAsiaTheme="minorEastAsia" w:hAnsi="Calibri" w:cs="Calibri"/>
                <w:color w:val="000000"/>
                <w:sz w:val="21"/>
                <w:szCs w:val="22"/>
                <w:vertAlign w:val="superscript"/>
                <w:lang w:eastAsia="en-AU"/>
              </w:rPr>
            </w:pPr>
            <w:r w:rsidRPr="00127415">
              <w:rPr>
                <w:rFonts w:ascii="Calibri" w:eastAsiaTheme="minorEastAsia" w:hAnsi="Calibri" w:cs="Calibri"/>
                <w:sz w:val="21"/>
                <w:szCs w:val="22"/>
                <w:lang w:eastAsia="en-AU"/>
              </w:rPr>
              <w:t>Term deposits</w:t>
            </w:r>
            <w:r w:rsidRPr="00127415">
              <w:rPr>
                <w:rFonts w:ascii="Calibri" w:eastAsiaTheme="minorEastAsia" w:hAnsi="Calibri" w:cs="Calibri"/>
                <w:sz w:val="21"/>
                <w:szCs w:val="22"/>
                <w:vertAlign w:val="superscript"/>
                <w:lang w:eastAsia="en-AU"/>
              </w:rPr>
              <w:t>(</w:t>
            </w:r>
            <w:r w:rsidRPr="00127415">
              <w:rPr>
                <w:rFonts w:ascii="Calibri" w:eastAsiaTheme="minorEastAsia" w:hAnsi="Calibri" w:cs="Calibri"/>
                <w:color w:val="000000"/>
                <w:sz w:val="21"/>
                <w:szCs w:val="22"/>
                <w:vertAlign w:val="superscript"/>
                <w:lang w:eastAsia="en-AU"/>
              </w:rPr>
              <w:t>a)</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335.4</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1 649.2</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33.5</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4.5</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1.8</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4.1</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4.3</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0.3</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2 033.1</w:t>
            </w:r>
          </w:p>
        </w:tc>
      </w:tr>
      <w:tr w:rsidR="00336793" w:rsidRPr="00127415" w:rsidTr="00DF0B96">
        <w:tc>
          <w:tcPr>
            <w:tcW w:w="3986" w:type="dxa"/>
            <w:tcBorders>
              <w:top w:val="nil"/>
              <w:left w:val="nil"/>
              <w:bottom w:val="nil"/>
              <w:right w:val="nil"/>
            </w:tcBorders>
          </w:tcPr>
          <w:p w:rsidR="00336793" w:rsidRPr="00127415" w:rsidRDefault="00336793" w:rsidP="00DF0B96">
            <w:pPr>
              <w:autoSpaceDE w:val="0"/>
              <w:autoSpaceDN w:val="0"/>
              <w:adjustRightInd w:val="0"/>
              <w:spacing w:after="0"/>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Derivative financial instruments</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r>
      <w:tr w:rsidR="00336793" w:rsidRPr="00127415" w:rsidTr="00DF0B96">
        <w:tc>
          <w:tcPr>
            <w:tcW w:w="3986" w:type="dxa"/>
            <w:tcBorders>
              <w:top w:val="nil"/>
              <w:left w:val="nil"/>
              <w:bottom w:val="nil"/>
              <w:right w:val="nil"/>
            </w:tcBorders>
          </w:tcPr>
          <w:p w:rsidR="00336793" w:rsidRPr="00127415" w:rsidRDefault="00336793" w:rsidP="00DF0B96">
            <w:pPr>
              <w:autoSpaceDE w:val="0"/>
              <w:autoSpaceDN w:val="0"/>
              <w:adjustRightInd w:val="0"/>
              <w:spacing w:after="0"/>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Equities and managed investment schemes</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348.6</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166.1</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0.6</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436.9</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952.2</w:t>
            </w:r>
          </w:p>
        </w:tc>
      </w:tr>
      <w:tr w:rsidR="00336793" w:rsidRPr="00127415" w:rsidTr="00DF0B96">
        <w:tc>
          <w:tcPr>
            <w:tcW w:w="3986" w:type="dxa"/>
            <w:tcBorders>
              <w:top w:val="nil"/>
              <w:left w:val="nil"/>
              <w:bottom w:val="nil"/>
              <w:right w:val="nil"/>
            </w:tcBorders>
          </w:tcPr>
          <w:p w:rsidR="00336793" w:rsidRPr="00127415" w:rsidRDefault="00336793" w:rsidP="00DF0B96">
            <w:pPr>
              <w:autoSpaceDE w:val="0"/>
              <w:autoSpaceDN w:val="0"/>
              <w:adjustRightInd w:val="0"/>
              <w:spacing w:after="0"/>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Debt securities</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2.1</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4.5</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14.3</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5.0</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0.6</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22.3</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2.3</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51.0</w:t>
            </w:r>
          </w:p>
        </w:tc>
      </w:tr>
      <w:tr w:rsidR="00336793" w:rsidRPr="00127415" w:rsidTr="00DF0B96">
        <w:tc>
          <w:tcPr>
            <w:tcW w:w="3986" w:type="dxa"/>
            <w:tcBorders>
              <w:top w:val="single" w:sz="6" w:space="0" w:color="auto"/>
              <w:left w:val="nil"/>
              <w:bottom w:val="single" w:sz="6" w:space="0" w:color="auto"/>
              <w:right w:val="nil"/>
            </w:tcBorders>
          </w:tcPr>
          <w:p w:rsidR="00336793" w:rsidRPr="00127415" w:rsidRDefault="00336793" w:rsidP="00DF0B96">
            <w:pPr>
              <w:autoSpaceDE w:val="0"/>
              <w:autoSpaceDN w:val="0"/>
              <w:adjustRightInd w:val="0"/>
              <w:spacing w:after="0"/>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Total financial assets</w:t>
            </w:r>
          </w:p>
        </w:tc>
        <w:tc>
          <w:tcPr>
            <w:tcW w:w="1176" w:type="dxa"/>
            <w:tcBorders>
              <w:top w:val="single" w:sz="6" w:space="0" w:color="auto"/>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4 270.4</w:t>
            </w:r>
          </w:p>
        </w:tc>
        <w:tc>
          <w:tcPr>
            <w:tcW w:w="1176" w:type="dxa"/>
            <w:tcBorders>
              <w:top w:val="single" w:sz="6" w:space="0" w:color="auto"/>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2 870.7</w:t>
            </w:r>
          </w:p>
        </w:tc>
        <w:tc>
          <w:tcPr>
            <w:tcW w:w="1176" w:type="dxa"/>
            <w:tcBorders>
              <w:top w:val="single" w:sz="6" w:space="0" w:color="auto"/>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 xml:space="preserve"> 135.9</w:t>
            </w:r>
          </w:p>
        </w:tc>
        <w:tc>
          <w:tcPr>
            <w:tcW w:w="1176" w:type="dxa"/>
            <w:gridSpan w:val="2"/>
            <w:tcBorders>
              <w:top w:val="single" w:sz="6" w:space="0" w:color="auto"/>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 xml:space="preserve"> 98.0</w:t>
            </w:r>
          </w:p>
        </w:tc>
        <w:tc>
          <w:tcPr>
            <w:tcW w:w="1176" w:type="dxa"/>
            <w:tcBorders>
              <w:top w:val="single" w:sz="6" w:space="0" w:color="auto"/>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 xml:space="preserve"> 96.7</w:t>
            </w:r>
          </w:p>
        </w:tc>
        <w:tc>
          <w:tcPr>
            <w:tcW w:w="1176" w:type="dxa"/>
            <w:gridSpan w:val="2"/>
            <w:tcBorders>
              <w:top w:val="single" w:sz="6" w:space="0" w:color="auto"/>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 xml:space="preserve"> 100.8</w:t>
            </w:r>
          </w:p>
        </w:tc>
        <w:tc>
          <w:tcPr>
            <w:tcW w:w="1176" w:type="dxa"/>
            <w:tcBorders>
              <w:top w:val="single" w:sz="6" w:space="0" w:color="auto"/>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4 503.5</w:t>
            </w:r>
          </w:p>
        </w:tc>
        <w:tc>
          <w:tcPr>
            <w:tcW w:w="1176" w:type="dxa"/>
            <w:tcBorders>
              <w:top w:val="single" w:sz="6" w:space="0" w:color="auto"/>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1 825.0</w:t>
            </w:r>
          </w:p>
        </w:tc>
        <w:tc>
          <w:tcPr>
            <w:tcW w:w="1176" w:type="dxa"/>
            <w:tcBorders>
              <w:top w:val="single" w:sz="6" w:space="0" w:color="auto"/>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13 901.0</w:t>
            </w:r>
          </w:p>
        </w:tc>
      </w:tr>
      <w:tr w:rsidR="00336793" w:rsidRPr="00127415" w:rsidTr="00DF0B96">
        <w:tc>
          <w:tcPr>
            <w:tcW w:w="3986" w:type="dxa"/>
            <w:gridSpan w:val="4"/>
            <w:tcBorders>
              <w:top w:val="nil"/>
              <w:left w:val="nil"/>
              <w:bottom w:val="nil"/>
              <w:right w:val="nil"/>
            </w:tcBorders>
          </w:tcPr>
          <w:p w:rsidR="00336793" w:rsidRPr="00127415" w:rsidRDefault="00336793" w:rsidP="00DF0B96">
            <w:pPr>
              <w:autoSpaceDE w:val="0"/>
              <w:autoSpaceDN w:val="0"/>
              <w:adjustRightInd w:val="0"/>
              <w:spacing w:after="0"/>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Financial liabilities</w:t>
            </w:r>
          </w:p>
        </w:tc>
        <w:tc>
          <w:tcPr>
            <w:tcW w:w="1176" w:type="dxa"/>
            <w:gridSpan w:val="2"/>
            <w:tcBorders>
              <w:top w:val="nil"/>
              <w:left w:val="nil"/>
              <w:bottom w:val="nil"/>
              <w:right w:val="nil"/>
            </w:tcBorders>
            <w:shd w:val="solid" w:color="FFFFFF" w:fill="auto"/>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p>
        </w:tc>
      </w:tr>
      <w:tr w:rsidR="00336793" w:rsidRPr="00127415" w:rsidTr="00DF0B96">
        <w:tc>
          <w:tcPr>
            <w:tcW w:w="3986" w:type="dxa"/>
            <w:tcBorders>
              <w:top w:val="nil"/>
              <w:left w:val="nil"/>
              <w:bottom w:val="nil"/>
              <w:right w:val="nil"/>
            </w:tcBorders>
          </w:tcPr>
          <w:p w:rsidR="00336793" w:rsidRPr="00127415" w:rsidRDefault="00336793" w:rsidP="00DF0B96">
            <w:pPr>
              <w:autoSpaceDE w:val="0"/>
              <w:autoSpaceDN w:val="0"/>
              <w:adjustRightInd w:val="0"/>
              <w:spacing w:after="0"/>
              <w:rPr>
                <w:rFonts w:ascii="Calibri" w:eastAsiaTheme="minorEastAsia" w:hAnsi="Calibri" w:cs="Calibri"/>
                <w:color w:val="000000"/>
                <w:sz w:val="21"/>
                <w:szCs w:val="22"/>
                <w:vertAlign w:val="superscript"/>
                <w:lang w:eastAsia="en-AU"/>
              </w:rPr>
            </w:pPr>
            <w:r w:rsidRPr="00127415">
              <w:rPr>
                <w:rFonts w:ascii="Calibri" w:eastAsiaTheme="minorEastAsia" w:hAnsi="Calibri" w:cs="Calibri"/>
                <w:sz w:val="21"/>
                <w:szCs w:val="22"/>
                <w:lang w:eastAsia="en-AU"/>
              </w:rPr>
              <w:t>Payables, deposits held and advances received</w:t>
            </w:r>
            <w:r w:rsidRPr="00127415">
              <w:rPr>
                <w:rFonts w:ascii="Calibri" w:eastAsiaTheme="minorEastAsia" w:hAnsi="Calibri" w:cs="Calibri"/>
                <w:sz w:val="21"/>
                <w:szCs w:val="22"/>
                <w:vertAlign w:val="superscript"/>
                <w:lang w:eastAsia="en-AU"/>
              </w:rPr>
              <w:t>(</w:t>
            </w:r>
            <w:r w:rsidRPr="00127415">
              <w:rPr>
                <w:rFonts w:ascii="Calibri" w:eastAsiaTheme="minorEastAsia" w:hAnsi="Calibri" w:cs="Calibri"/>
                <w:color w:val="000000"/>
                <w:sz w:val="21"/>
                <w:szCs w:val="22"/>
                <w:vertAlign w:val="superscript"/>
                <w:lang w:eastAsia="en-AU"/>
              </w:rPr>
              <w:t>a)</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556.6</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399.2</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27.7</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5.9</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21.2</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20.4</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2 852.5</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3 883.5</w:t>
            </w:r>
          </w:p>
        </w:tc>
      </w:tr>
      <w:tr w:rsidR="00336793" w:rsidRPr="00127415" w:rsidTr="00DF0B96">
        <w:tc>
          <w:tcPr>
            <w:tcW w:w="3986" w:type="dxa"/>
            <w:tcBorders>
              <w:top w:val="nil"/>
              <w:left w:val="nil"/>
              <w:bottom w:val="nil"/>
              <w:right w:val="nil"/>
            </w:tcBorders>
          </w:tcPr>
          <w:p w:rsidR="00336793" w:rsidRPr="00127415" w:rsidRDefault="00336793" w:rsidP="00DF0B96">
            <w:pPr>
              <w:autoSpaceDE w:val="0"/>
              <w:autoSpaceDN w:val="0"/>
              <w:adjustRightInd w:val="0"/>
              <w:spacing w:after="0"/>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Derivative financial instruments</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20.8</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20.8</w:t>
            </w:r>
          </w:p>
        </w:tc>
      </w:tr>
      <w:tr w:rsidR="00336793" w:rsidRPr="00127415" w:rsidTr="00DF0B96">
        <w:tc>
          <w:tcPr>
            <w:tcW w:w="3986" w:type="dxa"/>
            <w:tcBorders>
              <w:top w:val="nil"/>
              <w:left w:val="nil"/>
              <w:bottom w:val="nil"/>
              <w:right w:val="nil"/>
            </w:tcBorders>
          </w:tcPr>
          <w:p w:rsidR="00336793" w:rsidRPr="00127415" w:rsidRDefault="00336793" w:rsidP="00DF0B96">
            <w:pPr>
              <w:autoSpaceDE w:val="0"/>
              <w:autoSpaceDN w:val="0"/>
              <w:adjustRightInd w:val="0"/>
              <w:spacing w:after="0"/>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Interest</w:t>
            </w:r>
            <w:r>
              <w:rPr>
                <w:rFonts w:ascii="Calibri" w:eastAsiaTheme="minorEastAsia" w:hAnsi="Calibri" w:cs="Calibri"/>
                <w:sz w:val="21"/>
                <w:szCs w:val="22"/>
                <w:lang w:eastAsia="en-AU"/>
              </w:rPr>
              <w:noBreakHyphen/>
            </w:r>
            <w:r w:rsidRPr="00127415">
              <w:rPr>
                <w:rFonts w:ascii="Calibri" w:eastAsiaTheme="minorEastAsia" w:hAnsi="Calibri" w:cs="Calibri"/>
                <w:sz w:val="21"/>
                <w:szCs w:val="22"/>
                <w:lang w:eastAsia="en-AU"/>
              </w:rPr>
              <w:t>bearing liabilities</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35.8</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1 120.8</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1 439.1</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1 737.5</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1 948.3</w:t>
            </w:r>
          </w:p>
        </w:tc>
        <w:tc>
          <w:tcPr>
            <w:tcW w:w="1176" w:type="dxa"/>
            <w:gridSpan w:val="2"/>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2 064.2</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16 537.2</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nil"/>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24 883.0</w:t>
            </w:r>
          </w:p>
        </w:tc>
      </w:tr>
      <w:tr w:rsidR="00336793" w:rsidRPr="00127415" w:rsidTr="00DF0B96">
        <w:tc>
          <w:tcPr>
            <w:tcW w:w="3986" w:type="dxa"/>
            <w:tcBorders>
              <w:top w:val="nil"/>
              <w:left w:val="nil"/>
              <w:bottom w:val="single" w:sz="6" w:space="0" w:color="auto"/>
              <w:right w:val="nil"/>
            </w:tcBorders>
          </w:tcPr>
          <w:p w:rsidR="00336793" w:rsidRPr="00127415" w:rsidRDefault="00336793" w:rsidP="00DF0B96">
            <w:pPr>
              <w:autoSpaceDE w:val="0"/>
              <w:autoSpaceDN w:val="0"/>
              <w:adjustRightInd w:val="0"/>
              <w:spacing w:after="0"/>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Finance lease liabilities</w:t>
            </w:r>
          </w:p>
        </w:tc>
        <w:tc>
          <w:tcPr>
            <w:tcW w:w="1176" w:type="dxa"/>
            <w:tcBorders>
              <w:top w:val="nil"/>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w:t>
            </w:r>
          </w:p>
        </w:tc>
        <w:tc>
          <w:tcPr>
            <w:tcW w:w="1176" w:type="dxa"/>
            <w:tcBorders>
              <w:top w:val="nil"/>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36.3</w:t>
            </w:r>
          </w:p>
        </w:tc>
        <w:tc>
          <w:tcPr>
            <w:tcW w:w="1176" w:type="dxa"/>
            <w:tcBorders>
              <w:top w:val="nil"/>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188.0</w:t>
            </w:r>
          </w:p>
        </w:tc>
        <w:tc>
          <w:tcPr>
            <w:tcW w:w="1176" w:type="dxa"/>
            <w:gridSpan w:val="2"/>
            <w:tcBorders>
              <w:top w:val="nil"/>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178.7</w:t>
            </w:r>
          </w:p>
        </w:tc>
        <w:tc>
          <w:tcPr>
            <w:tcW w:w="1176" w:type="dxa"/>
            <w:tcBorders>
              <w:top w:val="nil"/>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181.3</w:t>
            </w:r>
          </w:p>
        </w:tc>
        <w:tc>
          <w:tcPr>
            <w:tcW w:w="1176" w:type="dxa"/>
            <w:gridSpan w:val="2"/>
            <w:tcBorders>
              <w:top w:val="nil"/>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193.3</w:t>
            </w:r>
          </w:p>
        </w:tc>
        <w:tc>
          <w:tcPr>
            <w:tcW w:w="1176" w:type="dxa"/>
            <w:tcBorders>
              <w:top w:val="nil"/>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7 149.5</w:t>
            </w:r>
          </w:p>
        </w:tc>
        <w:tc>
          <w:tcPr>
            <w:tcW w:w="1176" w:type="dxa"/>
            <w:tcBorders>
              <w:top w:val="nil"/>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 xml:space="preserve"> 122.7</w:t>
            </w:r>
          </w:p>
        </w:tc>
        <w:tc>
          <w:tcPr>
            <w:tcW w:w="1176" w:type="dxa"/>
            <w:tcBorders>
              <w:top w:val="nil"/>
              <w:left w:val="nil"/>
              <w:bottom w:val="single" w:sz="6" w:space="0" w:color="auto"/>
              <w:right w:val="nil"/>
            </w:tcBorders>
          </w:tcPr>
          <w:p w:rsidR="00336793" w:rsidRPr="00127415"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127415">
              <w:rPr>
                <w:rFonts w:ascii="Calibri" w:eastAsiaTheme="minorEastAsia" w:hAnsi="Calibri" w:cs="Calibri"/>
                <w:sz w:val="21"/>
                <w:szCs w:val="22"/>
                <w:lang w:eastAsia="en-AU"/>
              </w:rPr>
              <w:t>8 049.8</w:t>
            </w:r>
          </w:p>
        </w:tc>
      </w:tr>
      <w:tr w:rsidR="00336793" w:rsidRPr="00127415" w:rsidTr="00DF0B96">
        <w:tc>
          <w:tcPr>
            <w:tcW w:w="3986" w:type="dxa"/>
            <w:tcBorders>
              <w:top w:val="single" w:sz="6" w:space="0" w:color="auto"/>
              <w:left w:val="nil"/>
              <w:bottom w:val="single" w:sz="12" w:space="0" w:color="000000"/>
              <w:right w:val="nil"/>
            </w:tcBorders>
            <w:shd w:val="clear" w:color="auto" w:fill="auto"/>
          </w:tcPr>
          <w:p w:rsidR="00336793" w:rsidRPr="00127415" w:rsidRDefault="00336793" w:rsidP="00DF0B96">
            <w:pPr>
              <w:autoSpaceDE w:val="0"/>
              <w:autoSpaceDN w:val="0"/>
              <w:adjustRightInd w:val="0"/>
              <w:spacing w:after="0"/>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Total financial liabilities</w:t>
            </w:r>
            <w:r w:rsidRPr="00894F2A">
              <w:rPr>
                <w:rFonts w:ascii="Calibri" w:eastAsiaTheme="minorEastAsia" w:hAnsi="Calibri" w:cs="Calibri"/>
                <w:b/>
                <w:bCs/>
                <w:sz w:val="21"/>
                <w:szCs w:val="22"/>
                <w:vertAlign w:val="superscript"/>
                <w:lang w:eastAsia="en-AU"/>
              </w:rPr>
              <w:t>(a)</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 xml:space="preserve"> 592.4</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1 556.3</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1 654.8</w:t>
            </w:r>
          </w:p>
        </w:tc>
        <w:tc>
          <w:tcPr>
            <w:tcW w:w="1176" w:type="dxa"/>
            <w:gridSpan w:val="2"/>
            <w:tcBorders>
              <w:top w:val="single" w:sz="6" w:space="0" w:color="auto"/>
              <w:left w:val="nil"/>
              <w:bottom w:val="single" w:sz="12" w:space="0" w:color="000000"/>
              <w:right w:val="nil"/>
            </w:tcBorders>
            <w:shd w:val="clear" w:color="auto" w:fill="auto"/>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1 922.1</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2 150.9</w:t>
            </w:r>
          </w:p>
        </w:tc>
        <w:tc>
          <w:tcPr>
            <w:tcW w:w="1176" w:type="dxa"/>
            <w:gridSpan w:val="2"/>
            <w:tcBorders>
              <w:top w:val="single" w:sz="6" w:space="0" w:color="auto"/>
              <w:left w:val="nil"/>
              <w:bottom w:val="single" w:sz="12" w:space="0" w:color="000000"/>
              <w:right w:val="nil"/>
            </w:tcBorders>
            <w:shd w:val="clear" w:color="auto" w:fill="auto"/>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2 257.5</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23 707.1</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2 996.0</w:t>
            </w:r>
          </w:p>
        </w:tc>
        <w:tc>
          <w:tcPr>
            <w:tcW w:w="1176" w:type="dxa"/>
            <w:tcBorders>
              <w:top w:val="single" w:sz="6" w:space="0" w:color="auto"/>
              <w:left w:val="nil"/>
              <w:bottom w:val="single" w:sz="12" w:space="0" w:color="000000"/>
              <w:right w:val="nil"/>
            </w:tcBorders>
            <w:shd w:val="clear" w:color="auto" w:fill="auto"/>
          </w:tcPr>
          <w:p w:rsidR="00336793" w:rsidRPr="00127415"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127415">
              <w:rPr>
                <w:rFonts w:ascii="Calibri" w:eastAsiaTheme="minorEastAsia" w:hAnsi="Calibri" w:cs="Calibri"/>
                <w:b/>
                <w:bCs/>
                <w:sz w:val="21"/>
                <w:szCs w:val="22"/>
                <w:lang w:eastAsia="en-AU"/>
              </w:rPr>
              <w:t>36 837.1</w:t>
            </w:r>
          </w:p>
        </w:tc>
      </w:tr>
    </w:tbl>
    <w:p w:rsidR="00336793" w:rsidRDefault="00336793" w:rsidP="00DF0B96">
      <w:pPr>
        <w:pStyle w:val="Notes"/>
      </w:pPr>
      <w:r>
        <w:t>Note:</w:t>
      </w:r>
    </w:p>
    <w:p w:rsidR="00336793" w:rsidRDefault="00336793" w:rsidP="00DF0B96">
      <w:pPr>
        <w:pStyle w:val="Notes"/>
      </w:pPr>
      <w:r>
        <w:t>(a)</w:t>
      </w:r>
      <w:r>
        <w:tab/>
      </w:r>
      <w:r w:rsidRPr="00DF7C4A">
        <w:t>June 2014 comparative figures have been restated. See Note 37.</w:t>
      </w:r>
    </w:p>
    <w:p w:rsidR="00336793" w:rsidRDefault="00336793" w:rsidP="00DF0B96">
      <w:pPr>
        <w:pStyle w:val="Notes"/>
      </w:pPr>
    </w:p>
    <w:p w:rsidR="00336793" w:rsidRDefault="00336793" w:rsidP="00DF0B96">
      <w:pPr>
        <w:pStyle w:val="Notes"/>
      </w:pPr>
    </w:p>
    <w:p w:rsidR="00336793" w:rsidRDefault="00336793" w:rsidP="00DF0B96"/>
    <w:p w:rsidR="00336793" w:rsidRDefault="00336793" w:rsidP="00DF0B96">
      <w:pPr>
        <w:sectPr w:rsidR="00336793" w:rsidSect="00DF0B96">
          <w:headerReference w:type="even" r:id="rId112"/>
          <w:headerReference w:type="default" r:id="rId113"/>
          <w:footerReference w:type="even" r:id="rId114"/>
          <w:footerReference w:type="default" r:id="rId115"/>
          <w:pgSz w:w="16838" w:h="11906" w:orient="landscape" w:code="9"/>
          <w:pgMar w:top="1152" w:right="1152" w:bottom="1152" w:left="1152" w:header="720" w:footer="720" w:gutter="0"/>
          <w:cols w:space="708"/>
          <w:docGrid w:linePitch="360"/>
        </w:sectPr>
      </w:pPr>
    </w:p>
    <w:p w:rsidR="00336793" w:rsidRPr="006A75A2" w:rsidRDefault="00336793" w:rsidP="00DF0B96">
      <w:pPr>
        <w:pStyle w:val="Heading2NotesContd"/>
      </w:pPr>
      <w:r w:rsidRPr="006A75A2">
        <w:lastRenderedPageBreak/>
        <w:t>Note 33:</w:t>
      </w:r>
      <w:r w:rsidRPr="006A75A2">
        <w:tab/>
        <w:t xml:space="preserve">Financial instruments </w:t>
      </w:r>
      <w:r w:rsidRPr="006A75A2">
        <w:rPr>
          <w:i/>
        </w:rPr>
        <w:t>(continued)</w:t>
      </w:r>
    </w:p>
    <w:p w:rsidR="00336793" w:rsidRPr="006A75A2" w:rsidRDefault="00336793" w:rsidP="00DF0B96">
      <w:pPr>
        <w:pStyle w:val="Heading5"/>
      </w:pPr>
      <w:r w:rsidRPr="006A75A2">
        <w:t>(g)</w:t>
      </w:r>
      <w:r w:rsidRPr="006A75A2">
        <w:tab/>
        <w:t>Foreign currency risk</w:t>
      </w:r>
    </w:p>
    <w:p w:rsidR="00336793" w:rsidRPr="006A75A2" w:rsidRDefault="00336793" w:rsidP="00DF0B96">
      <w:r w:rsidRPr="006A75A2">
        <w:t>The State is also exposed to foreign currency risk through investments in foreign currency denominated financial assets, primarily international equities. This exposure is mainly via the major currencies such as United States dollar, Canadian dollar, Japanese yen, Swiss franc, the euro, British pound and the New Zealand dollar.</w:t>
      </w:r>
    </w:p>
    <w:p w:rsidR="00336793" w:rsidRPr="006A75A2" w:rsidRDefault="00336793" w:rsidP="00DF0B96">
      <w:pPr>
        <w:spacing w:after="0"/>
      </w:pPr>
      <w:r w:rsidRPr="006A75A2">
        <w:t>The carrying amount of the State</w:t>
      </w:r>
      <w:r>
        <w:t>’</w:t>
      </w:r>
      <w:r w:rsidRPr="006A75A2">
        <w:t>s foreign currency denominated monetary assets and monetary liabilities at the reporting date is as follows:</w:t>
      </w:r>
    </w:p>
    <w:p w:rsidR="00336793" w:rsidRPr="00A10A3B" w:rsidRDefault="00336793" w:rsidP="00DF0B96">
      <w:pPr>
        <w:pStyle w:val="million"/>
        <w:rPr>
          <w:rFonts w:ascii="Times New Roman" w:hAnsi="Times New Roman"/>
          <w:i w:val="0"/>
          <w:szCs w:val="20"/>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b/>
                <w:sz w:val="21"/>
                <w:lang w:eastAsia="en-AU"/>
              </w:rPr>
            </w:pPr>
            <w:r w:rsidRPr="00A10A3B">
              <w:rPr>
                <w:rFonts w:eastAsiaTheme="minorEastAsia"/>
                <w:b/>
                <w:sz w:val="21"/>
                <w:lang w:eastAsia="en-AU"/>
              </w:rPr>
              <w:t xml:space="preserve"> </w:t>
            </w:r>
          </w:p>
        </w:tc>
        <w:tc>
          <w:tcPr>
            <w:tcW w:w="26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sz w:val="21"/>
              </w:rPr>
            </w:pPr>
            <w:r w:rsidRPr="00A10A3B">
              <w:rPr>
                <w:sz w:val="21"/>
              </w:rPr>
              <w:t xml:space="preserve"> </w:t>
            </w:r>
          </w:p>
        </w:tc>
        <w:tc>
          <w:tcPr>
            <w:tcW w:w="198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sz w:val="21"/>
              </w:rPr>
            </w:pPr>
          </w:p>
          <w:p w:rsidR="00336793" w:rsidRPr="00A10A3B" w:rsidRDefault="00336793" w:rsidP="00DF0B96">
            <w:pPr>
              <w:pStyle w:val="TabletextheadingCentred"/>
              <w:rPr>
                <w:sz w:val="21"/>
              </w:rPr>
            </w:pPr>
            <w:r w:rsidRPr="00A10A3B">
              <w:rPr>
                <w:sz w:val="21"/>
              </w:rPr>
              <w:t>State of Victoria</w:t>
            </w:r>
          </w:p>
        </w:tc>
        <w:tc>
          <w:tcPr>
            <w:tcW w:w="27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sz w:val="21"/>
              </w:rPr>
            </w:pPr>
            <w:r w:rsidRPr="00A10A3B">
              <w:rPr>
                <w:sz w:val="21"/>
              </w:rPr>
              <w:t xml:space="preserve"> </w:t>
            </w:r>
          </w:p>
        </w:tc>
        <w:tc>
          <w:tcPr>
            <w:tcW w:w="1970"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Centred"/>
              <w:rPr>
                <w:sz w:val="21"/>
              </w:rPr>
            </w:pPr>
            <w:r w:rsidRPr="00A10A3B">
              <w:rPr>
                <w:sz w:val="21"/>
              </w:rPr>
              <w:t xml:space="preserve">General </w:t>
            </w:r>
          </w:p>
          <w:p w:rsidR="00336793" w:rsidRPr="00A10A3B" w:rsidRDefault="00336793" w:rsidP="00DF0B96">
            <w:pPr>
              <w:pStyle w:val="TabletextheadingCentred"/>
              <w:rPr>
                <w:sz w:val="21"/>
              </w:rPr>
            </w:pPr>
            <w:r w:rsidRPr="00A10A3B">
              <w:rPr>
                <w:sz w:val="21"/>
              </w:rPr>
              <w:t>government sector</w:t>
            </w:r>
          </w:p>
        </w:tc>
      </w:tr>
      <w:tr w:rsidR="00336793" w:rsidRPr="00A10A3B"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 xml:space="preserve"> </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2015</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2014</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2014</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pStyle w:val="Tabletext"/>
              <w:rPr>
                <w:rFonts w:eastAsiaTheme="minorEastAsia"/>
                <w:b/>
                <w:sz w:val="21"/>
                <w:lang w:eastAsia="en-AU"/>
              </w:rPr>
            </w:pPr>
            <w:r w:rsidRPr="00A10A3B">
              <w:rPr>
                <w:rFonts w:eastAsiaTheme="minorEastAsia"/>
                <w:b/>
                <w:sz w:val="21"/>
                <w:lang w:eastAsia="en-AU"/>
              </w:rPr>
              <w:t>Monetary assets</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Cash and deposits</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11.3</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315.2</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Pr>
                <w:rFonts w:eastAsiaTheme="minorEastAsia"/>
                <w:sz w:val="21"/>
                <w:lang w:eastAsia="en-AU"/>
              </w:rPr>
              <w:t>..</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sz w:val="21"/>
                <w:lang w:eastAsia="en-AU"/>
              </w:rPr>
            </w:pPr>
            <w:r>
              <w:rPr>
                <w:rFonts w:eastAsiaTheme="minorEastAsia"/>
                <w:sz w:val="21"/>
                <w:lang w:eastAsia="en-AU"/>
              </w:rPr>
              <w:t>..</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Debt securities</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19.5</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r>
      <w:tr w:rsidR="00336793" w:rsidRPr="00A10A3B" w:rsidTr="00DF0B96">
        <w:tc>
          <w:tcPr>
            <w:tcW w:w="5157" w:type="dxa"/>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b/>
                <w:sz w:val="21"/>
                <w:vertAlign w:val="superscript"/>
                <w:lang w:eastAsia="en-AU"/>
              </w:rPr>
            </w:pPr>
            <w:r w:rsidRPr="00A10A3B">
              <w:rPr>
                <w:rFonts w:eastAsiaTheme="minorEastAsia"/>
                <w:b/>
                <w:sz w:val="21"/>
                <w:lang w:eastAsia="en-AU"/>
              </w:rPr>
              <w:t>Total monetary assets</w:t>
            </w:r>
            <w:r w:rsidRPr="00E96950">
              <w:rPr>
                <w:rFonts w:eastAsiaTheme="minorEastAsia"/>
                <w:b/>
                <w:sz w:val="21"/>
                <w:vertAlign w:val="superscript"/>
                <w:lang w:eastAsia="en-AU"/>
              </w:rPr>
              <w:t xml:space="preserve"> (</w:t>
            </w:r>
            <w:r w:rsidRPr="00A10A3B">
              <w:rPr>
                <w:rFonts w:eastAsiaTheme="minorEastAsia"/>
                <w:b/>
                <w:sz w:val="21"/>
                <w:vertAlign w:val="superscript"/>
                <w:lang w:eastAsia="en-AU"/>
              </w:rPr>
              <w:t>a)</w:t>
            </w:r>
          </w:p>
        </w:tc>
        <w:tc>
          <w:tcPr>
            <w:tcW w:w="1120" w:type="dxa"/>
            <w:gridSpan w:val="2"/>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30.8</w:t>
            </w:r>
          </w:p>
        </w:tc>
        <w:tc>
          <w:tcPr>
            <w:tcW w:w="112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315.2</w:t>
            </w:r>
          </w:p>
        </w:tc>
        <w:tc>
          <w:tcPr>
            <w:tcW w:w="1120" w:type="dxa"/>
            <w:gridSpan w:val="2"/>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sz w:val="21"/>
                <w:lang w:eastAsia="en-AU"/>
              </w:rPr>
            </w:pPr>
            <w:r>
              <w:rPr>
                <w:rFonts w:eastAsiaTheme="minorEastAsia"/>
                <w:b/>
                <w:sz w:val="21"/>
                <w:lang w:eastAsia="en-AU"/>
              </w:rPr>
              <w:t>..</w:t>
            </w:r>
          </w:p>
        </w:tc>
        <w:tc>
          <w:tcPr>
            <w:tcW w:w="112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sz w:val="21"/>
                <w:lang w:eastAsia="en-AU"/>
              </w:rPr>
            </w:pPr>
            <w:r>
              <w:rPr>
                <w:rFonts w:eastAsiaTheme="minorEastAsia"/>
                <w:b/>
                <w:sz w:val="21"/>
                <w:lang w:eastAsia="en-AU"/>
              </w:rPr>
              <w:t>..</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b/>
                <w:sz w:val="21"/>
                <w:lang w:eastAsia="en-AU"/>
              </w:rPr>
            </w:pPr>
            <w:r w:rsidRPr="00A10A3B">
              <w:rPr>
                <w:rFonts w:eastAsiaTheme="minorEastAsia"/>
                <w:b/>
                <w:sz w:val="21"/>
                <w:lang w:eastAsia="en-AU"/>
              </w:rPr>
              <w:t>Monetary liabilities</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5157" w:type="dxa"/>
            <w:tcBorders>
              <w:top w:val="nil"/>
              <w:left w:val="nil"/>
              <w:bottom w:val="single" w:sz="6" w:space="0" w:color="auto"/>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Borrowings</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119.3</w:t>
            </w:r>
          </w:p>
        </w:tc>
        <w:tc>
          <w:tcPr>
            <w:tcW w:w="1120" w:type="dxa"/>
            <w:tcBorders>
              <w:top w:val="nil"/>
              <w:left w:val="nil"/>
              <w:bottom w:val="single" w:sz="6" w:space="0" w:color="auto"/>
              <w:right w:val="nil"/>
            </w:tcBorders>
            <w:shd w:val="solid" w:color="FFFFFF"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268.8</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tcBorders>
              <w:top w:val="nil"/>
              <w:left w:val="nil"/>
              <w:bottom w:val="single" w:sz="6" w:space="0" w:color="auto"/>
              <w:right w:val="nil"/>
            </w:tcBorders>
            <w:shd w:val="solid" w:color="FFFFFF"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r>
      <w:tr w:rsidR="00336793" w:rsidRPr="00A10A3B" w:rsidTr="00DF0B96">
        <w:tc>
          <w:tcPr>
            <w:tcW w:w="515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sz w:val="21"/>
                <w:lang w:eastAsia="en-AU"/>
              </w:rPr>
            </w:pPr>
            <w:r w:rsidRPr="00A10A3B">
              <w:rPr>
                <w:rFonts w:eastAsiaTheme="minorEastAsia"/>
                <w:b/>
                <w:sz w:val="21"/>
                <w:lang w:eastAsia="en-AU"/>
              </w:rPr>
              <w:t>Total monetary liabilities</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119.3</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268.8</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w:t>
            </w:r>
          </w:p>
        </w:tc>
      </w:tr>
    </w:tbl>
    <w:p w:rsidR="00336793" w:rsidRPr="006A75A2" w:rsidRDefault="00336793" w:rsidP="00DF0B96">
      <w:pPr>
        <w:pStyle w:val="Notes"/>
      </w:pPr>
      <w:r>
        <w:t>N</w:t>
      </w:r>
      <w:r w:rsidRPr="006A75A2">
        <w:t>ote:</w:t>
      </w:r>
    </w:p>
    <w:p w:rsidR="00336793" w:rsidRPr="006A75A2" w:rsidRDefault="00336793" w:rsidP="00DF0B96">
      <w:pPr>
        <w:pStyle w:val="Notes"/>
      </w:pPr>
      <w:r w:rsidRPr="006A75A2">
        <w:t>(a)</w:t>
      </w:r>
      <w:r w:rsidRPr="006A75A2">
        <w:tab/>
        <w:t xml:space="preserve">In addition, the State </w:t>
      </w:r>
      <w:r w:rsidRPr="005E663C">
        <w:t>held $2 745.3</w:t>
      </w:r>
      <w:r>
        <w:t> million</w:t>
      </w:r>
      <w:r w:rsidRPr="005E663C">
        <w:t xml:space="preserve"> ($4 856.9</w:t>
      </w:r>
      <w:r>
        <w:t> million</w:t>
      </w:r>
      <w:r w:rsidRPr="005E663C">
        <w:t xml:space="preserve"> in 2014)</w:t>
      </w:r>
      <w:r w:rsidRPr="006A75A2">
        <w:t xml:space="preserve"> of equities and managed investment schemes denominated in foreign currencies.</w:t>
      </w:r>
    </w:p>
    <w:p w:rsidR="00336793" w:rsidRPr="006A75A2" w:rsidRDefault="00336793" w:rsidP="00DF0B96">
      <w:pPr>
        <w:rPr>
          <w:rFonts w:ascii="Calibri" w:hAnsi="Calibri"/>
          <w:i/>
          <w:sz w:val="16"/>
        </w:rPr>
      </w:pPr>
    </w:p>
    <w:p w:rsidR="00336793" w:rsidRPr="006A75A2" w:rsidRDefault="00336793" w:rsidP="00DF0B96">
      <w:r w:rsidRPr="006A75A2">
        <w:t>The Victorian Funds Management Corporation (VFMC), the State</w:t>
      </w:r>
      <w:r>
        <w:t>’</w:t>
      </w:r>
      <w:r w:rsidRPr="006A75A2">
        <w:t>s fund manager, applies a consolidated approach in managing the foreign currency exposure in accordance with investment risk management plans as approved by the Treasurer. VFMC</w:t>
      </w:r>
      <w:r>
        <w:t>’</w:t>
      </w:r>
      <w:r w:rsidRPr="006A75A2">
        <w:t>s approach is to hedge approximately 50</w:t>
      </w:r>
      <w:r>
        <w:t> per cent</w:t>
      </w:r>
      <w:r w:rsidRPr="006A75A2">
        <w:t xml:space="preserve"> of the foreign currency exposure arising from international equities, and to fully hedge foreign currency exposures arising from other offshore assets such as infrastructure, property and hedge funds.</w:t>
      </w:r>
    </w:p>
    <w:p w:rsidR="00336793" w:rsidRPr="006A75A2" w:rsidRDefault="00336793" w:rsidP="00DF0B96">
      <w:r w:rsidRPr="006A75A2">
        <w:t>TCV is the State</w:t>
      </w:r>
      <w:r>
        <w:t>’</w:t>
      </w:r>
      <w:r w:rsidRPr="006A75A2">
        <w:t>s central borrowing authority and part of its funding program is comprised of foreign currency borrowings. The State</w:t>
      </w:r>
      <w:r>
        <w:t>’</w:t>
      </w:r>
      <w:r w:rsidRPr="006A75A2">
        <w:t>s policy is to hedge any material foreign currency exposures arising from borrowings. TCV uses foreign exchange options, spot and forward foreign exchange rate contracts in the management of offshore borrowings.</w:t>
      </w:r>
    </w:p>
    <w:p w:rsidR="00336793" w:rsidRPr="006A75A2" w:rsidRDefault="00336793" w:rsidP="00DF0B96">
      <w:r w:rsidRPr="006A75A2">
        <w:t>There has been no material change in the State</w:t>
      </w:r>
      <w:r>
        <w:t>’</w:t>
      </w:r>
      <w:r w:rsidRPr="006A75A2">
        <w:t>s exposure to foreign currency risk or the manner in which it manages and measures the risk from the previous reporting period.</w:t>
      </w:r>
    </w:p>
    <w:p w:rsidR="00336793" w:rsidRPr="006A75A2" w:rsidRDefault="00336793" w:rsidP="00DF0B96">
      <w:pPr>
        <w:pStyle w:val="Heading5a"/>
      </w:pPr>
      <w:r w:rsidRPr="006A75A2">
        <w:t>Foreign currency sensitivity analysis</w:t>
      </w:r>
    </w:p>
    <w:p w:rsidR="00336793" w:rsidRPr="006A75A2" w:rsidRDefault="00336793" w:rsidP="00DF0B96">
      <w:r w:rsidRPr="006A75A2">
        <w:t>The State has analysed the possible effects of feasible change in exchange rates against the Australian dollar on its financial position and result using the following assumptions:</w:t>
      </w:r>
    </w:p>
    <w:p w:rsidR="00336793" w:rsidRPr="006A75A2" w:rsidRDefault="00336793" w:rsidP="00DF0B96">
      <w:pPr>
        <w:pStyle w:val="BulletText"/>
        <w:spacing w:after="80"/>
      </w:pPr>
      <w:r w:rsidRPr="006A75A2">
        <w:t>exposure to the pool of foreign currencies for both derivative and non</w:t>
      </w:r>
      <w:r>
        <w:noBreakHyphen/>
      </w:r>
      <w:r w:rsidRPr="006A75A2">
        <w:t>derivative instruments at the reporting date, and the stipulated change taking place at the beginning of the financial year are held constant throughout the reporting period; and</w:t>
      </w:r>
    </w:p>
    <w:p w:rsidR="00336793" w:rsidRPr="006A75A2" w:rsidRDefault="00336793" w:rsidP="00DF0B96">
      <w:pPr>
        <w:pStyle w:val="BulletText"/>
        <w:spacing w:after="80"/>
      </w:pPr>
      <w:r w:rsidRPr="006A75A2">
        <w:t>based on historic movements, future expectations and management</w:t>
      </w:r>
      <w:r>
        <w:t>’</w:t>
      </w:r>
      <w:r w:rsidRPr="006A75A2">
        <w:t xml:space="preserve">s knowledge and experience of the foreign currency markets, the State has assessed that it may be exposed to an increase or decrease of </w:t>
      </w:r>
      <w:r w:rsidRPr="00D93401">
        <w:t>15</w:t>
      </w:r>
      <w:r>
        <w:t> per cent</w:t>
      </w:r>
      <w:r w:rsidRPr="00D93401">
        <w:t xml:space="preserve"> against the Australian dollar (15</w:t>
      </w:r>
      <w:r>
        <w:t> per cent</w:t>
      </w:r>
      <w:r w:rsidRPr="00D93401">
        <w:t xml:space="preserve"> in 2014).</w:t>
      </w:r>
    </w:p>
    <w:p w:rsidR="00336793" w:rsidRPr="006A75A2" w:rsidRDefault="00336793" w:rsidP="00DF0B96">
      <w:r w:rsidRPr="006A75A2">
        <w:t xml:space="preserve">With all other variables held constant, the impact of </w:t>
      </w:r>
      <w:r w:rsidRPr="00D93401">
        <w:t>a 15</w:t>
      </w:r>
      <w:r>
        <w:t> per cent</w:t>
      </w:r>
      <w:r w:rsidRPr="00D93401">
        <w:t xml:space="preserve"> increase</w:t>
      </w:r>
      <w:r w:rsidRPr="006A75A2">
        <w:t xml:space="preserve"> or decrease in exchange rates on economic flows and net assets </w:t>
      </w:r>
      <w:r w:rsidRPr="00D93401">
        <w:t>at 30 June 2015 is $267.0</w:t>
      </w:r>
      <w:r>
        <w:t> million</w:t>
      </w:r>
      <w:r w:rsidRPr="00D93401">
        <w:t xml:space="preserve"> </w:t>
      </w:r>
      <w:r>
        <w:t>in</w:t>
      </w:r>
      <w:r w:rsidRPr="00D93401">
        <w:t>crease/$361.2</w:t>
      </w:r>
      <w:r>
        <w:t> million</w:t>
      </w:r>
      <w:r w:rsidRPr="00D93401">
        <w:t xml:space="preserve"> </w:t>
      </w:r>
      <w:r>
        <w:t>de</w:t>
      </w:r>
      <w:r w:rsidRPr="00D93401">
        <w:t>crease (</w:t>
      </w:r>
      <w:r w:rsidRPr="00D93401">
        <w:rPr>
          <w:rFonts w:eastAsiaTheme="minorHAnsi" w:cs="Garamond"/>
          <w:szCs w:val="24"/>
        </w:rPr>
        <w:t>$</w:t>
      </w:r>
      <w:r w:rsidRPr="00D93401">
        <w:t>123.8</w:t>
      </w:r>
      <w:r>
        <w:t> million</w:t>
      </w:r>
      <w:r w:rsidRPr="00D93401">
        <w:rPr>
          <w:rFonts w:eastAsiaTheme="minorHAnsi" w:cs="Garamond"/>
          <w:szCs w:val="24"/>
        </w:rPr>
        <w:t xml:space="preserve"> decrease/$</w:t>
      </w:r>
      <w:r w:rsidRPr="00D93401">
        <w:t>157.9</w:t>
      </w:r>
      <w:r>
        <w:t> million</w:t>
      </w:r>
      <w:r w:rsidRPr="00D93401">
        <w:rPr>
          <w:rFonts w:eastAsiaTheme="minorHAnsi" w:cs="Garamond"/>
          <w:szCs w:val="24"/>
        </w:rPr>
        <w:t xml:space="preserve"> increase in 2014</w:t>
      </w:r>
      <w:r w:rsidRPr="00D93401">
        <w:t>).</w:t>
      </w:r>
    </w:p>
    <w:p w:rsidR="00336793" w:rsidRPr="006A75A2" w:rsidRDefault="00336793" w:rsidP="00DF0B96">
      <w:r w:rsidRPr="006A75A2">
        <w:t>The State</w:t>
      </w:r>
      <w:r>
        <w:t>’</w:t>
      </w:r>
      <w:r w:rsidRPr="006A75A2">
        <w:t>s exposure to direct foreign currency risk has no material impact on the net result from transactions.</w:t>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A75A2" w:rsidRDefault="00336793" w:rsidP="00DF0B96">
      <w:pPr>
        <w:pStyle w:val="Heading5"/>
      </w:pPr>
      <w:r w:rsidRPr="006A75A2">
        <w:t>(h)</w:t>
      </w:r>
      <w:r w:rsidRPr="006A75A2">
        <w:tab/>
        <w:t>Equity price risk</w:t>
      </w:r>
    </w:p>
    <w:p w:rsidR="00336793" w:rsidRPr="006A75A2" w:rsidRDefault="00336793" w:rsidP="00DF0B96">
      <w:pPr>
        <w:pStyle w:val="Heading5a"/>
      </w:pPr>
      <w:r w:rsidRPr="006A75A2">
        <w:t>Equity price risk management</w:t>
      </w:r>
    </w:p>
    <w:p w:rsidR="00336793" w:rsidRPr="006A75A2" w:rsidRDefault="00336793" w:rsidP="00DF0B96">
      <w:r w:rsidRPr="006A75A2">
        <w:t>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w:t>
      </w:r>
      <w:r>
        <w:t>’</w:t>
      </w:r>
      <w:r w:rsidRPr="006A75A2">
        <w:t xml:space="preserve">s liabilities. The State limits its equity price risk through diversifying its investment portfolio. This is determined by VFMC and reflected in the Investment Risk Management Plan approved by the Treasurer, and in accordance with the </w:t>
      </w:r>
      <w:r w:rsidRPr="006A75A2">
        <w:rPr>
          <w:i/>
        </w:rPr>
        <w:t>Borrowing and Investments Powers Act 1987</w:t>
      </w:r>
      <w:r w:rsidRPr="006A75A2">
        <w:t xml:space="preserve"> (BIP Act) and the prudential supervisory policies and framework of the State.</w:t>
      </w:r>
    </w:p>
    <w:p w:rsidR="00336793" w:rsidRPr="006A75A2" w:rsidRDefault="00336793" w:rsidP="00DF0B96">
      <w:pPr>
        <w:pStyle w:val="Heading5a"/>
      </w:pPr>
      <w:r w:rsidRPr="006A75A2">
        <w:t>Equity price sensitivity analysis</w:t>
      </w:r>
    </w:p>
    <w:p w:rsidR="00336793" w:rsidRPr="006A75A2" w:rsidRDefault="00336793" w:rsidP="00DF0B96">
      <w:r w:rsidRPr="006A75A2">
        <w:t>The State has analysed the possible effects of feasible changes in equity prices on its financial position and result using the following assumptions:</w:t>
      </w:r>
    </w:p>
    <w:p w:rsidR="00336793" w:rsidRPr="006A75A2" w:rsidRDefault="00336793" w:rsidP="00DF0B96">
      <w:pPr>
        <w:pStyle w:val="BulletText"/>
      </w:pPr>
      <w:r w:rsidRPr="006A75A2">
        <w:t>exposure to equity securities for both derivative and non</w:t>
      </w:r>
      <w:r>
        <w:noBreakHyphen/>
      </w:r>
      <w:r w:rsidRPr="006A75A2">
        <w:t>derivative instruments at the reporting date, and the stipulated change taking place at the beginning of the financial year are held constant throughout the reporting period;</w:t>
      </w:r>
    </w:p>
    <w:p w:rsidR="00336793" w:rsidRPr="006A75A2" w:rsidRDefault="00336793" w:rsidP="00DF0B96">
      <w:pPr>
        <w:pStyle w:val="BulletText"/>
      </w:pPr>
      <w:r w:rsidRPr="006A75A2">
        <w:t>based on historic movements, future expectations and management</w:t>
      </w:r>
      <w:r>
        <w:t>’</w:t>
      </w:r>
      <w:r w:rsidRPr="006A75A2">
        <w:t>s knowledge and experience of the volatility of the equity markets, the State has assessed that it may be exposed to a reasonably possible increase or decrease o</w:t>
      </w:r>
      <w:r w:rsidRPr="00D93401">
        <w:t>f 15</w:t>
      </w:r>
      <w:r>
        <w:t> per cent</w:t>
      </w:r>
      <w:r w:rsidRPr="00D93401">
        <w:t xml:space="preserve"> to equity prices (increase or decrease of 15</w:t>
      </w:r>
      <w:r>
        <w:t> per cent</w:t>
      </w:r>
      <w:r w:rsidRPr="00D93401">
        <w:t xml:space="preserve"> in 2014); and</w:t>
      </w:r>
    </w:p>
    <w:p w:rsidR="00336793" w:rsidRPr="006A75A2" w:rsidRDefault="00336793" w:rsidP="00DF0B96">
      <w:pPr>
        <w:pStyle w:val="BulletText"/>
      </w:pPr>
      <w:r w:rsidRPr="006A75A2">
        <w:t>with all other variables held constant, the impact of a 15</w:t>
      </w:r>
      <w:r>
        <w:t> per cent</w:t>
      </w:r>
      <w:r w:rsidRPr="006A75A2">
        <w:t xml:space="preserve"> increase or decrease in listed equities on economic flows </w:t>
      </w:r>
      <w:r>
        <w:t>and net assets at 30 June 2015</w:t>
      </w:r>
      <w:r w:rsidRPr="006A75A2">
        <w:t xml:space="preserve"> </w:t>
      </w:r>
      <w:r w:rsidRPr="00D93401">
        <w:t>is $45.7</w:t>
      </w:r>
      <w:r>
        <w:t> million</w:t>
      </w:r>
      <w:r w:rsidRPr="00D93401">
        <w:t xml:space="preserve"> increase/$31.3</w:t>
      </w:r>
      <w:r>
        <w:t> million</w:t>
      </w:r>
      <w:r w:rsidRPr="00D93401">
        <w:t xml:space="preserve"> decrease </w:t>
      </w:r>
      <w:r>
        <w:t>(</w:t>
      </w:r>
      <w:r w:rsidRPr="00D93401">
        <w:t>$505.7</w:t>
      </w:r>
      <w:r>
        <w:t> million</w:t>
      </w:r>
      <w:r w:rsidRPr="00D93401">
        <w:t xml:space="preserve"> increase/$505.7</w:t>
      </w:r>
      <w:r>
        <w:t> million</w:t>
      </w:r>
      <w:r w:rsidRPr="00D93401">
        <w:t xml:space="preserve"> decrease in 2014) and from unlisted equities is $2 </w:t>
      </w:r>
      <w:r>
        <w:t>350.7 million</w:t>
      </w:r>
      <w:r w:rsidRPr="00D93401">
        <w:t xml:space="preserve"> increase/$2</w:t>
      </w:r>
      <w:r>
        <w:t> 350.7 million</w:t>
      </w:r>
      <w:r w:rsidRPr="00D93401">
        <w:t xml:space="preserve"> decrease ($1 111.2</w:t>
      </w:r>
      <w:r>
        <w:t> million increase/$1 </w:t>
      </w:r>
      <w:r w:rsidRPr="00D93401">
        <w:t>204.2</w:t>
      </w:r>
      <w:r>
        <w:t> million</w:t>
      </w:r>
      <w:r w:rsidRPr="00D93401">
        <w:t xml:space="preserve"> decrease in 2014).</w:t>
      </w:r>
    </w:p>
    <w:p w:rsidR="00336793" w:rsidRPr="006A75A2" w:rsidRDefault="00336793" w:rsidP="00DF0B96">
      <w:r w:rsidRPr="006A75A2">
        <w:t>The State</w:t>
      </w:r>
      <w:r>
        <w:t>’</w:t>
      </w:r>
      <w:r w:rsidRPr="006A75A2">
        <w:t>s exposure to equity price sensitivity has no direct impact on the net result from transactions.</w:t>
      </w:r>
    </w:p>
    <w:p w:rsidR="00336793" w:rsidRPr="006A75A2" w:rsidRDefault="00336793" w:rsidP="00DF0B96">
      <w:r w:rsidRPr="006A75A2">
        <w:t>There has been no material change in the State</w:t>
      </w:r>
      <w:r>
        <w:t>’</w:t>
      </w:r>
      <w:r w:rsidRPr="006A75A2">
        <w:t>s exposure to equity price risk or the manner in which it manages and measures the risk from the previous reporting period.</w:t>
      </w:r>
    </w:p>
    <w:p w:rsidR="00336793" w:rsidRPr="006A75A2" w:rsidRDefault="00336793" w:rsidP="00DF0B96">
      <w:pPr>
        <w:pStyle w:val="Heading5"/>
      </w:pPr>
      <w:r w:rsidRPr="006A75A2">
        <w:t>(i)</w:t>
      </w:r>
      <w:r w:rsidRPr="006A75A2">
        <w:tab/>
        <w:t>Credit risk</w:t>
      </w:r>
    </w:p>
    <w:p w:rsidR="00336793" w:rsidRPr="006A75A2" w:rsidRDefault="00336793" w:rsidP="00DF0B96">
      <w:r w:rsidRPr="006A75A2">
        <w:t>Credit risk refers to the possibility that a borrower will default on its financial obligations as and when they fall due. The State</w:t>
      </w:r>
      <w:r>
        <w:t>’</w:t>
      </w:r>
      <w:r w:rsidRPr="006A75A2">
        <w:t>s exposure to credit risk mainly arises through its investments in fixed interest instruments. Most of the State</w:t>
      </w:r>
      <w:r>
        <w:t>’</w:t>
      </w:r>
      <w:r w:rsidRPr="006A75A2">
        <w:t>s investments and derivatives are centrally managed by TCV and VFMC. Limits are set both in terms of the quality and amount of credit exposure in accordance with the BIP Act and the prudential supervisory policies and framework of the State.</w:t>
      </w:r>
    </w:p>
    <w:p w:rsidR="00336793" w:rsidRPr="006A75A2" w:rsidRDefault="00336793" w:rsidP="00DF0B96">
      <w:r w:rsidRPr="006A75A2">
        <w:t>The State does not have any significant credit risk exposure to any single counterparty or to any group of counterparties having similar characteristics.</w:t>
      </w:r>
    </w:p>
    <w:p w:rsidR="00336793" w:rsidRPr="006A75A2" w:rsidRDefault="00336793" w:rsidP="00DF0B96">
      <w:r w:rsidRPr="006A75A2">
        <w:t>The State</w:t>
      </w:r>
      <w:r>
        <w:t>’</w:t>
      </w:r>
      <w:r w:rsidRPr="006A75A2">
        <w:t>s maximum exposure to credit risk, without taking account of the value of any collateral obtained at the reporting date, in relation to each class of recognised financial asset, is the carrying amount of those assets as recognised in the balance sheet.</w:t>
      </w:r>
    </w:p>
    <w:p w:rsidR="00336793" w:rsidRPr="006A75A2" w:rsidRDefault="00336793" w:rsidP="00DF0B96">
      <w:r w:rsidRPr="006A75A2">
        <w:t>There has been no material change to the State</w:t>
      </w:r>
      <w:r>
        <w:t>’</w:t>
      </w:r>
      <w:r w:rsidRPr="006A75A2">
        <w:t xml:space="preserve">s credit </w:t>
      </w:r>
      <w:r w:rsidRPr="00D93401">
        <w:t>risk profile in 2014</w:t>
      </w:r>
      <w:r>
        <w:noBreakHyphen/>
      </w:r>
      <w:r w:rsidRPr="00D93401">
        <w:t>15.</w:t>
      </w:r>
    </w:p>
    <w:p w:rsidR="00336793" w:rsidRDefault="00336793">
      <w:pPr>
        <w:spacing w:after="0"/>
        <w:rPr>
          <w:rFonts w:ascii="Calibri" w:hAnsi="Calibri"/>
          <w:i/>
          <w:sz w:val="23"/>
        </w:rPr>
      </w:pPr>
      <w:r>
        <w:br w:type="page"/>
      </w:r>
    </w:p>
    <w:p w:rsidR="00336793" w:rsidRPr="006A75A2" w:rsidRDefault="00336793" w:rsidP="00DF0B96">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336793" w:rsidRPr="00105192" w:rsidRDefault="00336793" w:rsidP="00DF0B96">
      <w:pPr>
        <w:pStyle w:val="Heading5a"/>
      </w:pPr>
      <w:r w:rsidRPr="00105192">
        <w:t>Credit quality of financial assets that are neither past due nor impaired</w:t>
      </w:r>
    </w:p>
    <w:p w:rsidR="00336793" w:rsidRPr="00A10A3B" w:rsidRDefault="00336793" w:rsidP="00DF0B96">
      <w:pPr>
        <w:pStyle w:val="million"/>
        <w:rPr>
          <w:rFonts w:ascii="Times New Roman" w:hAnsi="Times New Roman"/>
        </w:rPr>
      </w:pPr>
      <w:r w:rsidRPr="00105192">
        <w:t>($</w:t>
      </w:r>
      <w:r>
        <w:t> million</w:t>
      </w:r>
      <w:r w:rsidRPr="00105192">
        <w:t>)</w:t>
      </w:r>
    </w:p>
    <w:tbl>
      <w:tblPr>
        <w:tblW w:w="9637" w:type="dxa"/>
        <w:tblInd w:w="28" w:type="dxa"/>
        <w:tblLayout w:type="fixed"/>
        <w:tblCellMar>
          <w:left w:w="45" w:type="dxa"/>
          <w:right w:w="45" w:type="dxa"/>
        </w:tblCellMar>
        <w:tblLook w:val="0000" w:firstRow="0" w:lastRow="0" w:firstColumn="0" w:lastColumn="0" w:noHBand="0" w:noVBand="0"/>
      </w:tblPr>
      <w:tblGrid>
        <w:gridCol w:w="4427"/>
        <w:gridCol w:w="1302"/>
        <w:gridCol w:w="1303"/>
        <w:gridCol w:w="1302"/>
        <w:gridCol w:w="1303"/>
      </w:tblGrid>
      <w:tr w:rsidR="00336793" w:rsidRPr="00EB6254" w:rsidTr="00DF0B96">
        <w:trPr>
          <w:tblHeader/>
        </w:trPr>
        <w:tc>
          <w:tcPr>
            <w:tcW w:w="4427" w:type="dxa"/>
            <w:tcBorders>
              <w:top w:val="single" w:sz="6" w:space="0" w:color="000000"/>
              <w:left w:val="single" w:sz="6" w:space="0" w:color="000000"/>
              <w:bottom w:val="nil"/>
              <w:right w:val="nil"/>
            </w:tcBorders>
            <w:shd w:val="clear" w:color="000000" w:fill="000000"/>
            <w:vAlign w:val="bottom"/>
          </w:tcPr>
          <w:p w:rsidR="00336793" w:rsidRPr="00EB6254" w:rsidRDefault="00336793" w:rsidP="00DF0B96">
            <w:pPr>
              <w:pStyle w:val="Tabletextheading"/>
              <w:jc w:val="left"/>
              <w:rPr>
                <w:rFonts w:eastAsiaTheme="minorEastAsia"/>
                <w:color w:val="FFFFFF"/>
                <w:sz w:val="21"/>
                <w:lang w:eastAsia="en-AU"/>
              </w:rPr>
            </w:pPr>
            <w:r w:rsidRPr="00EB6254">
              <w:rPr>
                <w:rFonts w:eastAsiaTheme="minorEastAsia"/>
                <w:color w:val="FFFFFF"/>
                <w:sz w:val="21"/>
                <w:lang w:eastAsia="en-AU"/>
              </w:rPr>
              <w:t xml:space="preserve"> </w:t>
            </w:r>
          </w:p>
        </w:tc>
        <w:tc>
          <w:tcPr>
            <w:tcW w:w="1302" w:type="dxa"/>
            <w:tcBorders>
              <w:top w:val="single" w:sz="6" w:space="0" w:color="000000"/>
              <w:left w:val="nil"/>
              <w:bottom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w:t>
            </w:r>
          </w:p>
        </w:tc>
        <w:tc>
          <w:tcPr>
            <w:tcW w:w="1303" w:type="dxa"/>
            <w:tcBorders>
              <w:top w:val="single" w:sz="6" w:space="0" w:color="000000"/>
              <w:left w:val="nil"/>
              <w:bottom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Other</w:t>
            </w:r>
          </w:p>
        </w:tc>
        <w:tc>
          <w:tcPr>
            <w:tcW w:w="1302" w:type="dxa"/>
            <w:tcBorders>
              <w:top w:val="single" w:sz="6" w:space="0" w:color="000000"/>
              <w:left w:val="nil"/>
              <w:bottom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w:t>
            </w:r>
          </w:p>
        </w:tc>
        <w:tc>
          <w:tcPr>
            <w:tcW w:w="1303" w:type="dxa"/>
            <w:tcBorders>
              <w:top w:val="single" w:sz="6" w:space="0" w:color="000000"/>
              <w:left w:val="nil"/>
              <w:bottom w:val="nil"/>
              <w:right w:val="single" w:sz="6" w:space="0" w:color="000000"/>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w:t>
            </w:r>
          </w:p>
        </w:tc>
      </w:tr>
      <w:tr w:rsidR="00336793" w:rsidRPr="00EB6254" w:rsidTr="00DF0B96">
        <w:trPr>
          <w:tblHeader/>
        </w:trPr>
        <w:tc>
          <w:tcPr>
            <w:tcW w:w="4427" w:type="dxa"/>
            <w:tcBorders>
              <w:left w:val="single" w:sz="6" w:space="0" w:color="000000"/>
              <w:right w:val="nil"/>
            </w:tcBorders>
            <w:shd w:val="clear" w:color="000000" w:fill="000000"/>
            <w:vAlign w:val="bottom"/>
          </w:tcPr>
          <w:p w:rsidR="00336793" w:rsidRPr="00EB6254" w:rsidRDefault="00336793" w:rsidP="00DF0B96">
            <w:pPr>
              <w:pStyle w:val="TabletextheadingLeft"/>
              <w:rPr>
                <w:sz w:val="21"/>
              </w:rPr>
            </w:pPr>
          </w:p>
          <w:p w:rsidR="00336793" w:rsidRPr="00EB6254" w:rsidRDefault="00336793" w:rsidP="00DF0B96">
            <w:pPr>
              <w:pStyle w:val="TabletextheadingLeft"/>
              <w:rPr>
                <w:rFonts w:eastAsiaTheme="minorEastAsia"/>
                <w:sz w:val="21"/>
                <w:lang w:eastAsia="en-AU"/>
              </w:rPr>
            </w:pPr>
            <w:r w:rsidRPr="00EB6254">
              <w:rPr>
                <w:sz w:val="21"/>
              </w:rPr>
              <w:t>State of Victoria</w:t>
            </w:r>
          </w:p>
        </w:tc>
        <w:tc>
          <w:tcPr>
            <w:tcW w:w="1302" w:type="dxa"/>
            <w:tcBorders>
              <w:left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(AAA credit rating)</w:t>
            </w:r>
          </w:p>
        </w:tc>
        <w:tc>
          <w:tcPr>
            <w:tcW w:w="1303" w:type="dxa"/>
            <w:tcBorders>
              <w:left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(min BBB </w:t>
            </w:r>
          </w:p>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credit rating)</w:t>
            </w:r>
          </w:p>
        </w:tc>
        <w:tc>
          <w:tcPr>
            <w:tcW w:w="1302" w:type="dxa"/>
            <w:tcBorders>
              <w:left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Other</w:t>
            </w:r>
          </w:p>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(not rated)</w:t>
            </w:r>
          </w:p>
        </w:tc>
        <w:tc>
          <w:tcPr>
            <w:tcW w:w="1303" w:type="dxa"/>
            <w:tcBorders>
              <w:left w:val="nil"/>
              <w:right w:val="single" w:sz="6" w:space="0" w:color="000000"/>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p>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Total</w:t>
            </w:r>
          </w:p>
        </w:tc>
      </w:tr>
      <w:tr w:rsidR="00336793" w:rsidRPr="00EB6254" w:rsidTr="00DF0B96">
        <w:trPr>
          <w:tblHeader/>
        </w:trPr>
        <w:tc>
          <w:tcPr>
            <w:tcW w:w="4427" w:type="dxa"/>
            <w:tcBorders>
              <w:left w:val="single" w:sz="6" w:space="0" w:color="000000"/>
              <w:bottom w:val="single" w:sz="6" w:space="0" w:color="000000"/>
              <w:right w:val="nil"/>
            </w:tcBorders>
            <w:shd w:val="clear" w:color="000000" w:fill="000000"/>
            <w:vAlign w:val="bottom"/>
          </w:tcPr>
          <w:p w:rsidR="00336793" w:rsidRPr="00EB6254" w:rsidRDefault="00336793" w:rsidP="00DF0B96">
            <w:pPr>
              <w:pStyle w:val="Tabletextheading"/>
              <w:jc w:val="left"/>
              <w:rPr>
                <w:rFonts w:eastAsiaTheme="minorEastAsia"/>
                <w:iCs/>
                <w:color w:val="FFFFFF"/>
                <w:sz w:val="21"/>
                <w:lang w:eastAsia="en-AU"/>
              </w:rPr>
            </w:pPr>
            <w:r w:rsidRPr="00EB6254">
              <w:rPr>
                <w:rFonts w:eastAsiaTheme="minorEastAsia"/>
                <w:iCs/>
                <w:color w:val="FFFFFF"/>
                <w:sz w:val="21"/>
                <w:lang w:eastAsia="en-AU"/>
              </w:rPr>
              <w:t>2015</w:t>
            </w:r>
          </w:p>
        </w:tc>
        <w:tc>
          <w:tcPr>
            <w:tcW w:w="1302" w:type="dxa"/>
            <w:tcBorders>
              <w:left w:val="nil"/>
              <w:bottom w:val="single" w:sz="6" w:space="0" w:color="000000"/>
              <w:right w:val="nil"/>
            </w:tcBorders>
            <w:shd w:val="clear" w:color="000000" w:fill="000000"/>
            <w:vAlign w:val="bottom"/>
          </w:tcPr>
          <w:p w:rsidR="00336793" w:rsidRPr="00EB6254" w:rsidRDefault="00336793" w:rsidP="00DF0B96">
            <w:pPr>
              <w:pStyle w:val="Tabletextheading"/>
              <w:rPr>
                <w:rFonts w:eastAsiaTheme="minorEastAsia"/>
                <w:color w:val="FFFFFF"/>
                <w:sz w:val="21"/>
                <w:lang w:eastAsia="en-AU"/>
              </w:rPr>
            </w:pPr>
            <w:r w:rsidRPr="00EB6254">
              <w:rPr>
                <w:rFonts w:eastAsiaTheme="minorEastAsia"/>
                <w:color w:val="FFFFFF"/>
                <w:sz w:val="21"/>
                <w:lang w:eastAsia="en-AU"/>
              </w:rPr>
              <w:t xml:space="preserve">  </w:t>
            </w:r>
          </w:p>
        </w:tc>
        <w:tc>
          <w:tcPr>
            <w:tcW w:w="1303" w:type="dxa"/>
            <w:tcBorders>
              <w:left w:val="nil"/>
              <w:bottom w:val="single" w:sz="6" w:space="0" w:color="000000"/>
              <w:right w:val="nil"/>
            </w:tcBorders>
            <w:shd w:val="clear" w:color="000000" w:fill="000000"/>
            <w:vAlign w:val="bottom"/>
          </w:tcPr>
          <w:p w:rsidR="00336793" w:rsidRPr="00EB6254" w:rsidRDefault="00336793" w:rsidP="00DF0B96">
            <w:pPr>
              <w:pStyle w:val="Tabletextheading"/>
              <w:rPr>
                <w:rFonts w:eastAsiaTheme="minorEastAsia"/>
                <w:color w:val="FFFFFF"/>
                <w:sz w:val="21"/>
                <w:lang w:eastAsia="en-AU"/>
              </w:rPr>
            </w:pPr>
            <w:r w:rsidRPr="00EB6254">
              <w:rPr>
                <w:rFonts w:eastAsiaTheme="minorEastAsia"/>
                <w:color w:val="FFFFFF"/>
                <w:sz w:val="21"/>
                <w:lang w:eastAsia="en-AU"/>
              </w:rPr>
              <w:t xml:space="preserve">  </w:t>
            </w:r>
          </w:p>
        </w:tc>
        <w:tc>
          <w:tcPr>
            <w:tcW w:w="1302" w:type="dxa"/>
            <w:tcBorders>
              <w:left w:val="nil"/>
              <w:bottom w:val="single" w:sz="6" w:space="0" w:color="000000"/>
              <w:right w:val="nil"/>
            </w:tcBorders>
            <w:shd w:val="clear" w:color="000000" w:fill="000000"/>
            <w:vAlign w:val="bottom"/>
          </w:tcPr>
          <w:p w:rsidR="00336793" w:rsidRPr="00EB6254" w:rsidRDefault="00336793" w:rsidP="00DF0B96">
            <w:pPr>
              <w:pStyle w:val="Tabletextheading"/>
              <w:rPr>
                <w:rFonts w:eastAsiaTheme="minorEastAsia"/>
                <w:color w:val="FFFFFF"/>
                <w:sz w:val="21"/>
                <w:lang w:eastAsia="en-AU"/>
              </w:rPr>
            </w:pPr>
            <w:r w:rsidRPr="00EB6254">
              <w:rPr>
                <w:rFonts w:eastAsiaTheme="minorEastAsia"/>
                <w:color w:val="FFFFFF"/>
                <w:sz w:val="21"/>
                <w:lang w:eastAsia="en-AU"/>
              </w:rPr>
              <w:t xml:space="preserve">  </w:t>
            </w:r>
          </w:p>
        </w:tc>
        <w:tc>
          <w:tcPr>
            <w:tcW w:w="1303" w:type="dxa"/>
            <w:tcBorders>
              <w:left w:val="nil"/>
              <w:bottom w:val="single" w:sz="6" w:space="0" w:color="000000"/>
              <w:right w:val="single" w:sz="6" w:space="0" w:color="000000"/>
            </w:tcBorders>
            <w:shd w:val="clear" w:color="000000" w:fill="000000"/>
            <w:vAlign w:val="bottom"/>
          </w:tcPr>
          <w:p w:rsidR="00336793" w:rsidRPr="00EB6254" w:rsidRDefault="00336793" w:rsidP="00DF0B96">
            <w:pPr>
              <w:pStyle w:val="Tabletextheading"/>
              <w:rPr>
                <w:rFonts w:eastAsiaTheme="minorEastAsia"/>
                <w:color w:val="FFFFFF"/>
                <w:sz w:val="21"/>
                <w:lang w:eastAsia="en-AU"/>
              </w:rPr>
            </w:pPr>
            <w:r w:rsidRPr="00EB6254">
              <w:rPr>
                <w:rFonts w:eastAsiaTheme="minorEastAsia"/>
                <w:color w:val="FFFFFF"/>
                <w:sz w:val="21"/>
                <w:lang w:eastAsia="en-AU"/>
              </w:rPr>
              <w:t xml:space="preserve">  </w:t>
            </w:r>
          </w:p>
        </w:tc>
      </w:tr>
      <w:tr w:rsidR="00336793" w:rsidRPr="00EB6254" w:rsidTr="00DF0B96">
        <w:tc>
          <w:tcPr>
            <w:tcW w:w="4427" w:type="dxa"/>
            <w:tcBorders>
              <w:top w:val="single" w:sz="6" w:space="0" w:color="000000"/>
              <w:left w:val="nil"/>
              <w:bottom w:val="nil"/>
              <w:right w:val="nil"/>
            </w:tcBorders>
            <w:shd w:val="solid" w:color="FFFFFF" w:fill="auto"/>
          </w:tcPr>
          <w:p w:rsidR="00336793" w:rsidRPr="00EB6254" w:rsidRDefault="00336793" w:rsidP="00DF0B96">
            <w:pPr>
              <w:autoSpaceDE w:val="0"/>
              <w:autoSpaceDN w:val="0"/>
              <w:adjustRightInd w:val="0"/>
              <w:spacing w:after="0"/>
              <w:rPr>
                <w:rFonts w:ascii="Calibri" w:eastAsiaTheme="minorEastAsia" w:hAnsi="Calibri" w:cs="Calibri"/>
                <w:b/>
                <w:bCs/>
                <w:sz w:val="21"/>
                <w:szCs w:val="22"/>
                <w:lang w:eastAsia="en-AU"/>
              </w:rPr>
            </w:pPr>
            <w:r w:rsidRPr="00EB6254">
              <w:rPr>
                <w:rFonts w:ascii="Calibri" w:eastAsiaTheme="minorEastAsia" w:hAnsi="Calibri" w:cs="Calibri"/>
                <w:b/>
                <w:bCs/>
                <w:sz w:val="21"/>
                <w:szCs w:val="22"/>
                <w:lang w:eastAsia="en-AU"/>
              </w:rPr>
              <w:t>Financial assets</w:t>
            </w:r>
          </w:p>
        </w:tc>
        <w:tc>
          <w:tcPr>
            <w:tcW w:w="1302" w:type="dxa"/>
            <w:tcBorders>
              <w:top w:val="single" w:sz="6" w:space="0" w:color="000000"/>
              <w:left w:val="nil"/>
              <w:bottom w:val="nil"/>
              <w:right w:val="nil"/>
            </w:tcBorders>
            <w:shd w:val="solid" w:color="FFFFFF" w:fill="auto"/>
          </w:tcPr>
          <w:p w:rsidR="00336793" w:rsidRPr="00EB6254" w:rsidRDefault="00336793" w:rsidP="00DF0B96">
            <w:pPr>
              <w:autoSpaceDE w:val="0"/>
              <w:autoSpaceDN w:val="0"/>
              <w:adjustRightInd w:val="0"/>
              <w:spacing w:after="0"/>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w:t>
            </w:r>
          </w:p>
        </w:tc>
        <w:tc>
          <w:tcPr>
            <w:tcW w:w="1303" w:type="dxa"/>
            <w:tcBorders>
              <w:top w:val="single" w:sz="6" w:space="0" w:color="000000"/>
              <w:left w:val="nil"/>
              <w:bottom w:val="nil"/>
              <w:right w:val="nil"/>
            </w:tcBorders>
            <w:shd w:val="solid" w:color="FFFFFF" w:fill="auto"/>
          </w:tcPr>
          <w:p w:rsidR="00336793" w:rsidRPr="00EB6254" w:rsidRDefault="00336793" w:rsidP="00DF0B96">
            <w:pPr>
              <w:autoSpaceDE w:val="0"/>
              <w:autoSpaceDN w:val="0"/>
              <w:adjustRightInd w:val="0"/>
              <w:spacing w:after="0"/>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w:t>
            </w:r>
          </w:p>
        </w:tc>
        <w:tc>
          <w:tcPr>
            <w:tcW w:w="1302" w:type="dxa"/>
            <w:tcBorders>
              <w:top w:val="single" w:sz="6" w:space="0" w:color="000000"/>
              <w:left w:val="nil"/>
              <w:bottom w:val="nil"/>
              <w:right w:val="nil"/>
            </w:tcBorders>
            <w:shd w:val="solid" w:color="FFFFFF" w:fill="auto"/>
          </w:tcPr>
          <w:p w:rsidR="00336793" w:rsidRPr="00EB6254" w:rsidRDefault="00336793" w:rsidP="00DF0B96">
            <w:pPr>
              <w:autoSpaceDE w:val="0"/>
              <w:autoSpaceDN w:val="0"/>
              <w:adjustRightInd w:val="0"/>
              <w:spacing w:after="0"/>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w:t>
            </w:r>
          </w:p>
        </w:tc>
        <w:tc>
          <w:tcPr>
            <w:tcW w:w="1303" w:type="dxa"/>
            <w:tcBorders>
              <w:top w:val="single" w:sz="6" w:space="0" w:color="000000"/>
              <w:left w:val="nil"/>
              <w:bottom w:val="nil"/>
              <w:right w:val="nil"/>
            </w:tcBorders>
            <w:shd w:val="solid" w:color="FFFFFF" w:fill="auto"/>
          </w:tcPr>
          <w:p w:rsidR="00336793" w:rsidRPr="00EB6254" w:rsidRDefault="00336793" w:rsidP="00DF0B96">
            <w:pPr>
              <w:autoSpaceDE w:val="0"/>
              <w:autoSpaceDN w:val="0"/>
              <w:adjustRightInd w:val="0"/>
              <w:spacing w:after="0"/>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w:t>
            </w:r>
          </w:p>
        </w:tc>
      </w:tr>
      <w:tr w:rsidR="00336793" w:rsidRPr="00EB6254" w:rsidTr="00DF0B96">
        <w:tc>
          <w:tcPr>
            <w:tcW w:w="4427" w:type="dxa"/>
            <w:tcBorders>
              <w:top w:val="nil"/>
              <w:left w:val="nil"/>
              <w:bottom w:val="nil"/>
              <w:right w:val="nil"/>
            </w:tcBorders>
          </w:tcPr>
          <w:p w:rsidR="00336793" w:rsidRPr="00EB6254" w:rsidRDefault="00336793" w:rsidP="00DF0B96">
            <w:pPr>
              <w:autoSpaceDE w:val="0"/>
              <w:autoSpaceDN w:val="0"/>
              <w:adjustRightInd w:val="0"/>
              <w:spacing w:after="0"/>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Cash and deposits</w:t>
            </w:r>
          </w:p>
        </w:tc>
        <w:tc>
          <w:tcPr>
            <w:tcW w:w="1302"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253.9</w:t>
            </w:r>
          </w:p>
        </w:tc>
        <w:tc>
          <w:tcPr>
            <w:tcW w:w="1303"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5 747.8</w:t>
            </w:r>
          </w:p>
        </w:tc>
        <w:tc>
          <w:tcPr>
            <w:tcW w:w="1302"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519.4</w:t>
            </w:r>
          </w:p>
        </w:tc>
        <w:tc>
          <w:tcPr>
            <w:tcW w:w="1303"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6 521.1</w:t>
            </w:r>
          </w:p>
        </w:tc>
      </w:tr>
      <w:tr w:rsidR="00336793" w:rsidRPr="00EB6254" w:rsidTr="00DF0B96">
        <w:tc>
          <w:tcPr>
            <w:tcW w:w="4427" w:type="dxa"/>
            <w:tcBorders>
              <w:top w:val="nil"/>
              <w:left w:val="nil"/>
              <w:bottom w:val="nil"/>
              <w:right w:val="nil"/>
            </w:tcBorders>
          </w:tcPr>
          <w:p w:rsidR="00336793" w:rsidRPr="00EB6254" w:rsidRDefault="00336793" w:rsidP="00DF0B96">
            <w:pPr>
              <w:autoSpaceDE w:val="0"/>
              <w:autoSpaceDN w:val="0"/>
              <w:adjustRightInd w:val="0"/>
              <w:spacing w:after="0"/>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Receivables</w:t>
            </w:r>
          </w:p>
        </w:tc>
        <w:tc>
          <w:tcPr>
            <w:tcW w:w="1302"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55.4</w:t>
            </w:r>
          </w:p>
        </w:tc>
        <w:tc>
          <w:tcPr>
            <w:tcW w:w="1303"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197.4</w:t>
            </w:r>
          </w:p>
        </w:tc>
        <w:tc>
          <w:tcPr>
            <w:tcW w:w="1302"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1 432.7</w:t>
            </w:r>
          </w:p>
        </w:tc>
        <w:tc>
          <w:tcPr>
            <w:tcW w:w="1303"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1 685.5</w:t>
            </w:r>
          </w:p>
        </w:tc>
      </w:tr>
      <w:tr w:rsidR="00336793" w:rsidRPr="00EB6254" w:rsidTr="00DF0B96">
        <w:tc>
          <w:tcPr>
            <w:tcW w:w="4427" w:type="dxa"/>
            <w:tcBorders>
              <w:top w:val="nil"/>
              <w:left w:val="nil"/>
              <w:bottom w:val="nil"/>
              <w:right w:val="nil"/>
            </w:tcBorders>
            <w:shd w:val="solid" w:color="FFFFFF" w:fill="auto"/>
          </w:tcPr>
          <w:p w:rsidR="00336793" w:rsidRPr="00EB6254" w:rsidRDefault="00336793" w:rsidP="00DF0B96">
            <w:pPr>
              <w:autoSpaceDE w:val="0"/>
              <w:autoSpaceDN w:val="0"/>
              <w:adjustRightInd w:val="0"/>
              <w:spacing w:after="0"/>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Advances paid</w:t>
            </w:r>
          </w:p>
        </w:tc>
        <w:tc>
          <w:tcPr>
            <w:tcW w:w="1302"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41.1</w:t>
            </w:r>
          </w:p>
        </w:tc>
        <w:tc>
          <w:tcPr>
            <w:tcW w:w="1303"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0.2</w:t>
            </w:r>
          </w:p>
        </w:tc>
        <w:tc>
          <w:tcPr>
            <w:tcW w:w="1302"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80.1</w:t>
            </w:r>
          </w:p>
        </w:tc>
        <w:tc>
          <w:tcPr>
            <w:tcW w:w="1303"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121.4</w:t>
            </w:r>
          </w:p>
        </w:tc>
      </w:tr>
      <w:tr w:rsidR="00336793" w:rsidRPr="00EB6254" w:rsidTr="00DF0B96">
        <w:tc>
          <w:tcPr>
            <w:tcW w:w="4427" w:type="dxa"/>
            <w:tcBorders>
              <w:top w:val="nil"/>
              <w:left w:val="nil"/>
              <w:bottom w:val="nil"/>
              <w:right w:val="nil"/>
            </w:tcBorders>
            <w:shd w:val="solid" w:color="FFFFFF" w:fill="auto"/>
          </w:tcPr>
          <w:p w:rsidR="00336793" w:rsidRPr="00EB6254" w:rsidRDefault="00336793" w:rsidP="00DF0B96">
            <w:pPr>
              <w:autoSpaceDE w:val="0"/>
              <w:autoSpaceDN w:val="0"/>
              <w:adjustRightInd w:val="0"/>
              <w:spacing w:after="0"/>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Term deposits</w:t>
            </w:r>
          </w:p>
        </w:tc>
        <w:tc>
          <w:tcPr>
            <w:tcW w:w="1302"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138.9</w:t>
            </w:r>
          </w:p>
        </w:tc>
        <w:tc>
          <w:tcPr>
            <w:tcW w:w="1303"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369.1</w:t>
            </w:r>
          </w:p>
        </w:tc>
        <w:tc>
          <w:tcPr>
            <w:tcW w:w="1302"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41.0</w:t>
            </w:r>
          </w:p>
        </w:tc>
        <w:tc>
          <w:tcPr>
            <w:tcW w:w="1303" w:type="dxa"/>
            <w:tcBorders>
              <w:top w:val="nil"/>
              <w:left w:val="nil"/>
              <w:bottom w:val="nil"/>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549.0</w:t>
            </w:r>
          </w:p>
        </w:tc>
      </w:tr>
      <w:tr w:rsidR="00336793" w:rsidRPr="00EB6254" w:rsidTr="00DF0B96">
        <w:tc>
          <w:tcPr>
            <w:tcW w:w="4427" w:type="dxa"/>
            <w:tcBorders>
              <w:top w:val="nil"/>
              <w:left w:val="nil"/>
              <w:bottom w:val="single" w:sz="6" w:space="0" w:color="auto"/>
              <w:right w:val="nil"/>
            </w:tcBorders>
            <w:shd w:val="solid" w:color="FFFFFF" w:fill="auto"/>
          </w:tcPr>
          <w:p w:rsidR="00336793" w:rsidRPr="00EB6254" w:rsidRDefault="00336793" w:rsidP="00DF0B96">
            <w:pPr>
              <w:autoSpaceDE w:val="0"/>
              <w:autoSpaceDN w:val="0"/>
              <w:adjustRightInd w:val="0"/>
              <w:spacing w:after="0"/>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Debt securities</w:t>
            </w:r>
          </w:p>
        </w:tc>
        <w:tc>
          <w:tcPr>
            <w:tcW w:w="1302" w:type="dxa"/>
            <w:tcBorders>
              <w:top w:val="nil"/>
              <w:left w:val="nil"/>
              <w:bottom w:val="single" w:sz="6" w:space="0" w:color="auto"/>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1 585.2</w:t>
            </w:r>
          </w:p>
        </w:tc>
        <w:tc>
          <w:tcPr>
            <w:tcW w:w="1303" w:type="dxa"/>
            <w:tcBorders>
              <w:top w:val="nil"/>
              <w:left w:val="nil"/>
              <w:bottom w:val="single" w:sz="6" w:space="0" w:color="auto"/>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7 309.4</w:t>
            </w:r>
          </w:p>
        </w:tc>
        <w:tc>
          <w:tcPr>
            <w:tcW w:w="1302" w:type="dxa"/>
            <w:tcBorders>
              <w:top w:val="nil"/>
              <w:left w:val="nil"/>
              <w:bottom w:val="single" w:sz="6" w:space="0" w:color="auto"/>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 xml:space="preserve"> 22.5</w:t>
            </w:r>
          </w:p>
        </w:tc>
        <w:tc>
          <w:tcPr>
            <w:tcW w:w="1303" w:type="dxa"/>
            <w:tcBorders>
              <w:top w:val="nil"/>
              <w:left w:val="nil"/>
              <w:bottom w:val="single" w:sz="6" w:space="0" w:color="auto"/>
              <w:right w:val="nil"/>
            </w:tcBorders>
          </w:tcPr>
          <w:p w:rsidR="00336793" w:rsidRPr="00EB6254"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EB6254">
              <w:rPr>
                <w:rFonts w:ascii="Calibri" w:eastAsiaTheme="minorEastAsia" w:hAnsi="Calibri" w:cs="Calibri"/>
                <w:sz w:val="21"/>
                <w:szCs w:val="22"/>
                <w:lang w:eastAsia="en-AU"/>
              </w:rPr>
              <w:t>8 917.0</w:t>
            </w:r>
          </w:p>
        </w:tc>
      </w:tr>
      <w:tr w:rsidR="00336793" w:rsidRPr="00EB6254" w:rsidTr="00DF0B96">
        <w:tc>
          <w:tcPr>
            <w:tcW w:w="4427" w:type="dxa"/>
            <w:tcBorders>
              <w:top w:val="single" w:sz="6" w:space="0" w:color="auto"/>
              <w:left w:val="nil"/>
              <w:bottom w:val="single" w:sz="12" w:space="0" w:color="000000"/>
              <w:right w:val="nil"/>
            </w:tcBorders>
            <w:shd w:val="solid" w:color="FFFFFF" w:fill="auto"/>
          </w:tcPr>
          <w:p w:rsidR="00336793" w:rsidRPr="00EB6254" w:rsidRDefault="00336793" w:rsidP="00DF0B96">
            <w:pPr>
              <w:autoSpaceDE w:val="0"/>
              <w:autoSpaceDN w:val="0"/>
              <w:adjustRightInd w:val="0"/>
              <w:spacing w:after="0"/>
              <w:rPr>
                <w:rFonts w:ascii="Calibri" w:eastAsiaTheme="minorEastAsia" w:hAnsi="Calibri" w:cs="Calibri"/>
                <w:b/>
                <w:bCs/>
                <w:sz w:val="21"/>
                <w:szCs w:val="22"/>
                <w:lang w:eastAsia="en-AU"/>
              </w:rPr>
            </w:pPr>
            <w:r w:rsidRPr="00EB6254">
              <w:rPr>
                <w:rFonts w:ascii="Calibri" w:eastAsiaTheme="minorEastAsia" w:hAnsi="Calibri" w:cs="Calibri"/>
                <w:b/>
                <w:bCs/>
                <w:sz w:val="21"/>
                <w:szCs w:val="22"/>
                <w:lang w:eastAsia="en-AU"/>
              </w:rPr>
              <w:t>Total financial assets</w:t>
            </w:r>
          </w:p>
        </w:tc>
        <w:tc>
          <w:tcPr>
            <w:tcW w:w="1302" w:type="dxa"/>
            <w:tcBorders>
              <w:top w:val="single" w:sz="6" w:space="0" w:color="auto"/>
              <w:left w:val="nil"/>
              <w:bottom w:val="single" w:sz="12" w:space="0" w:color="000000"/>
              <w:right w:val="nil"/>
            </w:tcBorders>
            <w:shd w:val="solid" w:color="FFFFFF" w:fill="auto"/>
          </w:tcPr>
          <w:p w:rsidR="00336793" w:rsidRPr="00EB625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EB6254">
              <w:rPr>
                <w:rFonts w:ascii="Calibri" w:eastAsiaTheme="minorEastAsia" w:hAnsi="Calibri" w:cs="Calibri"/>
                <w:b/>
                <w:bCs/>
                <w:sz w:val="21"/>
                <w:szCs w:val="22"/>
                <w:lang w:eastAsia="en-AU"/>
              </w:rPr>
              <w:t>2 074.5</w:t>
            </w:r>
          </w:p>
        </w:tc>
        <w:tc>
          <w:tcPr>
            <w:tcW w:w="1303" w:type="dxa"/>
            <w:tcBorders>
              <w:top w:val="single" w:sz="6" w:space="0" w:color="auto"/>
              <w:left w:val="nil"/>
              <w:bottom w:val="single" w:sz="12" w:space="0" w:color="000000"/>
              <w:right w:val="nil"/>
            </w:tcBorders>
            <w:shd w:val="solid" w:color="FFFFFF" w:fill="auto"/>
          </w:tcPr>
          <w:p w:rsidR="00336793" w:rsidRPr="00EB625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EB6254">
              <w:rPr>
                <w:rFonts w:ascii="Calibri" w:eastAsiaTheme="minorEastAsia" w:hAnsi="Calibri" w:cs="Calibri"/>
                <w:b/>
                <w:bCs/>
                <w:sz w:val="21"/>
                <w:szCs w:val="22"/>
                <w:lang w:eastAsia="en-AU"/>
              </w:rPr>
              <w:t>13 623.7</w:t>
            </w:r>
          </w:p>
        </w:tc>
        <w:tc>
          <w:tcPr>
            <w:tcW w:w="1302" w:type="dxa"/>
            <w:tcBorders>
              <w:top w:val="single" w:sz="6" w:space="0" w:color="auto"/>
              <w:left w:val="nil"/>
              <w:bottom w:val="single" w:sz="12" w:space="0" w:color="000000"/>
              <w:right w:val="nil"/>
            </w:tcBorders>
            <w:shd w:val="solid" w:color="FFFFFF" w:fill="auto"/>
          </w:tcPr>
          <w:p w:rsidR="00336793" w:rsidRPr="00EB625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EB6254">
              <w:rPr>
                <w:rFonts w:ascii="Calibri" w:eastAsiaTheme="minorEastAsia" w:hAnsi="Calibri" w:cs="Calibri"/>
                <w:b/>
                <w:bCs/>
                <w:sz w:val="21"/>
                <w:szCs w:val="22"/>
                <w:lang w:eastAsia="en-AU"/>
              </w:rPr>
              <w:t>2 095.8</w:t>
            </w:r>
          </w:p>
        </w:tc>
        <w:tc>
          <w:tcPr>
            <w:tcW w:w="1303" w:type="dxa"/>
            <w:tcBorders>
              <w:top w:val="single" w:sz="6" w:space="0" w:color="auto"/>
              <w:left w:val="nil"/>
              <w:bottom w:val="single" w:sz="12" w:space="0" w:color="000000"/>
              <w:right w:val="nil"/>
            </w:tcBorders>
            <w:shd w:val="solid" w:color="FFFFFF" w:fill="auto"/>
          </w:tcPr>
          <w:p w:rsidR="00336793" w:rsidRPr="00EB6254"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EB6254">
              <w:rPr>
                <w:rFonts w:ascii="Calibri" w:eastAsiaTheme="minorEastAsia" w:hAnsi="Calibri" w:cs="Calibri"/>
                <w:b/>
                <w:bCs/>
                <w:sz w:val="21"/>
                <w:szCs w:val="22"/>
                <w:lang w:eastAsia="en-AU"/>
              </w:rPr>
              <w:t>17 794.0</w:t>
            </w:r>
          </w:p>
        </w:tc>
      </w:tr>
    </w:tbl>
    <w:p w:rsidR="00336793" w:rsidRPr="00602AC1"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4427"/>
        <w:gridCol w:w="1260"/>
        <w:gridCol w:w="1440"/>
        <w:gridCol w:w="1260"/>
        <w:gridCol w:w="1250"/>
      </w:tblGrid>
      <w:tr w:rsidR="00336793" w:rsidRPr="00602AC1" w:rsidTr="00DF0B96">
        <w:tc>
          <w:tcPr>
            <w:tcW w:w="4427" w:type="dxa"/>
            <w:tcBorders>
              <w:top w:val="single" w:sz="6" w:space="0" w:color="auto"/>
              <w:left w:val="single" w:sz="6" w:space="0" w:color="auto"/>
              <w:bottom w:val="single" w:sz="6" w:space="0" w:color="auto"/>
              <w:right w:val="nil"/>
            </w:tcBorders>
            <w:shd w:val="clear" w:color="000000" w:fill="000000"/>
          </w:tcPr>
          <w:p w:rsidR="00336793" w:rsidRPr="00602AC1" w:rsidRDefault="00336793" w:rsidP="00DF0B96">
            <w:pPr>
              <w:pStyle w:val="Tabletext"/>
              <w:rPr>
                <w:rFonts w:eastAsiaTheme="minorEastAsia"/>
                <w:i/>
                <w:sz w:val="21"/>
                <w:lang w:eastAsia="en-AU"/>
              </w:rPr>
            </w:pPr>
            <w:r w:rsidRPr="00602AC1">
              <w:rPr>
                <w:rFonts w:eastAsiaTheme="minorEastAsia"/>
                <w:i/>
                <w:sz w:val="21"/>
                <w:lang w:eastAsia="en-AU"/>
              </w:rPr>
              <w:t>2014</w:t>
            </w:r>
          </w:p>
        </w:tc>
        <w:tc>
          <w:tcPr>
            <w:tcW w:w="1260" w:type="dxa"/>
            <w:tcBorders>
              <w:top w:val="single" w:sz="6" w:space="0" w:color="auto"/>
              <w:left w:val="nil"/>
              <w:bottom w:val="single" w:sz="6" w:space="0" w:color="auto"/>
              <w:right w:val="nil"/>
            </w:tcBorders>
            <w:shd w:val="clear" w:color="000000" w:fill="000000"/>
          </w:tcPr>
          <w:p w:rsidR="00336793" w:rsidRPr="00602AC1" w:rsidRDefault="00336793" w:rsidP="00DF0B96">
            <w:pPr>
              <w:pStyle w:val="Tabletextheading"/>
              <w:rPr>
                <w:rFonts w:eastAsiaTheme="minorEastAsia"/>
                <w:color w:val="FFFFFF"/>
                <w:sz w:val="21"/>
                <w:lang w:eastAsia="en-AU"/>
              </w:rPr>
            </w:pPr>
            <w:r w:rsidRPr="00602AC1">
              <w:rPr>
                <w:rFonts w:eastAsiaTheme="minorEastAsia"/>
                <w:color w:val="FFFFFF"/>
                <w:sz w:val="21"/>
                <w:lang w:eastAsia="en-AU"/>
              </w:rPr>
              <w:t xml:space="preserve">  </w:t>
            </w:r>
          </w:p>
        </w:tc>
        <w:tc>
          <w:tcPr>
            <w:tcW w:w="1440" w:type="dxa"/>
            <w:tcBorders>
              <w:top w:val="single" w:sz="6" w:space="0" w:color="auto"/>
              <w:left w:val="nil"/>
              <w:bottom w:val="single" w:sz="6" w:space="0" w:color="auto"/>
              <w:right w:val="nil"/>
            </w:tcBorders>
            <w:shd w:val="clear" w:color="000000" w:fill="000000"/>
          </w:tcPr>
          <w:p w:rsidR="00336793" w:rsidRPr="00602AC1" w:rsidRDefault="00336793" w:rsidP="00DF0B96">
            <w:pPr>
              <w:pStyle w:val="Tabletextheading"/>
              <w:rPr>
                <w:rFonts w:eastAsiaTheme="minorEastAsia"/>
                <w:color w:val="FFFFFF"/>
                <w:sz w:val="21"/>
                <w:lang w:eastAsia="en-AU"/>
              </w:rPr>
            </w:pPr>
            <w:r w:rsidRPr="00602AC1">
              <w:rPr>
                <w:rFonts w:eastAsiaTheme="minorEastAsia"/>
                <w:color w:val="FFFFFF"/>
                <w:sz w:val="21"/>
                <w:lang w:eastAsia="en-AU"/>
              </w:rPr>
              <w:t xml:space="preserve">  </w:t>
            </w:r>
          </w:p>
        </w:tc>
        <w:tc>
          <w:tcPr>
            <w:tcW w:w="1260" w:type="dxa"/>
            <w:tcBorders>
              <w:top w:val="single" w:sz="6" w:space="0" w:color="auto"/>
              <w:left w:val="nil"/>
              <w:bottom w:val="single" w:sz="6" w:space="0" w:color="auto"/>
              <w:right w:val="nil"/>
            </w:tcBorders>
            <w:shd w:val="clear" w:color="000000" w:fill="000000"/>
          </w:tcPr>
          <w:p w:rsidR="00336793" w:rsidRPr="00602AC1" w:rsidRDefault="00336793" w:rsidP="00DF0B96">
            <w:pPr>
              <w:pStyle w:val="Tabletextheading"/>
              <w:rPr>
                <w:rFonts w:eastAsiaTheme="minorEastAsia"/>
                <w:color w:val="FFFFFF"/>
                <w:sz w:val="21"/>
                <w:lang w:eastAsia="en-AU"/>
              </w:rPr>
            </w:pPr>
            <w:r w:rsidRPr="00602AC1">
              <w:rPr>
                <w:rFonts w:eastAsiaTheme="minorEastAsia"/>
                <w:color w:val="FFFFFF"/>
                <w:sz w:val="21"/>
                <w:lang w:eastAsia="en-AU"/>
              </w:rPr>
              <w:t xml:space="preserve">  </w:t>
            </w:r>
          </w:p>
        </w:tc>
        <w:tc>
          <w:tcPr>
            <w:tcW w:w="1250" w:type="dxa"/>
            <w:tcBorders>
              <w:top w:val="single" w:sz="6" w:space="0" w:color="auto"/>
              <w:left w:val="nil"/>
              <w:bottom w:val="single" w:sz="6" w:space="0" w:color="auto"/>
              <w:right w:val="single" w:sz="6" w:space="0" w:color="auto"/>
            </w:tcBorders>
            <w:shd w:val="clear" w:color="000000" w:fill="000000"/>
          </w:tcPr>
          <w:p w:rsidR="00336793" w:rsidRPr="00602AC1" w:rsidRDefault="00336793" w:rsidP="00DF0B96">
            <w:pPr>
              <w:pStyle w:val="Tabletextheading"/>
              <w:rPr>
                <w:rFonts w:eastAsiaTheme="minorEastAsia"/>
                <w:color w:val="FFFFFF"/>
                <w:sz w:val="21"/>
                <w:lang w:eastAsia="en-AU"/>
              </w:rPr>
            </w:pPr>
            <w:r w:rsidRPr="00602AC1">
              <w:rPr>
                <w:rFonts w:eastAsiaTheme="minorEastAsia"/>
                <w:color w:val="FFFFFF"/>
                <w:sz w:val="21"/>
                <w:lang w:eastAsia="en-AU"/>
              </w:rPr>
              <w:t xml:space="preserve">  </w:t>
            </w:r>
          </w:p>
        </w:tc>
      </w:tr>
      <w:tr w:rsidR="00336793" w:rsidRPr="00602AC1" w:rsidTr="00DF0B96">
        <w:tc>
          <w:tcPr>
            <w:tcW w:w="4427" w:type="dxa"/>
            <w:tcBorders>
              <w:top w:val="single" w:sz="6" w:space="0" w:color="auto"/>
              <w:left w:val="nil"/>
              <w:bottom w:val="nil"/>
              <w:right w:val="nil"/>
            </w:tcBorders>
            <w:shd w:val="solid" w:color="FFFFFF" w:fill="auto"/>
          </w:tcPr>
          <w:p w:rsidR="00336793" w:rsidRPr="00602AC1" w:rsidRDefault="00336793" w:rsidP="00DF0B96">
            <w:pPr>
              <w:pStyle w:val="Tabletext"/>
              <w:rPr>
                <w:rFonts w:eastAsiaTheme="minorEastAsia"/>
                <w:b/>
                <w:bCs/>
                <w:sz w:val="21"/>
                <w:lang w:eastAsia="en-AU"/>
              </w:rPr>
            </w:pPr>
            <w:r w:rsidRPr="00602AC1">
              <w:rPr>
                <w:rFonts w:eastAsiaTheme="minorEastAsia"/>
                <w:b/>
                <w:bCs/>
                <w:sz w:val="21"/>
                <w:lang w:eastAsia="en-AU"/>
              </w:rPr>
              <w:t>Financial assets</w:t>
            </w:r>
          </w:p>
        </w:tc>
        <w:tc>
          <w:tcPr>
            <w:tcW w:w="1260" w:type="dxa"/>
            <w:tcBorders>
              <w:top w:val="single" w:sz="6" w:space="0" w:color="auto"/>
              <w:left w:val="nil"/>
              <w:bottom w:val="nil"/>
              <w:right w:val="nil"/>
            </w:tcBorders>
            <w:shd w:val="solid" w:color="FFFFFF" w:fill="auto"/>
          </w:tcPr>
          <w:p w:rsidR="00336793" w:rsidRPr="00602AC1" w:rsidRDefault="00336793" w:rsidP="00DF0B96">
            <w:pPr>
              <w:pStyle w:val="TableofFigures"/>
              <w:rPr>
                <w:rFonts w:eastAsiaTheme="minorEastAsia"/>
                <w:b/>
                <w:sz w:val="21"/>
                <w:lang w:eastAsia="en-AU"/>
              </w:rPr>
            </w:pPr>
            <w:r w:rsidRPr="00602AC1">
              <w:rPr>
                <w:rFonts w:eastAsiaTheme="minorEastAsia"/>
                <w:b/>
                <w:sz w:val="21"/>
                <w:lang w:eastAsia="en-AU"/>
              </w:rPr>
              <w:t xml:space="preserve">  </w:t>
            </w:r>
          </w:p>
        </w:tc>
        <w:tc>
          <w:tcPr>
            <w:tcW w:w="1440" w:type="dxa"/>
            <w:tcBorders>
              <w:top w:val="single" w:sz="6" w:space="0" w:color="auto"/>
              <w:left w:val="nil"/>
              <w:bottom w:val="nil"/>
              <w:right w:val="nil"/>
            </w:tcBorders>
            <w:shd w:val="solid" w:color="FFFFFF" w:fill="auto"/>
          </w:tcPr>
          <w:p w:rsidR="00336793" w:rsidRPr="00602AC1" w:rsidRDefault="00336793" w:rsidP="00DF0B96">
            <w:pPr>
              <w:pStyle w:val="TableofFigures"/>
              <w:rPr>
                <w:rFonts w:eastAsiaTheme="minorEastAsia"/>
                <w:b/>
                <w:sz w:val="21"/>
                <w:lang w:eastAsia="en-AU"/>
              </w:rPr>
            </w:pPr>
            <w:r w:rsidRPr="00602AC1">
              <w:rPr>
                <w:rFonts w:eastAsiaTheme="minorEastAsia"/>
                <w:b/>
                <w:sz w:val="21"/>
                <w:lang w:eastAsia="en-AU"/>
              </w:rPr>
              <w:t xml:space="preserve">  </w:t>
            </w:r>
          </w:p>
        </w:tc>
        <w:tc>
          <w:tcPr>
            <w:tcW w:w="1260" w:type="dxa"/>
            <w:tcBorders>
              <w:top w:val="single" w:sz="6" w:space="0" w:color="auto"/>
              <w:left w:val="nil"/>
              <w:bottom w:val="nil"/>
              <w:right w:val="nil"/>
            </w:tcBorders>
            <w:shd w:val="solid" w:color="FFFFFF" w:fill="auto"/>
          </w:tcPr>
          <w:p w:rsidR="00336793" w:rsidRPr="00602AC1" w:rsidRDefault="00336793" w:rsidP="00DF0B96">
            <w:pPr>
              <w:pStyle w:val="TableofFigures"/>
              <w:rPr>
                <w:rFonts w:eastAsiaTheme="minorEastAsia"/>
                <w:b/>
                <w:sz w:val="21"/>
                <w:lang w:eastAsia="en-AU"/>
              </w:rPr>
            </w:pPr>
            <w:r w:rsidRPr="00602AC1">
              <w:rPr>
                <w:rFonts w:eastAsiaTheme="minorEastAsia"/>
                <w:b/>
                <w:sz w:val="21"/>
                <w:lang w:eastAsia="en-AU"/>
              </w:rPr>
              <w:t xml:space="preserve">  </w:t>
            </w:r>
          </w:p>
        </w:tc>
        <w:tc>
          <w:tcPr>
            <w:tcW w:w="1250" w:type="dxa"/>
            <w:tcBorders>
              <w:top w:val="single" w:sz="6" w:space="0" w:color="auto"/>
              <w:left w:val="nil"/>
              <w:bottom w:val="nil"/>
              <w:right w:val="nil"/>
            </w:tcBorders>
            <w:shd w:val="solid" w:color="FFFFFF" w:fill="auto"/>
          </w:tcPr>
          <w:p w:rsidR="00336793" w:rsidRPr="00602AC1" w:rsidRDefault="00336793" w:rsidP="00DF0B96">
            <w:pPr>
              <w:pStyle w:val="TableofFigures"/>
              <w:rPr>
                <w:rFonts w:eastAsiaTheme="minorEastAsia"/>
                <w:b/>
                <w:sz w:val="21"/>
                <w:lang w:eastAsia="en-AU"/>
              </w:rPr>
            </w:pPr>
            <w:r w:rsidRPr="00602AC1">
              <w:rPr>
                <w:rFonts w:eastAsiaTheme="minorEastAsia"/>
                <w:b/>
                <w:sz w:val="21"/>
                <w:lang w:eastAsia="en-AU"/>
              </w:rPr>
              <w:t xml:space="preserve">  </w:t>
            </w:r>
          </w:p>
        </w:tc>
      </w:tr>
      <w:tr w:rsidR="00336793" w:rsidRPr="00602AC1" w:rsidTr="00DF0B96">
        <w:tc>
          <w:tcPr>
            <w:tcW w:w="4427" w:type="dxa"/>
            <w:tcBorders>
              <w:top w:val="nil"/>
              <w:left w:val="nil"/>
              <w:bottom w:val="nil"/>
              <w:right w:val="nil"/>
            </w:tcBorders>
          </w:tcPr>
          <w:p w:rsidR="00336793" w:rsidRPr="00602AC1" w:rsidRDefault="00336793" w:rsidP="00DF0B96">
            <w:pPr>
              <w:pStyle w:val="Tabletext"/>
              <w:rPr>
                <w:rFonts w:eastAsiaTheme="minorEastAsia" w:cs="Calibri"/>
                <w:color w:val="000000"/>
                <w:sz w:val="21"/>
                <w:szCs w:val="22"/>
                <w:vertAlign w:val="superscript"/>
                <w:lang w:eastAsia="en-AU"/>
              </w:rPr>
            </w:pPr>
            <w:r w:rsidRPr="00602AC1">
              <w:rPr>
                <w:rFonts w:eastAsiaTheme="minorEastAsia"/>
                <w:sz w:val="21"/>
                <w:lang w:eastAsia="en-AU"/>
              </w:rPr>
              <w:t>Cash and deposits</w:t>
            </w:r>
            <w:r w:rsidRPr="00E96950">
              <w:rPr>
                <w:rFonts w:eastAsiaTheme="minorEastAsia"/>
                <w:sz w:val="21"/>
                <w:vertAlign w:val="superscript"/>
                <w:lang w:eastAsia="en-AU"/>
              </w:rPr>
              <w:t xml:space="preserve"> (</w:t>
            </w:r>
            <w:r w:rsidRPr="00602AC1">
              <w:rPr>
                <w:rFonts w:eastAsiaTheme="minorEastAsia" w:cs="Calibri"/>
                <w:color w:val="000000"/>
                <w:sz w:val="21"/>
                <w:szCs w:val="22"/>
                <w:vertAlign w:val="superscript"/>
                <w:lang w:eastAsia="en-AU"/>
              </w:rPr>
              <w:t>a)</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411.0</w:t>
            </w:r>
          </w:p>
        </w:tc>
        <w:tc>
          <w:tcPr>
            <w:tcW w:w="144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7 086.9</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784.1</w:t>
            </w:r>
          </w:p>
        </w:tc>
        <w:tc>
          <w:tcPr>
            <w:tcW w:w="125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8 282.0</w:t>
            </w:r>
          </w:p>
        </w:tc>
      </w:tr>
      <w:tr w:rsidR="00336793" w:rsidRPr="00602AC1" w:rsidTr="00DF0B96">
        <w:tc>
          <w:tcPr>
            <w:tcW w:w="4427" w:type="dxa"/>
            <w:tcBorders>
              <w:top w:val="nil"/>
              <w:left w:val="nil"/>
              <w:bottom w:val="nil"/>
              <w:right w:val="nil"/>
            </w:tcBorders>
            <w:shd w:val="solid" w:color="FFFFFF" w:fill="auto"/>
          </w:tcPr>
          <w:p w:rsidR="00336793" w:rsidRPr="00602AC1" w:rsidRDefault="00336793" w:rsidP="00DF0B96">
            <w:pPr>
              <w:pStyle w:val="Tabletext"/>
              <w:rPr>
                <w:rFonts w:eastAsiaTheme="minorEastAsia"/>
                <w:sz w:val="21"/>
                <w:lang w:eastAsia="en-AU"/>
              </w:rPr>
            </w:pPr>
            <w:r w:rsidRPr="00602AC1">
              <w:rPr>
                <w:rFonts w:eastAsiaTheme="minorEastAsia"/>
                <w:sz w:val="21"/>
                <w:lang w:eastAsia="en-AU"/>
              </w:rPr>
              <w:t xml:space="preserve">Receivables </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239.4</w:t>
            </w:r>
          </w:p>
        </w:tc>
        <w:tc>
          <w:tcPr>
            <w:tcW w:w="144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135.6</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1 048.6</w:t>
            </w:r>
          </w:p>
        </w:tc>
        <w:tc>
          <w:tcPr>
            <w:tcW w:w="125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1 423.6</w:t>
            </w:r>
          </w:p>
        </w:tc>
      </w:tr>
      <w:tr w:rsidR="00336793" w:rsidRPr="00602AC1" w:rsidTr="00DF0B96">
        <w:tc>
          <w:tcPr>
            <w:tcW w:w="4427" w:type="dxa"/>
            <w:tcBorders>
              <w:top w:val="nil"/>
              <w:left w:val="nil"/>
              <w:bottom w:val="nil"/>
              <w:right w:val="nil"/>
            </w:tcBorders>
            <w:shd w:val="solid" w:color="FFFFFF" w:fill="auto"/>
          </w:tcPr>
          <w:p w:rsidR="00336793" w:rsidRPr="00602AC1" w:rsidRDefault="00336793" w:rsidP="00DF0B96">
            <w:pPr>
              <w:pStyle w:val="Tabletext"/>
              <w:rPr>
                <w:rFonts w:eastAsiaTheme="minorEastAsia"/>
                <w:sz w:val="21"/>
                <w:lang w:eastAsia="en-AU"/>
              </w:rPr>
            </w:pPr>
            <w:r w:rsidRPr="00602AC1">
              <w:rPr>
                <w:rFonts w:eastAsiaTheme="minorEastAsia"/>
                <w:sz w:val="21"/>
                <w:lang w:eastAsia="en-AU"/>
              </w:rPr>
              <w:t>Advances paid</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4.1</w:t>
            </w:r>
          </w:p>
        </w:tc>
        <w:tc>
          <w:tcPr>
            <w:tcW w:w="144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1 790.9</w:t>
            </w:r>
          </w:p>
        </w:tc>
        <w:tc>
          <w:tcPr>
            <w:tcW w:w="125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1 795.1</w:t>
            </w:r>
          </w:p>
        </w:tc>
      </w:tr>
      <w:tr w:rsidR="00336793" w:rsidRPr="00602AC1" w:rsidTr="00DF0B96">
        <w:tc>
          <w:tcPr>
            <w:tcW w:w="4427" w:type="dxa"/>
            <w:tcBorders>
              <w:top w:val="nil"/>
              <w:left w:val="nil"/>
              <w:bottom w:val="nil"/>
              <w:right w:val="nil"/>
            </w:tcBorders>
            <w:shd w:val="solid" w:color="FFFFFF" w:fill="auto"/>
          </w:tcPr>
          <w:p w:rsidR="00336793" w:rsidRPr="00602AC1" w:rsidRDefault="00336793" w:rsidP="00DF0B96">
            <w:pPr>
              <w:pStyle w:val="Tabletext"/>
              <w:rPr>
                <w:rFonts w:eastAsiaTheme="minorEastAsia"/>
                <w:sz w:val="21"/>
                <w:lang w:eastAsia="en-AU"/>
              </w:rPr>
            </w:pPr>
            <w:r w:rsidRPr="00602AC1">
              <w:rPr>
                <w:rFonts w:eastAsiaTheme="minorEastAsia"/>
                <w:sz w:val="21"/>
                <w:lang w:eastAsia="en-AU"/>
              </w:rPr>
              <w:t>Term deposits</w:t>
            </w:r>
            <w:r w:rsidRPr="00E96950">
              <w:rPr>
                <w:rFonts w:eastAsiaTheme="minorEastAsia"/>
                <w:sz w:val="21"/>
                <w:vertAlign w:val="superscript"/>
                <w:lang w:eastAsia="en-AU"/>
              </w:rPr>
              <w:t xml:space="preserve"> (</w:t>
            </w:r>
            <w:r w:rsidRPr="00602AC1">
              <w:rPr>
                <w:rFonts w:eastAsiaTheme="minorEastAsia"/>
                <w:sz w:val="21"/>
                <w:vertAlign w:val="superscript"/>
                <w:lang w:eastAsia="en-AU"/>
              </w:rPr>
              <w:t>a)</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481.7</w:t>
            </w:r>
          </w:p>
        </w:tc>
        <w:tc>
          <w:tcPr>
            <w:tcW w:w="144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294.4</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161.7</w:t>
            </w:r>
          </w:p>
        </w:tc>
        <w:tc>
          <w:tcPr>
            <w:tcW w:w="125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937.8</w:t>
            </w:r>
          </w:p>
        </w:tc>
      </w:tr>
      <w:tr w:rsidR="00336793" w:rsidRPr="00602AC1" w:rsidTr="00DF0B96">
        <w:tc>
          <w:tcPr>
            <w:tcW w:w="4427" w:type="dxa"/>
            <w:tcBorders>
              <w:top w:val="nil"/>
              <w:left w:val="nil"/>
              <w:bottom w:val="single" w:sz="6" w:space="0" w:color="auto"/>
              <w:right w:val="nil"/>
            </w:tcBorders>
            <w:shd w:val="solid" w:color="FFFFFF" w:fill="auto"/>
          </w:tcPr>
          <w:p w:rsidR="00336793" w:rsidRPr="00602AC1" w:rsidRDefault="00336793" w:rsidP="00DF0B96">
            <w:pPr>
              <w:pStyle w:val="Tabletext"/>
              <w:rPr>
                <w:rFonts w:eastAsiaTheme="minorEastAsia"/>
                <w:sz w:val="21"/>
                <w:lang w:eastAsia="en-AU"/>
              </w:rPr>
            </w:pPr>
            <w:r w:rsidRPr="00602AC1">
              <w:rPr>
                <w:rFonts w:eastAsiaTheme="minorEastAsia"/>
                <w:sz w:val="21"/>
                <w:lang w:eastAsia="en-AU"/>
              </w:rPr>
              <w:t>Debt securities</w:t>
            </w:r>
          </w:p>
        </w:tc>
        <w:tc>
          <w:tcPr>
            <w:tcW w:w="1260" w:type="dxa"/>
            <w:tcBorders>
              <w:top w:val="nil"/>
              <w:left w:val="nil"/>
              <w:bottom w:val="single" w:sz="6" w:space="0" w:color="auto"/>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3 057.9</w:t>
            </w:r>
          </w:p>
        </w:tc>
        <w:tc>
          <w:tcPr>
            <w:tcW w:w="1440" w:type="dxa"/>
            <w:tcBorders>
              <w:top w:val="nil"/>
              <w:left w:val="nil"/>
              <w:bottom w:val="single" w:sz="6" w:space="0" w:color="auto"/>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8 002.4</w:t>
            </w:r>
          </w:p>
        </w:tc>
        <w:tc>
          <w:tcPr>
            <w:tcW w:w="1260" w:type="dxa"/>
            <w:tcBorders>
              <w:top w:val="nil"/>
              <w:left w:val="nil"/>
              <w:bottom w:val="single" w:sz="6" w:space="0" w:color="auto"/>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391.8</w:t>
            </w:r>
          </w:p>
        </w:tc>
        <w:tc>
          <w:tcPr>
            <w:tcW w:w="1250" w:type="dxa"/>
            <w:tcBorders>
              <w:top w:val="nil"/>
              <w:left w:val="nil"/>
              <w:bottom w:val="single" w:sz="6" w:space="0" w:color="auto"/>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11 452.1</w:t>
            </w:r>
          </w:p>
        </w:tc>
      </w:tr>
      <w:tr w:rsidR="00336793" w:rsidRPr="00602AC1" w:rsidTr="00DF0B96">
        <w:tc>
          <w:tcPr>
            <w:tcW w:w="4427" w:type="dxa"/>
            <w:tcBorders>
              <w:top w:val="single" w:sz="6" w:space="0" w:color="auto"/>
              <w:left w:val="nil"/>
              <w:bottom w:val="single" w:sz="12" w:space="0" w:color="000000"/>
              <w:right w:val="nil"/>
            </w:tcBorders>
            <w:shd w:val="solid" w:color="FFFFFF" w:fill="auto"/>
          </w:tcPr>
          <w:p w:rsidR="00336793" w:rsidRPr="00602AC1" w:rsidRDefault="00336793" w:rsidP="00DF0B96">
            <w:pPr>
              <w:pStyle w:val="Tabletext"/>
              <w:rPr>
                <w:rFonts w:eastAsiaTheme="minorEastAsia" w:cs="Calibri"/>
                <w:b/>
                <w:bCs/>
                <w:color w:val="000000"/>
                <w:sz w:val="21"/>
                <w:szCs w:val="22"/>
                <w:vertAlign w:val="superscript"/>
                <w:lang w:eastAsia="en-AU"/>
              </w:rPr>
            </w:pPr>
            <w:r w:rsidRPr="00602AC1">
              <w:rPr>
                <w:rFonts w:eastAsiaTheme="minorEastAsia"/>
                <w:b/>
                <w:bCs/>
                <w:sz w:val="21"/>
                <w:lang w:eastAsia="en-AU"/>
              </w:rPr>
              <w:t>Total financial assets</w:t>
            </w:r>
            <w:r w:rsidRPr="00E96950">
              <w:rPr>
                <w:rFonts w:eastAsiaTheme="minorEastAsia"/>
                <w:b/>
                <w:bCs/>
                <w:sz w:val="21"/>
                <w:vertAlign w:val="superscript"/>
                <w:lang w:eastAsia="en-AU"/>
              </w:rPr>
              <w:t xml:space="preserve"> (</w:t>
            </w:r>
            <w:r w:rsidRPr="00602AC1">
              <w:rPr>
                <w:rFonts w:eastAsiaTheme="minorEastAsia" w:cs="Calibri"/>
                <w:b/>
                <w:bCs/>
                <w:color w:val="000000"/>
                <w:sz w:val="21"/>
                <w:szCs w:val="22"/>
                <w:vertAlign w:val="superscript"/>
                <w:lang w:eastAsia="en-AU"/>
              </w:rPr>
              <w:t>a)</w:t>
            </w:r>
          </w:p>
        </w:tc>
        <w:tc>
          <w:tcPr>
            <w:tcW w:w="1260" w:type="dxa"/>
            <w:tcBorders>
              <w:top w:val="single" w:sz="6" w:space="0" w:color="auto"/>
              <w:left w:val="nil"/>
              <w:bottom w:val="single" w:sz="12" w:space="0" w:color="000000"/>
              <w:right w:val="nil"/>
            </w:tcBorders>
            <w:shd w:val="solid" w:color="FFFFFF" w:fill="auto"/>
          </w:tcPr>
          <w:p w:rsidR="00336793" w:rsidRPr="00602AC1" w:rsidRDefault="00336793" w:rsidP="00DF0B96">
            <w:pPr>
              <w:pStyle w:val="TableofFigures"/>
              <w:rPr>
                <w:rFonts w:eastAsiaTheme="minorEastAsia"/>
                <w:b/>
                <w:bCs/>
                <w:sz w:val="21"/>
                <w:lang w:eastAsia="en-AU"/>
              </w:rPr>
            </w:pPr>
            <w:r w:rsidRPr="00602AC1">
              <w:rPr>
                <w:rFonts w:eastAsiaTheme="minorEastAsia"/>
                <w:b/>
                <w:bCs/>
                <w:sz w:val="21"/>
                <w:lang w:eastAsia="en-AU"/>
              </w:rPr>
              <w:t>4 194.1</w:t>
            </w:r>
          </w:p>
        </w:tc>
        <w:tc>
          <w:tcPr>
            <w:tcW w:w="1440" w:type="dxa"/>
            <w:tcBorders>
              <w:top w:val="single" w:sz="6" w:space="0" w:color="auto"/>
              <w:left w:val="nil"/>
              <w:bottom w:val="single" w:sz="12" w:space="0" w:color="000000"/>
              <w:right w:val="nil"/>
            </w:tcBorders>
            <w:shd w:val="solid" w:color="FFFFFF" w:fill="auto"/>
          </w:tcPr>
          <w:p w:rsidR="00336793" w:rsidRPr="00602AC1" w:rsidRDefault="00336793" w:rsidP="00DF0B96">
            <w:pPr>
              <w:pStyle w:val="TableofFigures"/>
              <w:rPr>
                <w:rFonts w:eastAsiaTheme="minorEastAsia"/>
                <w:b/>
                <w:bCs/>
                <w:sz w:val="21"/>
                <w:lang w:eastAsia="en-AU"/>
              </w:rPr>
            </w:pPr>
            <w:r w:rsidRPr="00602AC1">
              <w:rPr>
                <w:rFonts w:eastAsiaTheme="minorEastAsia"/>
                <w:b/>
                <w:bCs/>
                <w:sz w:val="21"/>
                <w:lang w:eastAsia="en-AU"/>
              </w:rPr>
              <w:t>15 519.3</w:t>
            </w:r>
          </w:p>
        </w:tc>
        <w:tc>
          <w:tcPr>
            <w:tcW w:w="1260" w:type="dxa"/>
            <w:tcBorders>
              <w:top w:val="single" w:sz="6" w:space="0" w:color="auto"/>
              <w:left w:val="nil"/>
              <w:bottom w:val="single" w:sz="12" w:space="0" w:color="000000"/>
              <w:right w:val="nil"/>
            </w:tcBorders>
            <w:shd w:val="solid" w:color="FFFFFF" w:fill="auto"/>
          </w:tcPr>
          <w:p w:rsidR="00336793" w:rsidRPr="00602AC1" w:rsidRDefault="00336793" w:rsidP="00DF0B96">
            <w:pPr>
              <w:pStyle w:val="TableofFigures"/>
              <w:rPr>
                <w:rFonts w:eastAsiaTheme="minorEastAsia"/>
                <w:b/>
                <w:bCs/>
                <w:sz w:val="21"/>
                <w:lang w:eastAsia="en-AU"/>
              </w:rPr>
            </w:pPr>
            <w:r w:rsidRPr="00602AC1">
              <w:rPr>
                <w:rFonts w:eastAsiaTheme="minorEastAsia"/>
                <w:b/>
                <w:bCs/>
                <w:sz w:val="21"/>
                <w:lang w:eastAsia="en-AU"/>
              </w:rPr>
              <w:t>4 177.2</w:t>
            </w:r>
          </w:p>
        </w:tc>
        <w:tc>
          <w:tcPr>
            <w:tcW w:w="1250" w:type="dxa"/>
            <w:tcBorders>
              <w:top w:val="single" w:sz="6" w:space="0" w:color="auto"/>
              <w:left w:val="nil"/>
              <w:bottom w:val="single" w:sz="12" w:space="0" w:color="000000"/>
              <w:right w:val="nil"/>
            </w:tcBorders>
            <w:shd w:val="solid" w:color="FFFFFF" w:fill="auto"/>
          </w:tcPr>
          <w:p w:rsidR="00336793" w:rsidRPr="00602AC1" w:rsidRDefault="00336793" w:rsidP="00DF0B96">
            <w:pPr>
              <w:pStyle w:val="TableofFigures"/>
              <w:rPr>
                <w:rFonts w:eastAsiaTheme="minorEastAsia"/>
                <w:b/>
                <w:bCs/>
                <w:sz w:val="21"/>
                <w:lang w:eastAsia="en-AU"/>
              </w:rPr>
            </w:pPr>
            <w:r w:rsidRPr="00602AC1">
              <w:rPr>
                <w:rFonts w:eastAsiaTheme="minorEastAsia"/>
                <w:b/>
                <w:bCs/>
                <w:sz w:val="21"/>
                <w:lang w:eastAsia="en-AU"/>
              </w:rPr>
              <w:t>23 890.6</w:t>
            </w:r>
          </w:p>
        </w:tc>
      </w:tr>
    </w:tbl>
    <w:p w:rsidR="00336793" w:rsidRPr="006A75A2" w:rsidRDefault="00336793" w:rsidP="00DF0B96">
      <w:pPr>
        <w:pStyle w:val="Notes"/>
      </w:pPr>
      <w:r>
        <w:t>N</w:t>
      </w:r>
      <w:r w:rsidRPr="006A75A2">
        <w:t>ote:</w:t>
      </w:r>
    </w:p>
    <w:p w:rsidR="00336793" w:rsidRDefault="00336793" w:rsidP="00DF0B96">
      <w:pPr>
        <w:pStyle w:val="Notes"/>
      </w:pPr>
      <w:r w:rsidRPr="006A75A2">
        <w:t>(a)</w:t>
      </w:r>
      <w:r w:rsidRPr="006A75A2">
        <w:tab/>
      </w:r>
      <w:r w:rsidRPr="00DF7C4A">
        <w:t>June 2014 comparative figures have been restated. See Note 37.</w:t>
      </w:r>
    </w:p>
    <w:p w:rsidR="00336793" w:rsidRDefault="00336793" w:rsidP="00DF0B96">
      <w:pPr>
        <w:pStyle w:val="Notes"/>
      </w:pPr>
    </w:p>
    <w:p w:rsidR="00336793" w:rsidRDefault="00336793" w:rsidP="00DF0B96">
      <w:pPr>
        <w:pStyle w:val="million"/>
      </w:pPr>
    </w:p>
    <w:p w:rsidR="00336793" w:rsidRPr="00A10A3B" w:rsidRDefault="00336793" w:rsidP="00DF0B96">
      <w:pPr>
        <w:pStyle w:val="million"/>
      </w:pPr>
      <w:r>
        <w:t>($ million)</w:t>
      </w:r>
    </w:p>
    <w:tbl>
      <w:tblPr>
        <w:tblW w:w="9646" w:type="dxa"/>
        <w:tblInd w:w="28" w:type="dxa"/>
        <w:tblLayout w:type="fixed"/>
        <w:tblCellMar>
          <w:left w:w="45" w:type="dxa"/>
          <w:right w:w="45" w:type="dxa"/>
        </w:tblCellMar>
        <w:tblLook w:val="0000" w:firstRow="0" w:lastRow="0" w:firstColumn="0" w:lastColumn="0" w:noHBand="0" w:noVBand="0"/>
      </w:tblPr>
      <w:tblGrid>
        <w:gridCol w:w="3986"/>
        <w:gridCol w:w="1170"/>
        <w:gridCol w:w="1170"/>
        <w:gridCol w:w="1260"/>
        <w:gridCol w:w="1170"/>
        <w:gridCol w:w="890"/>
      </w:tblGrid>
      <w:tr w:rsidR="00336793" w:rsidRPr="00EB6254" w:rsidTr="00DF0B96">
        <w:trPr>
          <w:tblHeader/>
        </w:trPr>
        <w:tc>
          <w:tcPr>
            <w:tcW w:w="3986" w:type="dxa"/>
            <w:tcBorders>
              <w:top w:val="single" w:sz="6" w:space="0" w:color="auto"/>
              <w:left w:val="single" w:sz="6" w:space="0" w:color="auto"/>
              <w:bottom w:val="nil"/>
              <w:right w:val="nil"/>
            </w:tcBorders>
            <w:shd w:val="clear" w:color="000000" w:fill="000000"/>
            <w:vAlign w:val="bottom"/>
          </w:tcPr>
          <w:p w:rsidR="00336793" w:rsidRPr="00EB6254" w:rsidRDefault="00336793" w:rsidP="00DF0B96">
            <w:pPr>
              <w:pStyle w:val="Tabletext"/>
              <w:rPr>
                <w:rFonts w:eastAsiaTheme="minorEastAsia"/>
                <w:sz w:val="21"/>
                <w:lang w:eastAsia="en-AU"/>
              </w:rPr>
            </w:pPr>
            <w:r w:rsidRPr="00EB6254">
              <w:rPr>
                <w:rFonts w:eastAsiaTheme="minorEastAsia"/>
                <w:sz w:val="21"/>
                <w:lang w:eastAsia="en-AU"/>
              </w:rPr>
              <w:t xml:space="preserve"> </w:t>
            </w:r>
          </w:p>
        </w:tc>
        <w:tc>
          <w:tcPr>
            <w:tcW w:w="1170" w:type="dxa"/>
            <w:tcBorders>
              <w:top w:val="single" w:sz="6" w:space="0" w:color="auto"/>
              <w:left w:val="nil"/>
              <w:bottom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Government agencies</w:t>
            </w:r>
          </w:p>
        </w:tc>
        <w:tc>
          <w:tcPr>
            <w:tcW w:w="1170" w:type="dxa"/>
            <w:tcBorders>
              <w:top w:val="single" w:sz="6" w:space="0" w:color="auto"/>
              <w:left w:val="nil"/>
              <w:bottom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w:t>
            </w:r>
          </w:p>
        </w:tc>
        <w:tc>
          <w:tcPr>
            <w:tcW w:w="1260" w:type="dxa"/>
            <w:tcBorders>
              <w:top w:val="single" w:sz="6" w:space="0" w:color="auto"/>
              <w:left w:val="nil"/>
              <w:bottom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p>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Other</w:t>
            </w:r>
          </w:p>
        </w:tc>
        <w:tc>
          <w:tcPr>
            <w:tcW w:w="1170" w:type="dxa"/>
            <w:tcBorders>
              <w:top w:val="single" w:sz="6" w:space="0" w:color="auto"/>
              <w:left w:val="nil"/>
              <w:bottom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w:t>
            </w:r>
          </w:p>
        </w:tc>
        <w:tc>
          <w:tcPr>
            <w:tcW w:w="890" w:type="dxa"/>
            <w:tcBorders>
              <w:top w:val="single" w:sz="6" w:space="0" w:color="auto"/>
              <w:left w:val="nil"/>
              <w:bottom w:val="nil"/>
              <w:right w:val="single" w:sz="6" w:space="0" w:color="auto"/>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w:t>
            </w:r>
          </w:p>
        </w:tc>
      </w:tr>
      <w:tr w:rsidR="00336793" w:rsidRPr="00EB6254" w:rsidTr="00DF0B96">
        <w:trPr>
          <w:tblHeader/>
        </w:trPr>
        <w:tc>
          <w:tcPr>
            <w:tcW w:w="3986" w:type="dxa"/>
            <w:tcBorders>
              <w:left w:val="single" w:sz="6" w:space="0" w:color="auto"/>
              <w:right w:val="nil"/>
            </w:tcBorders>
            <w:shd w:val="clear" w:color="000000" w:fill="000000"/>
            <w:vAlign w:val="bottom"/>
          </w:tcPr>
          <w:p w:rsidR="00336793" w:rsidRPr="00EB6254" w:rsidRDefault="00336793" w:rsidP="00DF0B96">
            <w:pPr>
              <w:pStyle w:val="Tabletext"/>
              <w:rPr>
                <w:rFonts w:eastAsiaTheme="minorEastAsia"/>
                <w:i/>
                <w:iCs/>
                <w:sz w:val="21"/>
                <w:lang w:eastAsia="en-AU"/>
              </w:rPr>
            </w:pPr>
            <w:r w:rsidRPr="00EB6254">
              <w:rPr>
                <w:rFonts w:eastAsiaTheme="minorEastAsia"/>
                <w:i/>
                <w:iCs/>
                <w:sz w:val="21"/>
                <w:lang w:eastAsia="en-AU"/>
              </w:rPr>
              <w:t>General government sector</w:t>
            </w:r>
          </w:p>
        </w:tc>
        <w:tc>
          <w:tcPr>
            <w:tcW w:w="1170" w:type="dxa"/>
            <w:tcBorders>
              <w:left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(AAA credit rating)</w:t>
            </w:r>
          </w:p>
        </w:tc>
        <w:tc>
          <w:tcPr>
            <w:tcW w:w="1170" w:type="dxa"/>
            <w:tcBorders>
              <w:left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(AAA credit rating)</w:t>
            </w:r>
          </w:p>
        </w:tc>
        <w:tc>
          <w:tcPr>
            <w:tcW w:w="1260" w:type="dxa"/>
            <w:tcBorders>
              <w:left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(min BBB credit rating)</w:t>
            </w:r>
          </w:p>
        </w:tc>
        <w:tc>
          <w:tcPr>
            <w:tcW w:w="1170" w:type="dxa"/>
            <w:tcBorders>
              <w:left w:val="nil"/>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p>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(not rated)</w:t>
            </w:r>
          </w:p>
        </w:tc>
        <w:tc>
          <w:tcPr>
            <w:tcW w:w="890" w:type="dxa"/>
            <w:tcBorders>
              <w:left w:val="nil"/>
              <w:right w:val="single" w:sz="6" w:space="0" w:color="auto"/>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Total </w:t>
            </w:r>
          </w:p>
        </w:tc>
      </w:tr>
      <w:tr w:rsidR="00336793" w:rsidRPr="00EB6254" w:rsidTr="00DF0B96">
        <w:trPr>
          <w:tblHeader/>
        </w:trPr>
        <w:tc>
          <w:tcPr>
            <w:tcW w:w="3986" w:type="dxa"/>
            <w:tcBorders>
              <w:top w:val="nil"/>
              <w:left w:val="single" w:sz="6" w:space="0" w:color="auto"/>
              <w:bottom w:val="single" w:sz="6" w:space="0" w:color="auto"/>
              <w:right w:val="nil"/>
            </w:tcBorders>
            <w:shd w:val="clear" w:color="000000" w:fill="000000"/>
            <w:vAlign w:val="bottom"/>
          </w:tcPr>
          <w:p w:rsidR="00336793" w:rsidRPr="00EB6254" w:rsidRDefault="00336793" w:rsidP="00DF0B96">
            <w:pPr>
              <w:pStyle w:val="Tabletext"/>
              <w:rPr>
                <w:rFonts w:eastAsiaTheme="minorEastAsia"/>
                <w:i/>
                <w:iCs/>
                <w:sz w:val="21"/>
                <w:lang w:eastAsia="en-AU"/>
              </w:rPr>
            </w:pPr>
            <w:r w:rsidRPr="00EB6254">
              <w:rPr>
                <w:rFonts w:eastAsiaTheme="minorEastAsia"/>
                <w:i/>
                <w:iCs/>
                <w:sz w:val="21"/>
                <w:lang w:eastAsia="en-AU"/>
              </w:rPr>
              <w:t>2015</w:t>
            </w:r>
          </w:p>
        </w:tc>
        <w:tc>
          <w:tcPr>
            <w:tcW w:w="1170" w:type="dxa"/>
            <w:tcBorders>
              <w:top w:val="nil"/>
              <w:left w:val="nil"/>
              <w:bottom w:val="single" w:sz="6" w:space="0" w:color="auto"/>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w:t>
            </w:r>
          </w:p>
        </w:tc>
        <w:tc>
          <w:tcPr>
            <w:tcW w:w="1170" w:type="dxa"/>
            <w:tcBorders>
              <w:top w:val="nil"/>
              <w:left w:val="nil"/>
              <w:bottom w:val="single" w:sz="6" w:space="0" w:color="auto"/>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w:t>
            </w:r>
          </w:p>
        </w:tc>
        <w:tc>
          <w:tcPr>
            <w:tcW w:w="1260" w:type="dxa"/>
            <w:tcBorders>
              <w:top w:val="nil"/>
              <w:left w:val="nil"/>
              <w:bottom w:val="single" w:sz="6" w:space="0" w:color="auto"/>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w:t>
            </w:r>
          </w:p>
        </w:tc>
        <w:tc>
          <w:tcPr>
            <w:tcW w:w="1170" w:type="dxa"/>
            <w:tcBorders>
              <w:top w:val="nil"/>
              <w:left w:val="nil"/>
              <w:bottom w:val="single" w:sz="6" w:space="0" w:color="auto"/>
              <w:right w:val="nil"/>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w:t>
            </w:r>
          </w:p>
        </w:tc>
        <w:tc>
          <w:tcPr>
            <w:tcW w:w="890" w:type="dxa"/>
            <w:tcBorders>
              <w:top w:val="nil"/>
              <w:left w:val="nil"/>
              <w:bottom w:val="single" w:sz="6" w:space="0" w:color="auto"/>
              <w:right w:val="single" w:sz="6" w:space="0" w:color="auto"/>
            </w:tcBorders>
            <w:shd w:val="clear" w:color="000000" w:fill="000000"/>
            <w:vAlign w:val="bottom"/>
          </w:tcPr>
          <w:p w:rsidR="00336793" w:rsidRPr="00EB6254" w:rsidRDefault="00336793" w:rsidP="00DF0B96">
            <w:pPr>
              <w:pStyle w:val="Tabletextheading"/>
              <w:rPr>
                <w:rFonts w:eastAsiaTheme="minorEastAsia"/>
                <w:iCs/>
                <w:color w:val="FFFFFF"/>
                <w:sz w:val="21"/>
                <w:lang w:eastAsia="en-AU"/>
              </w:rPr>
            </w:pPr>
            <w:r w:rsidRPr="00EB6254">
              <w:rPr>
                <w:rFonts w:eastAsiaTheme="minorEastAsia"/>
                <w:iCs/>
                <w:color w:val="FFFFFF"/>
                <w:sz w:val="21"/>
                <w:lang w:eastAsia="en-AU"/>
              </w:rPr>
              <w:t xml:space="preserve">  </w:t>
            </w:r>
          </w:p>
        </w:tc>
      </w:tr>
      <w:tr w:rsidR="00336793" w:rsidRPr="00EB6254" w:rsidTr="00DF0B96">
        <w:tc>
          <w:tcPr>
            <w:tcW w:w="3986" w:type="dxa"/>
            <w:tcBorders>
              <w:top w:val="single" w:sz="6" w:space="0" w:color="auto"/>
              <w:left w:val="nil"/>
              <w:bottom w:val="nil"/>
              <w:right w:val="nil"/>
            </w:tcBorders>
            <w:shd w:val="solid" w:color="FFFFFF" w:fill="auto"/>
          </w:tcPr>
          <w:p w:rsidR="00336793" w:rsidRPr="00EB6254" w:rsidRDefault="00336793" w:rsidP="00DF0B96">
            <w:pPr>
              <w:pStyle w:val="Tabletext"/>
              <w:rPr>
                <w:rFonts w:eastAsiaTheme="minorEastAsia"/>
                <w:b/>
                <w:sz w:val="21"/>
                <w:lang w:eastAsia="en-AU"/>
              </w:rPr>
            </w:pPr>
            <w:r w:rsidRPr="00EB6254">
              <w:rPr>
                <w:rFonts w:eastAsiaTheme="minorEastAsia"/>
                <w:b/>
                <w:sz w:val="21"/>
                <w:lang w:eastAsia="en-AU"/>
              </w:rPr>
              <w:t>Financial assets</w:t>
            </w:r>
          </w:p>
        </w:tc>
        <w:tc>
          <w:tcPr>
            <w:tcW w:w="1170" w:type="dxa"/>
            <w:tcBorders>
              <w:top w:val="single" w:sz="6" w:space="0" w:color="auto"/>
              <w:left w:val="nil"/>
              <w:bottom w:val="nil"/>
              <w:right w:val="nil"/>
            </w:tcBorders>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w:t>
            </w:r>
          </w:p>
        </w:tc>
        <w:tc>
          <w:tcPr>
            <w:tcW w:w="1170" w:type="dxa"/>
            <w:tcBorders>
              <w:top w:val="single" w:sz="6" w:space="0" w:color="auto"/>
              <w:left w:val="nil"/>
              <w:bottom w:val="nil"/>
              <w:right w:val="nil"/>
            </w:tcBorders>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w:t>
            </w:r>
          </w:p>
        </w:tc>
        <w:tc>
          <w:tcPr>
            <w:tcW w:w="1260" w:type="dxa"/>
            <w:tcBorders>
              <w:top w:val="single" w:sz="6" w:space="0" w:color="auto"/>
              <w:left w:val="nil"/>
              <w:bottom w:val="nil"/>
              <w:right w:val="nil"/>
            </w:tcBorders>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w:t>
            </w:r>
          </w:p>
        </w:tc>
        <w:tc>
          <w:tcPr>
            <w:tcW w:w="1170" w:type="dxa"/>
            <w:tcBorders>
              <w:top w:val="single" w:sz="6" w:space="0" w:color="auto"/>
              <w:left w:val="nil"/>
              <w:bottom w:val="nil"/>
              <w:right w:val="nil"/>
            </w:tcBorders>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w:t>
            </w:r>
          </w:p>
        </w:tc>
        <w:tc>
          <w:tcPr>
            <w:tcW w:w="890" w:type="dxa"/>
            <w:tcBorders>
              <w:top w:val="single" w:sz="6" w:space="0" w:color="auto"/>
              <w:left w:val="nil"/>
              <w:bottom w:val="nil"/>
              <w:right w:val="nil"/>
            </w:tcBorders>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w:t>
            </w:r>
          </w:p>
        </w:tc>
      </w:tr>
      <w:tr w:rsidR="00336793" w:rsidRPr="00EB6254" w:rsidTr="00DF0B96">
        <w:tc>
          <w:tcPr>
            <w:tcW w:w="3986" w:type="dxa"/>
            <w:tcBorders>
              <w:top w:val="nil"/>
              <w:left w:val="nil"/>
              <w:bottom w:val="nil"/>
              <w:right w:val="nil"/>
            </w:tcBorders>
          </w:tcPr>
          <w:p w:rsidR="00336793" w:rsidRPr="00EB6254" w:rsidRDefault="00336793" w:rsidP="00DF0B96">
            <w:pPr>
              <w:pStyle w:val="Tabletext"/>
              <w:rPr>
                <w:rFonts w:eastAsiaTheme="minorEastAsia"/>
                <w:sz w:val="21"/>
                <w:lang w:eastAsia="en-AU"/>
              </w:rPr>
            </w:pPr>
            <w:r w:rsidRPr="00EB6254">
              <w:rPr>
                <w:rFonts w:eastAsiaTheme="minorEastAsia"/>
                <w:sz w:val="21"/>
                <w:lang w:eastAsia="en-AU"/>
              </w:rPr>
              <w:t>Cash and deposits</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2 155.0</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142.3</w:t>
            </w:r>
          </w:p>
        </w:tc>
        <w:tc>
          <w:tcPr>
            <w:tcW w:w="126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1 679.4</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305.0</w:t>
            </w:r>
          </w:p>
        </w:tc>
        <w:tc>
          <w:tcPr>
            <w:tcW w:w="89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4 281.7</w:t>
            </w:r>
          </w:p>
        </w:tc>
      </w:tr>
      <w:tr w:rsidR="00336793" w:rsidRPr="00EB6254" w:rsidTr="00DF0B96">
        <w:tc>
          <w:tcPr>
            <w:tcW w:w="3986" w:type="dxa"/>
            <w:tcBorders>
              <w:top w:val="nil"/>
              <w:left w:val="nil"/>
              <w:bottom w:val="nil"/>
              <w:right w:val="nil"/>
            </w:tcBorders>
          </w:tcPr>
          <w:p w:rsidR="00336793" w:rsidRPr="00EB6254" w:rsidRDefault="00336793" w:rsidP="00DF0B96">
            <w:pPr>
              <w:pStyle w:val="Tabletext"/>
              <w:rPr>
                <w:rFonts w:eastAsiaTheme="minorEastAsia"/>
                <w:sz w:val="21"/>
                <w:lang w:eastAsia="en-AU"/>
              </w:rPr>
            </w:pPr>
            <w:r w:rsidRPr="00EB6254">
              <w:rPr>
                <w:rFonts w:eastAsiaTheme="minorEastAsia"/>
                <w:sz w:val="21"/>
                <w:lang w:eastAsia="en-AU"/>
              </w:rPr>
              <w:t>Receivables</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785.2</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21.9</w:t>
            </w:r>
          </w:p>
        </w:tc>
        <w:tc>
          <w:tcPr>
            <w:tcW w:w="126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33.9</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631.5</w:t>
            </w:r>
          </w:p>
        </w:tc>
        <w:tc>
          <w:tcPr>
            <w:tcW w:w="89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1 472.5</w:t>
            </w:r>
          </w:p>
        </w:tc>
      </w:tr>
      <w:tr w:rsidR="00336793" w:rsidRPr="00EB6254" w:rsidTr="00DF0B96">
        <w:tc>
          <w:tcPr>
            <w:tcW w:w="3986" w:type="dxa"/>
            <w:tcBorders>
              <w:top w:val="nil"/>
              <w:left w:val="nil"/>
              <w:bottom w:val="nil"/>
              <w:right w:val="nil"/>
            </w:tcBorders>
            <w:shd w:val="solid" w:color="FFFFFF" w:fill="auto"/>
          </w:tcPr>
          <w:p w:rsidR="00336793" w:rsidRPr="00EB6254" w:rsidRDefault="00336793" w:rsidP="00DF0B96">
            <w:pPr>
              <w:pStyle w:val="Tabletext"/>
              <w:rPr>
                <w:rFonts w:eastAsiaTheme="minorEastAsia"/>
                <w:sz w:val="21"/>
                <w:lang w:eastAsia="en-AU"/>
              </w:rPr>
            </w:pPr>
            <w:r w:rsidRPr="00EB6254">
              <w:rPr>
                <w:rFonts w:eastAsiaTheme="minorEastAsia"/>
                <w:sz w:val="21"/>
                <w:lang w:eastAsia="en-AU"/>
              </w:rPr>
              <w:t>Advances paid</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4 532.1</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8.9</w:t>
            </w:r>
          </w:p>
        </w:tc>
        <w:tc>
          <w:tcPr>
            <w:tcW w:w="126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30.8</w:t>
            </w:r>
          </w:p>
        </w:tc>
        <w:tc>
          <w:tcPr>
            <w:tcW w:w="89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4 571.8</w:t>
            </w:r>
          </w:p>
        </w:tc>
      </w:tr>
      <w:tr w:rsidR="00336793" w:rsidRPr="00EB6254" w:rsidTr="00DF0B96">
        <w:tc>
          <w:tcPr>
            <w:tcW w:w="3986" w:type="dxa"/>
            <w:tcBorders>
              <w:top w:val="nil"/>
              <w:left w:val="nil"/>
              <w:bottom w:val="nil"/>
              <w:right w:val="nil"/>
            </w:tcBorders>
            <w:shd w:val="solid" w:color="FFFFFF" w:fill="auto"/>
          </w:tcPr>
          <w:p w:rsidR="00336793" w:rsidRPr="00EB6254" w:rsidRDefault="00336793" w:rsidP="00DF0B96">
            <w:pPr>
              <w:pStyle w:val="Tabletext"/>
              <w:rPr>
                <w:rFonts w:eastAsiaTheme="minorEastAsia"/>
                <w:sz w:val="21"/>
                <w:lang w:eastAsia="en-AU"/>
              </w:rPr>
            </w:pPr>
            <w:r w:rsidRPr="00EB6254">
              <w:rPr>
                <w:rFonts w:eastAsiaTheme="minorEastAsia"/>
                <w:sz w:val="21"/>
                <w:lang w:eastAsia="en-AU"/>
              </w:rPr>
              <w:t>Term deposits</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1 665.1</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79.1</w:t>
            </w:r>
          </w:p>
        </w:tc>
        <w:tc>
          <w:tcPr>
            <w:tcW w:w="126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349.2</w:t>
            </w:r>
          </w:p>
        </w:tc>
        <w:tc>
          <w:tcPr>
            <w:tcW w:w="117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36.5</w:t>
            </w:r>
          </w:p>
        </w:tc>
        <w:tc>
          <w:tcPr>
            <w:tcW w:w="890" w:type="dxa"/>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2 129.9</w:t>
            </w:r>
          </w:p>
        </w:tc>
      </w:tr>
      <w:tr w:rsidR="00336793" w:rsidRPr="00EB6254" w:rsidTr="00DF0B96">
        <w:tc>
          <w:tcPr>
            <w:tcW w:w="3986" w:type="dxa"/>
            <w:tcBorders>
              <w:top w:val="nil"/>
              <w:left w:val="nil"/>
              <w:bottom w:val="single" w:sz="6" w:space="0" w:color="auto"/>
              <w:right w:val="nil"/>
            </w:tcBorders>
            <w:shd w:val="solid" w:color="FFFFFF" w:fill="auto"/>
          </w:tcPr>
          <w:p w:rsidR="00336793" w:rsidRPr="00EB6254" w:rsidRDefault="00336793" w:rsidP="00DF0B96">
            <w:pPr>
              <w:pStyle w:val="Tabletext"/>
              <w:rPr>
                <w:rFonts w:eastAsiaTheme="minorEastAsia"/>
                <w:sz w:val="21"/>
                <w:lang w:eastAsia="en-AU"/>
              </w:rPr>
            </w:pPr>
            <w:r w:rsidRPr="00EB6254">
              <w:rPr>
                <w:rFonts w:eastAsiaTheme="minorEastAsia"/>
                <w:sz w:val="21"/>
                <w:lang w:eastAsia="en-AU"/>
              </w:rPr>
              <w:t>Debt securities</w:t>
            </w:r>
          </w:p>
        </w:tc>
        <w:tc>
          <w:tcPr>
            <w:tcW w:w="1170" w:type="dxa"/>
            <w:tcBorders>
              <w:top w:val="nil"/>
              <w:left w:val="nil"/>
              <w:bottom w:val="single" w:sz="6" w:space="0" w:color="auto"/>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0.1</w:t>
            </w:r>
          </w:p>
        </w:tc>
        <w:tc>
          <w:tcPr>
            <w:tcW w:w="1170" w:type="dxa"/>
            <w:tcBorders>
              <w:top w:val="nil"/>
              <w:left w:val="nil"/>
              <w:bottom w:val="single" w:sz="6" w:space="0" w:color="auto"/>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w:t>
            </w:r>
          </w:p>
        </w:tc>
        <w:tc>
          <w:tcPr>
            <w:tcW w:w="1260" w:type="dxa"/>
            <w:tcBorders>
              <w:top w:val="nil"/>
              <w:left w:val="nil"/>
              <w:bottom w:val="single" w:sz="6" w:space="0" w:color="auto"/>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40.7</w:t>
            </w:r>
          </w:p>
        </w:tc>
        <w:tc>
          <w:tcPr>
            <w:tcW w:w="1170" w:type="dxa"/>
            <w:tcBorders>
              <w:top w:val="nil"/>
              <w:left w:val="nil"/>
              <w:bottom w:val="single" w:sz="6" w:space="0" w:color="auto"/>
              <w:right w:val="nil"/>
            </w:tcBorders>
          </w:tcPr>
          <w:p w:rsidR="00336793" w:rsidRPr="00EB6254" w:rsidRDefault="00336793" w:rsidP="00DF0B96">
            <w:pPr>
              <w:pStyle w:val="TableofFigures"/>
              <w:rPr>
                <w:rFonts w:eastAsiaTheme="minorEastAsia"/>
                <w:sz w:val="21"/>
                <w:lang w:eastAsia="en-AU"/>
              </w:rPr>
            </w:pPr>
            <w:r>
              <w:rPr>
                <w:rFonts w:eastAsiaTheme="minorEastAsia"/>
                <w:sz w:val="21"/>
                <w:lang w:eastAsia="en-AU"/>
              </w:rPr>
              <w:t>..</w:t>
            </w:r>
          </w:p>
        </w:tc>
        <w:tc>
          <w:tcPr>
            <w:tcW w:w="890" w:type="dxa"/>
            <w:tcBorders>
              <w:top w:val="nil"/>
              <w:left w:val="nil"/>
              <w:bottom w:val="single" w:sz="6" w:space="0" w:color="auto"/>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40.8</w:t>
            </w:r>
          </w:p>
        </w:tc>
      </w:tr>
      <w:tr w:rsidR="00336793" w:rsidRPr="00EB6254" w:rsidTr="00DF0B96">
        <w:tc>
          <w:tcPr>
            <w:tcW w:w="3986" w:type="dxa"/>
            <w:tcBorders>
              <w:top w:val="single" w:sz="6" w:space="0" w:color="auto"/>
              <w:left w:val="nil"/>
              <w:bottom w:val="single" w:sz="12" w:space="0" w:color="000000"/>
              <w:right w:val="nil"/>
            </w:tcBorders>
            <w:shd w:val="solid" w:color="FFFFFF" w:fill="auto"/>
          </w:tcPr>
          <w:p w:rsidR="00336793" w:rsidRPr="00EB6254" w:rsidRDefault="00336793" w:rsidP="00DF0B96">
            <w:pPr>
              <w:pStyle w:val="Tabletext"/>
              <w:rPr>
                <w:rFonts w:eastAsiaTheme="minorEastAsia"/>
                <w:b/>
                <w:sz w:val="21"/>
                <w:lang w:eastAsia="en-AU"/>
              </w:rPr>
            </w:pPr>
            <w:r w:rsidRPr="00EB6254">
              <w:rPr>
                <w:rFonts w:eastAsiaTheme="minorEastAsia"/>
                <w:b/>
                <w:sz w:val="21"/>
                <w:lang w:eastAsia="en-AU"/>
              </w:rPr>
              <w:t>Total financial assets</w:t>
            </w:r>
          </w:p>
        </w:tc>
        <w:tc>
          <w:tcPr>
            <w:tcW w:w="1170" w:type="dxa"/>
            <w:tcBorders>
              <w:top w:val="single" w:sz="6" w:space="0" w:color="auto"/>
              <w:left w:val="nil"/>
              <w:bottom w:val="single" w:sz="12" w:space="0" w:color="000000"/>
              <w:right w:val="nil"/>
            </w:tcBorders>
            <w:shd w:val="solid" w:color="FFFFFF" w:fill="auto"/>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9 137.4</w:t>
            </w:r>
          </w:p>
        </w:tc>
        <w:tc>
          <w:tcPr>
            <w:tcW w:w="1170" w:type="dxa"/>
            <w:tcBorders>
              <w:top w:val="single" w:sz="6" w:space="0" w:color="auto"/>
              <w:left w:val="nil"/>
              <w:bottom w:val="single" w:sz="12" w:space="0" w:color="000000"/>
              <w:right w:val="nil"/>
            </w:tcBorders>
            <w:shd w:val="solid" w:color="FFFFFF" w:fill="auto"/>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252.2</w:t>
            </w:r>
          </w:p>
        </w:tc>
        <w:tc>
          <w:tcPr>
            <w:tcW w:w="1260" w:type="dxa"/>
            <w:tcBorders>
              <w:top w:val="single" w:sz="6" w:space="0" w:color="auto"/>
              <w:left w:val="nil"/>
              <w:bottom w:val="single" w:sz="12" w:space="0" w:color="000000"/>
              <w:right w:val="nil"/>
            </w:tcBorders>
            <w:shd w:val="solid" w:color="FFFFFF" w:fill="auto"/>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2 103.2</w:t>
            </w:r>
          </w:p>
        </w:tc>
        <w:tc>
          <w:tcPr>
            <w:tcW w:w="1170" w:type="dxa"/>
            <w:tcBorders>
              <w:top w:val="single" w:sz="6" w:space="0" w:color="auto"/>
              <w:left w:val="nil"/>
              <w:bottom w:val="single" w:sz="12" w:space="0" w:color="000000"/>
              <w:right w:val="nil"/>
            </w:tcBorders>
            <w:shd w:val="solid" w:color="FFFFFF" w:fill="auto"/>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1 003.8</w:t>
            </w:r>
          </w:p>
        </w:tc>
        <w:tc>
          <w:tcPr>
            <w:tcW w:w="890" w:type="dxa"/>
            <w:tcBorders>
              <w:top w:val="single" w:sz="6" w:space="0" w:color="auto"/>
              <w:left w:val="nil"/>
              <w:bottom w:val="single" w:sz="12" w:space="0" w:color="000000"/>
              <w:right w:val="nil"/>
            </w:tcBorders>
            <w:shd w:val="solid" w:color="FFFFFF" w:fill="auto"/>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12 496.6</w:t>
            </w:r>
          </w:p>
        </w:tc>
      </w:tr>
    </w:tbl>
    <w:p w:rsidR="00336793" w:rsidRPr="00602AC1" w:rsidRDefault="00336793" w:rsidP="00DF0B96">
      <w:pPr>
        <w:pStyle w:val="4ptline"/>
      </w:pPr>
    </w:p>
    <w:tbl>
      <w:tblPr>
        <w:tblW w:w="9646" w:type="dxa"/>
        <w:tblInd w:w="28" w:type="dxa"/>
        <w:tblLayout w:type="fixed"/>
        <w:tblCellMar>
          <w:left w:w="45" w:type="dxa"/>
          <w:right w:w="45" w:type="dxa"/>
        </w:tblCellMar>
        <w:tblLook w:val="0000" w:firstRow="0" w:lastRow="0" w:firstColumn="0" w:lastColumn="0" w:noHBand="0" w:noVBand="0"/>
      </w:tblPr>
      <w:tblGrid>
        <w:gridCol w:w="3986"/>
        <w:gridCol w:w="1170"/>
        <w:gridCol w:w="1170"/>
        <w:gridCol w:w="1260"/>
        <w:gridCol w:w="1170"/>
        <w:gridCol w:w="890"/>
      </w:tblGrid>
      <w:tr w:rsidR="00336793" w:rsidRPr="00602AC1" w:rsidTr="00DF0B96">
        <w:tc>
          <w:tcPr>
            <w:tcW w:w="3986" w:type="dxa"/>
            <w:tcBorders>
              <w:top w:val="single" w:sz="6" w:space="0" w:color="auto"/>
              <w:left w:val="single" w:sz="6" w:space="0" w:color="auto"/>
              <w:bottom w:val="single" w:sz="6" w:space="0" w:color="auto"/>
              <w:right w:val="nil"/>
            </w:tcBorders>
            <w:shd w:val="clear" w:color="000000" w:fill="000000"/>
          </w:tcPr>
          <w:p w:rsidR="00336793" w:rsidRPr="00602AC1" w:rsidRDefault="00336793" w:rsidP="00DF0B96">
            <w:pPr>
              <w:pStyle w:val="Tabletext"/>
              <w:rPr>
                <w:rFonts w:eastAsiaTheme="minorEastAsia"/>
                <w:i/>
                <w:sz w:val="21"/>
                <w:lang w:eastAsia="en-AU"/>
              </w:rPr>
            </w:pPr>
            <w:r w:rsidRPr="00602AC1">
              <w:rPr>
                <w:rFonts w:eastAsiaTheme="minorEastAsia"/>
                <w:i/>
                <w:sz w:val="21"/>
                <w:lang w:eastAsia="en-AU"/>
              </w:rPr>
              <w:t>2014</w:t>
            </w:r>
          </w:p>
        </w:tc>
        <w:tc>
          <w:tcPr>
            <w:tcW w:w="1170" w:type="dxa"/>
            <w:tcBorders>
              <w:top w:val="single" w:sz="6" w:space="0" w:color="auto"/>
              <w:left w:val="nil"/>
              <w:bottom w:val="single" w:sz="6" w:space="0" w:color="auto"/>
              <w:right w:val="nil"/>
            </w:tcBorders>
            <w:shd w:val="clear" w:color="000000" w:fill="000000"/>
          </w:tcPr>
          <w:p w:rsidR="00336793" w:rsidRPr="00602AC1" w:rsidRDefault="00336793" w:rsidP="00DF0B96">
            <w:pPr>
              <w:pStyle w:val="Tabletextheading"/>
              <w:rPr>
                <w:rFonts w:eastAsiaTheme="minorEastAsia"/>
                <w:color w:val="FFFFFF"/>
                <w:sz w:val="21"/>
                <w:lang w:eastAsia="en-AU"/>
              </w:rPr>
            </w:pPr>
            <w:r w:rsidRPr="00602AC1">
              <w:rPr>
                <w:rFonts w:eastAsiaTheme="minorEastAsia"/>
                <w:color w:val="FFFFFF"/>
                <w:sz w:val="21"/>
                <w:lang w:eastAsia="en-AU"/>
              </w:rPr>
              <w:t xml:space="preserve"> </w:t>
            </w:r>
          </w:p>
        </w:tc>
        <w:tc>
          <w:tcPr>
            <w:tcW w:w="1170" w:type="dxa"/>
            <w:tcBorders>
              <w:top w:val="single" w:sz="6" w:space="0" w:color="auto"/>
              <w:left w:val="nil"/>
              <w:bottom w:val="single" w:sz="6" w:space="0" w:color="auto"/>
              <w:right w:val="nil"/>
            </w:tcBorders>
            <w:shd w:val="clear" w:color="000000" w:fill="000000"/>
          </w:tcPr>
          <w:p w:rsidR="00336793" w:rsidRPr="00602AC1" w:rsidRDefault="00336793" w:rsidP="00DF0B96">
            <w:pPr>
              <w:pStyle w:val="Tabletextheading"/>
              <w:rPr>
                <w:rFonts w:eastAsiaTheme="minorEastAsia"/>
                <w:color w:val="FFFFFF"/>
                <w:sz w:val="21"/>
                <w:lang w:eastAsia="en-AU"/>
              </w:rPr>
            </w:pPr>
            <w:r w:rsidRPr="00602AC1">
              <w:rPr>
                <w:rFonts w:eastAsiaTheme="minorEastAsia"/>
                <w:color w:val="FFFFFF"/>
                <w:sz w:val="21"/>
                <w:lang w:eastAsia="en-AU"/>
              </w:rPr>
              <w:t xml:space="preserve"> </w:t>
            </w:r>
          </w:p>
        </w:tc>
        <w:tc>
          <w:tcPr>
            <w:tcW w:w="1260" w:type="dxa"/>
            <w:tcBorders>
              <w:top w:val="single" w:sz="6" w:space="0" w:color="auto"/>
              <w:left w:val="nil"/>
              <w:bottom w:val="single" w:sz="6" w:space="0" w:color="auto"/>
              <w:right w:val="nil"/>
            </w:tcBorders>
            <w:shd w:val="clear" w:color="000000" w:fill="000000"/>
          </w:tcPr>
          <w:p w:rsidR="00336793" w:rsidRPr="00602AC1" w:rsidRDefault="00336793" w:rsidP="00DF0B96">
            <w:pPr>
              <w:pStyle w:val="Tabletextheading"/>
              <w:rPr>
                <w:rFonts w:eastAsiaTheme="minorEastAsia"/>
                <w:color w:val="FFFFFF"/>
                <w:sz w:val="21"/>
                <w:lang w:eastAsia="en-AU"/>
              </w:rPr>
            </w:pPr>
            <w:r w:rsidRPr="00602AC1">
              <w:rPr>
                <w:rFonts w:eastAsiaTheme="minorEastAsia"/>
                <w:color w:val="FFFFFF"/>
                <w:sz w:val="21"/>
                <w:lang w:eastAsia="en-AU"/>
              </w:rPr>
              <w:t xml:space="preserve"> </w:t>
            </w:r>
          </w:p>
        </w:tc>
        <w:tc>
          <w:tcPr>
            <w:tcW w:w="1170" w:type="dxa"/>
            <w:tcBorders>
              <w:top w:val="single" w:sz="6" w:space="0" w:color="auto"/>
              <w:left w:val="nil"/>
              <w:bottom w:val="single" w:sz="6" w:space="0" w:color="auto"/>
              <w:right w:val="nil"/>
            </w:tcBorders>
            <w:shd w:val="clear" w:color="000000" w:fill="000000"/>
          </w:tcPr>
          <w:p w:rsidR="00336793" w:rsidRPr="00602AC1" w:rsidRDefault="00336793" w:rsidP="00DF0B96">
            <w:pPr>
              <w:pStyle w:val="Tabletextheading"/>
              <w:rPr>
                <w:rFonts w:eastAsiaTheme="minorEastAsia"/>
                <w:color w:val="FFFFFF"/>
                <w:sz w:val="21"/>
                <w:lang w:eastAsia="en-AU"/>
              </w:rPr>
            </w:pPr>
            <w:r w:rsidRPr="00602AC1">
              <w:rPr>
                <w:rFonts w:eastAsiaTheme="minorEastAsia"/>
                <w:color w:val="FFFFFF"/>
                <w:sz w:val="21"/>
                <w:lang w:eastAsia="en-AU"/>
              </w:rPr>
              <w:t xml:space="preserve"> </w:t>
            </w:r>
          </w:p>
        </w:tc>
        <w:tc>
          <w:tcPr>
            <w:tcW w:w="890" w:type="dxa"/>
            <w:tcBorders>
              <w:top w:val="single" w:sz="6" w:space="0" w:color="auto"/>
              <w:left w:val="nil"/>
              <w:bottom w:val="single" w:sz="6" w:space="0" w:color="auto"/>
              <w:right w:val="single" w:sz="6" w:space="0" w:color="auto"/>
            </w:tcBorders>
            <w:shd w:val="clear" w:color="000000" w:fill="000000"/>
          </w:tcPr>
          <w:p w:rsidR="00336793" w:rsidRPr="00602AC1" w:rsidRDefault="00336793" w:rsidP="00DF0B96">
            <w:pPr>
              <w:pStyle w:val="Tabletextheading"/>
              <w:rPr>
                <w:rFonts w:eastAsiaTheme="minorEastAsia"/>
                <w:color w:val="FFFFFF"/>
                <w:sz w:val="21"/>
                <w:lang w:eastAsia="en-AU"/>
              </w:rPr>
            </w:pPr>
            <w:r w:rsidRPr="00602AC1">
              <w:rPr>
                <w:rFonts w:eastAsiaTheme="minorEastAsia"/>
                <w:color w:val="FFFFFF"/>
                <w:sz w:val="21"/>
                <w:lang w:eastAsia="en-AU"/>
              </w:rPr>
              <w:t xml:space="preserve"> </w:t>
            </w:r>
          </w:p>
        </w:tc>
      </w:tr>
      <w:tr w:rsidR="00336793" w:rsidRPr="00602AC1" w:rsidTr="00DF0B96">
        <w:tc>
          <w:tcPr>
            <w:tcW w:w="3986" w:type="dxa"/>
            <w:tcBorders>
              <w:top w:val="single" w:sz="6" w:space="0" w:color="auto"/>
              <w:left w:val="nil"/>
              <w:bottom w:val="nil"/>
              <w:right w:val="nil"/>
            </w:tcBorders>
            <w:shd w:val="solid" w:color="FFFFFF" w:fill="auto"/>
          </w:tcPr>
          <w:p w:rsidR="00336793" w:rsidRPr="00602AC1" w:rsidRDefault="00336793" w:rsidP="00DF0B96">
            <w:pPr>
              <w:pStyle w:val="Tabletext"/>
              <w:rPr>
                <w:rFonts w:eastAsiaTheme="minorEastAsia"/>
                <w:b/>
                <w:bCs/>
                <w:sz w:val="21"/>
                <w:lang w:eastAsia="en-AU"/>
              </w:rPr>
            </w:pPr>
            <w:r w:rsidRPr="00602AC1">
              <w:rPr>
                <w:rFonts w:eastAsiaTheme="minorEastAsia"/>
                <w:b/>
                <w:bCs/>
                <w:sz w:val="21"/>
                <w:lang w:eastAsia="en-AU"/>
              </w:rPr>
              <w:t>Financial assets</w:t>
            </w:r>
          </w:p>
        </w:tc>
        <w:tc>
          <w:tcPr>
            <w:tcW w:w="1170" w:type="dxa"/>
            <w:tcBorders>
              <w:top w:val="single" w:sz="6" w:space="0" w:color="auto"/>
              <w:left w:val="nil"/>
              <w:bottom w:val="nil"/>
              <w:right w:val="nil"/>
            </w:tcBorders>
            <w:shd w:val="solid" w:color="FFFFFF" w:fill="auto"/>
          </w:tcPr>
          <w:p w:rsidR="00336793" w:rsidRPr="00602AC1" w:rsidRDefault="00336793" w:rsidP="00DF0B96">
            <w:pPr>
              <w:pStyle w:val="TableofFigures"/>
              <w:rPr>
                <w:rFonts w:eastAsiaTheme="minorEastAsia"/>
                <w:b/>
                <w:sz w:val="21"/>
                <w:lang w:eastAsia="en-AU"/>
              </w:rPr>
            </w:pPr>
            <w:r w:rsidRPr="00602AC1">
              <w:rPr>
                <w:rFonts w:eastAsiaTheme="minorEastAsia"/>
                <w:b/>
                <w:sz w:val="21"/>
                <w:lang w:eastAsia="en-AU"/>
              </w:rPr>
              <w:t xml:space="preserve"> </w:t>
            </w:r>
          </w:p>
        </w:tc>
        <w:tc>
          <w:tcPr>
            <w:tcW w:w="1170" w:type="dxa"/>
            <w:tcBorders>
              <w:top w:val="single" w:sz="6" w:space="0" w:color="auto"/>
              <w:left w:val="nil"/>
              <w:bottom w:val="nil"/>
              <w:right w:val="nil"/>
            </w:tcBorders>
            <w:shd w:val="solid" w:color="FFFFFF" w:fill="auto"/>
          </w:tcPr>
          <w:p w:rsidR="00336793" w:rsidRPr="00602AC1" w:rsidRDefault="00336793" w:rsidP="00DF0B96">
            <w:pPr>
              <w:pStyle w:val="TableofFigures"/>
              <w:rPr>
                <w:rFonts w:eastAsiaTheme="minorEastAsia"/>
                <w:b/>
                <w:sz w:val="21"/>
                <w:lang w:eastAsia="en-AU"/>
              </w:rPr>
            </w:pPr>
            <w:r w:rsidRPr="00602AC1">
              <w:rPr>
                <w:rFonts w:eastAsiaTheme="minorEastAsia"/>
                <w:b/>
                <w:sz w:val="21"/>
                <w:lang w:eastAsia="en-AU"/>
              </w:rPr>
              <w:t xml:space="preserve"> </w:t>
            </w:r>
          </w:p>
        </w:tc>
        <w:tc>
          <w:tcPr>
            <w:tcW w:w="1260" w:type="dxa"/>
            <w:tcBorders>
              <w:top w:val="single" w:sz="6" w:space="0" w:color="auto"/>
              <w:left w:val="nil"/>
              <w:bottom w:val="nil"/>
              <w:right w:val="nil"/>
            </w:tcBorders>
            <w:shd w:val="solid" w:color="FFFFFF" w:fill="auto"/>
          </w:tcPr>
          <w:p w:rsidR="00336793" w:rsidRPr="00602AC1" w:rsidRDefault="00336793" w:rsidP="00DF0B96">
            <w:pPr>
              <w:pStyle w:val="TableofFigures"/>
              <w:rPr>
                <w:rFonts w:eastAsiaTheme="minorEastAsia"/>
                <w:b/>
                <w:sz w:val="21"/>
                <w:lang w:eastAsia="en-AU"/>
              </w:rPr>
            </w:pPr>
            <w:r w:rsidRPr="00602AC1">
              <w:rPr>
                <w:rFonts w:eastAsiaTheme="minorEastAsia"/>
                <w:b/>
                <w:sz w:val="21"/>
                <w:lang w:eastAsia="en-AU"/>
              </w:rPr>
              <w:t xml:space="preserve"> </w:t>
            </w:r>
          </w:p>
        </w:tc>
        <w:tc>
          <w:tcPr>
            <w:tcW w:w="1170" w:type="dxa"/>
            <w:tcBorders>
              <w:top w:val="single" w:sz="6" w:space="0" w:color="auto"/>
              <w:left w:val="nil"/>
              <w:bottom w:val="nil"/>
              <w:right w:val="nil"/>
            </w:tcBorders>
          </w:tcPr>
          <w:p w:rsidR="00336793" w:rsidRPr="00602AC1" w:rsidRDefault="00336793" w:rsidP="00DF0B96">
            <w:pPr>
              <w:pStyle w:val="TableofFigures"/>
              <w:rPr>
                <w:rFonts w:eastAsiaTheme="minorEastAsia"/>
                <w:b/>
                <w:sz w:val="21"/>
                <w:lang w:eastAsia="en-AU"/>
              </w:rPr>
            </w:pPr>
            <w:r w:rsidRPr="00602AC1">
              <w:rPr>
                <w:rFonts w:eastAsiaTheme="minorEastAsia"/>
                <w:b/>
                <w:sz w:val="21"/>
                <w:lang w:eastAsia="en-AU"/>
              </w:rPr>
              <w:t xml:space="preserve"> </w:t>
            </w:r>
          </w:p>
        </w:tc>
        <w:tc>
          <w:tcPr>
            <w:tcW w:w="890" w:type="dxa"/>
            <w:tcBorders>
              <w:top w:val="single" w:sz="6" w:space="0" w:color="auto"/>
              <w:left w:val="nil"/>
              <w:bottom w:val="nil"/>
              <w:right w:val="nil"/>
            </w:tcBorders>
          </w:tcPr>
          <w:p w:rsidR="00336793" w:rsidRPr="00602AC1" w:rsidRDefault="00336793" w:rsidP="00DF0B96">
            <w:pPr>
              <w:pStyle w:val="TableofFigures"/>
              <w:rPr>
                <w:rFonts w:eastAsiaTheme="minorEastAsia"/>
                <w:b/>
                <w:sz w:val="21"/>
                <w:lang w:eastAsia="en-AU"/>
              </w:rPr>
            </w:pPr>
            <w:r w:rsidRPr="00602AC1">
              <w:rPr>
                <w:rFonts w:eastAsiaTheme="minorEastAsia"/>
                <w:b/>
                <w:sz w:val="21"/>
                <w:lang w:eastAsia="en-AU"/>
              </w:rPr>
              <w:t xml:space="preserve"> </w:t>
            </w:r>
          </w:p>
        </w:tc>
      </w:tr>
      <w:tr w:rsidR="00336793" w:rsidRPr="00602AC1" w:rsidTr="00DF0B96">
        <w:tc>
          <w:tcPr>
            <w:tcW w:w="3986" w:type="dxa"/>
            <w:tcBorders>
              <w:top w:val="nil"/>
              <w:left w:val="nil"/>
              <w:bottom w:val="nil"/>
              <w:right w:val="nil"/>
            </w:tcBorders>
            <w:shd w:val="solid" w:color="FFFFFF" w:fill="auto"/>
          </w:tcPr>
          <w:p w:rsidR="00336793" w:rsidRPr="00602AC1" w:rsidRDefault="00336793" w:rsidP="00DF0B96">
            <w:pPr>
              <w:pStyle w:val="Tabletext"/>
              <w:rPr>
                <w:rFonts w:eastAsiaTheme="minorEastAsia" w:cs="Calibri"/>
                <w:color w:val="000000"/>
                <w:sz w:val="21"/>
                <w:szCs w:val="22"/>
                <w:vertAlign w:val="superscript"/>
                <w:lang w:eastAsia="en-AU"/>
              </w:rPr>
            </w:pPr>
            <w:r w:rsidRPr="00602AC1">
              <w:rPr>
                <w:rFonts w:eastAsiaTheme="minorEastAsia"/>
                <w:sz w:val="21"/>
                <w:lang w:eastAsia="en-AU"/>
              </w:rPr>
              <w:t>Cash and deposits</w:t>
            </w:r>
            <w:r w:rsidRPr="00E96950">
              <w:rPr>
                <w:rFonts w:eastAsiaTheme="minorEastAsia"/>
                <w:sz w:val="21"/>
                <w:vertAlign w:val="superscript"/>
                <w:lang w:eastAsia="en-AU"/>
              </w:rPr>
              <w:t xml:space="preserve"> (</w:t>
            </w:r>
            <w:r w:rsidRPr="00602AC1">
              <w:rPr>
                <w:rFonts w:eastAsiaTheme="minorEastAsia" w:cs="Calibri"/>
                <w:color w:val="000000"/>
                <w:sz w:val="21"/>
                <w:szCs w:val="22"/>
                <w:vertAlign w:val="superscript"/>
                <w:lang w:eastAsia="en-AU"/>
              </w:rPr>
              <w:t>a)</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2 046.4</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106.7</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1 979.8</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449.2</w:t>
            </w:r>
          </w:p>
        </w:tc>
        <w:tc>
          <w:tcPr>
            <w:tcW w:w="89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4 582.2</w:t>
            </w:r>
          </w:p>
        </w:tc>
      </w:tr>
      <w:tr w:rsidR="00336793" w:rsidRPr="00602AC1" w:rsidTr="00DF0B96">
        <w:tc>
          <w:tcPr>
            <w:tcW w:w="3986" w:type="dxa"/>
            <w:tcBorders>
              <w:top w:val="nil"/>
              <w:left w:val="nil"/>
              <w:bottom w:val="nil"/>
              <w:right w:val="nil"/>
            </w:tcBorders>
            <w:shd w:val="solid" w:color="FFFFFF" w:fill="auto"/>
          </w:tcPr>
          <w:p w:rsidR="00336793" w:rsidRPr="00602AC1" w:rsidRDefault="00336793" w:rsidP="00DF0B96">
            <w:pPr>
              <w:pStyle w:val="Tabletext"/>
              <w:rPr>
                <w:rFonts w:eastAsiaTheme="minorEastAsia"/>
                <w:sz w:val="21"/>
                <w:lang w:eastAsia="en-AU"/>
              </w:rPr>
            </w:pPr>
            <w:r w:rsidRPr="00602AC1">
              <w:rPr>
                <w:rFonts w:eastAsiaTheme="minorEastAsia"/>
                <w:sz w:val="21"/>
                <w:lang w:eastAsia="en-AU"/>
              </w:rPr>
              <w:t>Receivables</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634.4</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196.3</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11.2</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356.9</w:t>
            </w:r>
          </w:p>
        </w:tc>
        <w:tc>
          <w:tcPr>
            <w:tcW w:w="89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1 198.9</w:t>
            </w:r>
          </w:p>
        </w:tc>
      </w:tr>
      <w:tr w:rsidR="00336793" w:rsidRPr="00602AC1" w:rsidTr="00DF0B96">
        <w:tc>
          <w:tcPr>
            <w:tcW w:w="3986" w:type="dxa"/>
            <w:tcBorders>
              <w:top w:val="nil"/>
              <w:left w:val="nil"/>
              <w:bottom w:val="nil"/>
              <w:right w:val="nil"/>
            </w:tcBorders>
            <w:shd w:val="solid" w:color="FFFFFF" w:fill="auto"/>
          </w:tcPr>
          <w:p w:rsidR="00336793" w:rsidRPr="00602AC1" w:rsidRDefault="00336793" w:rsidP="00DF0B96">
            <w:pPr>
              <w:pStyle w:val="Tabletext"/>
              <w:rPr>
                <w:rFonts w:eastAsiaTheme="minorEastAsia"/>
                <w:sz w:val="21"/>
                <w:lang w:eastAsia="en-AU"/>
              </w:rPr>
            </w:pPr>
            <w:r w:rsidRPr="00602AC1">
              <w:rPr>
                <w:rFonts w:eastAsiaTheme="minorEastAsia"/>
                <w:sz w:val="21"/>
                <w:lang w:eastAsia="en-AU"/>
              </w:rPr>
              <w:t>Advances paid</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4 554.8</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4.1</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28.0</w:t>
            </w:r>
          </w:p>
        </w:tc>
        <w:tc>
          <w:tcPr>
            <w:tcW w:w="89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4 586.9</w:t>
            </w:r>
          </w:p>
        </w:tc>
      </w:tr>
      <w:tr w:rsidR="00336793" w:rsidRPr="00602AC1" w:rsidTr="00DF0B96">
        <w:tc>
          <w:tcPr>
            <w:tcW w:w="3986" w:type="dxa"/>
            <w:tcBorders>
              <w:top w:val="nil"/>
              <w:left w:val="nil"/>
              <w:bottom w:val="nil"/>
              <w:right w:val="nil"/>
            </w:tcBorders>
            <w:shd w:val="solid" w:color="FFFFFF" w:fill="auto"/>
          </w:tcPr>
          <w:p w:rsidR="00336793" w:rsidRPr="00602AC1" w:rsidRDefault="00336793" w:rsidP="00DF0B96">
            <w:pPr>
              <w:pStyle w:val="Tabletext"/>
              <w:rPr>
                <w:rFonts w:eastAsiaTheme="minorEastAsia"/>
                <w:sz w:val="21"/>
                <w:lang w:eastAsia="en-AU"/>
              </w:rPr>
            </w:pPr>
            <w:r w:rsidRPr="00602AC1">
              <w:rPr>
                <w:rFonts w:eastAsiaTheme="minorEastAsia"/>
                <w:sz w:val="21"/>
                <w:lang w:eastAsia="en-AU"/>
              </w:rPr>
              <w:t>Term deposits</w:t>
            </w:r>
            <w:r w:rsidRPr="00E96950">
              <w:rPr>
                <w:rFonts w:eastAsiaTheme="minorEastAsia"/>
                <w:sz w:val="21"/>
                <w:vertAlign w:val="superscript"/>
                <w:lang w:eastAsia="en-AU"/>
              </w:rPr>
              <w:t xml:space="preserve"> (</w:t>
            </w:r>
            <w:r w:rsidRPr="00602AC1">
              <w:rPr>
                <w:rFonts w:eastAsiaTheme="minorEastAsia"/>
                <w:sz w:val="21"/>
                <w:vertAlign w:val="superscript"/>
                <w:lang w:eastAsia="en-AU"/>
              </w:rPr>
              <w:t>a)</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1 103.5</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497.0</w:t>
            </w:r>
          </w:p>
        </w:tc>
        <w:tc>
          <w:tcPr>
            <w:tcW w:w="126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286.8</w:t>
            </w:r>
          </w:p>
        </w:tc>
        <w:tc>
          <w:tcPr>
            <w:tcW w:w="117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145.7</w:t>
            </w:r>
          </w:p>
        </w:tc>
        <w:tc>
          <w:tcPr>
            <w:tcW w:w="890" w:type="dxa"/>
            <w:tcBorders>
              <w:top w:val="nil"/>
              <w:left w:val="nil"/>
              <w:bottom w:val="nil"/>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2 033.1</w:t>
            </w:r>
          </w:p>
        </w:tc>
      </w:tr>
      <w:tr w:rsidR="00336793" w:rsidRPr="00602AC1" w:rsidTr="00DF0B96">
        <w:tc>
          <w:tcPr>
            <w:tcW w:w="3986" w:type="dxa"/>
            <w:tcBorders>
              <w:top w:val="nil"/>
              <w:left w:val="nil"/>
              <w:bottom w:val="single" w:sz="6" w:space="0" w:color="auto"/>
              <w:right w:val="nil"/>
            </w:tcBorders>
            <w:shd w:val="solid" w:color="FFFFFF" w:fill="auto"/>
          </w:tcPr>
          <w:p w:rsidR="00336793" w:rsidRPr="00602AC1" w:rsidRDefault="00336793" w:rsidP="00DF0B96">
            <w:pPr>
              <w:pStyle w:val="Tabletext"/>
              <w:rPr>
                <w:rFonts w:eastAsiaTheme="minorEastAsia"/>
                <w:sz w:val="21"/>
                <w:lang w:eastAsia="en-AU"/>
              </w:rPr>
            </w:pPr>
            <w:r w:rsidRPr="00602AC1">
              <w:rPr>
                <w:rFonts w:eastAsiaTheme="minorEastAsia"/>
                <w:sz w:val="21"/>
                <w:lang w:eastAsia="en-AU"/>
              </w:rPr>
              <w:t>Debt securities</w:t>
            </w:r>
          </w:p>
        </w:tc>
        <w:tc>
          <w:tcPr>
            <w:tcW w:w="1170" w:type="dxa"/>
            <w:tcBorders>
              <w:top w:val="nil"/>
              <w:left w:val="nil"/>
              <w:bottom w:val="single" w:sz="6" w:space="0" w:color="auto"/>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w:t>
            </w:r>
          </w:p>
        </w:tc>
        <w:tc>
          <w:tcPr>
            <w:tcW w:w="1170" w:type="dxa"/>
            <w:tcBorders>
              <w:top w:val="nil"/>
              <w:left w:val="nil"/>
              <w:bottom w:val="single" w:sz="6" w:space="0" w:color="auto"/>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49.0</w:t>
            </w:r>
          </w:p>
        </w:tc>
        <w:tc>
          <w:tcPr>
            <w:tcW w:w="1260" w:type="dxa"/>
            <w:tcBorders>
              <w:top w:val="nil"/>
              <w:left w:val="nil"/>
              <w:bottom w:val="single" w:sz="6" w:space="0" w:color="auto"/>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1.5</w:t>
            </w:r>
          </w:p>
        </w:tc>
        <w:tc>
          <w:tcPr>
            <w:tcW w:w="1170" w:type="dxa"/>
            <w:tcBorders>
              <w:top w:val="nil"/>
              <w:left w:val="nil"/>
              <w:bottom w:val="single" w:sz="6" w:space="0" w:color="auto"/>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0.5</w:t>
            </w:r>
          </w:p>
        </w:tc>
        <w:tc>
          <w:tcPr>
            <w:tcW w:w="890" w:type="dxa"/>
            <w:tcBorders>
              <w:top w:val="nil"/>
              <w:left w:val="nil"/>
              <w:bottom w:val="single" w:sz="6" w:space="0" w:color="auto"/>
              <w:right w:val="nil"/>
            </w:tcBorders>
          </w:tcPr>
          <w:p w:rsidR="00336793" w:rsidRPr="00602AC1" w:rsidRDefault="00336793" w:rsidP="00DF0B96">
            <w:pPr>
              <w:pStyle w:val="TableofFigures"/>
              <w:rPr>
                <w:rFonts w:eastAsiaTheme="minorEastAsia"/>
                <w:sz w:val="21"/>
                <w:lang w:eastAsia="en-AU"/>
              </w:rPr>
            </w:pPr>
            <w:r w:rsidRPr="00602AC1">
              <w:rPr>
                <w:rFonts w:eastAsiaTheme="minorEastAsia"/>
                <w:sz w:val="21"/>
                <w:lang w:eastAsia="en-AU"/>
              </w:rPr>
              <w:t xml:space="preserve"> 51.0</w:t>
            </w:r>
          </w:p>
        </w:tc>
      </w:tr>
      <w:tr w:rsidR="00336793" w:rsidRPr="00602AC1" w:rsidTr="00DF0B96">
        <w:tc>
          <w:tcPr>
            <w:tcW w:w="3986" w:type="dxa"/>
            <w:tcBorders>
              <w:top w:val="single" w:sz="6" w:space="0" w:color="auto"/>
              <w:left w:val="nil"/>
              <w:bottom w:val="single" w:sz="12" w:space="0" w:color="000000"/>
              <w:right w:val="nil"/>
            </w:tcBorders>
            <w:shd w:val="solid" w:color="FFFFFF" w:fill="auto"/>
          </w:tcPr>
          <w:p w:rsidR="00336793" w:rsidRPr="00602AC1" w:rsidRDefault="00336793" w:rsidP="00DF0B96">
            <w:pPr>
              <w:pStyle w:val="Tabletext"/>
              <w:rPr>
                <w:rFonts w:eastAsiaTheme="minorEastAsia" w:cs="Calibri"/>
                <w:color w:val="000000"/>
                <w:sz w:val="21"/>
                <w:szCs w:val="22"/>
                <w:vertAlign w:val="superscript"/>
                <w:lang w:eastAsia="en-AU"/>
              </w:rPr>
            </w:pPr>
            <w:r w:rsidRPr="00602AC1">
              <w:rPr>
                <w:rFonts w:eastAsiaTheme="minorEastAsia"/>
                <w:b/>
                <w:bCs/>
                <w:sz w:val="21"/>
                <w:lang w:eastAsia="en-AU"/>
              </w:rPr>
              <w:t>Total financial assets</w:t>
            </w:r>
            <w:r w:rsidRPr="00E96950">
              <w:rPr>
                <w:rFonts w:eastAsiaTheme="minorEastAsia"/>
                <w:b/>
                <w:bCs/>
                <w:sz w:val="21"/>
                <w:vertAlign w:val="superscript"/>
                <w:lang w:eastAsia="en-AU"/>
              </w:rPr>
              <w:t xml:space="preserve"> (</w:t>
            </w:r>
            <w:r w:rsidRPr="00602AC1">
              <w:rPr>
                <w:rFonts w:eastAsiaTheme="minorEastAsia" w:cs="Calibri"/>
                <w:color w:val="000000"/>
                <w:sz w:val="21"/>
                <w:szCs w:val="22"/>
                <w:vertAlign w:val="superscript"/>
                <w:lang w:eastAsia="en-AU"/>
              </w:rPr>
              <w:t>a)</w:t>
            </w:r>
          </w:p>
        </w:tc>
        <w:tc>
          <w:tcPr>
            <w:tcW w:w="1170" w:type="dxa"/>
            <w:tcBorders>
              <w:top w:val="single" w:sz="6" w:space="0" w:color="auto"/>
              <w:left w:val="nil"/>
              <w:bottom w:val="single" w:sz="12" w:space="0" w:color="000000"/>
              <w:right w:val="nil"/>
            </w:tcBorders>
            <w:shd w:val="solid" w:color="FFFFFF" w:fill="auto"/>
          </w:tcPr>
          <w:p w:rsidR="00336793" w:rsidRPr="00602AC1" w:rsidRDefault="00336793" w:rsidP="00DF0B96">
            <w:pPr>
              <w:pStyle w:val="TableofFigures"/>
              <w:rPr>
                <w:rFonts w:eastAsiaTheme="minorEastAsia"/>
                <w:b/>
                <w:bCs/>
                <w:sz w:val="21"/>
                <w:lang w:eastAsia="en-AU"/>
              </w:rPr>
            </w:pPr>
            <w:r w:rsidRPr="00602AC1">
              <w:rPr>
                <w:rFonts w:eastAsiaTheme="minorEastAsia"/>
                <w:b/>
                <w:bCs/>
                <w:sz w:val="21"/>
                <w:lang w:eastAsia="en-AU"/>
              </w:rPr>
              <w:t>8 339.1</w:t>
            </w:r>
          </w:p>
        </w:tc>
        <w:tc>
          <w:tcPr>
            <w:tcW w:w="1170" w:type="dxa"/>
            <w:tcBorders>
              <w:top w:val="single" w:sz="6" w:space="0" w:color="auto"/>
              <w:left w:val="nil"/>
              <w:bottom w:val="single" w:sz="12" w:space="0" w:color="000000"/>
              <w:right w:val="nil"/>
            </w:tcBorders>
            <w:shd w:val="solid" w:color="FFFFFF" w:fill="auto"/>
          </w:tcPr>
          <w:p w:rsidR="00336793" w:rsidRPr="00602AC1" w:rsidRDefault="00336793" w:rsidP="00DF0B96">
            <w:pPr>
              <w:pStyle w:val="TableofFigures"/>
              <w:rPr>
                <w:rFonts w:eastAsiaTheme="minorEastAsia"/>
                <w:b/>
                <w:bCs/>
                <w:sz w:val="21"/>
                <w:lang w:eastAsia="en-AU"/>
              </w:rPr>
            </w:pPr>
            <w:r w:rsidRPr="00602AC1">
              <w:rPr>
                <w:rFonts w:eastAsiaTheme="minorEastAsia"/>
                <w:b/>
                <w:bCs/>
                <w:sz w:val="21"/>
                <w:lang w:eastAsia="en-AU"/>
              </w:rPr>
              <w:t xml:space="preserve"> 853.2</w:t>
            </w:r>
          </w:p>
        </w:tc>
        <w:tc>
          <w:tcPr>
            <w:tcW w:w="1260" w:type="dxa"/>
            <w:tcBorders>
              <w:top w:val="single" w:sz="6" w:space="0" w:color="auto"/>
              <w:left w:val="nil"/>
              <w:bottom w:val="single" w:sz="12" w:space="0" w:color="000000"/>
              <w:right w:val="nil"/>
            </w:tcBorders>
            <w:shd w:val="solid" w:color="FFFFFF" w:fill="auto"/>
          </w:tcPr>
          <w:p w:rsidR="00336793" w:rsidRPr="00602AC1" w:rsidRDefault="00336793" w:rsidP="00DF0B96">
            <w:pPr>
              <w:pStyle w:val="TableofFigures"/>
              <w:rPr>
                <w:rFonts w:eastAsiaTheme="minorEastAsia"/>
                <w:b/>
                <w:bCs/>
                <w:sz w:val="21"/>
                <w:lang w:eastAsia="en-AU"/>
              </w:rPr>
            </w:pPr>
            <w:r w:rsidRPr="00602AC1">
              <w:rPr>
                <w:rFonts w:eastAsiaTheme="minorEastAsia"/>
                <w:b/>
                <w:bCs/>
                <w:sz w:val="21"/>
                <w:lang w:eastAsia="en-AU"/>
              </w:rPr>
              <w:t>2 279.4</w:t>
            </w:r>
          </w:p>
        </w:tc>
        <w:tc>
          <w:tcPr>
            <w:tcW w:w="1170" w:type="dxa"/>
            <w:tcBorders>
              <w:top w:val="single" w:sz="6" w:space="0" w:color="auto"/>
              <w:left w:val="nil"/>
              <w:bottom w:val="single" w:sz="12" w:space="0" w:color="000000"/>
              <w:right w:val="nil"/>
            </w:tcBorders>
            <w:shd w:val="solid" w:color="FFFFFF" w:fill="auto"/>
          </w:tcPr>
          <w:p w:rsidR="00336793" w:rsidRPr="00602AC1" w:rsidRDefault="00336793" w:rsidP="00DF0B96">
            <w:pPr>
              <w:pStyle w:val="TableofFigures"/>
              <w:rPr>
                <w:rFonts w:eastAsiaTheme="minorEastAsia"/>
                <w:b/>
                <w:bCs/>
                <w:sz w:val="21"/>
                <w:lang w:eastAsia="en-AU"/>
              </w:rPr>
            </w:pPr>
            <w:r w:rsidRPr="00602AC1">
              <w:rPr>
                <w:rFonts w:eastAsiaTheme="minorEastAsia"/>
                <w:b/>
                <w:bCs/>
                <w:sz w:val="21"/>
                <w:lang w:eastAsia="en-AU"/>
              </w:rPr>
              <w:t xml:space="preserve"> 980.4</w:t>
            </w:r>
          </w:p>
        </w:tc>
        <w:tc>
          <w:tcPr>
            <w:tcW w:w="890" w:type="dxa"/>
            <w:tcBorders>
              <w:top w:val="single" w:sz="6" w:space="0" w:color="auto"/>
              <w:left w:val="nil"/>
              <w:bottom w:val="single" w:sz="12" w:space="0" w:color="000000"/>
              <w:right w:val="nil"/>
            </w:tcBorders>
            <w:shd w:val="solid" w:color="FFFFFF" w:fill="auto"/>
          </w:tcPr>
          <w:p w:rsidR="00336793" w:rsidRPr="00602AC1" w:rsidRDefault="00336793" w:rsidP="00DF0B96">
            <w:pPr>
              <w:pStyle w:val="TableofFigures"/>
              <w:rPr>
                <w:rFonts w:eastAsiaTheme="minorEastAsia"/>
                <w:b/>
                <w:bCs/>
                <w:sz w:val="21"/>
                <w:lang w:eastAsia="en-AU"/>
              </w:rPr>
            </w:pPr>
            <w:r w:rsidRPr="00602AC1">
              <w:rPr>
                <w:rFonts w:eastAsiaTheme="minorEastAsia"/>
                <w:b/>
                <w:bCs/>
                <w:sz w:val="21"/>
                <w:lang w:eastAsia="en-AU"/>
              </w:rPr>
              <w:t>12 452.1</w:t>
            </w:r>
          </w:p>
        </w:tc>
      </w:tr>
    </w:tbl>
    <w:p w:rsidR="00336793" w:rsidRPr="006A75A2" w:rsidRDefault="00336793" w:rsidP="00DF0B96">
      <w:pPr>
        <w:pStyle w:val="Notes"/>
      </w:pPr>
      <w:r>
        <w:t>N</w:t>
      </w:r>
      <w:r w:rsidRPr="006A75A2">
        <w:t>ote:</w:t>
      </w:r>
    </w:p>
    <w:p w:rsidR="00336793" w:rsidRDefault="00336793" w:rsidP="00DF0B96">
      <w:pPr>
        <w:pStyle w:val="Notes"/>
      </w:pPr>
      <w:r w:rsidRPr="006A75A2">
        <w:t>(a)</w:t>
      </w:r>
      <w:r w:rsidRPr="006A75A2">
        <w:tab/>
      </w:r>
      <w:r w:rsidRPr="00DF7C4A">
        <w:t>June 2014 comparative figures have been restated. See Note 37.</w:t>
      </w:r>
    </w:p>
    <w:p w:rsidR="00336793" w:rsidRDefault="00336793">
      <w:pPr>
        <w:spacing w:after="0"/>
        <w:rPr>
          <w:rFonts w:ascii="Calibri" w:hAnsi="Calibri"/>
          <w:b/>
        </w:rPr>
      </w:pPr>
      <w:r>
        <w:br w:type="page"/>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A75A2" w:rsidRDefault="00336793" w:rsidP="00DF0B96">
      <w:pPr>
        <w:pStyle w:val="Heading5"/>
      </w:pPr>
      <w:r w:rsidRPr="006A75A2">
        <w:t>(j)</w:t>
      </w:r>
      <w:r w:rsidRPr="006A75A2">
        <w:tab/>
        <w:t>Liquidity risk</w:t>
      </w:r>
    </w:p>
    <w:p w:rsidR="00336793" w:rsidRPr="006A75A2" w:rsidRDefault="00336793" w:rsidP="00DF0B96">
      <w:r w:rsidRPr="006A75A2">
        <w:t>Liquidity risk arises from being unable to meet financial obligations as they fall due. The State is exposed to liquidity risk mainly through the maturity of its external borrowings raised by TCV and the requirement to fund cash deficits. Liquidity management policy has three main components as follows.</w:t>
      </w:r>
    </w:p>
    <w:p w:rsidR="00336793" w:rsidRPr="006A75A2" w:rsidRDefault="00336793" w:rsidP="00DF0B96">
      <w:pPr>
        <w:pStyle w:val="Heading5a"/>
      </w:pPr>
      <w:r w:rsidRPr="006A75A2">
        <w:t>Short</w:t>
      </w:r>
      <w:r>
        <w:noBreakHyphen/>
      </w:r>
      <w:r w:rsidRPr="006A75A2">
        <w:t>term liquidity management and control</w:t>
      </w:r>
    </w:p>
    <w:p w:rsidR="00336793" w:rsidRPr="006A75A2" w:rsidRDefault="00336793" w:rsidP="00DF0B96">
      <w:r w:rsidRPr="006A75A2">
        <w:t>The State</w:t>
      </w:r>
      <w:r>
        <w:t>’</w:t>
      </w:r>
      <w:r w:rsidRPr="006A75A2">
        <w:t>s central treasury, TCV, is responsible for ensuring that the State</w:t>
      </w:r>
      <w:r>
        <w:t>’</w:t>
      </w:r>
      <w:r w:rsidRPr="006A75A2">
        <w:t>s liquidity requirements can be met at all times.</w:t>
      </w:r>
    </w:p>
    <w:p w:rsidR="00336793" w:rsidRPr="006A75A2" w:rsidRDefault="00336793" w:rsidP="00DF0B96">
      <w:r w:rsidRPr="006A75A2">
        <w:t xml:space="preserve">TCV </w:t>
      </w:r>
      <w:r>
        <w:t>has</w:t>
      </w:r>
      <w:r w:rsidRPr="006A75A2">
        <w:t xml:space="preserve"> an enhanced liquidity policy to assist the Government to manage the whole of Victorian government liquidity strategy and improve TCV</w:t>
      </w:r>
      <w:r>
        <w:t>’</w:t>
      </w:r>
      <w:r w:rsidRPr="006A75A2">
        <w:t>s operational and medium to long</w:t>
      </w:r>
      <w:r>
        <w:noBreakHyphen/>
      </w:r>
      <w:r w:rsidRPr="006A75A2">
        <w:t xml:space="preserve">term liquidity management. The policy </w:t>
      </w:r>
      <w:r>
        <w:t xml:space="preserve">requires the </w:t>
      </w:r>
      <w:r w:rsidRPr="006A75A2">
        <w:t>daily measurement of the whole of Victorian government liquidity ratio which measures TCV</w:t>
      </w:r>
      <w:r>
        <w:t>’</w:t>
      </w:r>
      <w:r w:rsidRPr="006A75A2">
        <w:t>s liquid assets (after discounting to reflect potential loss of value in the event of a quick sale) versus 12 months of debt and interest obligations.</w:t>
      </w:r>
    </w:p>
    <w:p w:rsidR="00336793" w:rsidRPr="006A75A2" w:rsidRDefault="00336793" w:rsidP="00DF0B96">
      <w:r w:rsidRPr="006A75A2">
        <w:t xml:space="preserve">The policy also </w:t>
      </w:r>
      <w:r>
        <w:t>measures the</w:t>
      </w:r>
      <w:r w:rsidRPr="006A75A2">
        <w:t xml:space="preserve"> daily </w:t>
      </w:r>
      <w:r>
        <w:t>‘</w:t>
      </w:r>
      <w:r w:rsidRPr="006A75A2">
        <w:t>going concern</w:t>
      </w:r>
      <w:r>
        <w:t>’</w:t>
      </w:r>
      <w:r w:rsidRPr="006A75A2">
        <w:t xml:space="preserve"> net and cumulative cash flow limits to manage short</w:t>
      </w:r>
      <w:r>
        <w:noBreakHyphen/>
      </w:r>
      <w:r w:rsidRPr="006A75A2">
        <w:t xml:space="preserve">term liquidity exposures during normal operating liquidity conditions and the monitoring of </w:t>
      </w:r>
      <w:r>
        <w:t>‘</w:t>
      </w:r>
      <w:r w:rsidRPr="006A75A2">
        <w:t>going concern</w:t>
      </w:r>
      <w:r>
        <w:t>’</w:t>
      </w:r>
      <w:r w:rsidRPr="006A75A2">
        <w:t xml:space="preserve"> and </w:t>
      </w:r>
      <w:r>
        <w:t>‘</w:t>
      </w:r>
      <w:r w:rsidRPr="006A75A2">
        <w:t>liquidity stress</w:t>
      </w:r>
      <w:r>
        <w:t>’</w:t>
      </w:r>
      <w:r w:rsidRPr="006A75A2">
        <w:t xml:space="preserve"> scenario cash flows out to 12 months.</w:t>
      </w:r>
    </w:p>
    <w:p w:rsidR="00336793" w:rsidRPr="006A75A2" w:rsidRDefault="00336793" w:rsidP="00DF0B96">
      <w:r w:rsidRPr="00D93401">
        <w:t>As at 30 June 2015, the whole of Victorian government liquidity ratio stood at 125</w:t>
      </w:r>
      <w:r>
        <w:t> per cent</w:t>
      </w:r>
      <w:r w:rsidRPr="00D93401">
        <w:t xml:space="preserve"> against a limit of 80</w:t>
      </w:r>
      <w:r>
        <w:t> per cent</w:t>
      </w:r>
      <w:r w:rsidRPr="00D93401">
        <w:t xml:space="preserve"> (143</w:t>
      </w:r>
      <w:r>
        <w:t> per cent</w:t>
      </w:r>
      <w:r w:rsidRPr="00D93401">
        <w:t xml:space="preserve"> against a limit of 80</w:t>
      </w:r>
      <w:r>
        <w:t> per cent</w:t>
      </w:r>
      <w:r w:rsidRPr="00D93401">
        <w:t xml:space="preserve"> in 2014).</w:t>
      </w:r>
    </w:p>
    <w:p w:rsidR="00336793" w:rsidRPr="006A75A2" w:rsidRDefault="00336793" w:rsidP="00DF0B96">
      <w:pPr>
        <w:pStyle w:val="Heading5a"/>
      </w:pPr>
      <w:r w:rsidRPr="006A75A2">
        <w:t>Long</w:t>
      </w:r>
      <w:r>
        <w:noBreakHyphen/>
      </w:r>
      <w:r w:rsidRPr="006A75A2">
        <w:t>term liquidity management monitoring</w:t>
      </w:r>
    </w:p>
    <w:p w:rsidR="00336793" w:rsidRPr="006A75A2" w:rsidRDefault="00336793" w:rsidP="00DF0B96">
      <w:r w:rsidRPr="006A75A2">
        <w:t>The State</w:t>
      </w:r>
      <w:r>
        <w:t>’</w:t>
      </w:r>
      <w:r w:rsidRPr="006A75A2">
        <w:t>s policy on long</w:t>
      </w:r>
      <w:r>
        <w:noBreakHyphen/>
      </w:r>
      <w:r w:rsidRPr="006A75A2">
        <w:t>term management of liquidity primarily focuses on the diversification of funding sources and maturities.</w:t>
      </w:r>
    </w:p>
    <w:p w:rsidR="00336793" w:rsidRPr="006A75A2" w:rsidRDefault="00336793" w:rsidP="00DF0B96">
      <w:pPr>
        <w:pStyle w:val="Heading5a"/>
      </w:pPr>
      <w:r w:rsidRPr="006A75A2">
        <w:t>Managing a liquidity crisis</w:t>
      </w:r>
    </w:p>
    <w:p w:rsidR="00336793" w:rsidRPr="006A75A2" w:rsidRDefault="00336793" w:rsidP="00DF0B96">
      <w:r w:rsidRPr="006A75A2">
        <w:t>In the event of a liquidity crisis, the State has in place liquidity crisis management plans to manage liquidity conditions. The liquidity crisis management plans are a set of protocols established to respond to specific conditions during a crisis.</w:t>
      </w:r>
    </w:p>
    <w:p w:rsidR="00336793" w:rsidRPr="006A75A2" w:rsidRDefault="00336793" w:rsidP="00DF0B96">
      <w:pPr>
        <w:pStyle w:val="Heading5a"/>
      </w:pPr>
      <w:r w:rsidRPr="006A75A2">
        <w:t>Maturity analysis of financial liabilities</w:t>
      </w:r>
    </w:p>
    <w:p w:rsidR="00336793" w:rsidRPr="006A75A2" w:rsidRDefault="00336793" w:rsidP="00DF0B96">
      <w:r w:rsidRPr="006A75A2">
        <w:t>Disclosed are details of the State</w:t>
      </w:r>
      <w:r>
        <w:t>’</w:t>
      </w:r>
      <w:r w:rsidRPr="006A75A2">
        <w:t>s maturity analysis for its derivative and non</w:t>
      </w:r>
      <w:r>
        <w:noBreakHyphen/>
      </w:r>
      <w:r w:rsidRPr="006A75A2">
        <w:t>derivative financial liabilities. The table includes both interest and principal cash flows, and has been based on the undiscounted cash flows of financial liabilities based on the earliest date on which the State may be required to pay.</w:t>
      </w:r>
    </w:p>
    <w:p w:rsidR="00336793" w:rsidRPr="006A75A2" w:rsidRDefault="00336793" w:rsidP="00DF0B96"/>
    <w:p w:rsidR="00336793" w:rsidRPr="006A75A2" w:rsidRDefault="00336793" w:rsidP="00DF0B96"/>
    <w:p w:rsidR="00336793" w:rsidRPr="006A75A2" w:rsidRDefault="00336793" w:rsidP="00DF0B96">
      <w:pPr>
        <w:spacing w:after="0"/>
        <w:rPr>
          <w:rFonts w:ascii="Calibri" w:hAnsi="Calibri"/>
          <w:b/>
        </w:rPr>
      </w:pPr>
      <w:r w:rsidRPr="006A75A2">
        <w:br w:type="page"/>
      </w:r>
    </w:p>
    <w:p w:rsidR="00336793" w:rsidRPr="006A75A2" w:rsidRDefault="00336793" w:rsidP="00DF0B96">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336793" w:rsidRPr="006A75A2" w:rsidRDefault="00336793" w:rsidP="00DF0B96">
      <w:pPr>
        <w:pStyle w:val="Heading5"/>
      </w:pPr>
      <w:r w:rsidRPr="006A75A2">
        <w:t>(k)</w:t>
      </w:r>
      <w:r w:rsidRPr="006A75A2">
        <w:tab/>
        <w:t>Undiscounted maturity analysis of financial liabilities</w:t>
      </w:r>
    </w:p>
    <w:p w:rsidR="00336793" w:rsidRPr="00E93050" w:rsidRDefault="00336793" w:rsidP="00DF0B96">
      <w:pPr>
        <w:pStyle w:val="million"/>
        <w:rPr>
          <w:rFonts w:ascii="Times New Roman" w:hAnsi="Times New Roman"/>
          <w:i w:val="0"/>
          <w:szCs w:val="20"/>
          <w:lang w:eastAsia="en-AU"/>
        </w:rPr>
      </w:pPr>
      <w:r w:rsidRPr="006A75A2">
        <w:t>($</w:t>
      </w:r>
      <w:r>
        <w:t> million</w:t>
      </w:r>
      <w:r w:rsidRPr="006A75A2">
        <w:t>)</w:t>
      </w:r>
    </w:p>
    <w:tbl>
      <w:tblPr>
        <w:tblW w:w="9646" w:type="dxa"/>
        <w:tblInd w:w="28" w:type="dxa"/>
        <w:tblLayout w:type="fixed"/>
        <w:tblCellMar>
          <w:left w:w="45" w:type="dxa"/>
          <w:right w:w="45" w:type="dxa"/>
        </w:tblCellMar>
        <w:tblLook w:val="0000" w:firstRow="0" w:lastRow="0" w:firstColumn="0" w:lastColumn="0" w:noHBand="0" w:noVBand="0"/>
      </w:tblPr>
      <w:tblGrid>
        <w:gridCol w:w="2357"/>
        <w:gridCol w:w="673"/>
        <w:gridCol w:w="227"/>
        <w:gridCol w:w="9"/>
        <w:gridCol w:w="1071"/>
        <w:gridCol w:w="9"/>
        <w:gridCol w:w="101"/>
        <w:gridCol w:w="430"/>
        <w:gridCol w:w="600"/>
        <w:gridCol w:w="9"/>
        <w:gridCol w:w="1031"/>
        <w:gridCol w:w="9"/>
        <w:gridCol w:w="1031"/>
        <w:gridCol w:w="9"/>
        <w:gridCol w:w="1031"/>
        <w:gridCol w:w="9"/>
        <w:gridCol w:w="501"/>
        <w:gridCol w:w="270"/>
        <w:gridCol w:w="260"/>
        <w:gridCol w:w="9"/>
      </w:tblGrid>
      <w:tr w:rsidR="00336793" w:rsidRPr="00E93050" w:rsidTr="00DF0B96">
        <w:trPr>
          <w:gridAfter w:val="1"/>
          <w:wAfter w:w="9" w:type="dxa"/>
        </w:trPr>
        <w:tc>
          <w:tcPr>
            <w:tcW w:w="2357" w:type="dxa"/>
            <w:tcBorders>
              <w:top w:val="single" w:sz="6" w:space="0" w:color="auto"/>
              <w:left w:val="single" w:sz="6" w:space="0" w:color="auto"/>
              <w:right w:val="nil"/>
            </w:tcBorders>
            <w:shd w:val="clear" w:color="000000" w:fill="000000"/>
          </w:tcPr>
          <w:p w:rsidR="00336793" w:rsidRPr="00E93050" w:rsidRDefault="00336793" w:rsidP="00DF0B96">
            <w:pPr>
              <w:pStyle w:val="Tabletext"/>
              <w:rPr>
                <w:rFonts w:eastAsiaTheme="minorEastAsia"/>
                <w:i/>
                <w:sz w:val="21"/>
                <w:lang w:eastAsia="en-AU"/>
              </w:rPr>
            </w:pPr>
            <w:r w:rsidRPr="00E93050">
              <w:rPr>
                <w:rFonts w:eastAsiaTheme="minorEastAsia"/>
                <w:i/>
                <w:sz w:val="21"/>
                <w:lang w:eastAsia="en-AU"/>
              </w:rPr>
              <w:t xml:space="preserve"> </w:t>
            </w:r>
          </w:p>
        </w:tc>
        <w:tc>
          <w:tcPr>
            <w:tcW w:w="900" w:type="dxa"/>
            <w:gridSpan w:val="2"/>
            <w:tcBorders>
              <w:top w:val="single" w:sz="6" w:space="0" w:color="auto"/>
              <w:left w:val="nil"/>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 xml:space="preserve"> </w:t>
            </w:r>
          </w:p>
        </w:tc>
        <w:tc>
          <w:tcPr>
            <w:tcW w:w="1080" w:type="dxa"/>
            <w:gridSpan w:val="2"/>
            <w:tcBorders>
              <w:top w:val="single" w:sz="6" w:space="0" w:color="auto"/>
              <w:left w:val="nil"/>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 xml:space="preserve"> </w:t>
            </w:r>
          </w:p>
        </w:tc>
        <w:tc>
          <w:tcPr>
            <w:tcW w:w="110" w:type="dxa"/>
            <w:gridSpan w:val="2"/>
            <w:tcBorders>
              <w:top w:val="single" w:sz="6" w:space="0" w:color="auto"/>
              <w:left w:val="nil"/>
              <w:right w:val="nil"/>
            </w:tcBorders>
            <w:shd w:val="clear" w:color="000000" w:fill="000000"/>
          </w:tcPr>
          <w:p w:rsidR="00336793" w:rsidRPr="00E93050" w:rsidRDefault="00336793" w:rsidP="00DF0B96">
            <w:pPr>
              <w:pStyle w:val="TabletextheadingCentred"/>
              <w:rPr>
                <w:rFonts w:eastAsiaTheme="minorEastAsia"/>
                <w:sz w:val="21"/>
                <w:lang w:eastAsia="en-AU"/>
              </w:rPr>
            </w:pPr>
            <w:r w:rsidRPr="00E93050">
              <w:rPr>
                <w:rFonts w:eastAsiaTheme="minorEastAsia"/>
                <w:sz w:val="21"/>
                <w:lang w:eastAsia="en-AU"/>
              </w:rPr>
              <w:t xml:space="preserve"> </w:t>
            </w:r>
          </w:p>
        </w:tc>
        <w:tc>
          <w:tcPr>
            <w:tcW w:w="430" w:type="dxa"/>
            <w:tcBorders>
              <w:top w:val="single" w:sz="6" w:space="0" w:color="auto"/>
              <w:left w:val="nil"/>
              <w:bottom w:val="single" w:sz="6" w:space="0" w:color="FFFFFF" w:themeColor="background1"/>
              <w:right w:val="nil"/>
            </w:tcBorders>
            <w:shd w:val="clear" w:color="000000" w:fill="000000"/>
          </w:tcPr>
          <w:p w:rsidR="00336793" w:rsidRPr="00E93050" w:rsidRDefault="00336793" w:rsidP="00DF0B96">
            <w:pPr>
              <w:pStyle w:val="TabletextheadingCentred"/>
              <w:rPr>
                <w:rFonts w:eastAsiaTheme="minorEastAsia"/>
                <w:sz w:val="21"/>
                <w:lang w:eastAsia="en-AU"/>
              </w:rPr>
            </w:pPr>
            <w:r w:rsidRPr="00E93050">
              <w:rPr>
                <w:rFonts w:eastAsiaTheme="minorEastAsia"/>
                <w:sz w:val="21"/>
                <w:lang w:eastAsia="en-AU"/>
              </w:rPr>
              <w:t xml:space="preserve"> </w:t>
            </w:r>
          </w:p>
        </w:tc>
        <w:tc>
          <w:tcPr>
            <w:tcW w:w="4230" w:type="dxa"/>
            <w:gridSpan w:val="9"/>
            <w:tcBorders>
              <w:top w:val="single" w:sz="6" w:space="0" w:color="auto"/>
              <w:left w:val="nil"/>
              <w:bottom w:val="single" w:sz="6" w:space="0" w:color="FFFFFF" w:themeColor="background1"/>
              <w:right w:val="nil"/>
            </w:tcBorders>
            <w:shd w:val="clear" w:color="000000" w:fill="000000"/>
          </w:tcPr>
          <w:p w:rsidR="00336793" w:rsidRPr="00E93050" w:rsidRDefault="00336793" w:rsidP="00DF0B96">
            <w:pPr>
              <w:pStyle w:val="TabletextheadingCentred"/>
              <w:rPr>
                <w:rFonts w:eastAsiaTheme="minorEastAsia"/>
                <w:sz w:val="21"/>
                <w:lang w:eastAsia="en-AU"/>
              </w:rPr>
            </w:pPr>
            <w:r w:rsidRPr="00E93050">
              <w:rPr>
                <w:rFonts w:eastAsiaTheme="minorEastAsia"/>
                <w:sz w:val="21"/>
                <w:lang w:eastAsia="en-AU"/>
              </w:rPr>
              <w:t>Contractual maturity</w:t>
            </w:r>
          </w:p>
        </w:tc>
        <w:tc>
          <w:tcPr>
            <w:tcW w:w="270" w:type="dxa"/>
            <w:tcBorders>
              <w:top w:val="single" w:sz="6" w:space="0" w:color="auto"/>
              <w:left w:val="nil"/>
              <w:bottom w:val="single" w:sz="6" w:space="0" w:color="FFFFFF" w:themeColor="background1"/>
              <w:right w:val="nil"/>
            </w:tcBorders>
            <w:shd w:val="clear" w:color="000000" w:fill="000000"/>
          </w:tcPr>
          <w:p w:rsidR="00336793" w:rsidRPr="00E93050" w:rsidRDefault="00336793" w:rsidP="00DF0B96">
            <w:pPr>
              <w:pStyle w:val="TabletextheadingCentred"/>
              <w:rPr>
                <w:rFonts w:eastAsiaTheme="minorEastAsia"/>
                <w:sz w:val="21"/>
                <w:lang w:eastAsia="en-AU"/>
              </w:rPr>
            </w:pPr>
            <w:r w:rsidRPr="00E93050">
              <w:rPr>
                <w:rFonts w:eastAsiaTheme="minorEastAsia"/>
                <w:sz w:val="21"/>
                <w:lang w:eastAsia="en-AU"/>
              </w:rPr>
              <w:t xml:space="preserve"> </w:t>
            </w:r>
          </w:p>
        </w:tc>
        <w:tc>
          <w:tcPr>
            <w:tcW w:w="260" w:type="dxa"/>
            <w:tcBorders>
              <w:top w:val="single" w:sz="6" w:space="0" w:color="auto"/>
              <w:left w:val="nil"/>
              <w:bottom w:val="single" w:sz="6" w:space="0" w:color="FFFFFF" w:themeColor="background1"/>
              <w:right w:val="single" w:sz="6" w:space="0" w:color="auto"/>
            </w:tcBorders>
            <w:shd w:val="clear" w:color="000000" w:fill="000000"/>
          </w:tcPr>
          <w:p w:rsidR="00336793" w:rsidRPr="00E93050" w:rsidRDefault="00336793" w:rsidP="00DF0B96">
            <w:pPr>
              <w:pStyle w:val="TabletextheadingCentred"/>
              <w:rPr>
                <w:rFonts w:eastAsiaTheme="minorEastAsia"/>
                <w:sz w:val="21"/>
                <w:lang w:eastAsia="en-AU"/>
              </w:rPr>
            </w:pPr>
            <w:r w:rsidRPr="00E93050">
              <w:rPr>
                <w:rFonts w:eastAsiaTheme="minorEastAsia"/>
                <w:sz w:val="21"/>
                <w:lang w:eastAsia="en-AU"/>
              </w:rPr>
              <w:t xml:space="preserve"> </w:t>
            </w:r>
          </w:p>
        </w:tc>
      </w:tr>
      <w:tr w:rsidR="00336793" w:rsidRPr="00E93050" w:rsidTr="00DF0B96">
        <w:trPr>
          <w:gridAfter w:val="1"/>
          <w:wAfter w:w="9" w:type="dxa"/>
        </w:trPr>
        <w:tc>
          <w:tcPr>
            <w:tcW w:w="2357" w:type="dxa"/>
            <w:tcBorders>
              <w:top w:val="nil"/>
              <w:left w:val="single" w:sz="6" w:space="0" w:color="auto"/>
              <w:bottom w:val="single" w:sz="6" w:space="0" w:color="auto"/>
              <w:right w:val="nil"/>
            </w:tcBorders>
            <w:shd w:val="clear" w:color="000000" w:fill="000000"/>
          </w:tcPr>
          <w:p w:rsidR="00336793" w:rsidRPr="00E93050" w:rsidRDefault="00336793" w:rsidP="00DF0B96">
            <w:pPr>
              <w:pStyle w:val="Tabletext"/>
              <w:rPr>
                <w:rFonts w:eastAsiaTheme="minorEastAsia"/>
                <w:i/>
                <w:sz w:val="21"/>
                <w:lang w:eastAsia="en-AU"/>
              </w:rPr>
            </w:pPr>
            <w:r w:rsidRPr="00E93050">
              <w:rPr>
                <w:rFonts w:eastAsiaTheme="minorEastAsia"/>
                <w:i/>
                <w:sz w:val="21"/>
                <w:lang w:eastAsia="en-AU"/>
              </w:rPr>
              <w:t>State of Victoria</w:t>
            </w:r>
          </w:p>
          <w:p w:rsidR="00336793" w:rsidRPr="00E93050" w:rsidRDefault="00336793" w:rsidP="00DF0B96">
            <w:pPr>
              <w:pStyle w:val="Tabletext"/>
              <w:rPr>
                <w:rFonts w:eastAsiaTheme="minorEastAsia"/>
                <w:i/>
                <w:sz w:val="21"/>
                <w:lang w:eastAsia="en-AU"/>
              </w:rPr>
            </w:pPr>
            <w:r w:rsidRPr="00E93050">
              <w:rPr>
                <w:rFonts w:eastAsiaTheme="minorEastAsia"/>
                <w:i/>
                <w:sz w:val="21"/>
                <w:lang w:eastAsia="en-AU"/>
              </w:rPr>
              <w:t>2015</w:t>
            </w:r>
          </w:p>
        </w:tc>
        <w:tc>
          <w:tcPr>
            <w:tcW w:w="900" w:type="dxa"/>
            <w:gridSpan w:val="2"/>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Carrying</w:t>
            </w:r>
          </w:p>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amount</w:t>
            </w:r>
          </w:p>
        </w:tc>
        <w:tc>
          <w:tcPr>
            <w:tcW w:w="1080" w:type="dxa"/>
            <w:gridSpan w:val="2"/>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Nominal</w:t>
            </w:r>
          </w:p>
          <w:p w:rsidR="00336793" w:rsidRPr="00E93050" w:rsidRDefault="00336793" w:rsidP="00DF0B96">
            <w:pPr>
              <w:pStyle w:val="Tabletextheading"/>
              <w:rPr>
                <w:rFonts w:eastAsiaTheme="minorEastAsia"/>
                <w:color w:val="FFFFFF"/>
                <w:sz w:val="21"/>
                <w:vertAlign w:val="superscript"/>
                <w:lang w:eastAsia="en-AU"/>
              </w:rPr>
            </w:pPr>
            <w:r w:rsidRPr="00E93050">
              <w:rPr>
                <w:rFonts w:eastAsiaTheme="minorEastAsia"/>
                <w:color w:val="FFFFFF"/>
                <w:sz w:val="21"/>
                <w:lang w:eastAsia="en-AU"/>
              </w:rPr>
              <w:t>amount</w:t>
            </w:r>
            <w:r w:rsidRPr="00E93050">
              <w:rPr>
                <w:rFonts w:eastAsiaTheme="minorEastAsia"/>
                <w:color w:val="FFFFFF"/>
                <w:sz w:val="21"/>
                <w:vertAlign w:val="superscript"/>
                <w:lang w:eastAsia="en-AU"/>
              </w:rPr>
              <w:t>(a)</w:t>
            </w:r>
          </w:p>
        </w:tc>
        <w:tc>
          <w:tcPr>
            <w:tcW w:w="1140" w:type="dxa"/>
            <w:gridSpan w:val="4"/>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p>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0</w:t>
            </w:r>
            <w:r>
              <w:rPr>
                <w:rFonts w:eastAsiaTheme="minorEastAsia"/>
                <w:color w:val="FFFFFF"/>
                <w:sz w:val="21"/>
                <w:lang w:eastAsia="en-AU"/>
              </w:rPr>
              <w:noBreakHyphen/>
            </w:r>
            <w:r w:rsidRPr="00E93050">
              <w:rPr>
                <w:rFonts w:eastAsiaTheme="minorEastAsia"/>
                <w:color w:val="FFFFFF"/>
                <w:sz w:val="21"/>
                <w:lang w:eastAsia="en-AU"/>
              </w:rPr>
              <w:t>3 months</w:t>
            </w:r>
          </w:p>
        </w:tc>
        <w:tc>
          <w:tcPr>
            <w:tcW w:w="1040" w:type="dxa"/>
            <w:gridSpan w:val="2"/>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3 months</w:t>
            </w:r>
          </w:p>
          <w:p w:rsidR="00336793" w:rsidRPr="00E93050" w:rsidRDefault="00336793" w:rsidP="00DF0B96">
            <w:pPr>
              <w:pStyle w:val="Tabletextheading"/>
              <w:rPr>
                <w:rFonts w:eastAsiaTheme="minorEastAsia"/>
                <w:color w:val="FFFFFF"/>
                <w:sz w:val="21"/>
                <w:lang w:eastAsia="en-AU"/>
              </w:rPr>
            </w:pPr>
            <w:r>
              <w:rPr>
                <w:rFonts w:eastAsiaTheme="minorEastAsia"/>
                <w:color w:val="FFFFFF"/>
                <w:sz w:val="21"/>
                <w:lang w:eastAsia="en-AU"/>
              </w:rPr>
              <w:noBreakHyphen/>
            </w:r>
            <w:r w:rsidRPr="00E93050">
              <w:rPr>
                <w:rFonts w:eastAsiaTheme="minorEastAsia"/>
                <w:color w:val="FFFFFF"/>
                <w:sz w:val="21"/>
                <w:lang w:eastAsia="en-AU"/>
              </w:rPr>
              <w:t>1 year</w:t>
            </w:r>
          </w:p>
        </w:tc>
        <w:tc>
          <w:tcPr>
            <w:tcW w:w="1040" w:type="dxa"/>
            <w:gridSpan w:val="2"/>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p>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1</w:t>
            </w:r>
            <w:r>
              <w:rPr>
                <w:rFonts w:eastAsiaTheme="minorEastAsia"/>
                <w:color w:val="FFFFFF"/>
                <w:sz w:val="21"/>
                <w:lang w:eastAsia="en-AU"/>
              </w:rPr>
              <w:noBreakHyphen/>
            </w:r>
            <w:r w:rsidRPr="00E93050">
              <w:rPr>
                <w:rFonts w:eastAsiaTheme="minorEastAsia"/>
                <w:color w:val="FFFFFF"/>
                <w:sz w:val="21"/>
                <w:lang w:eastAsia="en-AU"/>
              </w:rPr>
              <w:t>2 years</w:t>
            </w:r>
          </w:p>
        </w:tc>
        <w:tc>
          <w:tcPr>
            <w:tcW w:w="1040" w:type="dxa"/>
            <w:gridSpan w:val="2"/>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p>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2</w:t>
            </w:r>
            <w:r>
              <w:rPr>
                <w:rFonts w:eastAsiaTheme="minorEastAsia"/>
                <w:color w:val="FFFFFF"/>
                <w:sz w:val="21"/>
                <w:lang w:eastAsia="en-AU"/>
              </w:rPr>
              <w:noBreakHyphen/>
            </w:r>
            <w:r w:rsidRPr="00E93050">
              <w:rPr>
                <w:rFonts w:eastAsiaTheme="minorEastAsia"/>
                <w:color w:val="FFFFFF"/>
                <w:sz w:val="21"/>
                <w:lang w:eastAsia="en-AU"/>
              </w:rPr>
              <w:t>5 years</w:t>
            </w:r>
          </w:p>
        </w:tc>
        <w:tc>
          <w:tcPr>
            <w:tcW w:w="1040" w:type="dxa"/>
            <w:gridSpan w:val="4"/>
            <w:tcBorders>
              <w:top w:val="nil"/>
              <w:left w:val="nil"/>
              <w:bottom w:val="single" w:sz="6" w:space="0" w:color="auto"/>
              <w:right w:val="single" w:sz="6" w:space="0" w:color="auto"/>
            </w:tcBorders>
            <w:shd w:val="clear" w:color="000000" w:fill="000000"/>
          </w:tcPr>
          <w:p w:rsidR="00336793" w:rsidRPr="00E93050" w:rsidRDefault="00336793" w:rsidP="00DF0B96">
            <w:pPr>
              <w:pStyle w:val="Tabletextheading"/>
              <w:rPr>
                <w:rFonts w:eastAsiaTheme="minorEastAsia"/>
                <w:color w:val="FFFFFF"/>
                <w:sz w:val="21"/>
                <w:lang w:eastAsia="en-AU"/>
              </w:rPr>
            </w:pPr>
          </w:p>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5+ years</w:t>
            </w:r>
          </w:p>
        </w:tc>
      </w:tr>
      <w:tr w:rsidR="00336793" w:rsidRPr="00E93050" w:rsidTr="00DF0B96">
        <w:trPr>
          <w:gridAfter w:val="1"/>
          <w:wAfter w:w="9" w:type="dxa"/>
        </w:trPr>
        <w:tc>
          <w:tcPr>
            <w:tcW w:w="2357" w:type="dxa"/>
            <w:tcBorders>
              <w:top w:val="single" w:sz="6" w:space="0" w:color="auto"/>
              <w:left w:val="nil"/>
              <w:bottom w:val="nil"/>
              <w:right w:val="nil"/>
            </w:tcBorders>
          </w:tcPr>
          <w:p w:rsidR="00336793" w:rsidRPr="00E93050" w:rsidRDefault="00336793" w:rsidP="00DF0B96">
            <w:pPr>
              <w:pStyle w:val="Tabletext"/>
              <w:rPr>
                <w:rFonts w:eastAsiaTheme="minorEastAsia"/>
                <w:sz w:val="21"/>
                <w:lang w:eastAsia="en-AU"/>
              </w:rPr>
            </w:pPr>
            <w:r w:rsidRPr="00E93050">
              <w:rPr>
                <w:rFonts w:eastAsiaTheme="minorEastAsia"/>
                <w:sz w:val="21"/>
                <w:lang w:eastAsia="en-AU"/>
              </w:rPr>
              <w:t>Payables, deposits held and advances received</w:t>
            </w:r>
          </w:p>
        </w:tc>
        <w:tc>
          <w:tcPr>
            <w:tcW w:w="900" w:type="dxa"/>
            <w:gridSpan w:val="2"/>
            <w:tcBorders>
              <w:top w:val="single" w:sz="6" w:space="0" w:color="auto"/>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6 558.7</w:t>
            </w:r>
          </w:p>
        </w:tc>
        <w:tc>
          <w:tcPr>
            <w:tcW w:w="1080" w:type="dxa"/>
            <w:gridSpan w:val="2"/>
            <w:tcBorders>
              <w:top w:val="single" w:sz="6" w:space="0" w:color="auto"/>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6 149.7</w:t>
            </w:r>
          </w:p>
        </w:tc>
        <w:tc>
          <w:tcPr>
            <w:tcW w:w="1140" w:type="dxa"/>
            <w:gridSpan w:val="4"/>
            <w:tcBorders>
              <w:top w:val="single" w:sz="6" w:space="0" w:color="auto"/>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5 611.2</w:t>
            </w:r>
          </w:p>
        </w:tc>
        <w:tc>
          <w:tcPr>
            <w:tcW w:w="1040" w:type="dxa"/>
            <w:gridSpan w:val="2"/>
            <w:tcBorders>
              <w:top w:val="single" w:sz="6" w:space="0" w:color="auto"/>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337.6</w:t>
            </w:r>
          </w:p>
        </w:tc>
        <w:tc>
          <w:tcPr>
            <w:tcW w:w="1040" w:type="dxa"/>
            <w:gridSpan w:val="2"/>
            <w:tcBorders>
              <w:top w:val="single" w:sz="6" w:space="0" w:color="auto"/>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42.2</w:t>
            </w:r>
          </w:p>
        </w:tc>
        <w:tc>
          <w:tcPr>
            <w:tcW w:w="1040" w:type="dxa"/>
            <w:gridSpan w:val="2"/>
            <w:tcBorders>
              <w:top w:val="single" w:sz="6" w:space="0" w:color="auto"/>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83.8</w:t>
            </w:r>
          </w:p>
        </w:tc>
        <w:tc>
          <w:tcPr>
            <w:tcW w:w="1040" w:type="dxa"/>
            <w:gridSpan w:val="4"/>
            <w:tcBorders>
              <w:top w:val="single" w:sz="6" w:space="0" w:color="auto"/>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74.9</w:t>
            </w:r>
          </w:p>
        </w:tc>
      </w:tr>
      <w:tr w:rsidR="00336793" w:rsidRPr="00E93050" w:rsidTr="00DF0B96">
        <w:tc>
          <w:tcPr>
            <w:tcW w:w="3030" w:type="dxa"/>
            <w:gridSpan w:val="2"/>
            <w:tcBorders>
              <w:top w:val="nil"/>
              <w:left w:val="nil"/>
              <w:bottom w:val="nil"/>
              <w:right w:val="nil"/>
            </w:tcBorders>
          </w:tcPr>
          <w:p w:rsidR="00336793" w:rsidRPr="00E93050" w:rsidRDefault="00336793" w:rsidP="00DF0B96">
            <w:pPr>
              <w:pStyle w:val="Tabletext"/>
              <w:rPr>
                <w:rFonts w:eastAsiaTheme="minorEastAsia"/>
                <w:b/>
                <w:bCs/>
                <w:sz w:val="21"/>
                <w:lang w:eastAsia="en-AU"/>
              </w:rPr>
            </w:pPr>
            <w:r w:rsidRPr="00E93050">
              <w:rPr>
                <w:rFonts w:eastAsiaTheme="minorEastAsia"/>
                <w:b/>
                <w:bCs/>
                <w:sz w:val="21"/>
                <w:lang w:eastAsia="en-AU"/>
              </w:rPr>
              <w:t>Interest</w:t>
            </w:r>
            <w:r>
              <w:rPr>
                <w:rFonts w:eastAsiaTheme="minorEastAsia"/>
                <w:b/>
                <w:bCs/>
                <w:sz w:val="21"/>
                <w:lang w:eastAsia="en-AU"/>
              </w:rPr>
              <w:noBreakHyphen/>
            </w:r>
            <w:r w:rsidRPr="00E93050">
              <w:rPr>
                <w:rFonts w:eastAsiaTheme="minorEastAsia"/>
                <w:b/>
                <w:bCs/>
                <w:sz w:val="21"/>
                <w:lang w:eastAsia="en-AU"/>
              </w:rPr>
              <w:t>bearing liabilities:</w:t>
            </w:r>
          </w:p>
        </w:tc>
        <w:tc>
          <w:tcPr>
            <w:tcW w:w="236" w:type="dxa"/>
            <w:gridSpan w:val="2"/>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c>
          <w:tcPr>
            <w:tcW w:w="1080" w:type="dxa"/>
            <w:gridSpan w:val="2"/>
            <w:tcBorders>
              <w:top w:val="nil"/>
              <w:left w:val="nil"/>
              <w:bottom w:val="nil"/>
              <w:right w:val="nil"/>
            </w:tcBorders>
          </w:tcPr>
          <w:p w:rsidR="00336793" w:rsidRPr="00E93050" w:rsidRDefault="00336793" w:rsidP="00DF0B96">
            <w:pPr>
              <w:pStyle w:val="TableofFigures"/>
              <w:rPr>
                <w:rFonts w:eastAsiaTheme="minorEastAsia"/>
                <w:b/>
                <w:sz w:val="21"/>
                <w:lang w:eastAsia="en-AU"/>
              </w:rPr>
            </w:pPr>
          </w:p>
        </w:tc>
        <w:tc>
          <w:tcPr>
            <w:tcW w:w="1140" w:type="dxa"/>
            <w:gridSpan w:val="4"/>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c>
          <w:tcPr>
            <w:tcW w:w="1040" w:type="dxa"/>
            <w:gridSpan w:val="4"/>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r>
      <w:tr w:rsidR="00336793" w:rsidRPr="00E93050" w:rsidTr="00DF0B96">
        <w:trPr>
          <w:gridAfter w:val="1"/>
          <w:wAfter w:w="9" w:type="dxa"/>
        </w:trPr>
        <w:tc>
          <w:tcPr>
            <w:tcW w:w="2357" w:type="dxa"/>
            <w:tcBorders>
              <w:top w:val="nil"/>
              <w:left w:val="nil"/>
              <w:bottom w:val="nil"/>
              <w:right w:val="nil"/>
            </w:tcBorders>
          </w:tcPr>
          <w:p w:rsidR="00336793" w:rsidRPr="00E93050" w:rsidRDefault="00336793" w:rsidP="00DF0B96">
            <w:pPr>
              <w:pStyle w:val="Tabletext"/>
              <w:rPr>
                <w:rFonts w:eastAsiaTheme="minorEastAsia"/>
                <w:sz w:val="21"/>
                <w:lang w:eastAsia="en-AU"/>
              </w:rPr>
            </w:pPr>
            <w:r w:rsidRPr="00E93050">
              <w:rPr>
                <w:rFonts w:eastAsiaTheme="minorEastAsia"/>
                <w:sz w:val="21"/>
                <w:lang w:eastAsia="en-AU"/>
              </w:rPr>
              <w:t>Domestic borrowings</w:t>
            </w:r>
          </w:p>
        </w:tc>
        <w:tc>
          <w:tcPr>
            <w:tcW w:w="90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41 960.4</w:t>
            </w:r>
          </w:p>
        </w:tc>
        <w:tc>
          <w:tcPr>
            <w:tcW w:w="108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48 778.5</w:t>
            </w:r>
          </w:p>
        </w:tc>
        <w:tc>
          <w:tcPr>
            <w:tcW w:w="1140" w:type="dxa"/>
            <w:gridSpan w:val="4"/>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1 886.0</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4 379.3</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4 763.2</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18 391.3</w:t>
            </w:r>
          </w:p>
        </w:tc>
        <w:tc>
          <w:tcPr>
            <w:tcW w:w="1040" w:type="dxa"/>
            <w:gridSpan w:val="4"/>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19 358.7</w:t>
            </w:r>
          </w:p>
        </w:tc>
      </w:tr>
      <w:tr w:rsidR="00336793" w:rsidRPr="00E93050" w:rsidTr="00DF0B96">
        <w:trPr>
          <w:gridAfter w:val="1"/>
          <w:wAfter w:w="9" w:type="dxa"/>
        </w:trPr>
        <w:tc>
          <w:tcPr>
            <w:tcW w:w="2357" w:type="dxa"/>
            <w:tcBorders>
              <w:top w:val="nil"/>
              <w:left w:val="nil"/>
              <w:bottom w:val="nil"/>
              <w:right w:val="nil"/>
            </w:tcBorders>
          </w:tcPr>
          <w:p w:rsidR="00336793" w:rsidRPr="00E93050" w:rsidRDefault="00336793" w:rsidP="00DF0B96">
            <w:pPr>
              <w:pStyle w:val="Tabletext"/>
              <w:rPr>
                <w:rFonts w:eastAsiaTheme="minorEastAsia"/>
                <w:sz w:val="21"/>
                <w:lang w:eastAsia="en-AU"/>
              </w:rPr>
            </w:pPr>
            <w:r w:rsidRPr="00E93050">
              <w:rPr>
                <w:rFonts w:eastAsiaTheme="minorEastAsia"/>
                <w:sz w:val="21"/>
                <w:lang w:eastAsia="en-AU"/>
              </w:rPr>
              <w:t>Foreign currency borrowings</w:t>
            </w:r>
          </w:p>
        </w:tc>
        <w:tc>
          <w:tcPr>
            <w:tcW w:w="900" w:type="dxa"/>
            <w:gridSpan w:val="2"/>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119.3</w:t>
            </w:r>
          </w:p>
        </w:tc>
        <w:tc>
          <w:tcPr>
            <w:tcW w:w="1080" w:type="dxa"/>
            <w:gridSpan w:val="2"/>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146.4</w:t>
            </w:r>
          </w:p>
        </w:tc>
        <w:tc>
          <w:tcPr>
            <w:tcW w:w="1140" w:type="dxa"/>
            <w:gridSpan w:val="4"/>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14.5</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2.2</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2.2</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6.5</w:t>
            </w:r>
          </w:p>
        </w:tc>
        <w:tc>
          <w:tcPr>
            <w:tcW w:w="1040" w:type="dxa"/>
            <w:gridSpan w:val="4"/>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121.1</w:t>
            </w:r>
          </w:p>
        </w:tc>
      </w:tr>
      <w:tr w:rsidR="00336793" w:rsidRPr="00E93050" w:rsidTr="00DF0B96">
        <w:trPr>
          <w:gridAfter w:val="1"/>
          <w:wAfter w:w="9" w:type="dxa"/>
        </w:trPr>
        <w:tc>
          <w:tcPr>
            <w:tcW w:w="2357" w:type="dxa"/>
            <w:tcBorders>
              <w:top w:val="nil"/>
              <w:left w:val="nil"/>
              <w:bottom w:val="nil"/>
              <w:right w:val="nil"/>
            </w:tcBorders>
          </w:tcPr>
          <w:p w:rsidR="00336793" w:rsidRPr="00E93050" w:rsidRDefault="00336793" w:rsidP="00DF0B96">
            <w:pPr>
              <w:pStyle w:val="Tabletext"/>
              <w:rPr>
                <w:rFonts w:eastAsiaTheme="minorEastAsia"/>
                <w:sz w:val="21"/>
                <w:lang w:eastAsia="en-AU"/>
              </w:rPr>
            </w:pPr>
            <w:r w:rsidRPr="00E93050">
              <w:rPr>
                <w:rFonts w:eastAsiaTheme="minorEastAsia"/>
                <w:sz w:val="21"/>
                <w:lang w:eastAsia="en-AU"/>
              </w:rPr>
              <w:t xml:space="preserve">Finance lease liabilities </w:t>
            </w:r>
          </w:p>
        </w:tc>
        <w:tc>
          <w:tcPr>
            <w:tcW w:w="90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8 760.4</w:t>
            </w:r>
          </w:p>
        </w:tc>
        <w:tc>
          <w:tcPr>
            <w:tcW w:w="108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20 477.1</w:t>
            </w:r>
          </w:p>
        </w:tc>
        <w:tc>
          <w:tcPr>
            <w:tcW w:w="1140" w:type="dxa"/>
            <w:gridSpan w:val="4"/>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224.1</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717.5</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930.1</w:t>
            </w:r>
          </w:p>
        </w:tc>
        <w:tc>
          <w:tcPr>
            <w:tcW w:w="104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3 042.0</w:t>
            </w:r>
          </w:p>
        </w:tc>
        <w:tc>
          <w:tcPr>
            <w:tcW w:w="1040" w:type="dxa"/>
            <w:gridSpan w:val="4"/>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15 563.4</w:t>
            </w:r>
          </w:p>
        </w:tc>
      </w:tr>
      <w:tr w:rsidR="00336793" w:rsidRPr="00E93050" w:rsidTr="00DF0B96">
        <w:trPr>
          <w:gridAfter w:val="1"/>
          <w:wAfter w:w="9" w:type="dxa"/>
        </w:trPr>
        <w:tc>
          <w:tcPr>
            <w:tcW w:w="2357" w:type="dxa"/>
            <w:tcBorders>
              <w:top w:val="nil"/>
              <w:left w:val="nil"/>
              <w:bottom w:val="single" w:sz="6" w:space="0" w:color="auto"/>
              <w:right w:val="nil"/>
            </w:tcBorders>
          </w:tcPr>
          <w:p w:rsidR="00336793" w:rsidRPr="00E93050" w:rsidRDefault="00336793" w:rsidP="00DF0B96">
            <w:pPr>
              <w:pStyle w:val="Tabletext"/>
              <w:rPr>
                <w:rFonts w:eastAsiaTheme="minorEastAsia"/>
                <w:sz w:val="21"/>
                <w:lang w:eastAsia="en-AU"/>
              </w:rPr>
            </w:pPr>
            <w:r w:rsidRPr="00E93050">
              <w:rPr>
                <w:rFonts w:eastAsiaTheme="minorEastAsia"/>
                <w:sz w:val="21"/>
                <w:lang w:eastAsia="en-AU"/>
              </w:rPr>
              <w:t>Derivative financial liabilities</w:t>
            </w:r>
          </w:p>
        </w:tc>
        <w:tc>
          <w:tcPr>
            <w:tcW w:w="900" w:type="dxa"/>
            <w:gridSpan w:val="2"/>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847.7</w:t>
            </w:r>
          </w:p>
        </w:tc>
        <w:tc>
          <w:tcPr>
            <w:tcW w:w="1080" w:type="dxa"/>
            <w:gridSpan w:val="2"/>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826.4</w:t>
            </w:r>
          </w:p>
        </w:tc>
        <w:tc>
          <w:tcPr>
            <w:tcW w:w="1140" w:type="dxa"/>
            <w:gridSpan w:val="4"/>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178.8</w:t>
            </w:r>
          </w:p>
        </w:tc>
        <w:tc>
          <w:tcPr>
            <w:tcW w:w="1040" w:type="dxa"/>
            <w:gridSpan w:val="2"/>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141.5</w:t>
            </w:r>
          </w:p>
        </w:tc>
        <w:tc>
          <w:tcPr>
            <w:tcW w:w="1040" w:type="dxa"/>
            <w:gridSpan w:val="2"/>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105.5</w:t>
            </w:r>
          </w:p>
        </w:tc>
        <w:tc>
          <w:tcPr>
            <w:tcW w:w="1040" w:type="dxa"/>
            <w:gridSpan w:val="2"/>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169.8</w:t>
            </w:r>
          </w:p>
        </w:tc>
        <w:tc>
          <w:tcPr>
            <w:tcW w:w="1040" w:type="dxa"/>
            <w:gridSpan w:val="4"/>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230.8</w:t>
            </w:r>
          </w:p>
        </w:tc>
      </w:tr>
      <w:tr w:rsidR="00336793" w:rsidRPr="00E93050" w:rsidTr="00DF0B96">
        <w:trPr>
          <w:gridAfter w:val="1"/>
          <w:wAfter w:w="9" w:type="dxa"/>
        </w:trPr>
        <w:tc>
          <w:tcPr>
            <w:tcW w:w="2357" w:type="dxa"/>
            <w:tcBorders>
              <w:top w:val="single" w:sz="6" w:space="0" w:color="auto"/>
              <w:left w:val="nil"/>
              <w:bottom w:val="single" w:sz="12" w:space="0" w:color="000000"/>
              <w:right w:val="nil"/>
            </w:tcBorders>
            <w:shd w:val="clear" w:color="auto" w:fill="auto"/>
          </w:tcPr>
          <w:p w:rsidR="00336793" w:rsidRPr="00E93050" w:rsidRDefault="00336793" w:rsidP="00DF0B96">
            <w:pPr>
              <w:pStyle w:val="Tabletext"/>
              <w:rPr>
                <w:rFonts w:eastAsiaTheme="minorEastAsia"/>
                <w:b/>
                <w:bCs/>
                <w:sz w:val="21"/>
                <w:lang w:eastAsia="en-AU"/>
              </w:rPr>
            </w:pPr>
            <w:r w:rsidRPr="00E93050">
              <w:rPr>
                <w:rFonts w:eastAsiaTheme="minorEastAsia"/>
                <w:b/>
                <w:bCs/>
                <w:sz w:val="21"/>
                <w:lang w:eastAsia="en-AU"/>
              </w:rPr>
              <w:t>Total</w:t>
            </w:r>
          </w:p>
        </w:tc>
        <w:tc>
          <w:tcPr>
            <w:tcW w:w="900" w:type="dxa"/>
            <w:gridSpan w:val="2"/>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58 246.4</w:t>
            </w:r>
          </w:p>
        </w:tc>
        <w:tc>
          <w:tcPr>
            <w:tcW w:w="1080" w:type="dxa"/>
            <w:gridSpan w:val="2"/>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76 378.1</w:t>
            </w:r>
          </w:p>
        </w:tc>
        <w:tc>
          <w:tcPr>
            <w:tcW w:w="1140" w:type="dxa"/>
            <w:gridSpan w:val="4"/>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7 914.6</w:t>
            </w:r>
          </w:p>
        </w:tc>
        <w:tc>
          <w:tcPr>
            <w:tcW w:w="1040" w:type="dxa"/>
            <w:gridSpan w:val="2"/>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5 578.1</w:t>
            </w:r>
          </w:p>
        </w:tc>
        <w:tc>
          <w:tcPr>
            <w:tcW w:w="1040" w:type="dxa"/>
            <w:gridSpan w:val="2"/>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5 843.1</w:t>
            </w:r>
          </w:p>
        </w:tc>
        <w:tc>
          <w:tcPr>
            <w:tcW w:w="1040" w:type="dxa"/>
            <w:gridSpan w:val="2"/>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21 693.3</w:t>
            </w:r>
          </w:p>
        </w:tc>
        <w:tc>
          <w:tcPr>
            <w:tcW w:w="1040" w:type="dxa"/>
            <w:gridSpan w:val="4"/>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35 348.9</w:t>
            </w:r>
          </w:p>
        </w:tc>
      </w:tr>
    </w:tbl>
    <w:p w:rsidR="00336793" w:rsidRPr="00A10A3B" w:rsidRDefault="00336793" w:rsidP="00DF0B96">
      <w:pPr>
        <w:pStyle w:val="4ptline"/>
      </w:pPr>
    </w:p>
    <w:tbl>
      <w:tblPr>
        <w:tblW w:w="9646" w:type="dxa"/>
        <w:tblInd w:w="28" w:type="dxa"/>
        <w:tblLayout w:type="fixed"/>
        <w:tblCellMar>
          <w:left w:w="45" w:type="dxa"/>
          <w:right w:w="45" w:type="dxa"/>
        </w:tblCellMar>
        <w:tblLook w:val="0000" w:firstRow="0" w:lastRow="0" w:firstColumn="0" w:lastColumn="0" w:noHBand="0" w:noVBand="0"/>
      </w:tblPr>
      <w:tblGrid>
        <w:gridCol w:w="2357"/>
        <w:gridCol w:w="673"/>
        <w:gridCol w:w="227"/>
        <w:gridCol w:w="9"/>
        <w:gridCol w:w="1071"/>
        <w:gridCol w:w="9"/>
        <w:gridCol w:w="1131"/>
        <w:gridCol w:w="9"/>
        <w:gridCol w:w="1031"/>
        <w:gridCol w:w="9"/>
        <w:gridCol w:w="1031"/>
        <w:gridCol w:w="9"/>
        <w:gridCol w:w="1031"/>
        <w:gridCol w:w="9"/>
        <w:gridCol w:w="1031"/>
        <w:gridCol w:w="9"/>
      </w:tblGrid>
      <w:tr w:rsidR="00336793" w:rsidRPr="00EB6254" w:rsidTr="00DF0B96">
        <w:trPr>
          <w:gridAfter w:val="1"/>
          <w:wAfter w:w="9" w:type="dxa"/>
          <w:tblHeader/>
        </w:trPr>
        <w:tc>
          <w:tcPr>
            <w:tcW w:w="2357" w:type="dxa"/>
            <w:tcBorders>
              <w:top w:val="single" w:sz="6" w:space="0" w:color="auto"/>
              <w:left w:val="single" w:sz="6" w:space="0" w:color="auto"/>
              <w:bottom w:val="single" w:sz="6" w:space="0" w:color="auto"/>
              <w:right w:val="nil"/>
            </w:tcBorders>
            <w:shd w:val="clear" w:color="000000" w:fill="000000"/>
            <w:vAlign w:val="bottom"/>
          </w:tcPr>
          <w:p w:rsidR="00336793" w:rsidRPr="00EB6254" w:rsidRDefault="00336793" w:rsidP="00DF0B96">
            <w:pPr>
              <w:pStyle w:val="Tabletext"/>
              <w:rPr>
                <w:rFonts w:eastAsiaTheme="minorEastAsia"/>
                <w:i/>
                <w:sz w:val="21"/>
                <w:lang w:eastAsia="en-AU"/>
              </w:rPr>
            </w:pPr>
            <w:r w:rsidRPr="00EB6254">
              <w:rPr>
                <w:rFonts w:eastAsiaTheme="minorEastAsia"/>
                <w:i/>
                <w:sz w:val="21"/>
                <w:lang w:eastAsia="en-AU"/>
              </w:rPr>
              <w:t>2014</w:t>
            </w:r>
          </w:p>
        </w:tc>
        <w:tc>
          <w:tcPr>
            <w:tcW w:w="900" w:type="dxa"/>
            <w:gridSpan w:val="2"/>
            <w:tcBorders>
              <w:top w:val="single" w:sz="6" w:space="0" w:color="auto"/>
              <w:left w:val="nil"/>
              <w:bottom w:val="single" w:sz="6" w:space="0" w:color="auto"/>
              <w:right w:val="nil"/>
            </w:tcBorders>
            <w:shd w:val="clear" w:color="000000" w:fill="000000"/>
            <w:vAlign w:val="bottom"/>
          </w:tcPr>
          <w:p w:rsidR="00336793" w:rsidRPr="00EB6254" w:rsidRDefault="00336793" w:rsidP="00DF0B96">
            <w:pPr>
              <w:pStyle w:val="Tabletextheading"/>
              <w:rPr>
                <w:rFonts w:eastAsiaTheme="minorEastAsia"/>
                <w:color w:val="FFFFFF"/>
                <w:sz w:val="21"/>
                <w:lang w:eastAsia="en-AU"/>
              </w:rPr>
            </w:pPr>
            <w:r w:rsidRPr="00EB6254">
              <w:rPr>
                <w:rFonts w:eastAsiaTheme="minorEastAsia"/>
                <w:color w:val="FFFFFF"/>
                <w:sz w:val="21"/>
                <w:lang w:eastAsia="en-AU"/>
              </w:rPr>
              <w:t xml:space="preserve"> </w:t>
            </w:r>
          </w:p>
        </w:tc>
        <w:tc>
          <w:tcPr>
            <w:tcW w:w="1080" w:type="dxa"/>
            <w:gridSpan w:val="2"/>
            <w:tcBorders>
              <w:top w:val="single" w:sz="6" w:space="0" w:color="auto"/>
              <w:left w:val="nil"/>
              <w:bottom w:val="single" w:sz="6" w:space="0" w:color="auto"/>
              <w:right w:val="nil"/>
            </w:tcBorders>
            <w:shd w:val="clear" w:color="000000" w:fill="000000"/>
            <w:vAlign w:val="bottom"/>
          </w:tcPr>
          <w:p w:rsidR="00336793" w:rsidRPr="00EB6254" w:rsidRDefault="00336793" w:rsidP="00DF0B96">
            <w:pPr>
              <w:pStyle w:val="Tabletextheading"/>
              <w:rPr>
                <w:rFonts w:eastAsiaTheme="minorEastAsia"/>
                <w:color w:val="FFFFFF"/>
                <w:sz w:val="21"/>
                <w:lang w:eastAsia="en-AU"/>
              </w:rPr>
            </w:pPr>
            <w:r w:rsidRPr="00EB6254">
              <w:rPr>
                <w:rFonts w:eastAsiaTheme="minorEastAsia"/>
                <w:color w:val="FFFFFF"/>
                <w:sz w:val="21"/>
                <w:lang w:eastAsia="en-AU"/>
              </w:rPr>
              <w:t xml:space="preserve"> </w:t>
            </w:r>
          </w:p>
        </w:tc>
        <w:tc>
          <w:tcPr>
            <w:tcW w:w="1140" w:type="dxa"/>
            <w:gridSpan w:val="2"/>
            <w:tcBorders>
              <w:top w:val="single" w:sz="6" w:space="0" w:color="auto"/>
              <w:left w:val="nil"/>
              <w:bottom w:val="single" w:sz="6" w:space="0" w:color="auto"/>
              <w:right w:val="nil"/>
            </w:tcBorders>
            <w:shd w:val="clear" w:color="000000" w:fill="000000"/>
            <w:vAlign w:val="bottom"/>
          </w:tcPr>
          <w:p w:rsidR="00336793" w:rsidRPr="00EB6254" w:rsidRDefault="00336793" w:rsidP="00DF0B96">
            <w:pPr>
              <w:pStyle w:val="Tabletextheading"/>
              <w:rPr>
                <w:rFonts w:eastAsiaTheme="minorEastAsia"/>
                <w:color w:val="FFFFFF"/>
                <w:sz w:val="21"/>
                <w:lang w:eastAsia="en-AU"/>
              </w:rPr>
            </w:pPr>
            <w:r w:rsidRPr="00EB6254">
              <w:rPr>
                <w:rFonts w:eastAsiaTheme="minorEastAsia"/>
                <w:color w:val="FFFFFF"/>
                <w:sz w:val="21"/>
                <w:lang w:eastAsia="en-AU"/>
              </w:rPr>
              <w:t xml:space="preserve"> </w:t>
            </w:r>
          </w:p>
        </w:tc>
        <w:tc>
          <w:tcPr>
            <w:tcW w:w="1040" w:type="dxa"/>
            <w:gridSpan w:val="2"/>
            <w:tcBorders>
              <w:top w:val="single" w:sz="6" w:space="0" w:color="auto"/>
              <w:left w:val="nil"/>
              <w:bottom w:val="single" w:sz="6" w:space="0" w:color="auto"/>
              <w:right w:val="nil"/>
            </w:tcBorders>
            <w:shd w:val="clear" w:color="000000" w:fill="000000"/>
            <w:vAlign w:val="bottom"/>
          </w:tcPr>
          <w:p w:rsidR="00336793" w:rsidRPr="00EB6254" w:rsidRDefault="00336793" w:rsidP="00DF0B96">
            <w:pPr>
              <w:pStyle w:val="Tabletextheading"/>
              <w:rPr>
                <w:rFonts w:eastAsiaTheme="minorEastAsia"/>
                <w:color w:val="FFFFFF"/>
                <w:sz w:val="21"/>
                <w:lang w:eastAsia="en-AU"/>
              </w:rPr>
            </w:pPr>
            <w:r w:rsidRPr="00EB6254">
              <w:rPr>
                <w:rFonts w:eastAsiaTheme="minorEastAsia"/>
                <w:color w:val="FFFFFF"/>
                <w:sz w:val="21"/>
                <w:lang w:eastAsia="en-AU"/>
              </w:rPr>
              <w:t xml:space="preserve"> </w:t>
            </w:r>
          </w:p>
        </w:tc>
        <w:tc>
          <w:tcPr>
            <w:tcW w:w="1040" w:type="dxa"/>
            <w:gridSpan w:val="2"/>
            <w:tcBorders>
              <w:top w:val="single" w:sz="6" w:space="0" w:color="auto"/>
              <w:left w:val="nil"/>
              <w:bottom w:val="single" w:sz="6" w:space="0" w:color="auto"/>
              <w:right w:val="nil"/>
            </w:tcBorders>
            <w:shd w:val="clear" w:color="000000" w:fill="000000"/>
            <w:vAlign w:val="bottom"/>
          </w:tcPr>
          <w:p w:rsidR="00336793" w:rsidRPr="00EB6254" w:rsidRDefault="00336793" w:rsidP="00DF0B96">
            <w:pPr>
              <w:pStyle w:val="Tabletextheading"/>
              <w:rPr>
                <w:rFonts w:eastAsiaTheme="minorEastAsia"/>
                <w:color w:val="FFFFFF"/>
                <w:sz w:val="21"/>
                <w:lang w:eastAsia="en-AU"/>
              </w:rPr>
            </w:pPr>
            <w:r w:rsidRPr="00EB6254">
              <w:rPr>
                <w:rFonts w:eastAsiaTheme="minorEastAsia"/>
                <w:color w:val="FFFFFF"/>
                <w:sz w:val="21"/>
                <w:lang w:eastAsia="en-AU"/>
              </w:rPr>
              <w:t xml:space="preserve">  </w:t>
            </w:r>
          </w:p>
        </w:tc>
        <w:tc>
          <w:tcPr>
            <w:tcW w:w="1040" w:type="dxa"/>
            <w:gridSpan w:val="2"/>
            <w:tcBorders>
              <w:top w:val="single" w:sz="6" w:space="0" w:color="auto"/>
              <w:left w:val="nil"/>
              <w:bottom w:val="single" w:sz="6" w:space="0" w:color="auto"/>
              <w:right w:val="nil"/>
            </w:tcBorders>
            <w:shd w:val="clear" w:color="000000" w:fill="000000"/>
            <w:vAlign w:val="bottom"/>
          </w:tcPr>
          <w:p w:rsidR="00336793" w:rsidRPr="00EB6254" w:rsidRDefault="00336793" w:rsidP="00DF0B96">
            <w:pPr>
              <w:pStyle w:val="Tabletextheading"/>
              <w:rPr>
                <w:rFonts w:eastAsiaTheme="minorEastAsia"/>
                <w:color w:val="FFFFFF"/>
                <w:sz w:val="21"/>
                <w:lang w:eastAsia="en-AU"/>
              </w:rPr>
            </w:pPr>
            <w:r w:rsidRPr="00EB6254">
              <w:rPr>
                <w:rFonts w:eastAsiaTheme="minorEastAsia"/>
                <w:color w:val="FFFFFF"/>
                <w:sz w:val="21"/>
                <w:lang w:eastAsia="en-AU"/>
              </w:rPr>
              <w:t xml:space="preserve">  </w:t>
            </w:r>
          </w:p>
        </w:tc>
        <w:tc>
          <w:tcPr>
            <w:tcW w:w="1040" w:type="dxa"/>
            <w:gridSpan w:val="2"/>
            <w:tcBorders>
              <w:top w:val="single" w:sz="6" w:space="0" w:color="auto"/>
              <w:left w:val="nil"/>
              <w:bottom w:val="single" w:sz="6" w:space="0" w:color="auto"/>
              <w:right w:val="single" w:sz="6" w:space="0" w:color="auto"/>
            </w:tcBorders>
            <w:shd w:val="clear" w:color="000000" w:fill="000000"/>
            <w:vAlign w:val="bottom"/>
          </w:tcPr>
          <w:p w:rsidR="00336793" w:rsidRPr="00EB6254" w:rsidRDefault="00336793" w:rsidP="00DF0B96">
            <w:pPr>
              <w:pStyle w:val="Tabletextheading"/>
              <w:rPr>
                <w:rFonts w:eastAsiaTheme="minorEastAsia"/>
                <w:color w:val="FFFFFF"/>
                <w:sz w:val="21"/>
                <w:lang w:eastAsia="en-AU"/>
              </w:rPr>
            </w:pPr>
            <w:r w:rsidRPr="00EB6254">
              <w:rPr>
                <w:rFonts w:eastAsiaTheme="minorEastAsia"/>
                <w:color w:val="FFFFFF"/>
                <w:sz w:val="21"/>
                <w:lang w:eastAsia="en-AU"/>
              </w:rPr>
              <w:t xml:space="preserve">  </w:t>
            </w:r>
          </w:p>
        </w:tc>
      </w:tr>
      <w:tr w:rsidR="00336793" w:rsidRPr="00EB6254" w:rsidTr="00DF0B96">
        <w:trPr>
          <w:gridAfter w:val="1"/>
          <w:wAfter w:w="9" w:type="dxa"/>
        </w:trPr>
        <w:tc>
          <w:tcPr>
            <w:tcW w:w="2357" w:type="dxa"/>
            <w:tcBorders>
              <w:top w:val="single" w:sz="6" w:space="0" w:color="auto"/>
              <w:left w:val="nil"/>
              <w:bottom w:val="nil"/>
              <w:right w:val="nil"/>
            </w:tcBorders>
          </w:tcPr>
          <w:p w:rsidR="00336793" w:rsidRPr="00EB6254" w:rsidRDefault="00336793" w:rsidP="00E96950">
            <w:pPr>
              <w:pStyle w:val="Tabletext"/>
              <w:rPr>
                <w:rFonts w:eastAsiaTheme="minorEastAsia"/>
                <w:sz w:val="21"/>
                <w:lang w:eastAsia="en-AU"/>
              </w:rPr>
            </w:pPr>
            <w:r w:rsidRPr="00EB6254">
              <w:rPr>
                <w:rFonts w:eastAsiaTheme="minorEastAsia"/>
                <w:sz w:val="21"/>
                <w:lang w:eastAsia="en-AU"/>
              </w:rPr>
              <w:t>Payables, deposits held and advances received</w:t>
            </w:r>
            <w:r w:rsidRPr="00E96950">
              <w:rPr>
                <w:rFonts w:eastAsiaTheme="minorEastAsia"/>
                <w:sz w:val="21"/>
                <w:vertAlign w:val="superscript"/>
                <w:lang w:eastAsia="en-AU"/>
              </w:rPr>
              <w:t xml:space="preserve"> </w:t>
            </w:r>
            <w:r>
              <w:rPr>
                <w:rFonts w:eastAsiaTheme="minorEastAsia"/>
                <w:sz w:val="21"/>
                <w:vertAlign w:val="superscript"/>
                <w:lang w:eastAsia="en-AU"/>
              </w:rPr>
              <w:t> </w:t>
            </w:r>
            <w:r w:rsidRPr="00894F2A">
              <w:rPr>
                <w:rFonts w:eastAsiaTheme="minorEastAsia"/>
                <w:sz w:val="21"/>
                <w:vertAlign w:val="superscript"/>
                <w:lang w:eastAsia="en-AU"/>
              </w:rPr>
              <w:t>b)</w:t>
            </w:r>
          </w:p>
        </w:tc>
        <w:tc>
          <w:tcPr>
            <w:tcW w:w="900" w:type="dxa"/>
            <w:gridSpan w:val="2"/>
            <w:tcBorders>
              <w:top w:val="single" w:sz="6" w:space="0" w:color="auto"/>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6 444.5</w:t>
            </w:r>
          </w:p>
        </w:tc>
        <w:tc>
          <w:tcPr>
            <w:tcW w:w="1080" w:type="dxa"/>
            <w:gridSpan w:val="2"/>
            <w:tcBorders>
              <w:top w:val="single" w:sz="6" w:space="0" w:color="auto"/>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6 </w:t>
            </w:r>
            <w:r>
              <w:rPr>
                <w:rFonts w:eastAsiaTheme="minorEastAsia"/>
                <w:sz w:val="21"/>
                <w:lang w:eastAsia="en-AU"/>
              </w:rPr>
              <w:t>444.5</w:t>
            </w:r>
          </w:p>
        </w:tc>
        <w:tc>
          <w:tcPr>
            <w:tcW w:w="1140" w:type="dxa"/>
            <w:gridSpan w:val="2"/>
            <w:tcBorders>
              <w:top w:val="single" w:sz="6" w:space="0" w:color="auto"/>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5 </w:t>
            </w:r>
            <w:r>
              <w:rPr>
                <w:rFonts w:eastAsiaTheme="minorEastAsia"/>
                <w:sz w:val="21"/>
                <w:lang w:eastAsia="en-AU"/>
              </w:rPr>
              <w:t>769.1</w:t>
            </w:r>
          </w:p>
        </w:tc>
        <w:tc>
          <w:tcPr>
            <w:tcW w:w="1040" w:type="dxa"/>
            <w:gridSpan w:val="2"/>
            <w:tcBorders>
              <w:top w:val="single" w:sz="6" w:space="0" w:color="auto"/>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525.8</w:t>
            </w:r>
          </w:p>
        </w:tc>
        <w:tc>
          <w:tcPr>
            <w:tcW w:w="1040" w:type="dxa"/>
            <w:gridSpan w:val="2"/>
            <w:tcBorders>
              <w:top w:val="single" w:sz="6" w:space="0" w:color="auto"/>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38.0</w:t>
            </w:r>
          </w:p>
        </w:tc>
        <w:tc>
          <w:tcPr>
            <w:tcW w:w="1040" w:type="dxa"/>
            <w:gridSpan w:val="2"/>
            <w:tcBorders>
              <w:top w:val="single" w:sz="6" w:space="0" w:color="auto"/>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66.6</w:t>
            </w:r>
          </w:p>
        </w:tc>
        <w:tc>
          <w:tcPr>
            <w:tcW w:w="1040" w:type="dxa"/>
            <w:gridSpan w:val="2"/>
            <w:tcBorders>
              <w:top w:val="single" w:sz="6" w:space="0" w:color="auto"/>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44.9</w:t>
            </w:r>
          </w:p>
        </w:tc>
      </w:tr>
      <w:tr w:rsidR="00336793" w:rsidRPr="00EB6254" w:rsidTr="00DF0B96">
        <w:tc>
          <w:tcPr>
            <w:tcW w:w="3030" w:type="dxa"/>
            <w:gridSpan w:val="2"/>
            <w:tcBorders>
              <w:top w:val="nil"/>
              <w:left w:val="nil"/>
              <w:bottom w:val="nil"/>
              <w:right w:val="nil"/>
            </w:tcBorders>
          </w:tcPr>
          <w:p w:rsidR="00336793" w:rsidRPr="00EB6254" w:rsidRDefault="00336793" w:rsidP="00DF0B96">
            <w:pPr>
              <w:pStyle w:val="Tabletext"/>
              <w:rPr>
                <w:rFonts w:eastAsiaTheme="minorEastAsia"/>
                <w:b/>
                <w:bCs/>
                <w:sz w:val="21"/>
                <w:lang w:eastAsia="en-AU"/>
              </w:rPr>
            </w:pPr>
            <w:r w:rsidRPr="00EB6254">
              <w:rPr>
                <w:rFonts w:eastAsiaTheme="minorEastAsia"/>
                <w:b/>
                <w:bCs/>
                <w:sz w:val="21"/>
                <w:lang w:eastAsia="en-AU"/>
              </w:rPr>
              <w:t>Interest</w:t>
            </w:r>
            <w:r>
              <w:rPr>
                <w:rFonts w:eastAsiaTheme="minorEastAsia"/>
                <w:b/>
                <w:bCs/>
                <w:sz w:val="21"/>
                <w:lang w:eastAsia="en-AU"/>
              </w:rPr>
              <w:noBreakHyphen/>
            </w:r>
            <w:r w:rsidRPr="00EB6254">
              <w:rPr>
                <w:rFonts w:eastAsiaTheme="minorEastAsia"/>
                <w:b/>
                <w:bCs/>
                <w:sz w:val="21"/>
                <w:lang w:eastAsia="en-AU"/>
              </w:rPr>
              <w:t>bearing liabilities:</w:t>
            </w:r>
          </w:p>
        </w:tc>
        <w:tc>
          <w:tcPr>
            <w:tcW w:w="236" w:type="dxa"/>
            <w:gridSpan w:val="2"/>
            <w:tcBorders>
              <w:top w:val="nil"/>
              <w:left w:val="nil"/>
              <w:bottom w:val="nil"/>
              <w:right w:val="nil"/>
            </w:tcBorders>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w:t>
            </w:r>
          </w:p>
        </w:tc>
        <w:tc>
          <w:tcPr>
            <w:tcW w:w="1080" w:type="dxa"/>
            <w:gridSpan w:val="2"/>
            <w:tcBorders>
              <w:top w:val="nil"/>
              <w:left w:val="nil"/>
              <w:bottom w:val="nil"/>
              <w:right w:val="nil"/>
            </w:tcBorders>
          </w:tcPr>
          <w:p w:rsidR="00336793" w:rsidRPr="00EB6254" w:rsidRDefault="00336793" w:rsidP="00DF0B96">
            <w:pPr>
              <w:pStyle w:val="TableofFigures"/>
              <w:rPr>
                <w:rFonts w:eastAsiaTheme="minorEastAsia"/>
                <w:b/>
                <w:sz w:val="21"/>
                <w:lang w:eastAsia="en-AU"/>
              </w:rPr>
            </w:pPr>
          </w:p>
        </w:tc>
        <w:tc>
          <w:tcPr>
            <w:tcW w:w="1140" w:type="dxa"/>
            <w:gridSpan w:val="2"/>
            <w:tcBorders>
              <w:top w:val="nil"/>
              <w:left w:val="nil"/>
              <w:bottom w:val="nil"/>
              <w:right w:val="nil"/>
            </w:tcBorders>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b/>
                <w:sz w:val="21"/>
                <w:lang w:eastAsia="en-AU"/>
              </w:rPr>
            </w:pPr>
            <w:r w:rsidRPr="00EB6254">
              <w:rPr>
                <w:rFonts w:eastAsiaTheme="minorEastAsia"/>
                <w:b/>
                <w:sz w:val="21"/>
                <w:lang w:eastAsia="en-AU"/>
              </w:rPr>
              <w:t xml:space="preserve"> </w:t>
            </w:r>
          </w:p>
        </w:tc>
      </w:tr>
      <w:tr w:rsidR="00336793" w:rsidRPr="00EB6254" w:rsidTr="00DF0B96">
        <w:trPr>
          <w:gridAfter w:val="1"/>
          <w:wAfter w:w="9" w:type="dxa"/>
        </w:trPr>
        <w:tc>
          <w:tcPr>
            <w:tcW w:w="2357" w:type="dxa"/>
            <w:tcBorders>
              <w:top w:val="nil"/>
              <w:left w:val="nil"/>
              <w:bottom w:val="nil"/>
              <w:right w:val="nil"/>
            </w:tcBorders>
          </w:tcPr>
          <w:p w:rsidR="00336793" w:rsidRPr="00EB6254" w:rsidRDefault="00336793" w:rsidP="00DF0B96">
            <w:pPr>
              <w:pStyle w:val="Tabletext"/>
              <w:rPr>
                <w:rFonts w:eastAsiaTheme="minorEastAsia"/>
                <w:sz w:val="21"/>
                <w:lang w:eastAsia="en-AU"/>
              </w:rPr>
            </w:pPr>
            <w:r w:rsidRPr="00EB6254">
              <w:rPr>
                <w:rFonts w:eastAsiaTheme="minorEastAsia"/>
                <w:sz w:val="21"/>
                <w:lang w:eastAsia="en-AU"/>
              </w:rPr>
              <w:t>Domestic borrowings</w:t>
            </w:r>
          </w:p>
        </w:tc>
        <w:tc>
          <w:tcPr>
            <w:tcW w:w="90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41 617.6</w:t>
            </w:r>
          </w:p>
        </w:tc>
        <w:tc>
          <w:tcPr>
            <w:tcW w:w="108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50 789.0</w:t>
            </w:r>
          </w:p>
        </w:tc>
        <w:tc>
          <w:tcPr>
            <w:tcW w:w="11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60.6</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4 651.5</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4 175.5</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16 183.4</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25 717.9</w:t>
            </w:r>
          </w:p>
        </w:tc>
      </w:tr>
      <w:tr w:rsidR="00336793" w:rsidRPr="00EB6254" w:rsidTr="00DF0B96">
        <w:trPr>
          <w:gridAfter w:val="1"/>
          <w:wAfter w:w="9" w:type="dxa"/>
        </w:trPr>
        <w:tc>
          <w:tcPr>
            <w:tcW w:w="2357" w:type="dxa"/>
            <w:tcBorders>
              <w:top w:val="nil"/>
              <w:left w:val="nil"/>
              <w:bottom w:val="nil"/>
              <w:right w:val="nil"/>
            </w:tcBorders>
          </w:tcPr>
          <w:p w:rsidR="00336793" w:rsidRPr="00EB6254" w:rsidRDefault="00336793" w:rsidP="00DF0B96">
            <w:pPr>
              <w:pStyle w:val="Tabletext"/>
              <w:rPr>
                <w:rFonts w:eastAsiaTheme="minorEastAsia"/>
                <w:sz w:val="21"/>
                <w:lang w:eastAsia="en-AU"/>
              </w:rPr>
            </w:pPr>
            <w:r w:rsidRPr="00EB6254">
              <w:rPr>
                <w:rFonts w:eastAsiaTheme="minorEastAsia"/>
                <w:sz w:val="21"/>
                <w:lang w:eastAsia="en-AU"/>
              </w:rPr>
              <w:t>Foreign currency borrowings</w:t>
            </w:r>
          </w:p>
        </w:tc>
        <w:tc>
          <w:tcPr>
            <w:tcW w:w="90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268.8</w:t>
            </w:r>
          </w:p>
        </w:tc>
        <w:tc>
          <w:tcPr>
            <w:tcW w:w="108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300.5</w:t>
            </w:r>
          </w:p>
        </w:tc>
        <w:tc>
          <w:tcPr>
            <w:tcW w:w="11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168.5</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2.1</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2.1</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6.4</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121.4</w:t>
            </w:r>
          </w:p>
        </w:tc>
      </w:tr>
      <w:tr w:rsidR="00336793" w:rsidRPr="00EB6254" w:rsidTr="00DF0B96">
        <w:trPr>
          <w:gridAfter w:val="1"/>
          <w:wAfter w:w="9" w:type="dxa"/>
        </w:trPr>
        <w:tc>
          <w:tcPr>
            <w:tcW w:w="2357" w:type="dxa"/>
            <w:tcBorders>
              <w:top w:val="nil"/>
              <w:left w:val="nil"/>
              <w:bottom w:val="nil"/>
              <w:right w:val="nil"/>
            </w:tcBorders>
          </w:tcPr>
          <w:p w:rsidR="00336793" w:rsidRPr="00EB6254" w:rsidRDefault="00336793" w:rsidP="00DF0B96">
            <w:pPr>
              <w:pStyle w:val="Tabletext"/>
              <w:rPr>
                <w:rFonts w:eastAsiaTheme="minorEastAsia"/>
                <w:sz w:val="21"/>
                <w:lang w:eastAsia="en-AU"/>
              </w:rPr>
            </w:pPr>
            <w:r w:rsidRPr="00EB6254">
              <w:rPr>
                <w:rFonts w:eastAsiaTheme="minorEastAsia"/>
                <w:sz w:val="21"/>
                <w:lang w:eastAsia="en-AU"/>
              </w:rPr>
              <w:t>Finance lease liabilities</w:t>
            </w:r>
          </w:p>
        </w:tc>
        <w:tc>
          <w:tcPr>
            <w:tcW w:w="90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8 817.3</w:t>
            </w:r>
          </w:p>
        </w:tc>
        <w:tc>
          <w:tcPr>
            <w:tcW w:w="1080" w:type="dxa"/>
            <w:gridSpan w:val="2"/>
            <w:tcBorders>
              <w:top w:val="nil"/>
              <w:left w:val="nil"/>
              <w:bottom w:val="nil"/>
              <w:right w:val="nil"/>
            </w:tcBorders>
            <w:shd w:val="clear" w:color="auto" w:fill="auto"/>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21 602.5</w:t>
            </w:r>
          </w:p>
        </w:tc>
        <w:tc>
          <w:tcPr>
            <w:tcW w:w="1140" w:type="dxa"/>
            <w:gridSpan w:val="2"/>
            <w:tcBorders>
              <w:top w:val="nil"/>
              <w:left w:val="nil"/>
              <w:bottom w:val="nil"/>
              <w:right w:val="nil"/>
            </w:tcBorders>
            <w:shd w:val="clear" w:color="auto" w:fill="auto"/>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231.6</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714.9</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1 145.7</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2 964.9</w:t>
            </w:r>
          </w:p>
        </w:tc>
        <w:tc>
          <w:tcPr>
            <w:tcW w:w="1040" w:type="dxa"/>
            <w:gridSpan w:val="2"/>
            <w:tcBorders>
              <w:top w:val="nil"/>
              <w:left w:val="nil"/>
              <w:bottom w:val="nil"/>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16 545.4</w:t>
            </w:r>
          </w:p>
        </w:tc>
      </w:tr>
      <w:tr w:rsidR="00336793" w:rsidRPr="00EB6254" w:rsidTr="00DF0B96">
        <w:trPr>
          <w:gridAfter w:val="1"/>
          <w:wAfter w:w="9" w:type="dxa"/>
        </w:trPr>
        <w:tc>
          <w:tcPr>
            <w:tcW w:w="2357" w:type="dxa"/>
            <w:tcBorders>
              <w:top w:val="nil"/>
              <w:left w:val="nil"/>
              <w:bottom w:val="single" w:sz="6" w:space="0" w:color="auto"/>
              <w:right w:val="nil"/>
            </w:tcBorders>
          </w:tcPr>
          <w:p w:rsidR="00336793" w:rsidRPr="00EB6254" w:rsidRDefault="00336793" w:rsidP="00DF0B96">
            <w:pPr>
              <w:pStyle w:val="Tabletext"/>
              <w:rPr>
                <w:rFonts w:eastAsiaTheme="minorEastAsia" w:cs="Calibri"/>
                <w:color w:val="000000"/>
                <w:sz w:val="21"/>
                <w:szCs w:val="22"/>
                <w:vertAlign w:val="superscript"/>
                <w:lang w:eastAsia="en-AU"/>
              </w:rPr>
            </w:pPr>
            <w:r w:rsidRPr="00EB6254">
              <w:rPr>
                <w:rFonts w:eastAsiaTheme="minorEastAsia"/>
                <w:sz w:val="21"/>
                <w:lang w:eastAsia="en-AU"/>
              </w:rPr>
              <w:t>Derivative financial liabilities</w:t>
            </w:r>
            <w:r w:rsidRPr="00E96950">
              <w:rPr>
                <w:rFonts w:eastAsiaTheme="minorEastAsia"/>
                <w:sz w:val="21"/>
                <w:vertAlign w:val="superscript"/>
                <w:lang w:eastAsia="en-AU"/>
              </w:rPr>
              <w:t xml:space="preserve"> (</w:t>
            </w:r>
            <w:r w:rsidRPr="00EB6254">
              <w:rPr>
                <w:rFonts w:eastAsiaTheme="minorEastAsia" w:cs="Calibri"/>
                <w:color w:val="000000"/>
                <w:sz w:val="21"/>
                <w:szCs w:val="22"/>
                <w:vertAlign w:val="superscript"/>
                <w:lang w:eastAsia="en-AU"/>
              </w:rPr>
              <w:t>b)</w:t>
            </w:r>
          </w:p>
        </w:tc>
        <w:tc>
          <w:tcPr>
            <w:tcW w:w="900" w:type="dxa"/>
            <w:gridSpan w:val="2"/>
            <w:tcBorders>
              <w:top w:val="nil"/>
              <w:left w:val="nil"/>
              <w:bottom w:val="single" w:sz="6" w:space="0" w:color="auto"/>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641.6</w:t>
            </w:r>
          </w:p>
        </w:tc>
        <w:tc>
          <w:tcPr>
            <w:tcW w:w="1080" w:type="dxa"/>
            <w:gridSpan w:val="2"/>
            <w:tcBorders>
              <w:top w:val="nil"/>
              <w:left w:val="nil"/>
              <w:bottom w:val="single" w:sz="6" w:space="0" w:color="auto"/>
              <w:right w:val="nil"/>
            </w:tcBorders>
            <w:shd w:val="clear" w:color="auto" w:fill="auto"/>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434.1</w:t>
            </w:r>
          </w:p>
        </w:tc>
        <w:tc>
          <w:tcPr>
            <w:tcW w:w="1140" w:type="dxa"/>
            <w:gridSpan w:val="2"/>
            <w:tcBorders>
              <w:top w:val="nil"/>
              <w:left w:val="nil"/>
              <w:bottom w:val="single" w:sz="6" w:space="0" w:color="auto"/>
              <w:right w:val="nil"/>
            </w:tcBorders>
            <w:shd w:val="clear" w:color="auto" w:fill="auto"/>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71.5</w:t>
            </w:r>
          </w:p>
        </w:tc>
        <w:tc>
          <w:tcPr>
            <w:tcW w:w="1040" w:type="dxa"/>
            <w:gridSpan w:val="2"/>
            <w:tcBorders>
              <w:top w:val="nil"/>
              <w:left w:val="nil"/>
              <w:bottom w:val="single" w:sz="6" w:space="0" w:color="auto"/>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75.1</w:t>
            </w:r>
          </w:p>
        </w:tc>
        <w:tc>
          <w:tcPr>
            <w:tcW w:w="1040" w:type="dxa"/>
            <w:gridSpan w:val="2"/>
            <w:tcBorders>
              <w:top w:val="nil"/>
              <w:left w:val="nil"/>
              <w:bottom w:val="single" w:sz="6" w:space="0" w:color="auto"/>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93.2</w:t>
            </w:r>
          </w:p>
        </w:tc>
        <w:tc>
          <w:tcPr>
            <w:tcW w:w="1040" w:type="dxa"/>
            <w:gridSpan w:val="2"/>
            <w:tcBorders>
              <w:top w:val="nil"/>
              <w:left w:val="nil"/>
              <w:bottom w:val="single" w:sz="6" w:space="0" w:color="auto"/>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72.6</w:t>
            </w:r>
          </w:p>
        </w:tc>
        <w:tc>
          <w:tcPr>
            <w:tcW w:w="1040" w:type="dxa"/>
            <w:gridSpan w:val="2"/>
            <w:tcBorders>
              <w:top w:val="nil"/>
              <w:left w:val="nil"/>
              <w:bottom w:val="single" w:sz="6" w:space="0" w:color="auto"/>
              <w:right w:val="nil"/>
            </w:tcBorders>
          </w:tcPr>
          <w:p w:rsidR="00336793" w:rsidRPr="00EB6254" w:rsidRDefault="00336793" w:rsidP="00DF0B96">
            <w:pPr>
              <w:pStyle w:val="TableofFigures"/>
              <w:rPr>
                <w:rFonts w:eastAsiaTheme="minorEastAsia"/>
                <w:sz w:val="21"/>
                <w:lang w:eastAsia="en-AU"/>
              </w:rPr>
            </w:pPr>
            <w:r w:rsidRPr="00EB6254">
              <w:rPr>
                <w:rFonts w:eastAsiaTheme="minorEastAsia"/>
                <w:sz w:val="21"/>
                <w:lang w:eastAsia="en-AU"/>
              </w:rPr>
              <w:t xml:space="preserve"> 121.7</w:t>
            </w:r>
          </w:p>
        </w:tc>
      </w:tr>
      <w:tr w:rsidR="00336793" w:rsidRPr="00EB6254" w:rsidTr="00DF0B96">
        <w:trPr>
          <w:gridAfter w:val="1"/>
          <w:wAfter w:w="9" w:type="dxa"/>
        </w:trPr>
        <w:tc>
          <w:tcPr>
            <w:tcW w:w="2357" w:type="dxa"/>
            <w:tcBorders>
              <w:top w:val="single" w:sz="6" w:space="0" w:color="auto"/>
              <w:left w:val="nil"/>
              <w:bottom w:val="single" w:sz="12" w:space="0" w:color="000000"/>
              <w:right w:val="nil"/>
            </w:tcBorders>
            <w:shd w:val="clear" w:color="auto" w:fill="auto"/>
          </w:tcPr>
          <w:p w:rsidR="00336793" w:rsidRPr="00EB6254" w:rsidRDefault="00336793" w:rsidP="00DF0B96">
            <w:pPr>
              <w:pStyle w:val="Tabletext"/>
              <w:rPr>
                <w:rFonts w:eastAsiaTheme="minorEastAsia" w:cs="Calibri"/>
                <w:b/>
                <w:bCs/>
                <w:color w:val="000000"/>
                <w:sz w:val="21"/>
                <w:szCs w:val="22"/>
                <w:vertAlign w:val="superscript"/>
                <w:lang w:eastAsia="en-AU"/>
              </w:rPr>
            </w:pPr>
            <w:r w:rsidRPr="00EB6254">
              <w:rPr>
                <w:rFonts w:eastAsiaTheme="minorEastAsia"/>
                <w:b/>
                <w:bCs/>
                <w:sz w:val="21"/>
                <w:lang w:eastAsia="en-AU"/>
              </w:rPr>
              <w:t>Total</w:t>
            </w:r>
            <w:r w:rsidRPr="00E96950">
              <w:rPr>
                <w:rFonts w:eastAsiaTheme="minorEastAsia"/>
                <w:b/>
                <w:bCs/>
                <w:sz w:val="21"/>
                <w:vertAlign w:val="superscript"/>
                <w:lang w:eastAsia="en-AU"/>
              </w:rPr>
              <w:t xml:space="preserve"> (</w:t>
            </w:r>
            <w:r w:rsidRPr="00EB6254">
              <w:rPr>
                <w:rFonts w:eastAsiaTheme="minorEastAsia" w:cs="Calibri"/>
                <w:b/>
                <w:bCs/>
                <w:color w:val="000000"/>
                <w:sz w:val="21"/>
                <w:szCs w:val="22"/>
                <w:vertAlign w:val="superscript"/>
                <w:lang w:eastAsia="en-AU"/>
              </w:rPr>
              <w:t>b)</w:t>
            </w:r>
          </w:p>
        </w:tc>
        <w:tc>
          <w:tcPr>
            <w:tcW w:w="900" w:type="dxa"/>
            <w:gridSpan w:val="2"/>
            <w:tcBorders>
              <w:top w:val="single" w:sz="6" w:space="0" w:color="auto"/>
              <w:left w:val="nil"/>
              <w:bottom w:val="single" w:sz="12" w:space="0" w:color="000000"/>
              <w:right w:val="nil"/>
            </w:tcBorders>
            <w:shd w:val="clear" w:color="auto" w:fill="auto"/>
          </w:tcPr>
          <w:p w:rsidR="00336793" w:rsidRPr="00EB6254" w:rsidRDefault="00336793" w:rsidP="00DF0B96">
            <w:pPr>
              <w:pStyle w:val="TableofFigures"/>
              <w:rPr>
                <w:rFonts w:eastAsiaTheme="minorEastAsia"/>
                <w:b/>
                <w:bCs/>
                <w:sz w:val="21"/>
                <w:lang w:eastAsia="en-AU"/>
              </w:rPr>
            </w:pPr>
            <w:r w:rsidRPr="00EB6254">
              <w:rPr>
                <w:rFonts w:eastAsiaTheme="minorEastAsia"/>
                <w:b/>
                <w:bCs/>
                <w:sz w:val="21"/>
                <w:lang w:eastAsia="en-AU"/>
              </w:rPr>
              <w:t>57 789.9</w:t>
            </w:r>
          </w:p>
        </w:tc>
        <w:tc>
          <w:tcPr>
            <w:tcW w:w="1080" w:type="dxa"/>
            <w:gridSpan w:val="2"/>
            <w:tcBorders>
              <w:top w:val="single" w:sz="6" w:space="0" w:color="auto"/>
              <w:left w:val="nil"/>
              <w:bottom w:val="single" w:sz="12" w:space="0" w:color="000000"/>
              <w:right w:val="nil"/>
            </w:tcBorders>
            <w:shd w:val="clear" w:color="auto" w:fill="auto"/>
          </w:tcPr>
          <w:p w:rsidR="00336793" w:rsidRPr="00EB6254" w:rsidRDefault="00336793" w:rsidP="00DF0B96">
            <w:pPr>
              <w:pStyle w:val="TableofFigures"/>
              <w:rPr>
                <w:rFonts w:eastAsiaTheme="minorEastAsia"/>
                <w:b/>
                <w:bCs/>
                <w:sz w:val="21"/>
                <w:lang w:eastAsia="en-AU"/>
              </w:rPr>
            </w:pPr>
            <w:r w:rsidRPr="00EB6254">
              <w:rPr>
                <w:rFonts w:eastAsiaTheme="minorEastAsia"/>
                <w:b/>
                <w:bCs/>
                <w:sz w:val="21"/>
                <w:lang w:eastAsia="en-AU"/>
              </w:rPr>
              <w:t xml:space="preserve">79 </w:t>
            </w:r>
            <w:r>
              <w:rPr>
                <w:rFonts w:eastAsiaTheme="minorEastAsia"/>
                <w:b/>
                <w:bCs/>
                <w:sz w:val="21"/>
                <w:lang w:eastAsia="en-AU"/>
              </w:rPr>
              <w:t>570.6</w:t>
            </w:r>
          </w:p>
        </w:tc>
        <w:tc>
          <w:tcPr>
            <w:tcW w:w="1140" w:type="dxa"/>
            <w:gridSpan w:val="2"/>
            <w:tcBorders>
              <w:top w:val="single" w:sz="6" w:space="0" w:color="auto"/>
              <w:left w:val="nil"/>
              <w:bottom w:val="single" w:sz="12" w:space="0" w:color="000000"/>
              <w:right w:val="nil"/>
            </w:tcBorders>
            <w:shd w:val="clear" w:color="auto" w:fill="auto"/>
          </w:tcPr>
          <w:p w:rsidR="00336793" w:rsidRPr="00EB6254" w:rsidRDefault="00336793" w:rsidP="00DF0B96">
            <w:pPr>
              <w:pStyle w:val="TableofFigures"/>
              <w:rPr>
                <w:rFonts w:eastAsiaTheme="minorEastAsia"/>
                <w:b/>
                <w:bCs/>
                <w:sz w:val="21"/>
                <w:lang w:eastAsia="en-AU"/>
              </w:rPr>
            </w:pPr>
            <w:r w:rsidRPr="00EB6254">
              <w:rPr>
                <w:rFonts w:eastAsiaTheme="minorEastAsia"/>
                <w:b/>
                <w:bCs/>
                <w:sz w:val="21"/>
                <w:lang w:eastAsia="en-AU"/>
              </w:rPr>
              <w:t xml:space="preserve">6 </w:t>
            </w:r>
            <w:r>
              <w:rPr>
                <w:rFonts w:eastAsiaTheme="minorEastAsia"/>
                <w:b/>
                <w:bCs/>
                <w:sz w:val="21"/>
                <w:lang w:eastAsia="en-AU"/>
              </w:rPr>
              <w:t>301.3</w:t>
            </w:r>
          </w:p>
        </w:tc>
        <w:tc>
          <w:tcPr>
            <w:tcW w:w="1040" w:type="dxa"/>
            <w:gridSpan w:val="2"/>
            <w:tcBorders>
              <w:top w:val="single" w:sz="6" w:space="0" w:color="auto"/>
              <w:left w:val="nil"/>
              <w:bottom w:val="single" w:sz="12" w:space="0" w:color="000000"/>
              <w:right w:val="nil"/>
            </w:tcBorders>
            <w:shd w:val="clear" w:color="auto" w:fill="auto"/>
          </w:tcPr>
          <w:p w:rsidR="00336793" w:rsidRPr="00EB6254" w:rsidRDefault="00336793" w:rsidP="00DF0B96">
            <w:pPr>
              <w:pStyle w:val="TableofFigures"/>
              <w:rPr>
                <w:rFonts w:eastAsiaTheme="minorEastAsia"/>
                <w:b/>
                <w:bCs/>
                <w:sz w:val="21"/>
                <w:lang w:eastAsia="en-AU"/>
              </w:rPr>
            </w:pPr>
            <w:r w:rsidRPr="00EB6254">
              <w:rPr>
                <w:rFonts w:eastAsiaTheme="minorEastAsia"/>
                <w:b/>
                <w:bCs/>
                <w:sz w:val="21"/>
                <w:lang w:eastAsia="en-AU"/>
              </w:rPr>
              <w:t>5 969.5</w:t>
            </w:r>
          </w:p>
        </w:tc>
        <w:tc>
          <w:tcPr>
            <w:tcW w:w="1040" w:type="dxa"/>
            <w:gridSpan w:val="2"/>
            <w:tcBorders>
              <w:top w:val="single" w:sz="6" w:space="0" w:color="auto"/>
              <w:left w:val="nil"/>
              <w:bottom w:val="single" w:sz="12" w:space="0" w:color="000000"/>
              <w:right w:val="nil"/>
            </w:tcBorders>
            <w:shd w:val="clear" w:color="auto" w:fill="auto"/>
          </w:tcPr>
          <w:p w:rsidR="00336793" w:rsidRPr="00EB6254" w:rsidRDefault="00336793" w:rsidP="00DF0B96">
            <w:pPr>
              <w:pStyle w:val="TableofFigures"/>
              <w:rPr>
                <w:rFonts w:eastAsiaTheme="minorEastAsia"/>
                <w:b/>
                <w:bCs/>
                <w:sz w:val="21"/>
                <w:lang w:eastAsia="en-AU"/>
              </w:rPr>
            </w:pPr>
            <w:r w:rsidRPr="00EB6254">
              <w:rPr>
                <w:rFonts w:eastAsiaTheme="minorEastAsia"/>
                <w:b/>
                <w:bCs/>
                <w:sz w:val="21"/>
                <w:lang w:eastAsia="en-AU"/>
              </w:rPr>
              <w:t>5 454.6</w:t>
            </w:r>
          </w:p>
        </w:tc>
        <w:tc>
          <w:tcPr>
            <w:tcW w:w="1040" w:type="dxa"/>
            <w:gridSpan w:val="2"/>
            <w:tcBorders>
              <w:top w:val="single" w:sz="6" w:space="0" w:color="auto"/>
              <w:left w:val="nil"/>
              <w:bottom w:val="single" w:sz="12" w:space="0" w:color="000000"/>
              <w:right w:val="nil"/>
            </w:tcBorders>
            <w:shd w:val="clear" w:color="auto" w:fill="auto"/>
          </w:tcPr>
          <w:p w:rsidR="00336793" w:rsidRPr="00EB6254" w:rsidRDefault="00336793" w:rsidP="00DF0B96">
            <w:pPr>
              <w:pStyle w:val="TableofFigures"/>
              <w:rPr>
                <w:rFonts w:eastAsiaTheme="minorEastAsia"/>
                <w:b/>
                <w:bCs/>
                <w:sz w:val="21"/>
                <w:lang w:eastAsia="en-AU"/>
              </w:rPr>
            </w:pPr>
            <w:r w:rsidRPr="00EB6254">
              <w:rPr>
                <w:rFonts w:eastAsiaTheme="minorEastAsia"/>
                <w:b/>
                <w:bCs/>
                <w:sz w:val="21"/>
                <w:lang w:eastAsia="en-AU"/>
              </w:rPr>
              <w:t>19 293.9</w:t>
            </w:r>
          </w:p>
        </w:tc>
        <w:tc>
          <w:tcPr>
            <w:tcW w:w="1040" w:type="dxa"/>
            <w:gridSpan w:val="2"/>
            <w:tcBorders>
              <w:top w:val="single" w:sz="6" w:space="0" w:color="auto"/>
              <w:left w:val="nil"/>
              <w:bottom w:val="single" w:sz="12" w:space="0" w:color="000000"/>
              <w:right w:val="nil"/>
            </w:tcBorders>
            <w:shd w:val="clear" w:color="auto" w:fill="auto"/>
          </w:tcPr>
          <w:p w:rsidR="00336793" w:rsidRPr="00EB6254" w:rsidRDefault="00336793" w:rsidP="00DF0B96">
            <w:pPr>
              <w:pStyle w:val="TableofFigures"/>
              <w:rPr>
                <w:rFonts w:eastAsiaTheme="minorEastAsia"/>
                <w:b/>
                <w:bCs/>
                <w:sz w:val="21"/>
                <w:lang w:eastAsia="en-AU"/>
              </w:rPr>
            </w:pPr>
            <w:r w:rsidRPr="00EB6254">
              <w:rPr>
                <w:rFonts w:eastAsiaTheme="minorEastAsia"/>
                <w:b/>
                <w:bCs/>
                <w:sz w:val="21"/>
                <w:lang w:eastAsia="en-AU"/>
              </w:rPr>
              <w:t>42 551.4</w:t>
            </w:r>
          </w:p>
        </w:tc>
      </w:tr>
    </w:tbl>
    <w:p w:rsidR="00336793" w:rsidRPr="006A75A2" w:rsidRDefault="00336793" w:rsidP="00DF0B96">
      <w:pPr>
        <w:pStyle w:val="Notes"/>
      </w:pPr>
      <w:r>
        <w:t>Notes</w:t>
      </w:r>
      <w:r w:rsidRPr="006A75A2">
        <w:t>:</w:t>
      </w:r>
    </w:p>
    <w:p w:rsidR="00336793" w:rsidRDefault="00336793" w:rsidP="00DF0B96">
      <w:pPr>
        <w:pStyle w:val="Notes"/>
      </w:pPr>
      <w:r>
        <w:t>(a)</w:t>
      </w:r>
      <w:r w:rsidRPr="006A75A2">
        <w:tab/>
        <w:t>Represents undiscounted nominal amount.</w:t>
      </w:r>
    </w:p>
    <w:p w:rsidR="00336793" w:rsidRPr="006A75A2" w:rsidRDefault="00336793" w:rsidP="00DF0B96">
      <w:pPr>
        <w:pStyle w:val="Notes"/>
      </w:pPr>
      <w:r>
        <w:t>(b)</w:t>
      </w:r>
      <w:r>
        <w:tab/>
      </w:r>
      <w:r w:rsidRPr="00DF7C4A">
        <w:t>June 2014 comparative figures have been restated. See Note 37.</w:t>
      </w:r>
    </w:p>
    <w:p w:rsidR="00336793" w:rsidRPr="006A75A2" w:rsidRDefault="00336793" w:rsidP="00DF0B96"/>
    <w:p w:rsidR="00336793" w:rsidRPr="006A75A2" w:rsidRDefault="00336793" w:rsidP="00DF0B96">
      <w:pPr>
        <w:spacing w:after="0"/>
      </w:pPr>
    </w:p>
    <w:p w:rsidR="00336793" w:rsidRPr="006A75A2" w:rsidRDefault="00336793" w:rsidP="00DF0B96">
      <w:pPr>
        <w:spacing w:after="0"/>
      </w:pPr>
      <w:r w:rsidRPr="006A75A2">
        <w:br w:type="page"/>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E0167" w:rsidRDefault="00336793" w:rsidP="00DF0B96">
      <w:pPr>
        <w:pStyle w:val="Heading5"/>
        <w:rPr>
          <w:i/>
        </w:rPr>
      </w:pPr>
      <w:r w:rsidRPr="006A75A2">
        <w:t>(k)</w:t>
      </w:r>
      <w:r w:rsidRPr="006A75A2">
        <w:tab/>
        <w:t>Undiscounted maturity analysis of financial liabilities</w:t>
      </w:r>
      <w:r>
        <w:t xml:space="preserve"> </w:t>
      </w:r>
      <w:r>
        <w:rPr>
          <w:i/>
        </w:rPr>
        <w:t>(continued)</w:t>
      </w:r>
    </w:p>
    <w:p w:rsidR="00336793" w:rsidRPr="00E93050" w:rsidRDefault="00336793" w:rsidP="00DF0B96">
      <w:pPr>
        <w:pStyle w:val="million"/>
        <w:rPr>
          <w:rFonts w:ascii="Times New Roman" w:hAnsi="Times New Roman"/>
          <w:i w:val="0"/>
          <w:szCs w:val="20"/>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2357"/>
        <w:gridCol w:w="360"/>
        <w:gridCol w:w="540"/>
        <w:gridCol w:w="1080"/>
        <w:gridCol w:w="110"/>
        <w:gridCol w:w="430"/>
        <w:gridCol w:w="600"/>
        <w:gridCol w:w="1040"/>
        <w:gridCol w:w="1040"/>
        <w:gridCol w:w="1040"/>
        <w:gridCol w:w="510"/>
        <w:gridCol w:w="270"/>
        <w:gridCol w:w="260"/>
      </w:tblGrid>
      <w:tr w:rsidR="00336793" w:rsidRPr="00E93050" w:rsidTr="00DF0B96">
        <w:tc>
          <w:tcPr>
            <w:tcW w:w="2357" w:type="dxa"/>
            <w:tcBorders>
              <w:top w:val="single" w:sz="6" w:space="0" w:color="auto"/>
              <w:left w:val="single" w:sz="6" w:space="0" w:color="auto"/>
              <w:right w:val="nil"/>
            </w:tcBorders>
            <w:shd w:val="clear" w:color="000000" w:fill="000000"/>
          </w:tcPr>
          <w:p w:rsidR="00336793" w:rsidRPr="00E93050" w:rsidRDefault="00336793" w:rsidP="00DF0B96">
            <w:pPr>
              <w:pStyle w:val="Tabletext"/>
              <w:rPr>
                <w:rFonts w:eastAsiaTheme="minorEastAsia"/>
                <w:i/>
                <w:sz w:val="21"/>
                <w:lang w:eastAsia="en-AU"/>
              </w:rPr>
            </w:pPr>
            <w:r w:rsidRPr="00E93050">
              <w:rPr>
                <w:rFonts w:eastAsiaTheme="minorEastAsia"/>
                <w:i/>
                <w:sz w:val="21"/>
                <w:lang w:eastAsia="en-AU"/>
              </w:rPr>
              <w:t>General</w:t>
            </w:r>
          </w:p>
        </w:tc>
        <w:tc>
          <w:tcPr>
            <w:tcW w:w="900" w:type="dxa"/>
            <w:gridSpan w:val="2"/>
            <w:tcBorders>
              <w:top w:val="single" w:sz="6" w:space="0" w:color="auto"/>
              <w:left w:val="nil"/>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 xml:space="preserve"> </w:t>
            </w:r>
          </w:p>
        </w:tc>
        <w:tc>
          <w:tcPr>
            <w:tcW w:w="1080" w:type="dxa"/>
            <w:tcBorders>
              <w:top w:val="single" w:sz="6" w:space="0" w:color="auto"/>
              <w:left w:val="nil"/>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 xml:space="preserve">  </w:t>
            </w:r>
          </w:p>
        </w:tc>
        <w:tc>
          <w:tcPr>
            <w:tcW w:w="110" w:type="dxa"/>
            <w:tcBorders>
              <w:top w:val="single" w:sz="6" w:space="0" w:color="auto"/>
              <w:left w:val="nil"/>
              <w:right w:val="nil"/>
            </w:tcBorders>
            <w:shd w:val="clear" w:color="000000" w:fill="000000"/>
          </w:tcPr>
          <w:p w:rsidR="00336793" w:rsidRPr="00E93050" w:rsidRDefault="00336793" w:rsidP="00DF0B96">
            <w:pPr>
              <w:pStyle w:val="TabletextheadingCentred"/>
              <w:rPr>
                <w:rFonts w:eastAsiaTheme="minorEastAsia"/>
                <w:sz w:val="21"/>
                <w:lang w:eastAsia="en-AU"/>
              </w:rPr>
            </w:pPr>
            <w:r w:rsidRPr="00E93050">
              <w:rPr>
                <w:rFonts w:eastAsiaTheme="minorEastAsia"/>
                <w:sz w:val="21"/>
                <w:lang w:eastAsia="en-AU"/>
              </w:rPr>
              <w:t xml:space="preserve"> </w:t>
            </w:r>
          </w:p>
        </w:tc>
        <w:tc>
          <w:tcPr>
            <w:tcW w:w="430" w:type="dxa"/>
            <w:tcBorders>
              <w:top w:val="single" w:sz="6" w:space="0" w:color="auto"/>
              <w:left w:val="nil"/>
              <w:bottom w:val="single" w:sz="6" w:space="0" w:color="FFFFFF" w:themeColor="background1"/>
              <w:right w:val="nil"/>
            </w:tcBorders>
            <w:shd w:val="clear" w:color="000000" w:fill="000000"/>
          </w:tcPr>
          <w:p w:rsidR="00336793" w:rsidRPr="00E93050" w:rsidRDefault="00336793" w:rsidP="00DF0B96">
            <w:pPr>
              <w:pStyle w:val="TabletextheadingCentred"/>
              <w:rPr>
                <w:rFonts w:eastAsiaTheme="minorEastAsia"/>
                <w:sz w:val="21"/>
                <w:lang w:eastAsia="en-AU"/>
              </w:rPr>
            </w:pPr>
            <w:r w:rsidRPr="00E93050">
              <w:rPr>
                <w:rFonts w:eastAsiaTheme="minorEastAsia"/>
                <w:sz w:val="21"/>
                <w:lang w:eastAsia="en-AU"/>
              </w:rPr>
              <w:t xml:space="preserve"> </w:t>
            </w:r>
          </w:p>
        </w:tc>
        <w:tc>
          <w:tcPr>
            <w:tcW w:w="4230" w:type="dxa"/>
            <w:gridSpan w:val="5"/>
            <w:tcBorders>
              <w:top w:val="single" w:sz="6" w:space="0" w:color="auto"/>
              <w:left w:val="nil"/>
              <w:bottom w:val="single" w:sz="6" w:space="0" w:color="FFFFFF" w:themeColor="background1"/>
              <w:right w:val="nil"/>
            </w:tcBorders>
            <w:shd w:val="clear" w:color="000000" w:fill="000000"/>
          </w:tcPr>
          <w:p w:rsidR="00336793" w:rsidRPr="00E93050" w:rsidRDefault="00336793" w:rsidP="00DF0B96">
            <w:pPr>
              <w:pStyle w:val="TabletextheadingCentred"/>
              <w:rPr>
                <w:rFonts w:eastAsiaTheme="minorEastAsia"/>
                <w:sz w:val="21"/>
                <w:lang w:eastAsia="en-AU"/>
              </w:rPr>
            </w:pPr>
            <w:r w:rsidRPr="00E93050">
              <w:rPr>
                <w:rFonts w:eastAsiaTheme="minorEastAsia"/>
                <w:sz w:val="21"/>
                <w:lang w:eastAsia="en-AU"/>
              </w:rPr>
              <w:t>Contractual maturity</w:t>
            </w:r>
          </w:p>
        </w:tc>
        <w:tc>
          <w:tcPr>
            <w:tcW w:w="270" w:type="dxa"/>
            <w:tcBorders>
              <w:top w:val="single" w:sz="6" w:space="0" w:color="auto"/>
              <w:left w:val="nil"/>
              <w:bottom w:val="single" w:sz="6" w:space="0" w:color="FFFFFF" w:themeColor="background1"/>
              <w:right w:val="nil"/>
            </w:tcBorders>
            <w:shd w:val="clear" w:color="000000" w:fill="000000"/>
          </w:tcPr>
          <w:p w:rsidR="00336793" w:rsidRPr="00E93050" w:rsidRDefault="00336793" w:rsidP="00DF0B96">
            <w:pPr>
              <w:pStyle w:val="TabletextheadingCentred"/>
              <w:rPr>
                <w:rFonts w:eastAsiaTheme="minorEastAsia"/>
                <w:sz w:val="21"/>
                <w:lang w:eastAsia="en-AU"/>
              </w:rPr>
            </w:pPr>
            <w:r w:rsidRPr="00E93050">
              <w:rPr>
                <w:rFonts w:eastAsiaTheme="minorEastAsia"/>
                <w:sz w:val="21"/>
                <w:lang w:eastAsia="en-AU"/>
              </w:rPr>
              <w:t xml:space="preserve"> </w:t>
            </w:r>
          </w:p>
        </w:tc>
        <w:tc>
          <w:tcPr>
            <w:tcW w:w="260" w:type="dxa"/>
            <w:tcBorders>
              <w:top w:val="single" w:sz="6" w:space="0" w:color="auto"/>
              <w:left w:val="nil"/>
              <w:bottom w:val="single" w:sz="6" w:space="0" w:color="FFFFFF" w:themeColor="background1"/>
              <w:right w:val="single" w:sz="6" w:space="0" w:color="auto"/>
            </w:tcBorders>
            <w:shd w:val="clear" w:color="000000" w:fill="000000"/>
          </w:tcPr>
          <w:p w:rsidR="00336793" w:rsidRPr="00E93050" w:rsidRDefault="00336793" w:rsidP="00DF0B96">
            <w:pPr>
              <w:pStyle w:val="TabletextheadingCentred"/>
              <w:rPr>
                <w:rFonts w:eastAsiaTheme="minorEastAsia"/>
                <w:sz w:val="21"/>
                <w:lang w:eastAsia="en-AU"/>
              </w:rPr>
            </w:pPr>
            <w:r w:rsidRPr="00E93050">
              <w:rPr>
                <w:rFonts w:eastAsiaTheme="minorEastAsia"/>
                <w:sz w:val="21"/>
                <w:lang w:eastAsia="en-AU"/>
              </w:rPr>
              <w:t xml:space="preserve"> </w:t>
            </w:r>
          </w:p>
        </w:tc>
      </w:tr>
      <w:tr w:rsidR="00336793" w:rsidRPr="00E93050" w:rsidTr="00DF0B96">
        <w:tc>
          <w:tcPr>
            <w:tcW w:w="2357" w:type="dxa"/>
            <w:tcBorders>
              <w:top w:val="nil"/>
              <w:left w:val="single" w:sz="6" w:space="0" w:color="auto"/>
              <w:bottom w:val="single" w:sz="6" w:space="0" w:color="auto"/>
              <w:right w:val="nil"/>
            </w:tcBorders>
            <w:shd w:val="clear" w:color="000000" w:fill="000000"/>
          </w:tcPr>
          <w:p w:rsidR="00336793" w:rsidRPr="00E93050" w:rsidRDefault="00336793" w:rsidP="00DF0B96">
            <w:pPr>
              <w:pStyle w:val="Tabletext"/>
              <w:rPr>
                <w:rFonts w:eastAsiaTheme="minorEastAsia"/>
                <w:i/>
                <w:sz w:val="21"/>
                <w:lang w:eastAsia="en-AU"/>
              </w:rPr>
            </w:pPr>
            <w:r w:rsidRPr="00E93050">
              <w:rPr>
                <w:rFonts w:eastAsiaTheme="minorEastAsia"/>
                <w:i/>
                <w:sz w:val="21"/>
                <w:lang w:eastAsia="en-AU"/>
              </w:rPr>
              <w:t xml:space="preserve">government sector </w:t>
            </w:r>
          </w:p>
          <w:p w:rsidR="00336793" w:rsidRPr="00E93050" w:rsidRDefault="00336793" w:rsidP="00DF0B96">
            <w:pPr>
              <w:pStyle w:val="Tabletext"/>
              <w:rPr>
                <w:rFonts w:eastAsiaTheme="minorEastAsia"/>
                <w:i/>
                <w:sz w:val="21"/>
                <w:lang w:eastAsia="en-AU"/>
              </w:rPr>
            </w:pPr>
            <w:r w:rsidRPr="00E93050">
              <w:rPr>
                <w:rFonts w:eastAsiaTheme="minorEastAsia"/>
                <w:i/>
                <w:sz w:val="21"/>
                <w:lang w:eastAsia="en-AU"/>
              </w:rPr>
              <w:t>2015</w:t>
            </w:r>
          </w:p>
        </w:tc>
        <w:tc>
          <w:tcPr>
            <w:tcW w:w="900" w:type="dxa"/>
            <w:gridSpan w:val="2"/>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Carrying</w:t>
            </w:r>
          </w:p>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amount</w:t>
            </w:r>
          </w:p>
        </w:tc>
        <w:tc>
          <w:tcPr>
            <w:tcW w:w="1080" w:type="dxa"/>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Nominal</w:t>
            </w:r>
          </w:p>
          <w:p w:rsidR="00336793" w:rsidRPr="00E93050" w:rsidRDefault="00336793" w:rsidP="00DF0B96">
            <w:pPr>
              <w:pStyle w:val="Tabletextheading"/>
              <w:rPr>
                <w:rFonts w:eastAsiaTheme="minorEastAsia"/>
                <w:color w:val="FFFFFF"/>
                <w:sz w:val="21"/>
                <w:vertAlign w:val="superscript"/>
                <w:lang w:eastAsia="en-AU"/>
              </w:rPr>
            </w:pPr>
            <w:r w:rsidRPr="00E93050">
              <w:rPr>
                <w:rFonts w:eastAsiaTheme="minorEastAsia"/>
                <w:color w:val="FFFFFF"/>
                <w:sz w:val="21"/>
                <w:lang w:eastAsia="en-AU"/>
              </w:rPr>
              <w:t xml:space="preserve">amount </w:t>
            </w:r>
            <w:r w:rsidRPr="00E93050">
              <w:rPr>
                <w:rFonts w:eastAsiaTheme="minorEastAsia"/>
                <w:color w:val="FFFFFF"/>
                <w:sz w:val="21"/>
                <w:vertAlign w:val="superscript"/>
                <w:lang w:eastAsia="en-AU"/>
              </w:rPr>
              <w:t>(a)</w:t>
            </w:r>
          </w:p>
        </w:tc>
        <w:tc>
          <w:tcPr>
            <w:tcW w:w="1140" w:type="dxa"/>
            <w:gridSpan w:val="3"/>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p>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0</w:t>
            </w:r>
            <w:r>
              <w:rPr>
                <w:rFonts w:eastAsiaTheme="minorEastAsia"/>
                <w:color w:val="FFFFFF"/>
                <w:sz w:val="21"/>
                <w:lang w:eastAsia="en-AU"/>
              </w:rPr>
              <w:noBreakHyphen/>
            </w:r>
            <w:r w:rsidRPr="00E93050">
              <w:rPr>
                <w:rFonts w:eastAsiaTheme="minorEastAsia"/>
                <w:color w:val="FFFFFF"/>
                <w:sz w:val="21"/>
                <w:lang w:eastAsia="en-AU"/>
              </w:rPr>
              <w:t>3 months</w:t>
            </w:r>
          </w:p>
        </w:tc>
        <w:tc>
          <w:tcPr>
            <w:tcW w:w="1040" w:type="dxa"/>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3 months</w:t>
            </w:r>
          </w:p>
          <w:p w:rsidR="00336793" w:rsidRPr="00E93050" w:rsidRDefault="00336793" w:rsidP="00DF0B96">
            <w:pPr>
              <w:pStyle w:val="Tabletextheading"/>
              <w:rPr>
                <w:rFonts w:eastAsiaTheme="minorEastAsia"/>
                <w:color w:val="FFFFFF"/>
                <w:sz w:val="21"/>
                <w:lang w:eastAsia="en-AU"/>
              </w:rPr>
            </w:pPr>
            <w:r>
              <w:rPr>
                <w:rFonts w:eastAsiaTheme="minorEastAsia"/>
                <w:color w:val="FFFFFF"/>
                <w:sz w:val="21"/>
                <w:lang w:eastAsia="en-AU"/>
              </w:rPr>
              <w:noBreakHyphen/>
            </w:r>
            <w:r w:rsidRPr="00E93050">
              <w:rPr>
                <w:rFonts w:eastAsiaTheme="minorEastAsia"/>
                <w:color w:val="FFFFFF"/>
                <w:sz w:val="21"/>
                <w:lang w:eastAsia="en-AU"/>
              </w:rPr>
              <w:t>1 year</w:t>
            </w:r>
          </w:p>
        </w:tc>
        <w:tc>
          <w:tcPr>
            <w:tcW w:w="1040" w:type="dxa"/>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p>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1</w:t>
            </w:r>
            <w:r>
              <w:rPr>
                <w:rFonts w:eastAsiaTheme="minorEastAsia"/>
                <w:color w:val="FFFFFF"/>
                <w:sz w:val="21"/>
                <w:lang w:eastAsia="en-AU"/>
              </w:rPr>
              <w:noBreakHyphen/>
            </w:r>
            <w:r w:rsidRPr="00E93050">
              <w:rPr>
                <w:rFonts w:eastAsiaTheme="minorEastAsia"/>
                <w:color w:val="FFFFFF"/>
                <w:sz w:val="21"/>
                <w:lang w:eastAsia="en-AU"/>
              </w:rPr>
              <w:t>2 years</w:t>
            </w:r>
          </w:p>
        </w:tc>
        <w:tc>
          <w:tcPr>
            <w:tcW w:w="1040" w:type="dxa"/>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sz w:val="21"/>
                <w:lang w:eastAsia="en-AU"/>
              </w:rPr>
            </w:pPr>
          </w:p>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2</w:t>
            </w:r>
            <w:r>
              <w:rPr>
                <w:rFonts w:eastAsiaTheme="minorEastAsia"/>
                <w:color w:val="FFFFFF"/>
                <w:sz w:val="21"/>
                <w:lang w:eastAsia="en-AU"/>
              </w:rPr>
              <w:noBreakHyphen/>
            </w:r>
            <w:r w:rsidRPr="00E93050">
              <w:rPr>
                <w:rFonts w:eastAsiaTheme="minorEastAsia"/>
                <w:color w:val="FFFFFF"/>
                <w:sz w:val="21"/>
                <w:lang w:eastAsia="en-AU"/>
              </w:rPr>
              <w:t>5 years</w:t>
            </w:r>
          </w:p>
        </w:tc>
        <w:tc>
          <w:tcPr>
            <w:tcW w:w="1040" w:type="dxa"/>
            <w:gridSpan w:val="3"/>
            <w:tcBorders>
              <w:top w:val="nil"/>
              <w:left w:val="nil"/>
              <w:bottom w:val="single" w:sz="6" w:space="0" w:color="auto"/>
              <w:right w:val="single" w:sz="6" w:space="0" w:color="auto"/>
            </w:tcBorders>
            <w:shd w:val="clear" w:color="000000" w:fill="000000"/>
          </w:tcPr>
          <w:p w:rsidR="00336793" w:rsidRPr="00E93050" w:rsidRDefault="00336793" w:rsidP="00DF0B96">
            <w:pPr>
              <w:pStyle w:val="Tabletextheading"/>
              <w:rPr>
                <w:rFonts w:eastAsiaTheme="minorEastAsia"/>
                <w:color w:val="FFFFFF"/>
                <w:sz w:val="21"/>
                <w:lang w:eastAsia="en-AU"/>
              </w:rPr>
            </w:pPr>
          </w:p>
          <w:p w:rsidR="00336793" w:rsidRPr="00E93050" w:rsidRDefault="00336793" w:rsidP="00DF0B96">
            <w:pPr>
              <w:pStyle w:val="Tabletextheading"/>
              <w:rPr>
                <w:rFonts w:eastAsiaTheme="minorEastAsia"/>
                <w:color w:val="FFFFFF"/>
                <w:sz w:val="21"/>
                <w:lang w:eastAsia="en-AU"/>
              </w:rPr>
            </w:pPr>
            <w:r w:rsidRPr="00E93050">
              <w:rPr>
                <w:rFonts w:eastAsiaTheme="minorEastAsia"/>
                <w:color w:val="FFFFFF"/>
                <w:sz w:val="21"/>
                <w:lang w:eastAsia="en-AU"/>
              </w:rPr>
              <w:t>5+ years</w:t>
            </w:r>
          </w:p>
        </w:tc>
      </w:tr>
      <w:tr w:rsidR="00336793" w:rsidRPr="00E93050" w:rsidTr="00DF0B96">
        <w:tc>
          <w:tcPr>
            <w:tcW w:w="2357" w:type="dxa"/>
            <w:tcBorders>
              <w:top w:val="single" w:sz="6" w:space="0" w:color="auto"/>
              <w:left w:val="nil"/>
              <w:bottom w:val="nil"/>
              <w:right w:val="nil"/>
            </w:tcBorders>
          </w:tcPr>
          <w:p w:rsidR="00336793" w:rsidRPr="00E93050" w:rsidRDefault="00336793" w:rsidP="00DF0B96">
            <w:pPr>
              <w:pStyle w:val="Tabletext"/>
              <w:rPr>
                <w:rFonts w:eastAsiaTheme="minorEastAsia"/>
                <w:sz w:val="21"/>
                <w:lang w:eastAsia="en-AU"/>
              </w:rPr>
            </w:pPr>
            <w:r w:rsidRPr="00E93050">
              <w:rPr>
                <w:rFonts w:eastAsiaTheme="minorEastAsia"/>
                <w:sz w:val="21"/>
                <w:lang w:eastAsia="en-AU"/>
              </w:rPr>
              <w:t>Payables, deposits held and advances received</w:t>
            </w:r>
          </w:p>
        </w:tc>
        <w:tc>
          <w:tcPr>
            <w:tcW w:w="900" w:type="dxa"/>
            <w:gridSpan w:val="2"/>
            <w:tcBorders>
              <w:top w:val="single" w:sz="6" w:space="0" w:color="auto"/>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3 847.7</w:t>
            </w:r>
          </w:p>
        </w:tc>
        <w:tc>
          <w:tcPr>
            <w:tcW w:w="1080" w:type="dxa"/>
            <w:tcBorders>
              <w:top w:val="single" w:sz="6" w:space="0" w:color="auto"/>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3 809.9</w:t>
            </w:r>
          </w:p>
        </w:tc>
        <w:tc>
          <w:tcPr>
            <w:tcW w:w="1140" w:type="dxa"/>
            <w:gridSpan w:val="3"/>
            <w:tcBorders>
              <w:top w:val="single" w:sz="6" w:space="0" w:color="auto"/>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3 127.2</w:t>
            </w:r>
          </w:p>
        </w:tc>
        <w:tc>
          <w:tcPr>
            <w:tcW w:w="1040" w:type="dxa"/>
            <w:tcBorders>
              <w:top w:val="single" w:sz="6" w:space="0" w:color="auto"/>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544.5</w:t>
            </w:r>
          </w:p>
        </w:tc>
        <w:tc>
          <w:tcPr>
            <w:tcW w:w="1040" w:type="dxa"/>
            <w:tcBorders>
              <w:top w:val="single" w:sz="6" w:space="0" w:color="auto"/>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77.6</w:t>
            </w:r>
          </w:p>
        </w:tc>
        <w:tc>
          <w:tcPr>
            <w:tcW w:w="1040" w:type="dxa"/>
            <w:tcBorders>
              <w:top w:val="single" w:sz="6" w:space="0" w:color="auto"/>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7.9</w:t>
            </w:r>
          </w:p>
        </w:tc>
        <w:tc>
          <w:tcPr>
            <w:tcW w:w="1040" w:type="dxa"/>
            <w:gridSpan w:val="3"/>
            <w:tcBorders>
              <w:top w:val="single" w:sz="6" w:space="0" w:color="auto"/>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52.7</w:t>
            </w:r>
          </w:p>
        </w:tc>
      </w:tr>
      <w:tr w:rsidR="00336793" w:rsidRPr="00E93050" w:rsidTr="00DF0B96">
        <w:tc>
          <w:tcPr>
            <w:tcW w:w="2717" w:type="dxa"/>
            <w:gridSpan w:val="2"/>
            <w:tcBorders>
              <w:top w:val="nil"/>
              <w:left w:val="nil"/>
              <w:bottom w:val="nil"/>
              <w:right w:val="nil"/>
            </w:tcBorders>
          </w:tcPr>
          <w:p w:rsidR="00336793" w:rsidRPr="00E93050" w:rsidRDefault="00336793" w:rsidP="00DF0B96">
            <w:pPr>
              <w:pStyle w:val="Tabletext"/>
              <w:rPr>
                <w:rFonts w:eastAsiaTheme="minorEastAsia"/>
                <w:b/>
                <w:bCs/>
                <w:sz w:val="21"/>
                <w:lang w:eastAsia="en-AU"/>
              </w:rPr>
            </w:pPr>
            <w:r w:rsidRPr="00E93050">
              <w:rPr>
                <w:rFonts w:eastAsiaTheme="minorEastAsia"/>
                <w:b/>
                <w:bCs/>
                <w:sz w:val="21"/>
                <w:lang w:eastAsia="en-AU"/>
              </w:rPr>
              <w:t>Interest</w:t>
            </w:r>
            <w:r>
              <w:rPr>
                <w:rFonts w:eastAsiaTheme="minorEastAsia"/>
                <w:b/>
                <w:bCs/>
                <w:sz w:val="21"/>
                <w:lang w:eastAsia="en-AU"/>
              </w:rPr>
              <w:noBreakHyphen/>
            </w:r>
            <w:r w:rsidRPr="00E93050">
              <w:rPr>
                <w:rFonts w:eastAsiaTheme="minorEastAsia"/>
                <w:b/>
                <w:bCs/>
                <w:sz w:val="21"/>
                <w:lang w:eastAsia="en-AU"/>
              </w:rPr>
              <w:t>bearing liabilities:</w:t>
            </w:r>
          </w:p>
        </w:tc>
        <w:tc>
          <w:tcPr>
            <w:tcW w:w="540" w:type="dxa"/>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c>
          <w:tcPr>
            <w:tcW w:w="1080" w:type="dxa"/>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c>
          <w:tcPr>
            <w:tcW w:w="1140" w:type="dxa"/>
            <w:gridSpan w:val="3"/>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c>
          <w:tcPr>
            <w:tcW w:w="1040" w:type="dxa"/>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c>
          <w:tcPr>
            <w:tcW w:w="1040" w:type="dxa"/>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c>
          <w:tcPr>
            <w:tcW w:w="1040" w:type="dxa"/>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c>
          <w:tcPr>
            <w:tcW w:w="1040" w:type="dxa"/>
            <w:gridSpan w:val="3"/>
            <w:tcBorders>
              <w:top w:val="nil"/>
              <w:left w:val="nil"/>
              <w:bottom w:val="nil"/>
              <w:right w:val="nil"/>
            </w:tcBorders>
          </w:tcPr>
          <w:p w:rsidR="00336793" w:rsidRPr="00E93050" w:rsidRDefault="00336793" w:rsidP="00DF0B96">
            <w:pPr>
              <w:pStyle w:val="TableofFigures"/>
              <w:rPr>
                <w:rFonts w:eastAsiaTheme="minorEastAsia"/>
                <w:b/>
                <w:sz w:val="21"/>
                <w:lang w:eastAsia="en-AU"/>
              </w:rPr>
            </w:pPr>
            <w:r w:rsidRPr="00E93050">
              <w:rPr>
                <w:rFonts w:eastAsiaTheme="minorEastAsia"/>
                <w:b/>
                <w:sz w:val="21"/>
                <w:lang w:eastAsia="en-AU"/>
              </w:rPr>
              <w:t xml:space="preserve"> </w:t>
            </w:r>
          </w:p>
        </w:tc>
      </w:tr>
      <w:tr w:rsidR="00336793" w:rsidRPr="00E93050" w:rsidTr="00DF0B96">
        <w:tc>
          <w:tcPr>
            <w:tcW w:w="2357" w:type="dxa"/>
            <w:tcBorders>
              <w:top w:val="nil"/>
              <w:left w:val="nil"/>
              <w:bottom w:val="nil"/>
              <w:right w:val="nil"/>
            </w:tcBorders>
          </w:tcPr>
          <w:p w:rsidR="00336793" w:rsidRPr="00E93050" w:rsidRDefault="00336793" w:rsidP="00DF0B96">
            <w:pPr>
              <w:pStyle w:val="Tabletext"/>
              <w:rPr>
                <w:rFonts w:eastAsiaTheme="minorEastAsia"/>
                <w:sz w:val="21"/>
                <w:lang w:eastAsia="en-AU"/>
              </w:rPr>
            </w:pPr>
            <w:r w:rsidRPr="00E93050">
              <w:rPr>
                <w:rFonts w:eastAsiaTheme="minorEastAsia"/>
                <w:sz w:val="21"/>
                <w:lang w:eastAsia="en-AU"/>
              </w:rPr>
              <w:t>Domestic borrowings</w:t>
            </w:r>
          </w:p>
        </w:tc>
        <w:tc>
          <w:tcPr>
            <w:tcW w:w="90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25 959.9</w:t>
            </w:r>
          </w:p>
        </w:tc>
        <w:tc>
          <w:tcPr>
            <w:tcW w:w="1080" w:type="dxa"/>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25 901.0</w:t>
            </w:r>
          </w:p>
        </w:tc>
        <w:tc>
          <w:tcPr>
            <w:tcW w:w="1140" w:type="dxa"/>
            <w:gridSpan w:val="3"/>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5.2</w:t>
            </w:r>
          </w:p>
        </w:tc>
        <w:tc>
          <w:tcPr>
            <w:tcW w:w="1040" w:type="dxa"/>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8 162.0</w:t>
            </w:r>
          </w:p>
        </w:tc>
        <w:tc>
          <w:tcPr>
            <w:tcW w:w="1040" w:type="dxa"/>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6.3</w:t>
            </w:r>
          </w:p>
        </w:tc>
        <w:tc>
          <w:tcPr>
            <w:tcW w:w="1040" w:type="dxa"/>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4 012.7</w:t>
            </w:r>
          </w:p>
        </w:tc>
        <w:tc>
          <w:tcPr>
            <w:tcW w:w="1040" w:type="dxa"/>
            <w:gridSpan w:val="3"/>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13 714.9</w:t>
            </w:r>
          </w:p>
        </w:tc>
      </w:tr>
      <w:tr w:rsidR="00336793" w:rsidRPr="00E93050" w:rsidTr="00DF0B96">
        <w:tc>
          <w:tcPr>
            <w:tcW w:w="2357" w:type="dxa"/>
            <w:tcBorders>
              <w:top w:val="nil"/>
              <w:left w:val="nil"/>
              <w:bottom w:val="nil"/>
              <w:right w:val="nil"/>
            </w:tcBorders>
          </w:tcPr>
          <w:p w:rsidR="00336793" w:rsidRPr="00E93050" w:rsidRDefault="00336793" w:rsidP="00DF0B96">
            <w:pPr>
              <w:pStyle w:val="Tabletext"/>
              <w:rPr>
                <w:rFonts w:eastAsiaTheme="minorEastAsia"/>
                <w:sz w:val="21"/>
                <w:lang w:eastAsia="en-AU"/>
              </w:rPr>
            </w:pPr>
            <w:r w:rsidRPr="00E93050">
              <w:rPr>
                <w:rFonts w:eastAsiaTheme="minorEastAsia"/>
                <w:sz w:val="21"/>
                <w:lang w:eastAsia="en-AU"/>
              </w:rPr>
              <w:t>Foreign currency borrowings</w:t>
            </w:r>
          </w:p>
        </w:tc>
        <w:tc>
          <w:tcPr>
            <w:tcW w:w="900" w:type="dxa"/>
            <w:gridSpan w:val="2"/>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w:t>
            </w:r>
          </w:p>
        </w:tc>
        <w:tc>
          <w:tcPr>
            <w:tcW w:w="1080" w:type="dxa"/>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w:t>
            </w:r>
          </w:p>
        </w:tc>
        <w:tc>
          <w:tcPr>
            <w:tcW w:w="1140" w:type="dxa"/>
            <w:gridSpan w:val="3"/>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w:t>
            </w:r>
          </w:p>
        </w:tc>
        <w:tc>
          <w:tcPr>
            <w:tcW w:w="1040" w:type="dxa"/>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w:t>
            </w:r>
          </w:p>
        </w:tc>
        <w:tc>
          <w:tcPr>
            <w:tcW w:w="1040" w:type="dxa"/>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w:t>
            </w:r>
          </w:p>
        </w:tc>
        <w:tc>
          <w:tcPr>
            <w:tcW w:w="1040" w:type="dxa"/>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w:t>
            </w:r>
          </w:p>
        </w:tc>
        <w:tc>
          <w:tcPr>
            <w:tcW w:w="1040" w:type="dxa"/>
            <w:gridSpan w:val="3"/>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w:t>
            </w:r>
          </w:p>
        </w:tc>
      </w:tr>
      <w:tr w:rsidR="00336793" w:rsidRPr="00E93050" w:rsidTr="00DF0B96">
        <w:tc>
          <w:tcPr>
            <w:tcW w:w="2357" w:type="dxa"/>
            <w:tcBorders>
              <w:top w:val="nil"/>
              <w:left w:val="nil"/>
              <w:bottom w:val="nil"/>
              <w:right w:val="nil"/>
            </w:tcBorders>
          </w:tcPr>
          <w:p w:rsidR="00336793" w:rsidRPr="00E93050" w:rsidRDefault="00336793" w:rsidP="00DF0B96">
            <w:pPr>
              <w:pStyle w:val="Tabletext"/>
              <w:rPr>
                <w:rFonts w:eastAsiaTheme="minorEastAsia"/>
                <w:sz w:val="21"/>
                <w:lang w:eastAsia="en-AU"/>
              </w:rPr>
            </w:pPr>
            <w:r w:rsidRPr="00E93050">
              <w:rPr>
                <w:rFonts w:eastAsiaTheme="minorEastAsia"/>
                <w:sz w:val="21"/>
                <w:lang w:eastAsia="en-AU"/>
              </w:rPr>
              <w:t>Finance lease liabilities</w:t>
            </w:r>
          </w:p>
        </w:tc>
        <w:tc>
          <w:tcPr>
            <w:tcW w:w="90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8 058.6</w:t>
            </w:r>
          </w:p>
        </w:tc>
        <w:tc>
          <w:tcPr>
            <w:tcW w:w="1080" w:type="dxa"/>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19 775.3</w:t>
            </w:r>
          </w:p>
        </w:tc>
        <w:tc>
          <w:tcPr>
            <w:tcW w:w="1140" w:type="dxa"/>
            <w:gridSpan w:val="3"/>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206.8</w:t>
            </w:r>
          </w:p>
        </w:tc>
        <w:tc>
          <w:tcPr>
            <w:tcW w:w="1040" w:type="dxa"/>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663.9</w:t>
            </w:r>
          </w:p>
        </w:tc>
        <w:tc>
          <w:tcPr>
            <w:tcW w:w="1040" w:type="dxa"/>
            <w:tcBorders>
              <w:top w:val="nil"/>
              <w:left w:val="nil"/>
              <w:bottom w:val="nil"/>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860.0</w:t>
            </w:r>
          </w:p>
        </w:tc>
        <w:tc>
          <w:tcPr>
            <w:tcW w:w="1040" w:type="dxa"/>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2 617.3</w:t>
            </w:r>
          </w:p>
        </w:tc>
        <w:tc>
          <w:tcPr>
            <w:tcW w:w="1040" w:type="dxa"/>
            <w:gridSpan w:val="3"/>
            <w:tcBorders>
              <w:top w:val="nil"/>
              <w:left w:val="nil"/>
              <w:bottom w:val="nil"/>
              <w:right w:val="nil"/>
            </w:tcBorders>
          </w:tcPr>
          <w:p w:rsidR="00336793" w:rsidRPr="00E93050" w:rsidRDefault="00336793" w:rsidP="00DF0B96">
            <w:pPr>
              <w:pStyle w:val="TableofFigures"/>
              <w:rPr>
                <w:rFonts w:eastAsiaTheme="minorEastAsia" w:cs="Calibri"/>
                <w:color w:val="000000"/>
                <w:sz w:val="21"/>
                <w:szCs w:val="22"/>
                <w:lang w:eastAsia="en-AU"/>
              </w:rPr>
            </w:pPr>
            <w:r w:rsidRPr="00E93050">
              <w:rPr>
                <w:rFonts w:eastAsiaTheme="minorEastAsia"/>
                <w:sz w:val="21"/>
                <w:lang w:eastAsia="en-AU"/>
              </w:rPr>
              <w:t>15 427.3</w:t>
            </w:r>
          </w:p>
        </w:tc>
      </w:tr>
      <w:tr w:rsidR="00336793" w:rsidRPr="00E93050" w:rsidTr="00DF0B96">
        <w:tc>
          <w:tcPr>
            <w:tcW w:w="2357" w:type="dxa"/>
            <w:tcBorders>
              <w:top w:val="nil"/>
              <w:left w:val="nil"/>
              <w:bottom w:val="single" w:sz="6" w:space="0" w:color="auto"/>
              <w:right w:val="nil"/>
            </w:tcBorders>
          </w:tcPr>
          <w:p w:rsidR="00336793" w:rsidRPr="00E93050" w:rsidRDefault="00336793" w:rsidP="00DF0B96">
            <w:pPr>
              <w:pStyle w:val="Tabletext"/>
              <w:rPr>
                <w:rFonts w:eastAsiaTheme="minorEastAsia"/>
                <w:sz w:val="21"/>
                <w:lang w:eastAsia="en-AU"/>
              </w:rPr>
            </w:pPr>
            <w:r w:rsidRPr="00E93050">
              <w:rPr>
                <w:rFonts w:eastAsiaTheme="minorEastAsia"/>
                <w:sz w:val="21"/>
                <w:lang w:eastAsia="en-AU"/>
              </w:rPr>
              <w:t>Derivative financial liabilities</w:t>
            </w:r>
          </w:p>
        </w:tc>
        <w:tc>
          <w:tcPr>
            <w:tcW w:w="900" w:type="dxa"/>
            <w:gridSpan w:val="2"/>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50.5</w:t>
            </w:r>
          </w:p>
        </w:tc>
        <w:tc>
          <w:tcPr>
            <w:tcW w:w="1080" w:type="dxa"/>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50.5</w:t>
            </w:r>
          </w:p>
        </w:tc>
        <w:tc>
          <w:tcPr>
            <w:tcW w:w="1140" w:type="dxa"/>
            <w:gridSpan w:val="3"/>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0.2</w:t>
            </w:r>
          </w:p>
        </w:tc>
        <w:tc>
          <w:tcPr>
            <w:tcW w:w="1040" w:type="dxa"/>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w:t>
            </w:r>
          </w:p>
        </w:tc>
        <w:tc>
          <w:tcPr>
            <w:tcW w:w="1040" w:type="dxa"/>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w:t>
            </w:r>
          </w:p>
        </w:tc>
        <w:tc>
          <w:tcPr>
            <w:tcW w:w="1040" w:type="dxa"/>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w:t>
            </w:r>
          </w:p>
        </w:tc>
        <w:tc>
          <w:tcPr>
            <w:tcW w:w="1040" w:type="dxa"/>
            <w:gridSpan w:val="3"/>
            <w:tcBorders>
              <w:top w:val="nil"/>
              <w:left w:val="nil"/>
              <w:bottom w:val="single" w:sz="6" w:space="0" w:color="auto"/>
              <w:right w:val="nil"/>
            </w:tcBorders>
          </w:tcPr>
          <w:p w:rsidR="00336793" w:rsidRPr="00E93050" w:rsidRDefault="00336793" w:rsidP="00DF0B96">
            <w:pPr>
              <w:pStyle w:val="TableofFigures"/>
              <w:rPr>
                <w:rFonts w:eastAsiaTheme="minorEastAsia"/>
                <w:sz w:val="21"/>
                <w:lang w:eastAsia="en-AU"/>
              </w:rPr>
            </w:pPr>
            <w:r w:rsidRPr="00E93050">
              <w:rPr>
                <w:rFonts w:eastAsiaTheme="minorEastAsia"/>
                <w:sz w:val="21"/>
                <w:lang w:eastAsia="en-AU"/>
              </w:rPr>
              <w:t xml:space="preserve"> 50.3</w:t>
            </w:r>
          </w:p>
        </w:tc>
      </w:tr>
      <w:tr w:rsidR="00336793" w:rsidRPr="00E93050" w:rsidTr="00DF0B96">
        <w:tc>
          <w:tcPr>
            <w:tcW w:w="2357" w:type="dxa"/>
            <w:tcBorders>
              <w:top w:val="single" w:sz="6" w:space="0" w:color="auto"/>
              <w:left w:val="nil"/>
              <w:bottom w:val="single" w:sz="12" w:space="0" w:color="000000"/>
              <w:right w:val="nil"/>
            </w:tcBorders>
            <w:shd w:val="clear" w:color="auto" w:fill="auto"/>
          </w:tcPr>
          <w:p w:rsidR="00336793" w:rsidRPr="00E93050" w:rsidRDefault="00336793" w:rsidP="00DF0B96">
            <w:pPr>
              <w:pStyle w:val="Tabletext"/>
              <w:rPr>
                <w:rFonts w:eastAsiaTheme="minorEastAsia"/>
                <w:b/>
                <w:bCs/>
                <w:sz w:val="21"/>
                <w:lang w:eastAsia="en-AU"/>
              </w:rPr>
            </w:pPr>
            <w:r w:rsidRPr="00E93050">
              <w:rPr>
                <w:rFonts w:eastAsiaTheme="minorEastAsia"/>
                <w:b/>
                <w:bCs/>
                <w:sz w:val="21"/>
                <w:lang w:eastAsia="en-AU"/>
              </w:rPr>
              <w:t xml:space="preserve">Total </w:t>
            </w:r>
          </w:p>
        </w:tc>
        <w:tc>
          <w:tcPr>
            <w:tcW w:w="900" w:type="dxa"/>
            <w:gridSpan w:val="2"/>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37 916.7</w:t>
            </w:r>
          </w:p>
        </w:tc>
        <w:tc>
          <w:tcPr>
            <w:tcW w:w="1080" w:type="dxa"/>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49 536.7</w:t>
            </w:r>
          </w:p>
        </w:tc>
        <w:tc>
          <w:tcPr>
            <w:tcW w:w="1140" w:type="dxa"/>
            <w:gridSpan w:val="3"/>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3 339.4</w:t>
            </w:r>
          </w:p>
        </w:tc>
        <w:tc>
          <w:tcPr>
            <w:tcW w:w="1040" w:type="dxa"/>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9 370.4</w:t>
            </w:r>
          </w:p>
        </w:tc>
        <w:tc>
          <w:tcPr>
            <w:tcW w:w="1040" w:type="dxa"/>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b/>
                <w:bCs/>
                <w:sz w:val="21"/>
                <w:lang w:eastAsia="en-AU"/>
              </w:rPr>
            </w:pPr>
            <w:r w:rsidRPr="00E93050">
              <w:rPr>
                <w:rFonts w:eastAsiaTheme="minorEastAsia"/>
                <w:b/>
                <w:bCs/>
                <w:sz w:val="21"/>
                <w:lang w:eastAsia="en-AU"/>
              </w:rPr>
              <w:t xml:space="preserve"> 943.9</w:t>
            </w:r>
          </w:p>
        </w:tc>
        <w:tc>
          <w:tcPr>
            <w:tcW w:w="1040" w:type="dxa"/>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6 637.8</w:t>
            </w:r>
          </w:p>
        </w:tc>
        <w:tc>
          <w:tcPr>
            <w:tcW w:w="1040" w:type="dxa"/>
            <w:gridSpan w:val="3"/>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 w:val="21"/>
                <w:szCs w:val="22"/>
                <w:lang w:eastAsia="en-AU"/>
              </w:rPr>
            </w:pPr>
            <w:r w:rsidRPr="00E93050">
              <w:rPr>
                <w:rFonts w:eastAsiaTheme="minorEastAsia"/>
                <w:b/>
                <w:bCs/>
                <w:sz w:val="21"/>
                <w:lang w:eastAsia="en-AU"/>
              </w:rPr>
              <w:t>29 245.2</w:t>
            </w:r>
          </w:p>
        </w:tc>
      </w:tr>
    </w:tbl>
    <w:p w:rsidR="00336793" w:rsidRPr="00A10A3B"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2357"/>
        <w:gridCol w:w="360"/>
        <w:gridCol w:w="680"/>
        <w:gridCol w:w="1040"/>
        <w:gridCol w:w="1040"/>
        <w:gridCol w:w="1040"/>
        <w:gridCol w:w="1040"/>
        <w:gridCol w:w="1040"/>
        <w:gridCol w:w="1040"/>
      </w:tblGrid>
      <w:tr w:rsidR="00336793" w:rsidRPr="00386BB3" w:rsidTr="00DF0B96">
        <w:trPr>
          <w:tblHeader/>
        </w:trPr>
        <w:tc>
          <w:tcPr>
            <w:tcW w:w="2357" w:type="dxa"/>
            <w:tcBorders>
              <w:top w:val="single" w:sz="6" w:space="0" w:color="auto"/>
              <w:left w:val="single" w:sz="6" w:space="0" w:color="auto"/>
              <w:bottom w:val="single" w:sz="6" w:space="0" w:color="auto"/>
              <w:right w:val="nil"/>
            </w:tcBorders>
            <w:shd w:val="clear" w:color="000000" w:fill="000000"/>
            <w:vAlign w:val="bottom"/>
          </w:tcPr>
          <w:p w:rsidR="00336793" w:rsidRPr="00386BB3" w:rsidRDefault="00336793" w:rsidP="00DF0B96">
            <w:pPr>
              <w:pStyle w:val="TabletextheadingLeft"/>
              <w:rPr>
                <w:rFonts w:eastAsiaTheme="minorEastAsia"/>
                <w:sz w:val="21"/>
                <w:lang w:eastAsia="en-AU"/>
              </w:rPr>
            </w:pPr>
            <w:r w:rsidRPr="00386BB3">
              <w:rPr>
                <w:rFonts w:eastAsiaTheme="minorEastAsia"/>
                <w:sz w:val="21"/>
                <w:lang w:eastAsia="en-AU"/>
              </w:rPr>
              <w:t>2014</w:t>
            </w:r>
          </w:p>
        </w:tc>
        <w:tc>
          <w:tcPr>
            <w:tcW w:w="1040" w:type="dxa"/>
            <w:gridSpan w:val="2"/>
            <w:tcBorders>
              <w:top w:val="single" w:sz="6" w:space="0" w:color="auto"/>
              <w:left w:val="nil"/>
              <w:bottom w:val="single" w:sz="6" w:space="0" w:color="auto"/>
              <w:right w:val="nil"/>
            </w:tcBorders>
            <w:shd w:val="clear" w:color="000000" w:fill="000000"/>
            <w:vAlign w:val="bottom"/>
          </w:tcPr>
          <w:p w:rsidR="00336793" w:rsidRPr="00386BB3" w:rsidRDefault="00336793" w:rsidP="00DF0B96">
            <w:pPr>
              <w:pStyle w:val="Tabletextheading"/>
              <w:rPr>
                <w:rFonts w:eastAsiaTheme="minorEastAsia"/>
                <w:color w:val="FFFFFF"/>
                <w:sz w:val="21"/>
                <w:lang w:eastAsia="en-AU"/>
              </w:rPr>
            </w:pPr>
            <w:r w:rsidRPr="00386BB3">
              <w:rPr>
                <w:rFonts w:eastAsiaTheme="minorEastAsia"/>
                <w:color w:val="FFFFFF"/>
                <w:sz w:val="21"/>
                <w:lang w:eastAsia="en-AU"/>
              </w:rPr>
              <w:t xml:space="preserve"> </w:t>
            </w:r>
          </w:p>
        </w:tc>
        <w:tc>
          <w:tcPr>
            <w:tcW w:w="1040" w:type="dxa"/>
            <w:tcBorders>
              <w:top w:val="single" w:sz="6" w:space="0" w:color="auto"/>
              <w:left w:val="nil"/>
              <w:bottom w:val="single" w:sz="6" w:space="0" w:color="auto"/>
              <w:right w:val="nil"/>
            </w:tcBorders>
            <w:shd w:val="clear" w:color="000000" w:fill="000000"/>
            <w:vAlign w:val="bottom"/>
          </w:tcPr>
          <w:p w:rsidR="00336793" w:rsidRPr="00386BB3" w:rsidRDefault="00336793" w:rsidP="00DF0B96">
            <w:pPr>
              <w:pStyle w:val="Tabletextheading"/>
              <w:rPr>
                <w:rFonts w:eastAsiaTheme="minorEastAsia"/>
                <w:color w:val="FFFFFF"/>
                <w:sz w:val="21"/>
                <w:lang w:eastAsia="en-AU"/>
              </w:rPr>
            </w:pPr>
            <w:r w:rsidRPr="00386BB3">
              <w:rPr>
                <w:rFonts w:eastAsiaTheme="minorEastAsia"/>
                <w:color w:val="FFFFFF"/>
                <w:sz w:val="21"/>
                <w:lang w:eastAsia="en-AU"/>
              </w:rPr>
              <w:t xml:space="preserve"> </w:t>
            </w:r>
          </w:p>
        </w:tc>
        <w:tc>
          <w:tcPr>
            <w:tcW w:w="1040" w:type="dxa"/>
            <w:tcBorders>
              <w:top w:val="single" w:sz="6" w:space="0" w:color="auto"/>
              <w:left w:val="nil"/>
              <w:bottom w:val="single" w:sz="6" w:space="0" w:color="auto"/>
              <w:right w:val="nil"/>
            </w:tcBorders>
            <w:shd w:val="clear" w:color="000000" w:fill="000000"/>
            <w:vAlign w:val="bottom"/>
          </w:tcPr>
          <w:p w:rsidR="00336793" w:rsidRPr="00386BB3" w:rsidRDefault="00336793" w:rsidP="00DF0B96">
            <w:pPr>
              <w:pStyle w:val="Tabletextheading"/>
              <w:rPr>
                <w:rFonts w:eastAsiaTheme="minorEastAsia"/>
                <w:color w:val="FFFFFF"/>
                <w:sz w:val="21"/>
                <w:lang w:eastAsia="en-AU"/>
              </w:rPr>
            </w:pPr>
            <w:r w:rsidRPr="00386BB3">
              <w:rPr>
                <w:rFonts w:eastAsiaTheme="minorEastAsia"/>
                <w:color w:val="FFFFFF"/>
                <w:sz w:val="21"/>
                <w:lang w:eastAsia="en-AU"/>
              </w:rPr>
              <w:t xml:space="preserve"> </w:t>
            </w:r>
          </w:p>
        </w:tc>
        <w:tc>
          <w:tcPr>
            <w:tcW w:w="1040" w:type="dxa"/>
            <w:tcBorders>
              <w:top w:val="single" w:sz="6" w:space="0" w:color="auto"/>
              <w:left w:val="nil"/>
              <w:bottom w:val="single" w:sz="6" w:space="0" w:color="auto"/>
              <w:right w:val="nil"/>
            </w:tcBorders>
            <w:shd w:val="clear" w:color="000000" w:fill="000000"/>
            <w:vAlign w:val="bottom"/>
          </w:tcPr>
          <w:p w:rsidR="00336793" w:rsidRPr="00386BB3" w:rsidRDefault="00336793" w:rsidP="00DF0B96">
            <w:pPr>
              <w:pStyle w:val="Tabletextheading"/>
              <w:rPr>
                <w:rFonts w:eastAsiaTheme="minorEastAsia"/>
                <w:color w:val="FFFFFF"/>
                <w:sz w:val="21"/>
                <w:lang w:eastAsia="en-AU"/>
              </w:rPr>
            </w:pPr>
            <w:r w:rsidRPr="00386BB3">
              <w:rPr>
                <w:rFonts w:eastAsiaTheme="minorEastAsia"/>
                <w:color w:val="FFFFFF"/>
                <w:sz w:val="21"/>
                <w:lang w:eastAsia="en-AU"/>
              </w:rPr>
              <w:t xml:space="preserve"> </w:t>
            </w:r>
          </w:p>
        </w:tc>
        <w:tc>
          <w:tcPr>
            <w:tcW w:w="1040" w:type="dxa"/>
            <w:tcBorders>
              <w:top w:val="single" w:sz="6" w:space="0" w:color="auto"/>
              <w:left w:val="nil"/>
              <w:bottom w:val="single" w:sz="6" w:space="0" w:color="auto"/>
              <w:right w:val="nil"/>
            </w:tcBorders>
            <w:shd w:val="clear" w:color="000000" w:fill="000000"/>
            <w:vAlign w:val="bottom"/>
          </w:tcPr>
          <w:p w:rsidR="00336793" w:rsidRPr="00386BB3" w:rsidRDefault="00336793" w:rsidP="00DF0B96">
            <w:pPr>
              <w:pStyle w:val="Tabletextheading"/>
              <w:rPr>
                <w:rFonts w:eastAsiaTheme="minorEastAsia"/>
                <w:color w:val="FFFFFF"/>
                <w:sz w:val="21"/>
                <w:lang w:eastAsia="en-AU"/>
              </w:rPr>
            </w:pPr>
            <w:r w:rsidRPr="00386BB3">
              <w:rPr>
                <w:rFonts w:eastAsiaTheme="minorEastAsia"/>
                <w:color w:val="FFFFFF"/>
                <w:sz w:val="21"/>
                <w:lang w:eastAsia="en-AU"/>
              </w:rPr>
              <w:t xml:space="preserve">  </w:t>
            </w:r>
          </w:p>
        </w:tc>
        <w:tc>
          <w:tcPr>
            <w:tcW w:w="1040" w:type="dxa"/>
            <w:tcBorders>
              <w:top w:val="single" w:sz="6" w:space="0" w:color="auto"/>
              <w:left w:val="nil"/>
              <w:bottom w:val="single" w:sz="6" w:space="0" w:color="auto"/>
              <w:right w:val="nil"/>
            </w:tcBorders>
            <w:shd w:val="clear" w:color="000000" w:fill="000000"/>
            <w:vAlign w:val="bottom"/>
          </w:tcPr>
          <w:p w:rsidR="00336793" w:rsidRPr="00386BB3" w:rsidRDefault="00336793" w:rsidP="00DF0B96">
            <w:pPr>
              <w:pStyle w:val="Tabletextheading"/>
              <w:rPr>
                <w:rFonts w:eastAsiaTheme="minorEastAsia"/>
                <w:color w:val="FFFFFF"/>
                <w:sz w:val="21"/>
                <w:lang w:eastAsia="en-AU"/>
              </w:rPr>
            </w:pPr>
            <w:r w:rsidRPr="00386BB3">
              <w:rPr>
                <w:rFonts w:eastAsiaTheme="minorEastAsia"/>
                <w:color w:val="FFFFFF"/>
                <w:sz w:val="21"/>
                <w:lang w:eastAsia="en-AU"/>
              </w:rPr>
              <w:t xml:space="preserve">  </w:t>
            </w:r>
          </w:p>
        </w:tc>
        <w:tc>
          <w:tcPr>
            <w:tcW w:w="1040" w:type="dxa"/>
            <w:tcBorders>
              <w:top w:val="single" w:sz="6" w:space="0" w:color="auto"/>
              <w:left w:val="nil"/>
              <w:bottom w:val="single" w:sz="6" w:space="0" w:color="auto"/>
              <w:right w:val="single" w:sz="6" w:space="0" w:color="auto"/>
            </w:tcBorders>
            <w:shd w:val="clear" w:color="000000" w:fill="000000"/>
            <w:vAlign w:val="bottom"/>
          </w:tcPr>
          <w:p w:rsidR="00336793" w:rsidRPr="00386BB3" w:rsidRDefault="00336793" w:rsidP="00DF0B96">
            <w:pPr>
              <w:pStyle w:val="Tabletextheading"/>
              <w:rPr>
                <w:rFonts w:eastAsiaTheme="minorEastAsia"/>
                <w:color w:val="FFFFFF"/>
                <w:sz w:val="21"/>
                <w:lang w:eastAsia="en-AU"/>
              </w:rPr>
            </w:pPr>
            <w:r w:rsidRPr="00386BB3">
              <w:rPr>
                <w:rFonts w:eastAsiaTheme="minorEastAsia"/>
                <w:color w:val="FFFFFF"/>
                <w:sz w:val="21"/>
                <w:lang w:eastAsia="en-AU"/>
              </w:rPr>
              <w:t xml:space="preserve">  </w:t>
            </w:r>
          </w:p>
        </w:tc>
      </w:tr>
      <w:tr w:rsidR="00336793" w:rsidRPr="00386BB3" w:rsidTr="00DF0B96">
        <w:tc>
          <w:tcPr>
            <w:tcW w:w="2357" w:type="dxa"/>
            <w:tcBorders>
              <w:top w:val="single" w:sz="6" w:space="0" w:color="auto"/>
              <w:left w:val="nil"/>
              <w:bottom w:val="nil"/>
              <w:right w:val="nil"/>
            </w:tcBorders>
          </w:tcPr>
          <w:p w:rsidR="00336793" w:rsidRPr="00386BB3" w:rsidRDefault="00336793" w:rsidP="00DF0B96">
            <w:pPr>
              <w:pStyle w:val="Tabletext"/>
              <w:rPr>
                <w:rFonts w:eastAsiaTheme="minorEastAsia"/>
                <w:sz w:val="21"/>
                <w:lang w:eastAsia="en-AU"/>
              </w:rPr>
            </w:pPr>
            <w:r w:rsidRPr="00386BB3">
              <w:rPr>
                <w:rFonts w:eastAsiaTheme="minorEastAsia"/>
                <w:sz w:val="21"/>
                <w:lang w:eastAsia="en-AU"/>
              </w:rPr>
              <w:t>Payables, deposits held and advances received</w:t>
            </w:r>
            <w:r>
              <w:rPr>
                <w:rFonts w:eastAsiaTheme="minorEastAsia"/>
                <w:sz w:val="21"/>
                <w:vertAlign w:val="superscript"/>
                <w:lang w:eastAsia="en-AU"/>
              </w:rPr>
              <w:t> </w:t>
            </w:r>
            <w:r w:rsidRPr="00E96950">
              <w:rPr>
                <w:rFonts w:eastAsiaTheme="minorEastAsia"/>
                <w:sz w:val="21"/>
                <w:vertAlign w:val="superscript"/>
                <w:lang w:eastAsia="en-AU"/>
              </w:rPr>
              <w:t>(</w:t>
            </w:r>
            <w:r w:rsidRPr="00894F2A">
              <w:rPr>
                <w:rFonts w:eastAsiaTheme="minorEastAsia"/>
                <w:sz w:val="21"/>
                <w:vertAlign w:val="superscript"/>
                <w:lang w:eastAsia="en-AU"/>
              </w:rPr>
              <w:t>b)</w:t>
            </w:r>
          </w:p>
        </w:tc>
        <w:tc>
          <w:tcPr>
            <w:tcW w:w="1040" w:type="dxa"/>
            <w:gridSpan w:val="2"/>
            <w:tcBorders>
              <w:top w:val="single" w:sz="6" w:space="0" w:color="auto"/>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3 883.5</w:t>
            </w:r>
          </w:p>
        </w:tc>
        <w:tc>
          <w:tcPr>
            <w:tcW w:w="1040" w:type="dxa"/>
            <w:tcBorders>
              <w:top w:val="single" w:sz="6" w:space="0" w:color="auto"/>
              <w:left w:val="nil"/>
              <w:bottom w:val="nil"/>
              <w:right w:val="nil"/>
            </w:tcBorders>
          </w:tcPr>
          <w:p w:rsidR="00336793" w:rsidRPr="00386BB3" w:rsidRDefault="00336793" w:rsidP="00DF0B96">
            <w:pPr>
              <w:pStyle w:val="TableofFigures"/>
              <w:rPr>
                <w:rFonts w:eastAsiaTheme="minorEastAsia"/>
                <w:sz w:val="21"/>
                <w:lang w:eastAsia="en-AU"/>
              </w:rPr>
            </w:pPr>
            <w:r>
              <w:rPr>
                <w:rFonts w:eastAsiaTheme="minorEastAsia"/>
                <w:sz w:val="21"/>
                <w:lang w:eastAsia="en-AU"/>
              </w:rPr>
              <w:t>3 883.5</w:t>
            </w:r>
          </w:p>
        </w:tc>
        <w:tc>
          <w:tcPr>
            <w:tcW w:w="1040" w:type="dxa"/>
            <w:tcBorders>
              <w:top w:val="single" w:sz="6" w:space="0" w:color="auto"/>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 xml:space="preserve">3 </w:t>
            </w:r>
            <w:r>
              <w:rPr>
                <w:rFonts w:eastAsiaTheme="minorEastAsia"/>
                <w:sz w:val="21"/>
                <w:lang w:eastAsia="en-AU"/>
              </w:rPr>
              <w:t>246.0</w:t>
            </w:r>
          </w:p>
        </w:tc>
        <w:tc>
          <w:tcPr>
            <w:tcW w:w="1040" w:type="dxa"/>
            <w:tcBorders>
              <w:top w:val="single" w:sz="6" w:space="0" w:color="auto"/>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 xml:space="preserve"> 549.0</w:t>
            </w:r>
          </w:p>
        </w:tc>
        <w:tc>
          <w:tcPr>
            <w:tcW w:w="1040" w:type="dxa"/>
            <w:tcBorders>
              <w:top w:val="single" w:sz="6" w:space="0" w:color="auto"/>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 xml:space="preserve"> 33.9</w:t>
            </w:r>
          </w:p>
        </w:tc>
        <w:tc>
          <w:tcPr>
            <w:tcW w:w="1040" w:type="dxa"/>
            <w:tcBorders>
              <w:top w:val="single" w:sz="6" w:space="0" w:color="auto"/>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 xml:space="preserve"> 30.7</w:t>
            </w:r>
          </w:p>
        </w:tc>
        <w:tc>
          <w:tcPr>
            <w:tcW w:w="1040" w:type="dxa"/>
            <w:tcBorders>
              <w:top w:val="single" w:sz="6" w:space="0" w:color="auto"/>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 xml:space="preserve"> 23.8</w:t>
            </w:r>
          </w:p>
        </w:tc>
      </w:tr>
      <w:tr w:rsidR="00336793" w:rsidRPr="00386BB3" w:rsidTr="00DF0B96">
        <w:tc>
          <w:tcPr>
            <w:tcW w:w="2717" w:type="dxa"/>
            <w:gridSpan w:val="2"/>
            <w:tcBorders>
              <w:top w:val="nil"/>
              <w:left w:val="nil"/>
              <w:bottom w:val="nil"/>
              <w:right w:val="nil"/>
            </w:tcBorders>
          </w:tcPr>
          <w:p w:rsidR="00336793" w:rsidRPr="00386BB3" w:rsidRDefault="00336793" w:rsidP="00DF0B96">
            <w:pPr>
              <w:pStyle w:val="Tabletext"/>
              <w:rPr>
                <w:rFonts w:eastAsiaTheme="minorEastAsia"/>
                <w:b/>
                <w:bCs/>
                <w:sz w:val="21"/>
                <w:lang w:eastAsia="en-AU"/>
              </w:rPr>
            </w:pPr>
            <w:r w:rsidRPr="00386BB3">
              <w:rPr>
                <w:rFonts w:eastAsiaTheme="minorEastAsia"/>
                <w:b/>
                <w:bCs/>
                <w:sz w:val="21"/>
                <w:lang w:eastAsia="en-AU"/>
              </w:rPr>
              <w:t>Interest</w:t>
            </w:r>
            <w:r>
              <w:rPr>
                <w:rFonts w:eastAsiaTheme="minorEastAsia"/>
                <w:b/>
                <w:bCs/>
                <w:sz w:val="21"/>
                <w:lang w:eastAsia="en-AU"/>
              </w:rPr>
              <w:noBreakHyphen/>
            </w:r>
            <w:r w:rsidRPr="00386BB3">
              <w:rPr>
                <w:rFonts w:eastAsiaTheme="minorEastAsia"/>
                <w:b/>
                <w:bCs/>
                <w:sz w:val="21"/>
                <w:lang w:eastAsia="en-AU"/>
              </w:rPr>
              <w:t>bearing liabilities:</w:t>
            </w:r>
          </w:p>
        </w:tc>
        <w:tc>
          <w:tcPr>
            <w:tcW w:w="680" w:type="dxa"/>
            <w:tcBorders>
              <w:top w:val="nil"/>
              <w:left w:val="nil"/>
              <w:bottom w:val="nil"/>
              <w:right w:val="nil"/>
            </w:tcBorders>
          </w:tcPr>
          <w:p w:rsidR="00336793" w:rsidRPr="00386BB3" w:rsidRDefault="00336793" w:rsidP="00DF0B96">
            <w:pPr>
              <w:pStyle w:val="TableofFigures"/>
              <w:rPr>
                <w:rFonts w:eastAsiaTheme="minorEastAsia"/>
                <w:b/>
                <w:sz w:val="21"/>
                <w:lang w:eastAsia="en-AU"/>
              </w:rPr>
            </w:pPr>
            <w:r w:rsidRPr="00386BB3">
              <w:rPr>
                <w:rFonts w:eastAsiaTheme="minorEastAsia"/>
                <w:b/>
                <w:sz w:val="21"/>
                <w:lang w:eastAsia="en-AU"/>
              </w:rPr>
              <w:t xml:space="preserve"> </w:t>
            </w:r>
          </w:p>
        </w:tc>
        <w:tc>
          <w:tcPr>
            <w:tcW w:w="1040" w:type="dxa"/>
            <w:tcBorders>
              <w:top w:val="nil"/>
              <w:left w:val="nil"/>
              <w:bottom w:val="nil"/>
              <w:right w:val="nil"/>
            </w:tcBorders>
          </w:tcPr>
          <w:p w:rsidR="00336793" w:rsidRPr="00386BB3" w:rsidRDefault="00336793" w:rsidP="00DF0B96">
            <w:pPr>
              <w:pStyle w:val="TableofFigures"/>
              <w:rPr>
                <w:rFonts w:eastAsiaTheme="minorEastAsia"/>
                <w:b/>
                <w:sz w:val="21"/>
                <w:lang w:eastAsia="en-AU"/>
              </w:rPr>
            </w:pPr>
            <w:r w:rsidRPr="00386BB3">
              <w:rPr>
                <w:rFonts w:eastAsiaTheme="minorEastAsia"/>
                <w:b/>
                <w:sz w:val="21"/>
                <w:lang w:eastAsia="en-AU"/>
              </w:rPr>
              <w:t xml:space="preserve"> </w:t>
            </w:r>
          </w:p>
        </w:tc>
        <w:tc>
          <w:tcPr>
            <w:tcW w:w="1040" w:type="dxa"/>
            <w:tcBorders>
              <w:top w:val="nil"/>
              <w:left w:val="nil"/>
              <w:bottom w:val="nil"/>
              <w:right w:val="nil"/>
            </w:tcBorders>
          </w:tcPr>
          <w:p w:rsidR="00336793" w:rsidRPr="00386BB3" w:rsidRDefault="00336793" w:rsidP="00DF0B96">
            <w:pPr>
              <w:pStyle w:val="TableofFigures"/>
              <w:rPr>
                <w:rFonts w:eastAsiaTheme="minorEastAsia"/>
                <w:b/>
                <w:sz w:val="21"/>
                <w:lang w:eastAsia="en-AU"/>
              </w:rPr>
            </w:pPr>
            <w:r w:rsidRPr="00386BB3">
              <w:rPr>
                <w:rFonts w:eastAsiaTheme="minorEastAsia"/>
                <w:b/>
                <w:sz w:val="21"/>
                <w:lang w:eastAsia="en-AU"/>
              </w:rPr>
              <w:t xml:space="preserve"> </w:t>
            </w:r>
          </w:p>
        </w:tc>
        <w:tc>
          <w:tcPr>
            <w:tcW w:w="1040" w:type="dxa"/>
            <w:tcBorders>
              <w:top w:val="nil"/>
              <w:left w:val="nil"/>
              <w:bottom w:val="nil"/>
              <w:right w:val="nil"/>
            </w:tcBorders>
          </w:tcPr>
          <w:p w:rsidR="00336793" w:rsidRPr="00386BB3" w:rsidRDefault="00336793" w:rsidP="00DF0B96">
            <w:pPr>
              <w:pStyle w:val="TableofFigures"/>
              <w:rPr>
                <w:rFonts w:eastAsiaTheme="minorEastAsia"/>
                <w:b/>
                <w:sz w:val="21"/>
                <w:lang w:eastAsia="en-AU"/>
              </w:rPr>
            </w:pPr>
            <w:r w:rsidRPr="00386BB3">
              <w:rPr>
                <w:rFonts w:eastAsiaTheme="minorEastAsia"/>
                <w:b/>
                <w:sz w:val="21"/>
                <w:lang w:eastAsia="en-AU"/>
              </w:rPr>
              <w:t xml:space="preserve"> </w:t>
            </w:r>
          </w:p>
        </w:tc>
        <w:tc>
          <w:tcPr>
            <w:tcW w:w="1040" w:type="dxa"/>
            <w:tcBorders>
              <w:top w:val="nil"/>
              <w:left w:val="nil"/>
              <w:bottom w:val="nil"/>
              <w:right w:val="nil"/>
            </w:tcBorders>
          </w:tcPr>
          <w:p w:rsidR="00336793" w:rsidRPr="00386BB3" w:rsidRDefault="00336793" w:rsidP="00DF0B96">
            <w:pPr>
              <w:pStyle w:val="TableofFigures"/>
              <w:rPr>
                <w:rFonts w:eastAsiaTheme="minorEastAsia"/>
                <w:b/>
                <w:sz w:val="21"/>
                <w:lang w:eastAsia="en-AU"/>
              </w:rPr>
            </w:pPr>
            <w:r w:rsidRPr="00386BB3">
              <w:rPr>
                <w:rFonts w:eastAsiaTheme="minorEastAsia"/>
                <w:b/>
                <w:sz w:val="21"/>
                <w:lang w:eastAsia="en-AU"/>
              </w:rPr>
              <w:t xml:space="preserve"> </w:t>
            </w:r>
          </w:p>
        </w:tc>
        <w:tc>
          <w:tcPr>
            <w:tcW w:w="1040" w:type="dxa"/>
            <w:tcBorders>
              <w:top w:val="nil"/>
              <w:left w:val="nil"/>
              <w:bottom w:val="nil"/>
              <w:right w:val="nil"/>
            </w:tcBorders>
          </w:tcPr>
          <w:p w:rsidR="00336793" w:rsidRPr="00386BB3" w:rsidRDefault="00336793" w:rsidP="00DF0B96">
            <w:pPr>
              <w:pStyle w:val="TableofFigures"/>
              <w:rPr>
                <w:rFonts w:eastAsiaTheme="minorEastAsia"/>
                <w:b/>
                <w:sz w:val="21"/>
                <w:lang w:eastAsia="en-AU"/>
              </w:rPr>
            </w:pPr>
            <w:r w:rsidRPr="00386BB3">
              <w:rPr>
                <w:rFonts w:eastAsiaTheme="minorEastAsia"/>
                <w:b/>
                <w:sz w:val="21"/>
                <w:lang w:eastAsia="en-AU"/>
              </w:rPr>
              <w:t xml:space="preserve"> </w:t>
            </w:r>
          </w:p>
        </w:tc>
        <w:tc>
          <w:tcPr>
            <w:tcW w:w="1040" w:type="dxa"/>
            <w:tcBorders>
              <w:top w:val="nil"/>
              <w:left w:val="nil"/>
              <w:bottom w:val="nil"/>
              <w:right w:val="nil"/>
            </w:tcBorders>
          </w:tcPr>
          <w:p w:rsidR="00336793" w:rsidRPr="00386BB3" w:rsidRDefault="00336793" w:rsidP="00DF0B96">
            <w:pPr>
              <w:pStyle w:val="TableofFigures"/>
              <w:rPr>
                <w:rFonts w:eastAsiaTheme="minorEastAsia"/>
                <w:b/>
                <w:sz w:val="21"/>
                <w:lang w:eastAsia="en-AU"/>
              </w:rPr>
            </w:pPr>
            <w:r w:rsidRPr="00386BB3">
              <w:rPr>
                <w:rFonts w:eastAsiaTheme="minorEastAsia"/>
                <w:b/>
                <w:sz w:val="21"/>
                <w:lang w:eastAsia="en-AU"/>
              </w:rPr>
              <w:t xml:space="preserve"> </w:t>
            </w:r>
          </w:p>
        </w:tc>
      </w:tr>
      <w:tr w:rsidR="00336793" w:rsidRPr="00386BB3" w:rsidTr="00DF0B96">
        <w:tc>
          <w:tcPr>
            <w:tcW w:w="2357" w:type="dxa"/>
            <w:tcBorders>
              <w:top w:val="nil"/>
              <w:left w:val="nil"/>
              <w:bottom w:val="nil"/>
              <w:right w:val="nil"/>
            </w:tcBorders>
          </w:tcPr>
          <w:p w:rsidR="00336793" w:rsidRPr="00386BB3" w:rsidRDefault="00336793" w:rsidP="00DF0B96">
            <w:pPr>
              <w:pStyle w:val="Tabletext"/>
              <w:rPr>
                <w:rFonts w:eastAsiaTheme="minorEastAsia"/>
                <w:sz w:val="21"/>
                <w:lang w:eastAsia="en-AU"/>
              </w:rPr>
            </w:pPr>
            <w:r w:rsidRPr="00386BB3">
              <w:rPr>
                <w:rFonts w:eastAsiaTheme="minorEastAsia"/>
                <w:sz w:val="21"/>
                <w:lang w:eastAsia="en-AU"/>
              </w:rPr>
              <w:t>Domestic borrowings</w:t>
            </w:r>
          </w:p>
        </w:tc>
        <w:tc>
          <w:tcPr>
            <w:tcW w:w="1040" w:type="dxa"/>
            <w:gridSpan w:val="2"/>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24 883.0</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24 883.0</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 xml:space="preserve"> 30.7</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1 134.9</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1 450.7</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5 728.5</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16 538.1</w:t>
            </w:r>
          </w:p>
        </w:tc>
      </w:tr>
      <w:tr w:rsidR="00336793" w:rsidRPr="00386BB3" w:rsidTr="00DF0B96">
        <w:tc>
          <w:tcPr>
            <w:tcW w:w="2357" w:type="dxa"/>
            <w:tcBorders>
              <w:top w:val="nil"/>
              <w:left w:val="nil"/>
              <w:bottom w:val="nil"/>
              <w:right w:val="nil"/>
            </w:tcBorders>
          </w:tcPr>
          <w:p w:rsidR="00336793" w:rsidRPr="00386BB3" w:rsidRDefault="00336793" w:rsidP="00DF0B96">
            <w:pPr>
              <w:pStyle w:val="Tabletext"/>
              <w:rPr>
                <w:rFonts w:eastAsiaTheme="minorEastAsia"/>
                <w:sz w:val="21"/>
                <w:lang w:eastAsia="en-AU"/>
              </w:rPr>
            </w:pPr>
            <w:r w:rsidRPr="00386BB3">
              <w:rPr>
                <w:rFonts w:eastAsiaTheme="minorEastAsia"/>
                <w:sz w:val="21"/>
                <w:lang w:eastAsia="en-AU"/>
              </w:rPr>
              <w:t>Foreign currency borrowings</w:t>
            </w:r>
          </w:p>
        </w:tc>
        <w:tc>
          <w:tcPr>
            <w:tcW w:w="1040" w:type="dxa"/>
            <w:gridSpan w:val="2"/>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w:t>
            </w:r>
          </w:p>
        </w:tc>
      </w:tr>
      <w:tr w:rsidR="00336793" w:rsidRPr="00386BB3" w:rsidTr="00DF0B96">
        <w:tc>
          <w:tcPr>
            <w:tcW w:w="2357" w:type="dxa"/>
            <w:tcBorders>
              <w:top w:val="nil"/>
              <w:left w:val="nil"/>
              <w:bottom w:val="nil"/>
              <w:right w:val="nil"/>
            </w:tcBorders>
          </w:tcPr>
          <w:p w:rsidR="00336793" w:rsidRPr="00386BB3" w:rsidRDefault="00336793" w:rsidP="00DF0B96">
            <w:pPr>
              <w:pStyle w:val="Tabletext"/>
              <w:rPr>
                <w:rFonts w:eastAsiaTheme="minorEastAsia"/>
                <w:sz w:val="21"/>
                <w:lang w:eastAsia="en-AU"/>
              </w:rPr>
            </w:pPr>
            <w:r w:rsidRPr="00386BB3">
              <w:rPr>
                <w:rFonts w:eastAsiaTheme="minorEastAsia"/>
                <w:sz w:val="21"/>
                <w:lang w:eastAsia="en-AU"/>
              </w:rPr>
              <w:t xml:space="preserve">Finance lease liabilities </w:t>
            </w:r>
          </w:p>
        </w:tc>
        <w:tc>
          <w:tcPr>
            <w:tcW w:w="1040" w:type="dxa"/>
            <w:gridSpan w:val="2"/>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8 049.8</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20 813.4</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 xml:space="preserve"> 213.8</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 xml:space="preserve"> 657.8</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1 072.3</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2 573.6</w:t>
            </w:r>
          </w:p>
        </w:tc>
        <w:tc>
          <w:tcPr>
            <w:tcW w:w="1040" w:type="dxa"/>
            <w:tcBorders>
              <w:top w:val="nil"/>
              <w:left w:val="nil"/>
              <w:bottom w:val="nil"/>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16 295.8</w:t>
            </w:r>
          </w:p>
        </w:tc>
      </w:tr>
      <w:tr w:rsidR="00336793" w:rsidRPr="00386BB3" w:rsidTr="00DF0B96">
        <w:tc>
          <w:tcPr>
            <w:tcW w:w="2357" w:type="dxa"/>
            <w:tcBorders>
              <w:top w:val="nil"/>
              <w:left w:val="nil"/>
              <w:bottom w:val="single" w:sz="6" w:space="0" w:color="auto"/>
              <w:right w:val="nil"/>
            </w:tcBorders>
          </w:tcPr>
          <w:p w:rsidR="00336793" w:rsidRPr="00386BB3" w:rsidRDefault="00336793" w:rsidP="00DF0B96">
            <w:pPr>
              <w:pStyle w:val="Tabletext"/>
              <w:rPr>
                <w:rFonts w:eastAsiaTheme="minorEastAsia"/>
                <w:sz w:val="21"/>
                <w:lang w:eastAsia="en-AU"/>
              </w:rPr>
            </w:pPr>
            <w:r w:rsidRPr="00386BB3">
              <w:rPr>
                <w:rFonts w:eastAsiaTheme="minorEastAsia"/>
                <w:sz w:val="21"/>
                <w:lang w:eastAsia="en-AU"/>
              </w:rPr>
              <w:t>Derivative financial liabilities</w:t>
            </w:r>
          </w:p>
        </w:tc>
        <w:tc>
          <w:tcPr>
            <w:tcW w:w="1040" w:type="dxa"/>
            <w:gridSpan w:val="2"/>
            <w:tcBorders>
              <w:top w:val="nil"/>
              <w:left w:val="nil"/>
              <w:bottom w:val="single" w:sz="6" w:space="0" w:color="auto"/>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 xml:space="preserve"> 20.8</w:t>
            </w:r>
          </w:p>
        </w:tc>
        <w:tc>
          <w:tcPr>
            <w:tcW w:w="1040" w:type="dxa"/>
            <w:tcBorders>
              <w:top w:val="nil"/>
              <w:left w:val="nil"/>
              <w:bottom w:val="single" w:sz="6" w:space="0" w:color="auto"/>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 xml:space="preserve"> 20.8</w:t>
            </w:r>
          </w:p>
        </w:tc>
        <w:tc>
          <w:tcPr>
            <w:tcW w:w="1040" w:type="dxa"/>
            <w:tcBorders>
              <w:top w:val="nil"/>
              <w:left w:val="nil"/>
              <w:bottom w:val="single" w:sz="6" w:space="0" w:color="auto"/>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w:t>
            </w:r>
          </w:p>
        </w:tc>
        <w:tc>
          <w:tcPr>
            <w:tcW w:w="1040" w:type="dxa"/>
            <w:tcBorders>
              <w:top w:val="nil"/>
              <w:left w:val="nil"/>
              <w:bottom w:val="single" w:sz="6" w:space="0" w:color="auto"/>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w:t>
            </w:r>
          </w:p>
        </w:tc>
        <w:tc>
          <w:tcPr>
            <w:tcW w:w="1040" w:type="dxa"/>
            <w:tcBorders>
              <w:top w:val="nil"/>
              <w:left w:val="nil"/>
              <w:bottom w:val="single" w:sz="6" w:space="0" w:color="auto"/>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w:t>
            </w:r>
          </w:p>
        </w:tc>
        <w:tc>
          <w:tcPr>
            <w:tcW w:w="1040" w:type="dxa"/>
            <w:tcBorders>
              <w:top w:val="nil"/>
              <w:left w:val="nil"/>
              <w:bottom w:val="single" w:sz="6" w:space="0" w:color="auto"/>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w:t>
            </w:r>
          </w:p>
        </w:tc>
        <w:tc>
          <w:tcPr>
            <w:tcW w:w="1040" w:type="dxa"/>
            <w:tcBorders>
              <w:top w:val="nil"/>
              <w:left w:val="nil"/>
              <w:bottom w:val="single" w:sz="6" w:space="0" w:color="auto"/>
              <w:right w:val="nil"/>
            </w:tcBorders>
          </w:tcPr>
          <w:p w:rsidR="00336793" w:rsidRPr="00386BB3" w:rsidRDefault="00336793" w:rsidP="00DF0B96">
            <w:pPr>
              <w:pStyle w:val="TableofFigures"/>
              <w:rPr>
                <w:rFonts w:eastAsiaTheme="minorEastAsia"/>
                <w:sz w:val="21"/>
                <w:lang w:eastAsia="en-AU"/>
              </w:rPr>
            </w:pPr>
            <w:r w:rsidRPr="00386BB3">
              <w:rPr>
                <w:rFonts w:eastAsiaTheme="minorEastAsia"/>
                <w:sz w:val="21"/>
                <w:lang w:eastAsia="en-AU"/>
              </w:rPr>
              <w:t xml:space="preserve"> 20.8</w:t>
            </w:r>
          </w:p>
        </w:tc>
      </w:tr>
      <w:tr w:rsidR="00336793" w:rsidRPr="00386BB3" w:rsidTr="00DF0B96">
        <w:tc>
          <w:tcPr>
            <w:tcW w:w="2357" w:type="dxa"/>
            <w:tcBorders>
              <w:top w:val="single" w:sz="6" w:space="0" w:color="auto"/>
              <w:left w:val="nil"/>
              <w:bottom w:val="single" w:sz="12" w:space="0" w:color="000000"/>
              <w:right w:val="nil"/>
            </w:tcBorders>
            <w:shd w:val="clear" w:color="auto" w:fill="auto"/>
          </w:tcPr>
          <w:p w:rsidR="00336793" w:rsidRPr="00386BB3" w:rsidRDefault="00336793" w:rsidP="00DF0B96">
            <w:pPr>
              <w:pStyle w:val="Tabletext"/>
              <w:rPr>
                <w:rFonts w:eastAsiaTheme="minorEastAsia"/>
                <w:b/>
                <w:bCs/>
                <w:sz w:val="21"/>
                <w:lang w:eastAsia="en-AU"/>
              </w:rPr>
            </w:pPr>
            <w:r w:rsidRPr="00386BB3">
              <w:rPr>
                <w:rFonts w:eastAsiaTheme="minorEastAsia"/>
                <w:b/>
                <w:bCs/>
                <w:sz w:val="21"/>
                <w:lang w:eastAsia="en-AU"/>
              </w:rPr>
              <w:t>Total</w:t>
            </w:r>
            <w:r w:rsidRPr="00E96950">
              <w:rPr>
                <w:rFonts w:eastAsiaTheme="minorEastAsia"/>
                <w:b/>
                <w:bCs/>
                <w:sz w:val="21"/>
                <w:vertAlign w:val="superscript"/>
                <w:lang w:eastAsia="en-AU"/>
              </w:rPr>
              <w:t xml:space="preserve"> (</w:t>
            </w:r>
            <w:r w:rsidRPr="00894F2A">
              <w:rPr>
                <w:rFonts w:eastAsiaTheme="minorEastAsia"/>
                <w:b/>
                <w:bCs/>
                <w:sz w:val="21"/>
                <w:vertAlign w:val="superscript"/>
                <w:lang w:eastAsia="en-AU"/>
              </w:rPr>
              <w:t>b)</w:t>
            </w:r>
          </w:p>
        </w:tc>
        <w:tc>
          <w:tcPr>
            <w:tcW w:w="1040" w:type="dxa"/>
            <w:gridSpan w:val="2"/>
            <w:tcBorders>
              <w:top w:val="single" w:sz="6" w:space="0" w:color="auto"/>
              <w:left w:val="nil"/>
              <w:bottom w:val="single" w:sz="12" w:space="0" w:color="000000"/>
              <w:right w:val="nil"/>
            </w:tcBorders>
            <w:shd w:val="clear" w:color="auto" w:fill="auto"/>
          </w:tcPr>
          <w:p w:rsidR="00336793" w:rsidRPr="00386BB3" w:rsidRDefault="00336793" w:rsidP="00DF0B96">
            <w:pPr>
              <w:pStyle w:val="TableofFigures"/>
              <w:rPr>
                <w:rFonts w:eastAsiaTheme="minorEastAsia"/>
                <w:b/>
                <w:bCs/>
                <w:sz w:val="21"/>
                <w:lang w:eastAsia="en-AU"/>
              </w:rPr>
            </w:pPr>
            <w:r w:rsidRPr="00386BB3">
              <w:rPr>
                <w:rFonts w:eastAsiaTheme="minorEastAsia"/>
                <w:b/>
                <w:bCs/>
                <w:sz w:val="21"/>
                <w:lang w:eastAsia="en-AU"/>
              </w:rPr>
              <w:t>36 837.1</w:t>
            </w:r>
          </w:p>
        </w:tc>
        <w:tc>
          <w:tcPr>
            <w:tcW w:w="1040" w:type="dxa"/>
            <w:tcBorders>
              <w:top w:val="single" w:sz="6" w:space="0" w:color="auto"/>
              <w:left w:val="nil"/>
              <w:bottom w:val="single" w:sz="12" w:space="0" w:color="000000"/>
              <w:right w:val="nil"/>
            </w:tcBorders>
            <w:shd w:val="clear" w:color="auto" w:fill="auto"/>
          </w:tcPr>
          <w:p w:rsidR="00336793" w:rsidRPr="00386BB3" w:rsidRDefault="00336793" w:rsidP="00DF0B96">
            <w:pPr>
              <w:pStyle w:val="TableofFigures"/>
              <w:rPr>
                <w:rFonts w:eastAsiaTheme="minorEastAsia"/>
                <w:b/>
                <w:bCs/>
                <w:sz w:val="21"/>
                <w:lang w:eastAsia="en-AU"/>
              </w:rPr>
            </w:pPr>
            <w:r w:rsidRPr="00386BB3">
              <w:rPr>
                <w:rFonts w:eastAsiaTheme="minorEastAsia"/>
                <w:b/>
                <w:bCs/>
                <w:sz w:val="21"/>
                <w:lang w:eastAsia="en-AU"/>
              </w:rPr>
              <w:t xml:space="preserve">49 </w:t>
            </w:r>
            <w:r>
              <w:rPr>
                <w:rFonts w:eastAsiaTheme="minorEastAsia"/>
                <w:b/>
                <w:bCs/>
                <w:sz w:val="21"/>
                <w:lang w:eastAsia="en-AU"/>
              </w:rPr>
              <w:t>600.7</w:t>
            </w:r>
          </w:p>
        </w:tc>
        <w:tc>
          <w:tcPr>
            <w:tcW w:w="1040" w:type="dxa"/>
            <w:tcBorders>
              <w:top w:val="single" w:sz="6" w:space="0" w:color="auto"/>
              <w:left w:val="nil"/>
              <w:bottom w:val="single" w:sz="12" w:space="0" w:color="000000"/>
              <w:right w:val="nil"/>
            </w:tcBorders>
            <w:shd w:val="clear" w:color="auto" w:fill="auto"/>
          </w:tcPr>
          <w:p w:rsidR="00336793" w:rsidRPr="00386BB3" w:rsidRDefault="00336793" w:rsidP="00DF0B96">
            <w:pPr>
              <w:pStyle w:val="TableofFigures"/>
              <w:rPr>
                <w:rFonts w:eastAsiaTheme="minorEastAsia"/>
                <w:b/>
                <w:bCs/>
                <w:sz w:val="21"/>
                <w:lang w:eastAsia="en-AU"/>
              </w:rPr>
            </w:pPr>
            <w:r w:rsidRPr="00386BB3">
              <w:rPr>
                <w:rFonts w:eastAsiaTheme="minorEastAsia"/>
                <w:b/>
                <w:bCs/>
                <w:sz w:val="21"/>
                <w:lang w:eastAsia="en-AU"/>
              </w:rPr>
              <w:t xml:space="preserve">3 </w:t>
            </w:r>
            <w:r>
              <w:rPr>
                <w:rFonts w:eastAsiaTheme="minorEastAsia"/>
                <w:b/>
                <w:bCs/>
                <w:sz w:val="21"/>
                <w:lang w:eastAsia="en-AU"/>
              </w:rPr>
              <w:t>490.6</w:t>
            </w:r>
          </w:p>
        </w:tc>
        <w:tc>
          <w:tcPr>
            <w:tcW w:w="1040" w:type="dxa"/>
            <w:tcBorders>
              <w:top w:val="single" w:sz="6" w:space="0" w:color="auto"/>
              <w:left w:val="nil"/>
              <w:bottom w:val="single" w:sz="12" w:space="0" w:color="000000"/>
              <w:right w:val="nil"/>
            </w:tcBorders>
            <w:shd w:val="clear" w:color="auto" w:fill="auto"/>
          </w:tcPr>
          <w:p w:rsidR="00336793" w:rsidRPr="00386BB3" w:rsidRDefault="00336793" w:rsidP="00DF0B96">
            <w:pPr>
              <w:pStyle w:val="TableofFigures"/>
              <w:rPr>
                <w:rFonts w:eastAsiaTheme="minorEastAsia"/>
                <w:b/>
                <w:bCs/>
                <w:sz w:val="21"/>
                <w:lang w:eastAsia="en-AU"/>
              </w:rPr>
            </w:pPr>
            <w:r w:rsidRPr="00386BB3">
              <w:rPr>
                <w:rFonts w:eastAsiaTheme="minorEastAsia"/>
                <w:b/>
                <w:bCs/>
                <w:sz w:val="21"/>
                <w:lang w:eastAsia="en-AU"/>
              </w:rPr>
              <w:t>2 341.8</w:t>
            </w:r>
          </w:p>
        </w:tc>
        <w:tc>
          <w:tcPr>
            <w:tcW w:w="1040" w:type="dxa"/>
            <w:tcBorders>
              <w:top w:val="single" w:sz="6" w:space="0" w:color="auto"/>
              <w:left w:val="nil"/>
              <w:bottom w:val="single" w:sz="12" w:space="0" w:color="000000"/>
              <w:right w:val="nil"/>
            </w:tcBorders>
            <w:shd w:val="clear" w:color="auto" w:fill="auto"/>
          </w:tcPr>
          <w:p w:rsidR="00336793" w:rsidRPr="00386BB3" w:rsidRDefault="00336793" w:rsidP="00DF0B96">
            <w:pPr>
              <w:pStyle w:val="TableofFigures"/>
              <w:rPr>
                <w:rFonts w:eastAsiaTheme="minorEastAsia"/>
                <w:b/>
                <w:bCs/>
                <w:sz w:val="21"/>
                <w:lang w:eastAsia="en-AU"/>
              </w:rPr>
            </w:pPr>
            <w:r w:rsidRPr="00386BB3">
              <w:rPr>
                <w:rFonts w:eastAsiaTheme="minorEastAsia"/>
                <w:b/>
                <w:bCs/>
                <w:sz w:val="21"/>
                <w:lang w:eastAsia="en-AU"/>
              </w:rPr>
              <w:t>2 557.0</w:t>
            </w:r>
          </w:p>
        </w:tc>
        <w:tc>
          <w:tcPr>
            <w:tcW w:w="1040" w:type="dxa"/>
            <w:tcBorders>
              <w:top w:val="single" w:sz="6" w:space="0" w:color="auto"/>
              <w:left w:val="nil"/>
              <w:bottom w:val="single" w:sz="12" w:space="0" w:color="000000"/>
              <w:right w:val="nil"/>
            </w:tcBorders>
            <w:shd w:val="clear" w:color="auto" w:fill="auto"/>
          </w:tcPr>
          <w:p w:rsidR="00336793" w:rsidRPr="00386BB3" w:rsidRDefault="00336793" w:rsidP="00DF0B96">
            <w:pPr>
              <w:pStyle w:val="TableofFigures"/>
              <w:rPr>
                <w:rFonts w:eastAsiaTheme="minorEastAsia"/>
                <w:b/>
                <w:bCs/>
                <w:sz w:val="21"/>
                <w:lang w:eastAsia="en-AU"/>
              </w:rPr>
            </w:pPr>
            <w:r w:rsidRPr="00386BB3">
              <w:rPr>
                <w:rFonts w:eastAsiaTheme="minorEastAsia"/>
                <w:b/>
                <w:bCs/>
                <w:sz w:val="21"/>
                <w:lang w:eastAsia="en-AU"/>
              </w:rPr>
              <w:t>8 332.9</w:t>
            </w:r>
          </w:p>
        </w:tc>
        <w:tc>
          <w:tcPr>
            <w:tcW w:w="1040" w:type="dxa"/>
            <w:tcBorders>
              <w:top w:val="single" w:sz="6" w:space="0" w:color="auto"/>
              <w:left w:val="nil"/>
              <w:bottom w:val="single" w:sz="12" w:space="0" w:color="000000"/>
              <w:right w:val="nil"/>
            </w:tcBorders>
            <w:shd w:val="clear" w:color="auto" w:fill="auto"/>
          </w:tcPr>
          <w:p w:rsidR="00336793" w:rsidRPr="00386BB3" w:rsidRDefault="00336793" w:rsidP="00DF0B96">
            <w:pPr>
              <w:pStyle w:val="TableofFigures"/>
              <w:rPr>
                <w:rFonts w:eastAsiaTheme="minorEastAsia"/>
                <w:b/>
                <w:bCs/>
                <w:sz w:val="21"/>
                <w:lang w:eastAsia="en-AU"/>
              </w:rPr>
            </w:pPr>
            <w:r w:rsidRPr="00386BB3">
              <w:rPr>
                <w:rFonts w:eastAsiaTheme="minorEastAsia"/>
                <w:b/>
                <w:bCs/>
                <w:sz w:val="21"/>
                <w:lang w:eastAsia="en-AU"/>
              </w:rPr>
              <w:t>32 878.5</w:t>
            </w:r>
          </w:p>
        </w:tc>
      </w:tr>
    </w:tbl>
    <w:p w:rsidR="00336793" w:rsidRPr="006A75A2" w:rsidRDefault="00336793" w:rsidP="00DF0B96">
      <w:pPr>
        <w:pStyle w:val="Notes"/>
      </w:pPr>
      <w:r>
        <w:t>Notes</w:t>
      </w:r>
      <w:r w:rsidRPr="006A75A2">
        <w:t>:</w:t>
      </w:r>
    </w:p>
    <w:p w:rsidR="00336793" w:rsidRDefault="00336793" w:rsidP="00DF0B96">
      <w:pPr>
        <w:pStyle w:val="Notes"/>
      </w:pPr>
      <w:r>
        <w:t>(a)</w:t>
      </w:r>
      <w:r w:rsidRPr="006A75A2">
        <w:tab/>
        <w:t>Represents undiscounted nominal amount.</w:t>
      </w:r>
    </w:p>
    <w:p w:rsidR="00336793" w:rsidRPr="006A75A2" w:rsidRDefault="00336793" w:rsidP="00DF0B96">
      <w:pPr>
        <w:pStyle w:val="Notes"/>
      </w:pPr>
      <w:r>
        <w:t>(b)</w:t>
      </w:r>
      <w:r w:rsidRPr="00894F2A">
        <w:tab/>
        <w:t>June 2014 comparative figures have been restated. See Note 37.</w:t>
      </w:r>
    </w:p>
    <w:p w:rsidR="00336793" w:rsidRPr="006A75A2" w:rsidRDefault="00336793" w:rsidP="00DF0B96"/>
    <w:p w:rsidR="00336793" w:rsidRPr="006A75A2" w:rsidRDefault="00336793" w:rsidP="00DF0B96">
      <w:r w:rsidRPr="006A75A2">
        <w:t>Finance lease liabilities are payable as follows:</w:t>
      </w:r>
    </w:p>
    <w:p w:rsidR="00336793" w:rsidRPr="00E93050" w:rsidRDefault="00336793" w:rsidP="00DF0B96">
      <w:pPr>
        <w:pStyle w:val="million"/>
        <w:rPr>
          <w:rFonts w:ascii="Times New Roman" w:hAnsi="Times New Roman"/>
          <w:i w:val="0"/>
          <w:szCs w:val="20"/>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E93050" w:rsidTr="00DF0B96">
        <w:tc>
          <w:tcPr>
            <w:tcW w:w="5157" w:type="dxa"/>
            <w:tcBorders>
              <w:top w:val="single" w:sz="6" w:space="0" w:color="auto"/>
              <w:left w:val="single" w:sz="6" w:space="0" w:color="auto"/>
              <w:bottom w:val="nil"/>
              <w:right w:val="nil"/>
            </w:tcBorders>
            <w:shd w:val="clear" w:color="000000" w:fill="000000"/>
          </w:tcPr>
          <w:p w:rsidR="00336793" w:rsidRPr="00E93050" w:rsidRDefault="00336793" w:rsidP="00DF0B96">
            <w:pPr>
              <w:pStyle w:val="Tabletext"/>
              <w:rPr>
                <w:rFonts w:eastAsiaTheme="minorEastAsia"/>
                <w:i/>
                <w:lang w:eastAsia="en-AU"/>
              </w:rPr>
            </w:pPr>
            <w:r w:rsidRPr="00E93050">
              <w:rPr>
                <w:rFonts w:eastAsiaTheme="minorEastAsia"/>
                <w:i/>
                <w:lang w:eastAsia="en-AU"/>
              </w:rPr>
              <w:t xml:space="preserve"> </w:t>
            </w:r>
          </w:p>
        </w:tc>
        <w:tc>
          <w:tcPr>
            <w:tcW w:w="260" w:type="dxa"/>
            <w:tcBorders>
              <w:top w:val="single" w:sz="6" w:space="0" w:color="auto"/>
              <w:left w:val="nil"/>
              <w:bottom w:val="nil"/>
              <w:right w:val="nil"/>
            </w:tcBorders>
            <w:shd w:val="clear" w:color="000000" w:fill="000000"/>
          </w:tcPr>
          <w:p w:rsidR="00336793" w:rsidRPr="00E93050" w:rsidRDefault="00336793" w:rsidP="00DF0B96">
            <w:pPr>
              <w:pStyle w:val="TabletextheadingCentred"/>
              <w:rPr>
                <w:rFonts w:eastAsiaTheme="minorEastAsia"/>
                <w:lang w:eastAsia="en-AU"/>
              </w:rPr>
            </w:pPr>
            <w:r w:rsidRPr="00E93050">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tcPr>
          <w:p w:rsidR="00336793" w:rsidRPr="00E93050" w:rsidRDefault="00336793" w:rsidP="00DF0B96">
            <w:pPr>
              <w:pStyle w:val="TabletextheadingCentred"/>
              <w:rPr>
                <w:rFonts w:eastAsiaTheme="minorEastAsia"/>
                <w:lang w:eastAsia="en-AU"/>
              </w:rPr>
            </w:pPr>
          </w:p>
          <w:p w:rsidR="00336793" w:rsidRPr="00E93050" w:rsidRDefault="00336793" w:rsidP="00DF0B96">
            <w:pPr>
              <w:pStyle w:val="TabletextheadingCentred"/>
              <w:rPr>
                <w:rFonts w:eastAsiaTheme="minorEastAsia"/>
                <w:lang w:eastAsia="en-AU"/>
              </w:rPr>
            </w:pPr>
            <w:r w:rsidRPr="00E93050">
              <w:rPr>
                <w:rFonts w:eastAsiaTheme="minorEastAsia"/>
                <w:lang w:eastAsia="en-AU"/>
              </w:rPr>
              <w:t>State of Victoria</w:t>
            </w:r>
          </w:p>
        </w:tc>
        <w:tc>
          <w:tcPr>
            <w:tcW w:w="270" w:type="dxa"/>
            <w:tcBorders>
              <w:top w:val="single" w:sz="6" w:space="0" w:color="auto"/>
              <w:left w:val="nil"/>
              <w:bottom w:val="nil"/>
              <w:right w:val="nil"/>
            </w:tcBorders>
            <w:shd w:val="clear" w:color="000000" w:fill="000000"/>
          </w:tcPr>
          <w:p w:rsidR="00336793" w:rsidRPr="00E93050" w:rsidRDefault="00336793" w:rsidP="00DF0B96">
            <w:pPr>
              <w:pStyle w:val="TabletextheadingCentred"/>
              <w:rPr>
                <w:rFonts w:eastAsiaTheme="minorEastAsia"/>
                <w:lang w:eastAsia="en-AU"/>
              </w:rPr>
            </w:pPr>
            <w:r w:rsidRPr="00E93050">
              <w:rPr>
                <w:rFonts w:eastAsiaTheme="minorEastAsia"/>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tcPr>
          <w:p w:rsidR="00336793" w:rsidRPr="00E93050" w:rsidRDefault="00336793" w:rsidP="00DF0B96">
            <w:pPr>
              <w:pStyle w:val="TabletextheadingCentred"/>
              <w:rPr>
                <w:rFonts w:eastAsiaTheme="minorEastAsia"/>
                <w:lang w:eastAsia="en-AU"/>
              </w:rPr>
            </w:pPr>
            <w:r w:rsidRPr="00E93050">
              <w:rPr>
                <w:rFonts w:eastAsiaTheme="minorEastAsia"/>
                <w:lang w:eastAsia="en-AU"/>
              </w:rPr>
              <w:t xml:space="preserve">General </w:t>
            </w:r>
          </w:p>
          <w:p w:rsidR="00336793" w:rsidRPr="00E93050" w:rsidRDefault="00336793" w:rsidP="00DF0B96">
            <w:pPr>
              <w:pStyle w:val="TabletextheadingCentred"/>
              <w:rPr>
                <w:rFonts w:eastAsiaTheme="minorEastAsia"/>
                <w:lang w:eastAsia="en-AU"/>
              </w:rPr>
            </w:pPr>
            <w:r w:rsidRPr="00E93050">
              <w:rPr>
                <w:rFonts w:eastAsiaTheme="minorEastAsia"/>
                <w:lang w:eastAsia="en-AU"/>
              </w:rPr>
              <w:t>government sector</w:t>
            </w:r>
          </w:p>
        </w:tc>
      </w:tr>
      <w:tr w:rsidR="00336793" w:rsidRPr="00E93050" w:rsidTr="00DF0B96">
        <w:tc>
          <w:tcPr>
            <w:tcW w:w="5157" w:type="dxa"/>
            <w:tcBorders>
              <w:top w:val="nil"/>
              <w:left w:val="single" w:sz="6" w:space="0" w:color="auto"/>
              <w:bottom w:val="single" w:sz="6" w:space="0" w:color="auto"/>
              <w:right w:val="nil"/>
            </w:tcBorders>
            <w:shd w:val="clear" w:color="000000" w:fill="000000"/>
          </w:tcPr>
          <w:p w:rsidR="00336793" w:rsidRPr="00E93050" w:rsidRDefault="00336793" w:rsidP="00DF0B96">
            <w:pPr>
              <w:pStyle w:val="Tabletext"/>
              <w:rPr>
                <w:rFonts w:eastAsiaTheme="minorEastAsia"/>
                <w:i/>
                <w:lang w:eastAsia="en-AU"/>
              </w:rPr>
            </w:pPr>
            <w:r w:rsidRPr="00E93050">
              <w:rPr>
                <w:rFonts w:eastAsiaTheme="minorEastAsia"/>
                <w:i/>
                <w:lang w:eastAsia="en-AU"/>
              </w:rPr>
              <w:t xml:space="preserve"> </w:t>
            </w:r>
          </w:p>
        </w:tc>
        <w:tc>
          <w:tcPr>
            <w:tcW w:w="1120" w:type="dxa"/>
            <w:gridSpan w:val="2"/>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lang w:eastAsia="en-AU"/>
              </w:rPr>
            </w:pPr>
            <w:r w:rsidRPr="00E93050">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lang w:eastAsia="en-AU"/>
              </w:rPr>
            </w:pPr>
            <w:r w:rsidRPr="00E93050">
              <w:rPr>
                <w:rFonts w:eastAsiaTheme="minorEastAsia"/>
                <w:color w:val="FFFFFF"/>
                <w:lang w:eastAsia="en-AU"/>
              </w:rPr>
              <w:t>2014</w:t>
            </w:r>
          </w:p>
        </w:tc>
        <w:tc>
          <w:tcPr>
            <w:tcW w:w="1120" w:type="dxa"/>
            <w:gridSpan w:val="2"/>
            <w:tcBorders>
              <w:top w:val="nil"/>
              <w:left w:val="nil"/>
              <w:bottom w:val="single" w:sz="6" w:space="0" w:color="auto"/>
              <w:right w:val="nil"/>
            </w:tcBorders>
            <w:shd w:val="clear" w:color="000000" w:fill="000000"/>
          </w:tcPr>
          <w:p w:rsidR="00336793" w:rsidRPr="00E93050" w:rsidRDefault="00336793" w:rsidP="00DF0B96">
            <w:pPr>
              <w:pStyle w:val="Tabletextheading"/>
              <w:rPr>
                <w:rFonts w:eastAsiaTheme="minorEastAsia"/>
                <w:color w:val="FFFFFF"/>
                <w:lang w:eastAsia="en-AU"/>
              </w:rPr>
            </w:pPr>
            <w:r w:rsidRPr="00E93050">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tcPr>
          <w:p w:rsidR="00336793" w:rsidRPr="00E93050" w:rsidRDefault="00336793" w:rsidP="00DF0B96">
            <w:pPr>
              <w:pStyle w:val="Tabletextheading"/>
              <w:rPr>
                <w:rFonts w:eastAsiaTheme="minorEastAsia"/>
                <w:color w:val="FFFFFF"/>
                <w:lang w:eastAsia="en-AU"/>
              </w:rPr>
            </w:pPr>
            <w:r w:rsidRPr="00E93050">
              <w:rPr>
                <w:rFonts w:eastAsiaTheme="minorEastAsia"/>
                <w:color w:val="FFFFFF"/>
                <w:lang w:eastAsia="en-AU"/>
              </w:rPr>
              <w:t>2014</w:t>
            </w:r>
          </w:p>
        </w:tc>
      </w:tr>
      <w:tr w:rsidR="00336793" w:rsidRPr="00E93050" w:rsidTr="00DF0B96">
        <w:tc>
          <w:tcPr>
            <w:tcW w:w="5157" w:type="dxa"/>
            <w:tcBorders>
              <w:top w:val="single" w:sz="6" w:space="0" w:color="auto"/>
              <w:left w:val="nil"/>
              <w:bottom w:val="nil"/>
              <w:right w:val="nil"/>
            </w:tcBorders>
          </w:tcPr>
          <w:p w:rsidR="00336793" w:rsidRPr="00E93050" w:rsidRDefault="00336793" w:rsidP="00DF0B96">
            <w:pPr>
              <w:pStyle w:val="Tabletext"/>
              <w:rPr>
                <w:rFonts w:eastAsiaTheme="minorEastAsia"/>
                <w:lang w:eastAsia="en-AU"/>
              </w:rPr>
            </w:pPr>
            <w:r w:rsidRPr="00E93050">
              <w:rPr>
                <w:rFonts w:eastAsiaTheme="minorEastAsia"/>
                <w:lang w:eastAsia="en-AU"/>
              </w:rPr>
              <w:t>Less than 1 year</w:t>
            </w:r>
          </w:p>
        </w:tc>
        <w:tc>
          <w:tcPr>
            <w:tcW w:w="1120" w:type="dxa"/>
            <w:gridSpan w:val="2"/>
            <w:tcBorders>
              <w:top w:val="single" w:sz="6" w:space="0" w:color="auto"/>
              <w:left w:val="nil"/>
              <w:bottom w:val="nil"/>
              <w:right w:val="nil"/>
            </w:tcBorders>
          </w:tcPr>
          <w:p w:rsidR="00336793" w:rsidRPr="00E93050" w:rsidRDefault="00336793" w:rsidP="00DF0B96">
            <w:pPr>
              <w:pStyle w:val="TableofFigures"/>
              <w:rPr>
                <w:rFonts w:eastAsiaTheme="minorEastAsia"/>
                <w:lang w:eastAsia="en-AU"/>
              </w:rPr>
            </w:pPr>
            <w:r w:rsidRPr="00E93050">
              <w:rPr>
                <w:rFonts w:eastAsiaTheme="minorEastAsia"/>
                <w:lang w:eastAsia="en-AU"/>
              </w:rPr>
              <w:t xml:space="preserve"> 941.6</w:t>
            </w:r>
          </w:p>
        </w:tc>
        <w:tc>
          <w:tcPr>
            <w:tcW w:w="1120" w:type="dxa"/>
            <w:tcBorders>
              <w:top w:val="single" w:sz="6" w:space="0" w:color="auto"/>
              <w:left w:val="nil"/>
              <w:bottom w:val="nil"/>
              <w:right w:val="nil"/>
            </w:tcBorders>
          </w:tcPr>
          <w:p w:rsidR="00336793" w:rsidRPr="00E93050" w:rsidRDefault="00336793" w:rsidP="00DF0B96">
            <w:pPr>
              <w:pStyle w:val="TableofFigures"/>
              <w:rPr>
                <w:rFonts w:eastAsiaTheme="minorEastAsia"/>
                <w:lang w:eastAsia="en-AU"/>
              </w:rPr>
            </w:pPr>
            <w:r w:rsidRPr="00E93050">
              <w:rPr>
                <w:rFonts w:eastAsiaTheme="minorEastAsia"/>
                <w:lang w:eastAsia="en-AU"/>
              </w:rPr>
              <w:t xml:space="preserve"> 946.5</w:t>
            </w:r>
          </w:p>
        </w:tc>
        <w:tc>
          <w:tcPr>
            <w:tcW w:w="1120" w:type="dxa"/>
            <w:gridSpan w:val="2"/>
            <w:tcBorders>
              <w:top w:val="single" w:sz="6" w:space="0" w:color="auto"/>
              <w:left w:val="nil"/>
              <w:bottom w:val="nil"/>
              <w:right w:val="nil"/>
            </w:tcBorders>
          </w:tcPr>
          <w:p w:rsidR="00336793" w:rsidRPr="00E93050" w:rsidRDefault="00336793" w:rsidP="00DF0B96">
            <w:pPr>
              <w:pStyle w:val="TableofFigures"/>
              <w:rPr>
                <w:rFonts w:eastAsiaTheme="minorEastAsia"/>
                <w:lang w:eastAsia="en-AU"/>
              </w:rPr>
            </w:pPr>
            <w:r w:rsidRPr="00E93050">
              <w:rPr>
                <w:rFonts w:eastAsiaTheme="minorEastAsia"/>
                <w:lang w:eastAsia="en-AU"/>
              </w:rPr>
              <w:t xml:space="preserve"> 870.7</w:t>
            </w:r>
          </w:p>
        </w:tc>
        <w:tc>
          <w:tcPr>
            <w:tcW w:w="1120" w:type="dxa"/>
            <w:tcBorders>
              <w:top w:val="single" w:sz="6" w:space="0" w:color="auto"/>
              <w:left w:val="nil"/>
              <w:bottom w:val="nil"/>
              <w:right w:val="nil"/>
            </w:tcBorders>
          </w:tcPr>
          <w:p w:rsidR="00336793" w:rsidRPr="00E93050" w:rsidRDefault="00336793" w:rsidP="00DF0B96">
            <w:pPr>
              <w:pStyle w:val="TableofFigures"/>
              <w:rPr>
                <w:rFonts w:eastAsiaTheme="minorEastAsia"/>
                <w:lang w:eastAsia="en-AU"/>
              </w:rPr>
            </w:pPr>
            <w:r w:rsidRPr="00E93050">
              <w:rPr>
                <w:rFonts w:eastAsiaTheme="minorEastAsia"/>
                <w:lang w:eastAsia="en-AU"/>
              </w:rPr>
              <w:t xml:space="preserve"> 871.6</w:t>
            </w:r>
          </w:p>
        </w:tc>
      </w:tr>
      <w:tr w:rsidR="00336793" w:rsidRPr="00E93050" w:rsidTr="00DF0B96">
        <w:tc>
          <w:tcPr>
            <w:tcW w:w="5157" w:type="dxa"/>
            <w:tcBorders>
              <w:top w:val="nil"/>
              <w:left w:val="nil"/>
              <w:bottom w:val="nil"/>
              <w:right w:val="nil"/>
            </w:tcBorders>
          </w:tcPr>
          <w:p w:rsidR="00336793" w:rsidRPr="00E93050" w:rsidRDefault="00336793" w:rsidP="00DF0B96">
            <w:pPr>
              <w:pStyle w:val="Tabletext"/>
              <w:rPr>
                <w:rFonts w:eastAsiaTheme="minorEastAsia"/>
                <w:lang w:eastAsia="en-AU"/>
              </w:rPr>
            </w:pPr>
            <w:r w:rsidRPr="00E93050">
              <w:rPr>
                <w:rFonts w:eastAsiaTheme="minorEastAsia"/>
                <w:lang w:eastAsia="en-AU"/>
              </w:rPr>
              <w:t>1 year but less than 5 years</w:t>
            </w:r>
          </w:p>
        </w:tc>
        <w:tc>
          <w:tcPr>
            <w:tcW w:w="112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Cs w:val="22"/>
                <w:lang w:eastAsia="en-AU"/>
              </w:rPr>
            </w:pPr>
            <w:r w:rsidRPr="00E93050">
              <w:rPr>
                <w:rFonts w:eastAsiaTheme="minorEastAsia"/>
                <w:lang w:eastAsia="en-AU"/>
              </w:rPr>
              <w:t>3 972.0</w:t>
            </w:r>
          </w:p>
        </w:tc>
        <w:tc>
          <w:tcPr>
            <w:tcW w:w="1120" w:type="dxa"/>
            <w:tcBorders>
              <w:top w:val="nil"/>
              <w:left w:val="nil"/>
              <w:bottom w:val="nil"/>
              <w:right w:val="nil"/>
            </w:tcBorders>
          </w:tcPr>
          <w:p w:rsidR="00336793" w:rsidRPr="00E93050" w:rsidRDefault="00336793" w:rsidP="00DF0B96">
            <w:pPr>
              <w:pStyle w:val="TableofFigures"/>
              <w:rPr>
                <w:rFonts w:eastAsiaTheme="minorEastAsia"/>
                <w:lang w:eastAsia="en-AU"/>
              </w:rPr>
            </w:pPr>
            <w:r w:rsidRPr="00E93050">
              <w:rPr>
                <w:rFonts w:eastAsiaTheme="minorEastAsia"/>
                <w:lang w:eastAsia="en-AU"/>
              </w:rPr>
              <w:t>4 110.6</w:t>
            </w:r>
          </w:p>
        </w:tc>
        <w:tc>
          <w:tcPr>
            <w:tcW w:w="112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Cs w:val="22"/>
                <w:lang w:eastAsia="en-AU"/>
              </w:rPr>
            </w:pPr>
            <w:r w:rsidRPr="00E93050">
              <w:rPr>
                <w:rFonts w:eastAsiaTheme="minorEastAsia"/>
                <w:lang w:eastAsia="en-AU"/>
              </w:rPr>
              <w:t>3 477.3</w:t>
            </w:r>
          </w:p>
        </w:tc>
        <w:tc>
          <w:tcPr>
            <w:tcW w:w="1120" w:type="dxa"/>
            <w:tcBorders>
              <w:top w:val="nil"/>
              <w:left w:val="nil"/>
              <w:bottom w:val="nil"/>
              <w:right w:val="nil"/>
            </w:tcBorders>
          </w:tcPr>
          <w:p w:rsidR="00336793" w:rsidRPr="00E93050" w:rsidRDefault="00336793" w:rsidP="00DF0B96">
            <w:pPr>
              <w:pStyle w:val="TableofFigures"/>
              <w:rPr>
                <w:rFonts w:eastAsiaTheme="minorEastAsia"/>
                <w:lang w:eastAsia="en-AU"/>
              </w:rPr>
            </w:pPr>
            <w:r w:rsidRPr="00E93050">
              <w:rPr>
                <w:rFonts w:eastAsiaTheme="minorEastAsia"/>
                <w:lang w:eastAsia="en-AU"/>
              </w:rPr>
              <w:t>3 645.9</w:t>
            </w:r>
          </w:p>
        </w:tc>
      </w:tr>
      <w:tr w:rsidR="00336793" w:rsidRPr="00E93050" w:rsidTr="00DF0B96">
        <w:tc>
          <w:tcPr>
            <w:tcW w:w="5157" w:type="dxa"/>
            <w:tcBorders>
              <w:top w:val="nil"/>
              <w:left w:val="nil"/>
              <w:bottom w:val="nil"/>
              <w:right w:val="nil"/>
            </w:tcBorders>
          </w:tcPr>
          <w:p w:rsidR="00336793" w:rsidRPr="00E93050" w:rsidRDefault="00336793" w:rsidP="00DF0B96">
            <w:pPr>
              <w:pStyle w:val="Tabletext"/>
              <w:rPr>
                <w:rFonts w:eastAsiaTheme="minorEastAsia"/>
                <w:lang w:eastAsia="en-AU"/>
              </w:rPr>
            </w:pPr>
            <w:r w:rsidRPr="00E93050">
              <w:rPr>
                <w:rFonts w:eastAsiaTheme="minorEastAsia"/>
                <w:lang w:eastAsia="en-AU"/>
              </w:rPr>
              <w:t>5 years or more</w:t>
            </w:r>
          </w:p>
        </w:tc>
        <w:tc>
          <w:tcPr>
            <w:tcW w:w="112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Cs w:val="22"/>
                <w:lang w:eastAsia="en-AU"/>
              </w:rPr>
            </w:pPr>
            <w:r w:rsidRPr="00E93050">
              <w:rPr>
                <w:rFonts w:eastAsiaTheme="minorEastAsia"/>
                <w:lang w:eastAsia="en-AU"/>
              </w:rPr>
              <w:t>15 563.4</w:t>
            </w:r>
          </w:p>
        </w:tc>
        <w:tc>
          <w:tcPr>
            <w:tcW w:w="1120" w:type="dxa"/>
            <w:tcBorders>
              <w:top w:val="nil"/>
              <w:left w:val="nil"/>
              <w:bottom w:val="nil"/>
              <w:right w:val="nil"/>
            </w:tcBorders>
          </w:tcPr>
          <w:p w:rsidR="00336793" w:rsidRPr="00E93050" w:rsidRDefault="00336793" w:rsidP="00DF0B96">
            <w:pPr>
              <w:pStyle w:val="TableofFigures"/>
              <w:rPr>
                <w:rFonts w:eastAsiaTheme="minorEastAsia"/>
                <w:lang w:eastAsia="en-AU"/>
              </w:rPr>
            </w:pPr>
            <w:r w:rsidRPr="00E93050">
              <w:rPr>
                <w:rFonts w:eastAsiaTheme="minorEastAsia"/>
                <w:lang w:eastAsia="en-AU"/>
              </w:rPr>
              <w:t>16 545.4</w:t>
            </w:r>
          </w:p>
        </w:tc>
        <w:tc>
          <w:tcPr>
            <w:tcW w:w="1120" w:type="dxa"/>
            <w:gridSpan w:val="2"/>
            <w:tcBorders>
              <w:top w:val="nil"/>
              <w:left w:val="nil"/>
              <w:bottom w:val="nil"/>
              <w:right w:val="nil"/>
            </w:tcBorders>
          </w:tcPr>
          <w:p w:rsidR="00336793" w:rsidRPr="00E93050" w:rsidRDefault="00336793" w:rsidP="00DF0B96">
            <w:pPr>
              <w:pStyle w:val="TableofFigures"/>
              <w:rPr>
                <w:rFonts w:eastAsiaTheme="minorEastAsia" w:cs="Calibri"/>
                <w:color w:val="000000"/>
                <w:szCs w:val="22"/>
                <w:lang w:eastAsia="en-AU"/>
              </w:rPr>
            </w:pPr>
            <w:r w:rsidRPr="00E93050">
              <w:rPr>
                <w:rFonts w:eastAsiaTheme="minorEastAsia"/>
                <w:lang w:eastAsia="en-AU"/>
              </w:rPr>
              <w:t>15 427.3</w:t>
            </w:r>
          </w:p>
        </w:tc>
        <w:tc>
          <w:tcPr>
            <w:tcW w:w="1120" w:type="dxa"/>
            <w:tcBorders>
              <w:top w:val="nil"/>
              <w:left w:val="nil"/>
              <w:bottom w:val="nil"/>
              <w:right w:val="nil"/>
            </w:tcBorders>
          </w:tcPr>
          <w:p w:rsidR="00336793" w:rsidRPr="00E93050" w:rsidRDefault="00336793" w:rsidP="00DF0B96">
            <w:pPr>
              <w:pStyle w:val="TableofFigures"/>
              <w:rPr>
                <w:rFonts w:eastAsiaTheme="minorEastAsia"/>
                <w:lang w:eastAsia="en-AU"/>
              </w:rPr>
            </w:pPr>
            <w:r w:rsidRPr="00E93050">
              <w:rPr>
                <w:rFonts w:eastAsiaTheme="minorEastAsia"/>
                <w:lang w:eastAsia="en-AU"/>
              </w:rPr>
              <w:t>16 295.8</w:t>
            </w:r>
          </w:p>
        </w:tc>
      </w:tr>
      <w:tr w:rsidR="00336793" w:rsidRPr="00E93050" w:rsidTr="00DF0B96">
        <w:tc>
          <w:tcPr>
            <w:tcW w:w="5157" w:type="dxa"/>
            <w:tcBorders>
              <w:top w:val="single" w:sz="6" w:space="0" w:color="auto"/>
              <w:left w:val="nil"/>
              <w:bottom w:val="nil"/>
              <w:right w:val="nil"/>
            </w:tcBorders>
          </w:tcPr>
          <w:p w:rsidR="00336793" w:rsidRPr="00E93050" w:rsidRDefault="00336793" w:rsidP="00DF0B96">
            <w:pPr>
              <w:pStyle w:val="Tabletext"/>
              <w:rPr>
                <w:rFonts w:eastAsiaTheme="minorEastAsia"/>
                <w:b/>
                <w:bCs/>
                <w:lang w:eastAsia="en-AU"/>
              </w:rPr>
            </w:pPr>
            <w:r w:rsidRPr="00E93050">
              <w:rPr>
                <w:rFonts w:eastAsiaTheme="minorEastAsia"/>
                <w:b/>
                <w:bCs/>
                <w:lang w:eastAsia="en-AU"/>
              </w:rPr>
              <w:t>Minimum lease payments</w:t>
            </w:r>
          </w:p>
        </w:tc>
        <w:tc>
          <w:tcPr>
            <w:tcW w:w="1120" w:type="dxa"/>
            <w:gridSpan w:val="2"/>
            <w:tcBorders>
              <w:top w:val="single" w:sz="6" w:space="0" w:color="auto"/>
              <w:left w:val="nil"/>
              <w:bottom w:val="nil"/>
              <w:right w:val="nil"/>
            </w:tcBorders>
          </w:tcPr>
          <w:p w:rsidR="00336793" w:rsidRPr="00E93050" w:rsidRDefault="00336793" w:rsidP="00DF0B96">
            <w:pPr>
              <w:pStyle w:val="TableofFigures"/>
              <w:rPr>
                <w:rFonts w:eastAsiaTheme="minorEastAsia" w:cs="Calibri"/>
                <w:b/>
                <w:bCs/>
                <w:color w:val="000000"/>
                <w:szCs w:val="22"/>
                <w:lang w:eastAsia="en-AU"/>
              </w:rPr>
            </w:pPr>
            <w:r w:rsidRPr="00E93050">
              <w:rPr>
                <w:rFonts w:eastAsiaTheme="minorEastAsia"/>
                <w:b/>
                <w:bCs/>
                <w:lang w:eastAsia="en-AU"/>
              </w:rPr>
              <w:t>20 477.1</w:t>
            </w:r>
          </w:p>
        </w:tc>
        <w:tc>
          <w:tcPr>
            <w:tcW w:w="1120" w:type="dxa"/>
            <w:tcBorders>
              <w:top w:val="single" w:sz="6" w:space="0" w:color="auto"/>
              <w:left w:val="nil"/>
              <w:bottom w:val="nil"/>
              <w:right w:val="nil"/>
            </w:tcBorders>
          </w:tcPr>
          <w:p w:rsidR="00336793" w:rsidRPr="00E93050" w:rsidRDefault="00336793" w:rsidP="00DF0B96">
            <w:pPr>
              <w:pStyle w:val="TableofFigures"/>
              <w:rPr>
                <w:rFonts w:eastAsiaTheme="minorEastAsia"/>
                <w:b/>
                <w:bCs/>
                <w:lang w:eastAsia="en-AU"/>
              </w:rPr>
            </w:pPr>
            <w:r w:rsidRPr="00E93050">
              <w:rPr>
                <w:rFonts w:eastAsiaTheme="minorEastAsia"/>
                <w:b/>
                <w:bCs/>
                <w:lang w:eastAsia="en-AU"/>
              </w:rPr>
              <w:t>21 602.5</w:t>
            </w:r>
          </w:p>
        </w:tc>
        <w:tc>
          <w:tcPr>
            <w:tcW w:w="1120" w:type="dxa"/>
            <w:gridSpan w:val="2"/>
            <w:tcBorders>
              <w:top w:val="single" w:sz="6" w:space="0" w:color="auto"/>
              <w:left w:val="nil"/>
              <w:bottom w:val="nil"/>
              <w:right w:val="nil"/>
            </w:tcBorders>
          </w:tcPr>
          <w:p w:rsidR="00336793" w:rsidRPr="00E93050" w:rsidRDefault="00336793" w:rsidP="00DF0B96">
            <w:pPr>
              <w:pStyle w:val="TableofFigures"/>
              <w:rPr>
                <w:rFonts w:eastAsiaTheme="minorEastAsia" w:cs="Calibri"/>
                <w:b/>
                <w:bCs/>
                <w:color w:val="000000"/>
                <w:szCs w:val="22"/>
                <w:lang w:eastAsia="en-AU"/>
              </w:rPr>
            </w:pPr>
            <w:r w:rsidRPr="00E93050">
              <w:rPr>
                <w:rFonts w:eastAsiaTheme="minorEastAsia"/>
                <w:b/>
                <w:bCs/>
                <w:lang w:eastAsia="en-AU"/>
              </w:rPr>
              <w:t>19 775.3</w:t>
            </w:r>
          </w:p>
        </w:tc>
        <w:tc>
          <w:tcPr>
            <w:tcW w:w="1120" w:type="dxa"/>
            <w:tcBorders>
              <w:top w:val="single" w:sz="6" w:space="0" w:color="auto"/>
              <w:left w:val="nil"/>
              <w:bottom w:val="nil"/>
              <w:right w:val="nil"/>
            </w:tcBorders>
          </w:tcPr>
          <w:p w:rsidR="00336793" w:rsidRPr="00E93050" w:rsidRDefault="00336793" w:rsidP="00DF0B96">
            <w:pPr>
              <w:pStyle w:val="TableofFigures"/>
              <w:rPr>
                <w:rFonts w:eastAsiaTheme="minorEastAsia"/>
                <w:b/>
                <w:bCs/>
                <w:lang w:eastAsia="en-AU"/>
              </w:rPr>
            </w:pPr>
            <w:r w:rsidRPr="00E93050">
              <w:rPr>
                <w:rFonts w:eastAsiaTheme="minorEastAsia"/>
                <w:b/>
                <w:bCs/>
                <w:lang w:eastAsia="en-AU"/>
              </w:rPr>
              <w:t>20 813.4</w:t>
            </w:r>
          </w:p>
        </w:tc>
      </w:tr>
      <w:tr w:rsidR="00336793" w:rsidRPr="00E93050" w:rsidTr="00DF0B96">
        <w:tc>
          <w:tcPr>
            <w:tcW w:w="5157" w:type="dxa"/>
            <w:tcBorders>
              <w:top w:val="nil"/>
              <w:left w:val="nil"/>
              <w:bottom w:val="single" w:sz="6" w:space="0" w:color="auto"/>
              <w:right w:val="nil"/>
            </w:tcBorders>
          </w:tcPr>
          <w:p w:rsidR="00336793" w:rsidRPr="00E93050" w:rsidRDefault="00336793" w:rsidP="00DF0B96">
            <w:pPr>
              <w:pStyle w:val="Tabletext"/>
              <w:rPr>
                <w:rFonts w:eastAsiaTheme="minorEastAsia"/>
                <w:lang w:eastAsia="en-AU"/>
              </w:rPr>
            </w:pPr>
            <w:r w:rsidRPr="00E93050">
              <w:rPr>
                <w:rFonts w:eastAsiaTheme="minorEastAsia"/>
                <w:lang w:eastAsia="en-AU"/>
              </w:rPr>
              <w:t>Future finance charges</w:t>
            </w:r>
          </w:p>
        </w:tc>
        <w:tc>
          <w:tcPr>
            <w:tcW w:w="1120" w:type="dxa"/>
            <w:gridSpan w:val="2"/>
            <w:tcBorders>
              <w:top w:val="nil"/>
              <w:left w:val="nil"/>
              <w:bottom w:val="single" w:sz="6" w:space="0" w:color="auto"/>
              <w:right w:val="nil"/>
            </w:tcBorders>
          </w:tcPr>
          <w:p w:rsidR="00336793" w:rsidRPr="00E93050" w:rsidRDefault="00336793" w:rsidP="00DF0B96">
            <w:pPr>
              <w:pStyle w:val="TableofFigures"/>
              <w:rPr>
                <w:rFonts w:eastAsiaTheme="minorEastAsia" w:cs="Calibri"/>
                <w:color w:val="000000"/>
                <w:szCs w:val="22"/>
                <w:lang w:eastAsia="en-AU"/>
              </w:rPr>
            </w:pPr>
            <w:r w:rsidRPr="00E93050">
              <w:rPr>
                <w:rFonts w:eastAsiaTheme="minorEastAsia"/>
                <w:lang w:eastAsia="en-AU"/>
              </w:rPr>
              <w:t>11 716.8</w:t>
            </w:r>
          </w:p>
        </w:tc>
        <w:tc>
          <w:tcPr>
            <w:tcW w:w="1120" w:type="dxa"/>
            <w:tcBorders>
              <w:top w:val="nil"/>
              <w:left w:val="nil"/>
              <w:bottom w:val="single" w:sz="6" w:space="0" w:color="auto"/>
              <w:right w:val="nil"/>
            </w:tcBorders>
          </w:tcPr>
          <w:p w:rsidR="00336793" w:rsidRPr="00E93050" w:rsidRDefault="00336793" w:rsidP="00DF0B96">
            <w:pPr>
              <w:pStyle w:val="TableofFigures"/>
              <w:rPr>
                <w:rFonts w:eastAsiaTheme="minorEastAsia"/>
                <w:lang w:eastAsia="en-AU"/>
              </w:rPr>
            </w:pPr>
            <w:r w:rsidRPr="00E93050">
              <w:rPr>
                <w:rFonts w:eastAsiaTheme="minorEastAsia"/>
                <w:lang w:eastAsia="en-AU"/>
              </w:rPr>
              <w:t>12 785.2</w:t>
            </w:r>
          </w:p>
        </w:tc>
        <w:tc>
          <w:tcPr>
            <w:tcW w:w="1120" w:type="dxa"/>
            <w:gridSpan w:val="2"/>
            <w:tcBorders>
              <w:top w:val="nil"/>
              <w:left w:val="nil"/>
              <w:bottom w:val="single" w:sz="6" w:space="0" w:color="auto"/>
              <w:right w:val="nil"/>
            </w:tcBorders>
          </w:tcPr>
          <w:p w:rsidR="00336793" w:rsidRPr="00E93050" w:rsidRDefault="00336793" w:rsidP="00DF0B96">
            <w:pPr>
              <w:pStyle w:val="TableofFigures"/>
              <w:rPr>
                <w:rFonts w:eastAsiaTheme="minorEastAsia" w:cs="Calibri"/>
                <w:color w:val="000000"/>
                <w:szCs w:val="22"/>
                <w:lang w:eastAsia="en-AU"/>
              </w:rPr>
            </w:pPr>
            <w:r w:rsidRPr="00E93050">
              <w:rPr>
                <w:rFonts w:eastAsiaTheme="minorEastAsia"/>
                <w:lang w:eastAsia="en-AU"/>
              </w:rPr>
              <w:t>11 716.8</w:t>
            </w:r>
          </w:p>
        </w:tc>
        <w:tc>
          <w:tcPr>
            <w:tcW w:w="1120" w:type="dxa"/>
            <w:tcBorders>
              <w:top w:val="nil"/>
              <w:left w:val="nil"/>
              <w:bottom w:val="single" w:sz="6" w:space="0" w:color="auto"/>
              <w:right w:val="nil"/>
            </w:tcBorders>
          </w:tcPr>
          <w:p w:rsidR="00336793" w:rsidRPr="00E93050" w:rsidRDefault="00336793" w:rsidP="00DF0B96">
            <w:pPr>
              <w:pStyle w:val="TableofFigures"/>
              <w:rPr>
                <w:rFonts w:eastAsiaTheme="minorEastAsia"/>
                <w:lang w:eastAsia="en-AU"/>
              </w:rPr>
            </w:pPr>
            <w:r w:rsidRPr="00E93050">
              <w:rPr>
                <w:rFonts w:eastAsiaTheme="minorEastAsia"/>
                <w:lang w:eastAsia="en-AU"/>
              </w:rPr>
              <w:t>12 763.6</w:t>
            </w:r>
          </w:p>
        </w:tc>
      </w:tr>
      <w:tr w:rsidR="00336793" w:rsidRPr="00E93050" w:rsidTr="00DF0B96">
        <w:tc>
          <w:tcPr>
            <w:tcW w:w="5157" w:type="dxa"/>
            <w:tcBorders>
              <w:top w:val="single" w:sz="6" w:space="0" w:color="auto"/>
              <w:left w:val="nil"/>
              <w:bottom w:val="single" w:sz="12" w:space="0" w:color="000000"/>
              <w:right w:val="nil"/>
            </w:tcBorders>
            <w:shd w:val="clear" w:color="auto" w:fill="auto"/>
          </w:tcPr>
          <w:p w:rsidR="00336793" w:rsidRPr="00E93050" w:rsidRDefault="00336793" w:rsidP="00DF0B96">
            <w:pPr>
              <w:pStyle w:val="Tabletext"/>
              <w:rPr>
                <w:rFonts w:eastAsiaTheme="minorEastAsia"/>
                <w:b/>
                <w:bCs/>
                <w:lang w:eastAsia="en-AU"/>
              </w:rPr>
            </w:pPr>
            <w:r w:rsidRPr="00E93050">
              <w:rPr>
                <w:rFonts w:eastAsiaTheme="minorEastAsia"/>
                <w:b/>
                <w:bCs/>
                <w:lang w:eastAsia="en-AU"/>
              </w:rPr>
              <w:t xml:space="preserve">Total finance lease liabilities </w:t>
            </w:r>
          </w:p>
        </w:tc>
        <w:tc>
          <w:tcPr>
            <w:tcW w:w="1120" w:type="dxa"/>
            <w:gridSpan w:val="2"/>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Cs w:val="22"/>
                <w:lang w:eastAsia="en-AU"/>
              </w:rPr>
            </w:pPr>
            <w:r w:rsidRPr="00E93050">
              <w:rPr>
                <w:rFonts w:eastAsiaTheme="minorEastAsia"/>
                <w:b/>
                <w:bCs/>
                <w:lang w:eastAsia="en-AU"/>
              </w:rPr>
              <w:t>8 760.4</w:t>
            </w:r>
          </w:p>
        </w:tc>
        <w:tc>
          <w:tcPr>
            <w:tcW w:w="1120" w:type="dxa"/>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b/>
                <w:bCs/>
                <w:lang w:eastAsia="en-AU"/>
              </w:rPr>
            </w:pPr>
            <w:r w:rsidRPr="00E93050">
              <w:rPr>
                <w:rFonts w:eastAsiaTheme="minorEastAsia"/>
                <w:b/>
                <w:bCs/>
                <w:lang w:eastAsia="en-AU"/>
              </w:rPr>
              <w:t>8 817.3</w:t>
            </w:r>
          </w:p>
        </w:tc>
        <w:tc>
          <w:tcPr>
            <w:tcW w:w="1120" w:type="dxa"/>
            <w:gridSpan w:val="2"/>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cs="Calibri"/>
                <w:b/>
                <w:bCs/>
                <w:color w:val="000000"/>
                <w:szCs w:val="22"/>
                <w:lang w:eastAsia="en-AU"/>
              </w:rPr>
            </w:pPr>
            <w:r w:rsidRPr="00E93050">
              <w:rPr>
                <w:rFonts w:eastAsiaTheme="minorEastAsia"/>
                <w:b/>
                <w:bCs/>
                <w:lang w:eastAsia="en-AU"/>
              </w:rPr>
              <w:t>8 058.5</w:t>
            </w:r>
          </w:p>
        </w:tc>
        <w:tc>
          <w:tcPr>
            <w:tcW w:w="1120" w:type="dxa"/>
            <w:tcBorders>
              <w:top w:val="single" w:sz="6" w:space="0" w:color="auto"/>
              <w:left w:val="nil"/>
              <w:bottom w:val="single" w:sz="12" w:space="0" w:color="000000"/>
              <w:right w:val="nil"/>
            </w:tcBorders>
            <w:shd w:val="clear" w:color="auto" w:fill="auto"/>
          </w:tcPr>
          <w:p w:rsidR="00336793" w:rsidRPr="00E93050" w:rsidRDefault="00336793" w:rsidP="00DF0B96">
            <w:pPr>
              <w:pStyle w:val="TableofFigures"/>
              <w:rPr>
                <w:rFonts w:eastAsiaTheme="minorEastAsia"/>
                <w:b/>
                <w:bCs/>
                <w:lang w:eastAsia="en-AU"/>
              </w:rPr>
            </w:pPr>
            <w:r w:rsidRPr="00E93050">
              <w:rPr>
                <w:rFonts w:eastAsiaTheme="minorEastAsia"/>
                <w:b/>
                <w:bCs/>
                <w:lang w:eastAsia="en-AU"/>
              </w:rPr>
              <w:t>8 049.8</w:t>
            </w:r>
          </w:p>
        </w:tc>
      </w:tr>
    </w:tbl>
    <w:p w:rsidR="00336793" w:rsidRPr="006A75A2" w:rsidRDefault="00336793" w:rsidP="00DF0B96">
      <w:pPr>
        <w:pStyle w:val="Notes"/>
      </w:pPr>
    </w:p>
    <w:p w:rsidR="00336793" w:rsidRPr="006A75A2" w:rsidRDefault="00336793" w:rsidP="00DF0B96">
      <w:pPr>
        <w:spacing w:after="0"/>
        <w:rPr>
          <w:rFonts w:ascii="Calibri" w:hAnsi="Calibri"/>
          <w:b/>
        </w:rPr>
      </w:pPr>
      <w:r w:rsidRPr="006A75A2">
        <w:br w:type="page"/>
      </w:r>
    </w:p>
    <w:p w:rsidR="00336793" w:rsidRPr="006A75A2" w:rsidRDefault="00336793" w:rsidP="00DF0B96">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336793" w:rsidRPr="006A75A2" w:rsidRDefault="00336793" w:rsidP="00DF0B96">
      <w:pPr>
        <w:pStyle w:val="Heading5"/>
      </w:pPr>
      <w:r w:rsidRPr="006A75A2">
        <w:t>(l)</w:t>
      </w:r>
      <w:r w:rsidRPr="006A75A2">
        <w:tab/>
        <w:t>Fair value of financial instruments</w:t>
      </w:r>
    </w:p>
    <w:p w:rsidR="00336793" w:rsidRPr="006A75A2" w:rsidRDefault="00336793" w:rsidP="00DF0B96">
      <w:r w:rsidRPr="006A75A2">
        <w:t>The fair values of the State</w:t>
      </w:r>
      <w:r>
        <w:t>’</w:t>
      </w:r>
      <w:r w:rsidRPr="006A75A2">
        <w:t>s financial assets and liabilities are determined as follows:</w:t>
      </w:r>
    </w:p>
    <w:p w:rsidR="00336793" w:rsidRPr="006A75A2" w:rsidRDefault="00336793" w:rsidP="00DF0B96">
      <w:pPr>
        <w:pStyle w:val="BulletText"/>
      </w:pPr>
      <w:r w:rsidRPr="006A75A2">
        <w:t>the fair value of financial assets and financial liabilities with standard terms and conditions and traded in an active liquid market are determined with reference to quoted market prices. Financial instruments in this category include investments in equities, managed investment schemes and debt securities;</w:t>
      </w:r>
    </w:p>
    <w:p w:rsidR="00336793" w:rsidRPr="006A75A2" w:rsidRDefault="00336793" w:rsidP="00DF0B96">
      <w:pPr>
        <w:pStyle w:val="BulletText"/>
      </w:pPr>
      <w:r w:rsidRPr="006A75A2">
        <w:t>the fair value of other financial assets and financial liabilities (excluding derivative instruments) are determined in accordance with generally accepted pricing models based on discounted cash flow analysis, using prices from observable current market transactions; and</w:t>
      </w:r>
    </w:p>
    <w:p w:rsidR="00336793" w:rsidRPr="006A75A2" w:rsidRDefault="00336793" w:rsidP="00DF0B96">
      <w:pPr>
        <w:pStyle w:val="BulletText"/>
      </w:pPr>
      <w:r w:rsidRPr="006A75A2">
        <w:t>the fair value of derivative instruments, such as interest rate futures contracts, are calculated using quoted prices. Where such prices are not available, use is made of discounted cash flow analysis using the applicable yield curve for the duration of the instrument for non</w:t>
      </w:r>
      <w:r>
        <w:noBreakHyphen/>
      </w:r>
      <w:r w:rsidRPr="006A75A2">
        <w:t>optional derivatives, and option pricing models for optional derivatives.</w:t>
      </w:r>
    </w:p>
    <w:p w:rsidR="00336793" w:rsidRPr="006A75A2" w:rsidRDefault="00336793" w:rsidP="00DF0B96">
      <w:pPr>
        <w:rPr>
          <w:rFonts w:eastAsiaTheme="minorHAnsi"/>
        </w:rPr>
      </w:pPr>
      <w:r w:rsidRPr="006A75A2">
        <w:rPr>
          <w:rFonts w:eastAsiaTheme="minorHAnsi"/>
        </w:rPr>
        <w:t>Except as detailed in the following table, the carrying amounts of financial assets and financial liabilities recorded at amortised cost in the financial statements approximate their fair values.</w:t>
      </w:r>
    </w:p>
    <w:p w:rsidR="00336793" w:rsidRPr="006A75A2" w:rsidRDefault="00336793" w:rsidP="00DF0B96">
      <w:pPr>
        <w:pStyle w:val="Heading5a"/>
      </w:pPr>
      <w:r w:rsidRPr="006A75A2">
        <w:rPr>
          <w:rFonts w:eastAsiaTheme="minorHAnsi"/>
        </w:rPr>
        <w:t>Fair value of financial instruments at amortised cost</w:t>
      </w:r>
    </w:p>
    <w:p w:rsidR="00336793" w:rsidRPr="00A10A3B" w:rsidRDefault="00336793" w:rsidP="00DF0B96">
      <w:pPr>
        <w:pStyle w:val="million"/>
        <w:rPr>
          <w:rFonts w:ascii="Times New Roman" w:hAnsi="Times New Roman"/>
          <w:i w:val="0"/>
          <w:szCs w:val="20"/>
          <w:lang w:eastAsia="en-AU"/>
        </w:rPr>
      </w:pPr>
      <w:r w:rsidRPr="006A75A2">
        <w:t>($</w:t>
      </w:r>
      <w:r>
        <w:t> million</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60"/>
        <w:gridCol w:w="860"/>
        <w:gridCol w:w="1120"/>
        <w:gridCol w:w="270"/>
        <w:gridCol w:w="850"/>
        <w:gridCol w:w="112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26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80"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2015</w:t>
            </w:r>
          </w:p>
        </w:tc>
        <w:tc>
          <w:tcPr>
            <w:tcW w:w="27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 xml:space="preserve"> </w:t>
            </w:r>
          </w:p>
        </w:tc>
        <w:tc>
          <w:tcPr>
            <w:tcW w:w="1970"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Centred"/>
              <w:rPr>
                <w:rFonts w:eastAsiaTheme="minorEastAsia"/>
                <w:lang w:eastAsia="en-AU"/>
              </w:rPr>
            </w:pPr>
            <w:r w:rsidRPr="00A10A3B">
              <w:rPr>
                <w:rFonts w:eastAsiaTheme="minorEastAsia"/>
                <w:lang w:eastAsia="en-AU"/>
              </w:rPr>
              <w:t>2014</w:t>
            </w:r>
          </w:p>
        </w:tc>
      </w:tr>
      <w:tr w:rsidR="00336793" w:rsidRPr="00A10A3B"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iCs/>
                <w:lang w:eastAsia="en-AU"/>
              </w:rPr>
            </w:pPr>
          </w:p>
          <w:p w:rsidR="00336793" w:rsidRPr="00A10A3B" w:rsidRDefault="00336793" w:rsidP="00DF0B96">
            <w:pPr>
              <w:pStyle w:val="Tabletext"/>
              <w:rPr>
                <w:rFonts w:eastAsiaTheme="minorEastAsia"/>
                <w:i/>
                <w:iCs/>
                <w:lang w:eastAsia="en-AU"/>
              </w:rPr>
            </w:pPr>
            <w:r w:rsidRPr="00A10A3B">
              <w:rPr>
                <w:rFonts w:eastAsiaTheme="minorEastAsia"/>
                <w:i/>
                <w:iCs/>
                <w:lang w:eastAsia="en-AU"/>
              </w:rPr>
              <w:t>State of Victoria</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 xml:space="preserve">Carrying </w:t>
            </w:r>
          </w:p>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amount</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 xml:space="preserve">Fair </w:t>
            </w:r>
          </w:p>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value</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 xml:space="preserve">Carrying </w:t>
            </w:r>
          </w:p>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amount</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 xml:space="preserve">Fair </w:t>
            </w:r>
          </w:p>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value</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Financial assets</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b/>
                <w:sz w:val="20"/>
                <w:lang w:eastAsia="en-AU"/>
              </w:rPr>
            </w:pPr>
            <w:r w:rsidRPr="00A10A3B">
              <w:rPr>
                <w:rFonts w:eastAsiaTheme="minorEastAsia"/>
                <w:b/>
                <w:sz w:val="20"/>
                <w:lang w:eastAsia="en-AU"/>
              </w:rPr>
              <w:t xml:space="preserve"> </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Non</w:t>
            </w:r>
            <w:r>
              <w:rPr>
                <w:rFonts w:eastAsiaTheme="minorEastAsia"/>
                <w:lang w:eastAsia="en-AU"/>
              </w:rPr>
              <w:noBreakHyphen/>
            </w:r>
            <w:r w:rsidRPr="00A10A3B">
              <w:rPr>
                <w:rFonts w:eastAsiaTheme="minorEastAsia"/>
                <w:lang w:eastAsia="en-AU"/>
              </w:rPr>
              <w:t xml:space="preserve">current receivables </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173.7</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173.8</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201.2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117.5</w:t>
            </w:r>
          </w:p>
        </w:tc>
      </w:tr>
      <w:tr w:rsidR="00336793" w:rsidRPr="00A10A3B" w:rsidTr="00DF0B96">
        <w:tc>
          <w:tcPr>
            <w:tcW w:w="5157" w:type="dxa"/>
            <w:tcBorders>
              <w:top w:val="nil"/>
              <w:left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Financial liabilities</w:t>
            </w:r>
          </w:p>
        </w:tc>
        <w:tc>
          <w:tcPr>
            <w:tcW w:w="1120" w:type="dxa"/>
            <w:gridSpan w:val="2"/>
            <w:tcBorders>
              <w:top w:val="nil"/>
              <w:left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gridSpan w:val="2"/>
            <w:tcBorders>
              <w:top w:val="nil"/>
              <w:left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157" w:type="dxa"/>
            <w:tcBorders>
              <w:top w:val="nil"/>
              <w:left w:val="nil"/>
              <w:bottom w:val="single" w:sz="12" w:space="0" w:color="000000"/>
              <w:right w:val="nil"/>
            </w:tcBorders>
            <w:shd w:val="clear" w:color="auto" w:fill="auto"/>
          </w:tcPr>
          <w:p w:rsidR="00336793" w:rsidRPr="00A10A3B" w:rsidRDefault="00336793" w:rsidP="00DF0B96">
            <w:pPr>
              <w:pStyle w:val="Tabletext"/>
              <w:rPr>
                <w:rFonts w:eastAsiaTheme="minorEastAsia" w:cs="Calibri"/>
                <w:color w:val="000000"/>
                <w:szCs w:val="22"/>
                <w:vertAlign w:val="superscript"/>
                <w:lang w:eastAsia="en-AU"/>
              </w:rPr>
            </w:pPr>
            <w:r w:rsidRPr="00A10A3B">
              <w:rPr>
                <w:rFonts w:eastAsiaTheme="minorEastAsia"/>
                <w:lang w:eastAsia="en-AU"/>
              </w:rPr>
              <w:t>Finance lease liabilities</w:t>
            </w:r>
            <w:r w:rsidRPr="00E96950">
              <w:rPr>
                <w:rFonts w:eastAsiaTheme="minorEastAsia"/>
                <w:vertAlign w:val="superscript"/>
                <w:lang w:eastAsia="en-AU"/>
              </w:rPr>
              <w:t xml:space="preserve"> (</w:t>
            </w:r>
            <w:r w:rsidRPr="00A10A3B">
              <w:rPr>
                <w:rFonts w:eastAsiaTheme="minorEastAsia" w:cs="Calibri"/>
                <w:color w:val="000000"/>
                <w:szCs w:val="22"/>
                <w:vertAlign w:val="superscript"/>
                <w:lang w:eastAsia="en-AU"/>
              </w:rPr>
              <w:t>a)</w:t>
            </w:r>
          </w:p>
        </w:tc>
        <w:tc>
          <w:tcPr>
            <w:tcW w:w="1120" w:type="dxa"/>
            <w:gridSpan w:val="2"/>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8 760.4</w:t>
            </w:r>
          </w:p>
        </w:tc>
        <w:tc>
          <w:tcPr>
            <w:tcW w:w="1120" w:type="dxa"/>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8 723.8</w:t>
            </w:r>
          </w:p>
        </w:tc>
        <w:tc>
          <w:tcPr>
            <w:tcW w:w="1120" w:type="dxa"/>
            <w:gridSpan w:val="2"/>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8 817.3</w:t>
            </w:r>
          </w:p>
        </w:tc>
        <w:tc>
          <w:tcPr>
            <w:tcW w:w="1120" w:type="dxa"/>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8 606.6</w:t>
            </w:r>
          </w:p>
        </w:tc>
      </w:tr>
    </w:tbl>
    <w:p w:rsidR="00336793" w:rsidRPr="00A10A3B"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1120"/>
        <w:gridCol w:w="1120"/>
        <w:gridCol w:w="1120"/>
      </w:tblGrid>
      <w:tr w:rsidR="00336793" w:rsidRPr="00A10A3B" w:rsidTr="00DF0B96">
        <w:trPr>
          <w:tblHeader/>
        </w:trPr>
        <w:tc>
          <w:tcPr>
            <w:tcW w:w="5157" w:type="dxa"/>
            <w:gridSpan w:val="5"/>
            <w:tcBorders>
              <w:top w:val="single" w:sz="6" w:space="0" w:color="auto"/>
              <w:left w:val="single" w:sz="6" w:space="0" w:color="auto"/>
              <w:bottom w:val="single" w:sz="6" w:space="0" w:color="auto"/>
              <w:right w:val="single" w:sz="6" w:space="0" w:color="auto"/>
            </w:tcBorders>
            <w:shd w:val="clear" w:color="000000" w:fill="000000"/>
            <w:vAlign w:val="bottom"/>
          </w:tcPr>
          <w:p w:rsidR="00336793" w:rsidRPr="00A10A3B" w:rsidRDefault="00336793" w:rsidP="00DF0B96">
            <w:pPr>
              <w:pStyle w:val="Tabletext"/>
              <w:rPr>
                <w:rFonts w:eastAsiaTheme="minorEastAsia"/>
                <w:i/>
                <w:iCs/>
                <w:lang w:eastAsia="en-AU"/>
              </w:rPr>
            </w:pPr>
            <w:r w:rsidRPr="00A10A3B">
              <w:rPr>
                <w:rFonts w:eastAsiaTheme="minorEastAsia"/>
                <w:i/>
                <w:iCs/>
                <w:lang w:eastAsia="en-AU"/>
              </w:rPr>
              <w:t>General government sector</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Financial assets</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sz w:val="20"/>
                <w:lang w:eastAsia="en-AU"/>
              </w:rPr>
            </w:pPr>
            <w:r w:rsidRPr="00A10A3B">
              <w:rPr>
                <w:rFonts w:eastAsiaTheme="minorEastAsia"/>
                <w:b/>
                <w:sz w:val="20"/>
                <w:lang w:eastAsia="en-AU"/>
              </w:rPr>
              <w:t xml:space="preserve"> </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Non</w:t>
            </w:r>
            <w:r>
              <w:rPr>
                <w:rFonts w:eastAsiaTheme="minorEastAsia"/>
                <w:lang w:eastAsia="en-AU"/>
              </w:rPr>
              <w:noBreakHyphen/>
            </w:r>
            <w:r w:rsidRPr="00A10A3B">
              <w:rPr>
                <w:rFonts w:eastAsiaTheme="minorEastAsia"/>
                <w:lang w:eastAsia="en-AU"/>
              </w:rPr>
              <w:t>current receivables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753.0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752.9</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648.4</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594.9</w:t>
            </w:r>
          </w:p>
        </w:tc>
      </w:tr>
      <w:tr w:rsidR="00336793" w:rsidRPr="00A10A3B" w:rsidTr="00DF0B96">
        <w:tc>
          <w:tcPr>
            <w:tcW w:w="5157" w:type="dxa"/>
            <w:tcBorders>
              <w:top w:val="nil"/>
              <w:left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Financial liabilities</w:t>
            </w:r>
          </w:p>
        </w:tc>
        <w:tc>
          <w:tcPr>
            <w:tcW w:w="1120" w:type="dxa"/>
            <w:tcBorders>
              <w:top w:val="nil"/>
              <w:left w:val="nil"/>
              <w:right w:val="nil"/>
            </w:tcBorders>
          </w:tcPr>
          <w:p w:rsidR="00336793" w:rsidRPr="00A10A3B" w:rsidRDefault="00336793" w:rsidP="00DF0B96">
            <w:pPr>
              <w:pStyle w:val="TableofFigures"/>
              <w:rPr>
                <w:rFonts w:eastAsiaTheme="minorEastAsia"/>
                <w:b/>
                <w:sz w:val="20"/>
                <w:lang w:eastAsia="en-AU"/>
              </w:rPr>
            </w:pPr>
            <w:r w:rsidRPr="00A10A3B">
              <w:rPr>
                <w:rFonts w:eastAsiaTheme="minorEastAsia"/>
                <w:b/>
                <w:sz w:val="20"/>
                <w:lang w:eastAsia="en-AU"/>
              </w:rPr>
              <w:t xml:space="preserve"> </w:t>
            </w:r>
          </w:p>
        </w:tc>
        <w:tc>
          <w:tcPr>
            <w:tcW w:w="1120" w:type="dxa"/>
            <w:tcBorders>
              <w:top w:val="nil"/>
              <w:left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right w:val="nil"/>
            </w:tcBorders>
          </w:tcPr>
          <w:p w:rsidR="00336793" w:rsidRPr="00A10A3B" w:rsidRDefault="00336793" w:rsidP="00DF0B96">
            <w:pPr>
              <w:pStyle w:val="TableofFigures"/>
              <w:rPr>
                <w:rFonts w:eastAsiaTheme="minorEastAsia"/>
                <w:b/>
                <w:sz w:val="20"/>
                <w:lang w:eastAsia="en-AU"/>
              </w:rPr>
            </w:pPr>
            <w:r w:rsidRPr="00A10A3B">
              <w:rPr>
                <w:rFonts w:eastAsiaTheme="minorEastAsia"/>
                <w:b/>
                <w:sz w:val="20"/>
                <w:lang w:eastAsia="en-AU"/>
              </w:rPr>
              <w:t xml:space="preserve"> </w:t>
            </w:r>
          </w:p>
        </w:tc>
        <w:tc>
          <w:tcPr>
            <w:tcW w:w="1120" w:type="dxa"/>
            <w:tcBorders>
              <w:top w:val="nil"/>
              <w:left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157" w:type="dxa"/>
            <w:tcBorders>
              <w:top w:val="nil"/>
              <w:left w:val="nil"/>
              <w:bottom w:val="single" w:sz="12" w:space="0" w:color="000000"/>
              <w:right w:val="nil"/>
            </w:tcBorders>
            <w:shd w:val="clear" w:color="auto" w:fill="auto"/>
          </w:tcPr>
          <w:p w:rsidR="00336793" w:rsidRPr="00A10A3B" w:rsidRDefault="00336793" w:rsidP="00DF0B96">
            <w:pPr>
              <w:pStyle w:val="Tabletext"/>
              <w:rPr>
                <w:rFonts w:eastAsiaTheme="minorEastAsia" w:cs="Calibri"/>
                <w:color w:val="000000"/>
                <w:szCs w:val="22"/>
                <w:vertAlign w:val="superscript"/>
                <w:lang w:eastAsia="en-AU"/>
              </w:rPr>
            </w:pPr>
            <w:r w:rsidRPr="00A10A3B">
              <w:rPr>
                <w:rFonts w:eastAsiaTheme="minorEastAsia"/>
                <w:lang w:eastAsia="en-AU"/>
              </w:rPr>
              <w:t>Finance lease liabilities</w:t>
            </w:r>
            <w:r w:rsidRPr="00E96950">
              <w:rPr>
                <w:rFonts w:eastAsiaTheme="minorEastAsia"/>
                <w:vertAlign w:val="superscript"/>
                <w:lang w:eastAsia="en-AU"/>
              </w:rPr>
              <w:t xml:space="preserve"> (</w:t>
            </w:r>
            <w:r w:rsidRPr="00A10A3B">
              <w:rPr>
                <w:rFonts w:eastAsiaTheme="minorEastAsia" w:cs="Calibri"/>
                <w:color w:val="000000"/>
                <w:szCs w:val="22"/>
                <w:vertAlign w:val="superscript"/>
                <w:lang w:eastAsia="en-AU"/>
              </w:rPr>
              <w:t>a)</w:t>
            </w:r>
          </w:p>
        </w:tc>
        <w:tc>
          <w:tcPr>
            <w:tcW w:w="1120" w:type="dxa"/>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8 058.6</w:t>
            </w:r>
          </w:p>
        </w:tc>
        <w:tc>
          <w:tcPr>
            <w:tcW w:w="1120" w:type="dxa"/>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8 058.4</w:t>
            </w:r>
          </w:p>
        </w:tc>
        <w:tc>
          <w:tcPr>
            <w:tcW w:w="1120" w:type="dxa"/>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8 049.8</w:t>
            </w:r>
          </w:p>
        </w:tc>
        <w:tc>
          <w:tcPr>
            <w:tcW w:w="1120" w:type="dxa"/>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7 927.0</w:t>
            </w:r>
          </w:p>
        </w:tc>
      </w:tr>
    </w:tbl>
    <w:p w:rsidR="00336793" w:rsidRPr="006A75A2" w:rsidRDefault="00336793" w:rsidP="00DF0B96">
      <w:pPr>
        <w:pStyle w:val="Notes"/>
      </w:pPr>
      <w:r>
        <w:t>Note</w:t>
      </w:r>
      <w:r w:rsidRPr="006A75A2">
        <w:t>:</w:t>
      </w:r>
    </w:p>
    <w:p w:rsidR="00336793" w:rsidRPr="006A75A2" w:rsidRDefault="00336793" w:rsidP="00DF0B96">
      <w:pPr>
        <w:pStyle w:val="Notes"/>
      </w:pPr>
      <w:r w:rsidRPr="006A75A2">
        <w:t xml:space="preserve">(a) </w:t>
      </w:r>
      <w:r w:rsidRPr="006A75A2">
        <w:tab/>
      </w:r>
      <w:r w:rsidRPr="00DF7C4A">
        <w:t>June 2014 comparative figures have been restated to reflect more current information.</w:t>
      </w:r>
    </w:p>
    <w:p w:rsidR="00336793" w:rsidRPr="006A75A2" w:rsidRDefault="00336793" w:rsidP="00DF0B96">
      <w:pPr>
        <w:pStyle w:val="Notes"/>
        <w:rPr>
          <w:i w:val="0"/>
          <w:sz w:val="23"/>
        </w:rPr>
      </w:pPr>
      <w:r w:rsidRPr="006A75A2">
        <w:br w:type="page"/>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11343" w:rsidRDefault="00336793" w:rsidP="00DF0B96">
      <w:pPr>
        <w:pStyle w:val="Heading5a"/>
      </w:pPr>
      <w:r w:rsidRPr="00611343">
        <w:t>Financial assets measured at fair value</w:t>
      </w:r>
    </w:p>
    <w:p w:rsidR="00336793" w:rsidRPr="00A10A3B" w:rsidRDefault="00336793" w:rsidP="00DF0B96">
      <w:pPr>
        <w:pStyle w:val="million"/>
        <w:rPr>
          <w:rFonts w:ascii="Times New Roman" w:hAnsi="Times New Roman"/>
          <w:i w:val="0"/>
          <w:szCs w:val="20"/>
          <w:lang w:eastAsia="en-AU"/>
        </w:rPr>
      </w:pPr>
      <w:r w:rsidRPr="00611343">
        <w:t>($</w:t>
      </w:r>
      <w:r>
        <w:t> million</w:t>
      </w:r>
      <w:r w:rsidRPr="00611343">
        <w:t>)</w:t>
      </w:r>
    </w:p>
    <w:tbl>
      <w:tblPr>
        <w:tblW w:w="9637" w:type="dxa"/>
        <w:tblInd w:w="28" w:type="dxa"/>
        <w:tblLayout w:type="fixed"/>
        <w:tblCellMar>
          <w:left w:w="45" w:type="dxa"/>
          <w:right w:w="45" w:type="dxa"/>
        </w:tblCellMar>
        <w:tblLook w:val="0000" w:firstRow="0" w:lastRow="0" w:firstColumn="0" w:lastColumn="0" w:noHBand="0" w:noVBand="0"/>
      </w:tblPr>
      <w:tblGrid>
        <w:gridCol w:w="4607"/>
        <w:gridCol w:w="1440"/>
        <w:gridCol w:w="270"/>
        <w:gridCol w:w="1080"/>
        <w:gridCol w:w="1120"/>
        <w:gridCol w:w="860"/>
        <w:gridCol w:w="260"/>
      </w:tblGrid>
      <w:tr w:rsidR="00336793" w:rsidRPr="00A10A3B" w:rsidTr="00DF0B96">
        <w:trPr>
          <w:tblHeader/>
        </w:trPr>
        <w:tc>
          <w:tcPr>
            <w:tcW w:w="460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b/>
                <w:i/>
                <w:sz w:val="21"/>
                <w:lang w:eastAsia="en-AU"/>
              </w:rPr>
            </w:pPr>
          </w:p>
          <w:p w:rsidR="00336793" w:rsidRPr="00A10A3B" w:rsidRDefault="00336793" w:rsidP="00DF0B96">
            <w:pPr>
              <w:pStyle w:val="TabletextheadingLeft"/>
              <w:rPr>
                <w:rFonts w:eastAsiaTheme="minorEastAsia"/>
                <w:sz w:val="21"/>
                <w:lang w:eastAsia="en-AU"/>
              </w:rPr>
            </w:pPr>
            <w:r w:rsidRPr="00A10A3B">
              <w:rPr>
                <w:rFonts w:eastAsiaTheme="minorEastAsia"/>
                <w:sz w:val="21"/>
                <w:lang w:eastAsia="en-AU"/>
              </w:rPr>
              <w:t xml:space="preserve">State of Victoria </w:t>
            </w:r>
          </w:p>
        </w:tc>
        <w:tc>
          <w:tcPr>
            <w:tcW w:w="144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sz w:val="21"/>
              </w:rPr>
            </w:pPr>
            <w:r w:rsidRPr="00A10A3B">
              <w:rPr>
                <w:sz w:val="21"/>
              </w:rPr>
              <w:t xml:space="preserve">Carrying </w:t>
            </w:r>
          </w:p>
          <w:p w:rsidR="00336793" w:rsidRPr="00A10A3B" w:rsidRDefault="00336793" w:rsidP="00DF0B96">
            <w:pPr>
              <w:pStyle w:val="Tabletextheading"/>
              <w:rPr>
                <w:sz w:val="21"/>
              </w:rPr>
            </w:pPr>
            <w:r w:rsidRPr="00A10A3B">
              <w:rPr>
                <w:sz w:val="21"/>
              </w:rPr>
              <w:t>amount as at</w:t>
            </w:r>
          </w:p>
        </w:tc>
        <w:tc>
          <w:tcPr>
            <w:tcW w:w="27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sz w:val="21"/>
              </w:rPr>
            </w:pPr>
            <w:r w:rsidRPr="00A10A3B">
              <w:rPr>
                <w:sz w:val="21"/>
              </w:rPr>
              <w:t xml:space="preserve"> </w:t>
            </w:r>
          </w:p>
        </w:tc>
        <w:tc>
          <w:tcPr>
            <w:tcW w:w="3060" w:type="dxa"/>
            <w:gridSpan w:val="3"/>
            <w:tcBorders>
              <w:top w:val="single" w:sz="6" w:space="0" w:color="auto"/>
              <w:left w:val="nil"/>
              <w:bottom w:val="single" w:sz="6" w:space="0" w:color="FFFFFF" w:themeColor="background1"/>
              <w:right w:val="nil"/>
            </w:tcBorders>
            <w:shd w:val="clear" w:color="000000" w:fill="000000"/>
            <w:vAlign w:val="bottom"/>
          </w:tcPr>
          <w:p w:rsidR="00336793" w:rsidRPr="00A10A3B" w:rsidRDefault="00336793" w:rsidP="00DF0B96">
            <w:pPr>
              <w:pStyle w:val="Tabletextheading"/>
              <w:rPr>
                <w:sz w:val="21"/>
              </w:rPr>
            </w:pPr>
            <w:r w:rsidRPr="00A10A3B">
              <w:rPr>
                <w:sz w:val="21"/>
              </w:rPr>
              <w:t xml:space="preserve">Fair value measurement at </w:t>
            </w:r>
          </w:p>
          <w:p w:rsidR="00336793" w:rsidRPr="00A10A3B" w:rsidRDefault="00336793" w:rsidP="00DF0B96">
            <w:pPr>
              <w:pStyle w:val="Tabletextheading"/>
              <w:rPr>
                <w:sz w:val="21"/>
              </w:rPr>
            </w:pPr>
            <w:r w:rsidRPr="00A10A3B">
              <w:rPr>
                <w:sz w:val="21"/>
              </w:rPr>
              <w:t>end of reporting period using:</w:t>
            </w:r>
          </w:p>
        </w:tc>
        <w:tc>
          <w:tcPr>
            <w:tcW w:w="260" w:type="dxa"/>
            <w:tcBorders>
              <w:top w:val="single" w:sz="6" w:space="0" w:color="auto"/>
              <w:left w:val="nil"/>
              <w:bottom w:val="single" w:sz="6" w:space="0" w:color="FFFFFF" w:themeColor="background1"/>
              <w:right w:val="single" w:sz="6" w:space="0" w:color="auto"/>
            </w:tcBorders>
            <w:shd w:val="clear" w:color="000000" w:fill="000000"/>
            <w:vAlign w:val="bottom"/>
          </w:tcPr>
          <w:p w:rsidR="00336793" w:rsidRPr="00A10A3B" w:rsidRDefault="00336793" w:rsidP="00DF0B96">
            <w:pPr>
              <w:pStyle w:val="Tabletextheading"/>
              <w:rPr>
                <w:sz w:val="21"/>
              </w:rPr>
            </w:pPr>
            <w:r w:rsidRPr="00A10A3B">
              <w:rPr>
                <w:sz w:val="21"/>
              </w:rPr>
              <w:t xml:space="preserve"> </w:t>
            </w:r>
          </w:p>
        </w:tc>
      </w:tr>
      <w:tr w:rsidR="00336793" w:rsidRPr="00A10A3B" w:rsidTr="00DF0B96">
        <w:trPr>
          <w:tblHeader/>
        </w:trPr>
        <w:tc>
          <w:tcPr>
            <w:tcW w:w="460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sz w:val="21"/>
                <w:lang w:eastAsia="en-AU"/>
              </w:rPr>
            </w:pPr>
            <w:r w:rsidRPr="00A10A3B">
              <w:rPr>
                <w:rFonts w:eastAsiaTheme="minorEastAsia"/>
                <w:i/>
                <w:sz w:val="21"/>
                <w:lang w:eastAsia="en-AU"/>
              </w:rPr>
              <w:t>2015</w:t>
            </w:r>
          </w:p>
        </w:tc>
        <w:tc>
          <w:tcPr>
            <w:tcW w:w="144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30 June </w:t>
            </w:r>
          </w:p>
        </w:tc>
        <w:tc>
          <w:tcPr>
            <w:tcW w:w="135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vertAlign w:val="superscript"/>
                <w:lang w:eastAsia="en-AU"/>
              </w:rPr>
            </w:pPr>
            <w:r w:rsidRPr="00A10A3B">
              <w:rPr>
                <w:rFonts w:eastAsiaTheme="minorEastAsia"/>
                <w:color w:val="FFFFFF"/>
                <w:sz w:val="21"/>
                <w:lang w:eastAsia="en-AU"/>
              </w:rPr>
              <w:t>Level 1</w:t>
            </w:r>
            <w:r w:rsidRPr="00A10A3B">
              <w:rPr>
                <w:rFonts w:eastAsiaTheme="minorEastAsia"/>
                <w:color w:val="FFFFFF"/>
                <w:sz w:val="21"/>
                <w:vertAlign w:val="superscript"/>
                <w:lang w:eastAsia="en-AU"/>
              </w:rPr>
              <w:t>(a)</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vertAlign w:val="superscript"/>
                <w:lang w:eastAsia="en-AU"/>
              </w:rPr>
            </w:pPr>
            <w:r w:rsidRPr="00A10A3B">
              <w:rPr>
                <w:rFonts w:eastAsiaTheme="minorEastAsia"/>
                <w:color w:val="FFFFFF"/>
                <w:sz w:val="21"/>
                <w:lang w:eastAsia="en-AU"/>
              </w:rPr>
              <w:t>Level 2</w:t>
            </w:r>
            <w:r w:rsidRPr="00A10A3B">
              <w:rPr>
                <w:rFonts w:eastAsiaTheme="minorEastAsia"/>
                <w:color w:val="FFFFFF"/>
                <w:sz w:val="21"/>
                <w:vertAlign w:val="superscript"/>
                <w:lang w:eastAsia="en-AU"/>
              </w:rPr>
              <w:t>(b)</w:t>
            </w:r>
          </w:p>
        </w:tc>
        <w:tc>
          <w:tcPr>
            <w:tcW w:w="1120" w:type="dxa"/>
            <w:gridSpan w:val="2"/>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sz w:val="21"/>
                <w:vertAlign w:val="superscript"/>
                <w:lang w:eastAsia="en-AU"/>
              </w:rPr>
            </w:pPr>
            <w:r w:rsidRPr="00A10A3B">
              <w:rPr>
                <w:rFonts w:eastAsiaTheme="minorEastAsia"/>
                <w:color w:val="FFFFFF"/>
                <w:sz w:val="21"/>
                <w:lang w:eastAsia="en-AU"/>
              </w:rPr>
              <w:t>Level 3</w:t>
            </w:r>
            <w:r w:rsidRPr="00A10A3B">
              <w:rPr>
                <w:rFonts w:eastAsiaTheme="minorEastAsia"/>
                <w:color w:val="FFFFFF"/>
                <w:sz w:val="21"/>
                <w:vertAlign w:val="superscript"/>
                <w:lang w:eastAsia="en-AU"/>
              </w:rPr>
              <w:t>(c)</w:t>
            </w:r>
          </w:p>
        </w:tc>
      </w:tr>
      <w:tr w:rsidR="00336793" w:rsidRPr="00A10A3B" w:rsidTr="00DF0B96">
        <w:tc>
          <w:tcPr>
            <w:tcW w:w="460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b/>
                <w:sz w:val="21"/>
                <w:lang w:eastAsia="en-AU"/>
              </w:rPr>
            </w:pPr>
            <w:r w:rsidRPr="00A10A3B">
              <w:rPr>
                <w:rFonts w:eastAsiaTheme="minorEastAsia"/>
                <w:b/>
                <w:sz w:val="21"/>
                <w:lang w:eastAsia="en-AU"/>
              </w:rPr>
              <w:t>Financial assets</w:t>
            </w:r>
          </w:p>
        </w:tc>
        <w:tc>
          <w:tcPr>
            <w:tcW w:w="144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35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4607" w:type="dxa"/>
            <w:tcBorders>
              <w:top w:val="nil"/>
              <w:left w:val="nil"/>
              <w:bottom w:val="nil"/>
              <w:right w:val="nil"/>
            </w:tcBorders>
            <w:shd w:val="solid" w:color="FFFFFF" w:fill="auto"/>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Cash</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6 521.1</w:t>
            </w:r>
          </w:p>
        </w:tc>
        <w:tc>
          <w:tcPr>
            <w:tcW w:w="135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6 521.1</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r>
      <w:tr w:rsidR="00336793" w:rsidRPr="00A10A3B" w:rsidTr="00DF0B96">
        <w:tc>
          <w:tcPr>
            <w:tcW w:w="460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Receivables held in investment schemes</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35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r>
      <w:tr w:rsidR="00336793" w:rsidRPr="00A10A3B" w:rsidTr="00DF0B96">
        <w:tc>
          <w:tcPr>
            <w:tcW w:w="460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Derivative assets</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654.9</w:t>
            </w:r>
          </w:p>
        </w:tc>
        <w:tc>
          <w:tcPr>
            <w:tcW w:w="135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49.9</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604.8</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0.2</w:t>
            </w:r>
          </w:p>
        </w:tc>
      </w:tr>
      <w:tr w:rsidR="00336793" w:rsidRPr="00A10A3B" w:rsidTr="00DF0B96">
        <w:tc>
          <w:tcPr>
            <w:tcW w:w="460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Equities and managed investment schemes</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24 196.1</w:t>
            </w:r>
          </w:p>
        </w:tc>
        <w:tc>
          <w:tcPr>
            <w:tcW w:w="135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1 869.7</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17 255.3</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5 071.1</w:t>
            </w:r>
          </w:p>
        </w:tc>
      </w:tr>
      <w:tr w:rsidR="00336793" w:rsidRPr="00A10A3B" w:rsidTr="00DF0B96">
        <w:tc>
          <w:tcPr>
            <w:tcW w:w="4607" w:type="dxa"/>
            <w:tcBorders>
              <w:top w:val="nil"/>
              <w:left w:val="nil"/>
              <w:bottom w:val="single" w:sz="6" w:space="0" w:color="auto"/>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Debt securities at fair value</w:t>
            </w:r>
          </w:p>
        </w:tc>
        <w:tc>
          <w:tcPr>
            <w:tcW w:w="1440" w:type="dxa"/>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8 917.0</w:t>
            </w:r>
          </w:p>
        </w:tc>
        <w:tc>
          <w:tcPr>
            <w:tcW w:w="135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1 777.1</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6 913.3</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226.6</w:t>
            </w:r>
          </w:p>
        </w:tc>
      </w:tr>
      <w:tr w:rsidR="00336793" w:rsidRPr="00A10A3B" w:rsidTr="00DF0B96">
        <w:tc>
          <w:tcPr>
            <w:tcW w:w="4607"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text"/>
              <w:rPr>
                <w:rFonts w:eastAsiaTheme="minorEastAsia"/>
                <w:b/>
                <w:sz w:val="21"/>
                <w:lang w:eastAsia="en-AU"/>
              </w:rPr>
            </w:pPr>
            <w:r w:rsidRPr="00A10A3B">
              <w:rPr>
                <w:rFonts w:eastAsiaTheme="minorEastAsia"/>
                <w:b/>
                <w:sz w:val="21"/>
                <w:lang w:eastAsia="en-AU"/>
              </w:rPr>
              <w:t>Total financial assets</w:t>
            </w:r>
          </w:p>
        </w:tc>
        <w:tc>
          <w:tcPr>
            <w:tcW w:w="1440"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40 289.2</w:t>
            </w:r>
          </w:p>
        </w:tc>
        <w:tc>
          <w:tcPr>
            <w:tcW w:w="1350"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10 217.9</w:t>
            </w:r>
          </w:p>
        </w:tc>
        <w:tc>
          <w:tcPr>
            <w:tcW w:w="1120"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24 773.4</w:t>
            </w:r>
          </w:p>
        </w:tc>
        <w:tc>
          <w:tcPr>
            <w:tcW w:w="1120"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5 297.9</w:t>
            </w:r>
          </w:p>
        </w:tc>
      </w:tr>
    </w:tbl>
    <w:p w:rsidR="00336793" w:rsidRPr="00A10A3B"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4607"/>
        <w:gridCol w:w="1440"/>
        <w:gridCol w:w="270"/>
        <w:gridCol w:w="1080"/>
        <w:gridCol w:w="1120"/>
        <w:gridCol w:w="860"/>
        <w:gridCol w:w="260"/>
      </w:tblGrid>
      <w:tr w:rsidR="00336793" w:rsidRPr="00A10A3B" w:rsidTr="00DF0B96">
        <w:trPr>
          <w:tblHeader/>
        </w:trPr>
        <w:tc>
          <w:tcPr>
            <w:tcW w:w="4607"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sz w:val="21"/>
                <w:lang w:eastAsia="en-AU"/>
              </w:rPr>
            </w:pPr>
            <w:r w:rsidRPr="00A10A3B">
              <w:rPr>
                <w:rFonts w:eastAsiaTheme="minorEastAsia"/>
                <w:i/>
                <w:sz w:val="21"/>
                <w:lang w:eastAsia="en-AU"/>
              </w:rPr>
              <w:t>2014</w:t>
            </w:r>
          </w:p>
        </w:tc>
        <w:tc>
          <w:tcPr>
            <w:tcW w:w="144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b/>
                <w:bCs/>
                <w:color w:val="FFFFFF"/>
                <w:sz w:val="21"/>
                <w:lang w:eastAsia="en-AU"/>
              </w:rPr>
            </w:pPr>
            <w:r w:rsidRPr="00A10A3B">
              <w:rPr>
                <w:rFonts w:eastAsiaTheme="minorEastAsia"/>
                <w:b/>
                <w:bCs/>
                <w:color w:val="FFFFFF"/>
                <w:sz w:val="21"/>
                <w:lang w:eastAsia="en-AU"/>
              </w:rPr>
              <w:t xml:space="preserve"> </w:t>
            </w:r>
          </w:p>
        </w:tc>
        <w:tc>
          <w:tcPr>
            <w:tcW w:w="27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b/>
                <w:bCs/>
                <w:color w:val="FFFFFF"/>
                <w:sz w:val="21"/>
                <w:lang w:eastAsia="en-AU"/>
              </w:rPr>
            </w:pPr>
            <w:r w:rsidRPr="00A10A3B">
              <w:rPr>
                <w:rFonts w:eastAsiaTheme="minorEastAsia"/>
                <w:b/>
                <w:bCs/>
                <w:color w:val="FFFFFF"/>
                <w:sz w:val="21"/>
                <w:lang w:eastAsia="en-AU"/>
              </w:rPr>
              <w:t xml:space="preserve"> </w:t>
            </w:r>
          </w:p>
        </w:tc>
        <w:tc>
          <w:tcPr>
            <w:tcW w:w="3060" w:type="dxa"/>
            <w:gridSpan w:val="3"/>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b/>
                <w:bCs/>
                <w:color w:val="FFFFFF"/>
                <w:sz w:val="21"/>
                <w:lang w:eastAsia="en-AU"/>
              </w:rPr>
            </w:pPr>
            <w:r w:rsidRPr="00A10A3B">
              <w:rPr>
                <w:rFonts w:eastAsiaTheme="minorEastAsia"/>
                <w:b/>
                <w:bCs/>
                <w:color w:val="FFFFFF"/>
                <w:sz w:val="21"/>
                <w:lang w:eastAsia="en-AU"/>
              </w:rPr>
              <w:t xml:space="preserve"> </w:t>
            </w:r>
          </w:p>
        </w:tc>
        <w:tc>
          <w:tcPr>
            <w:tcW w:w="260"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b/>
                <w:bCs/>
                <w:color w:val="FFFFFF"/>
                <w:sz w:val="21"/>
                <w:lang w:eastAsia="en-AU"/>
              </w:rPr>
            </w:pPr>
            <w:r w:rsidRPr="00A10A3B">
              <w:rPr>
                <w:rFonts w:eastAsiaTheme="minorEastAsia"/>
                <w:b/>
                <w:bCs/>
                <w:color w:val="FFFFFF"/>
                <w:sz w:val="21"/>
                <w:lang w:eastAsia="en-AU"/>
              </w:rPr>
              <w:t xml:space="preserve"> </w:t>
            </w:r>
          </w:p>
        </w:tc>
      </w:tr>
      <w:tr w:rsidR="00336793" w:rsidRPr="00A10A3B" w:rsidTr="00DF0B96">
        <w:tc>
          <w:tcPr>
            <w:tcW w:w="460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Financial assets</w:t>
            </w:r>
          </w:p>
        </w:tc>
        <w:tc>
          <w:tcPr>
            <w:tcW w:w="144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35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460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color w:val="000000"/>
                <w:sz w:val="21"/>
                <w:szCs w:val="22"/>
                <w:vertAlign w:val="superscript"/>
                <w:lang w:eastAsia="en-AU"/>
              </w:rPr>
            </w:pPr>
            <w:r w:rsidRPr="00A10A3B">
              <w:rPr>
                <w:rFonts w:eastAsiaTheme="minorEastAsia"/>
                <w:sz w:val="21"/>
                <w:lang w:eastAsia="en-AU"/>
              </w:rPr>
              <w:t>Cash</w:t>
            </w:r>
            <w:r w:rsidRPr="00E96950">
              <w:rPr>
                <w:rFonts w:eastAsiaTheme="minorEastAsia"/>
                <w:sz w:val="21"/>
                <w:vertAlign w:val="superscript"/>
                <w:lang w:eastAsia="en-AU"/>
              </w:rPr>
              <w:t xml:space="preserve"> (</w:t>
            </w:r>
            <w:r w:rsidRPr="00A10A3B">
              <w:rPr>
                <w:rFonts w:eastAsiaTheme="minorEastAsia" w:cs="Calibri"/>
                <w:color w:val="000000"/>
                <w:sz w:val="21"/>
                <w:szCs w:val="22"/>
                <w:vertAlign w:val="superscript"/>
                <w:lang w:eastAsia="en-AU"/>
              </w:rPr>
              <w:t>d)</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8 282.0</w:t>
            </w:r>
          </w:p>
        </w:tc>
        <w:tc>
          <w:tcPr>
            <w:tcW w:w="135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8 282.0</w:t>
            </w:r>
          </w:p>
        </w:tc>
        <w:tc>
          <w:tcPr>
            <w:tcW w:w="1120" w:type="dxa"/>
            <w:tcBorders>
              <w:top w:val="nil"/>
              <w:left w:val="nil"/>
              <w:bottom w:val="nil"/>
              <w:right w:val="nil"/>
            </w:tcBorders>
          </w:tcPr>
          <w:p w:rsidR="00336793" w:rsidRPr="00A10A3B" w:rsidRDefault="00336793" w:rsidP="00DF0B96">
            <w:pPr>
              <w:pStyle w:val="TableofFigures"/>
              <w:rPr>
                <w:rFonts w:eastAsiaTheme="minorEastAsia" w:cs="Calibri"/>
                <w:color w:val="000000"/>
                <w:sz w:val="21"/>
                <w:szCs w:val="22"/>
                <w:lang w:eastAsia="en-AU"/>
              </w:rPr>
            </w:pPr>
            <w:r w:rsidRPr="00A10A3B">
              <w:rPr>
                <w:rFonts w:eastAsiaTheme="minorEastAsia"/>
                <w:sz w:val="21"/>
                <w:lang w:eastAsia="en-AU"/>
              </w:rPr>
              <w: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cs="Calibri"/>
                <w:color w:val="000000"/>
                <w:sz w:val="21"/>
                <w:szCs w:val="22"/>
                <w:lang w:eastAsia="en-AU"/>
              </w:rPr>
            </w:pPr>
            <w:r w:rsidRPr="00A10A3B">
              <w:rPr>
                <w:rFonts w:eastAsiaTheme="minorEastAsia"/>
                <w:sz w:val="21"/>
                <w:lang w:eastAsia="en-AU"/>
              </w:rPr>
              <w:t>..</w:t>
            </w:r>
          </w:p>
        </w:tc>
      </w:tr>
      <w:tr w:rsidR="00336793" w:rsidRPr="00A10A3B" w:rsidTr="00DF0B96">
        <w:tc>
          <w:tcPr>
            <w:tcW w:w="4607" w:type="dxa"/>
            <w:tcBorders>
              <w:top w:val="nil"/>
              <w:left w:val="nil"/>
              <w:bottom w:val="nil"/>
              <w:right w:val="nil"/>
            </w:tcBorders>
            <w:shd w:val="solid" w:color="FFFFFF" w:fill="auto"/>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Receivables held in investment schemes</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59.1</w:t>
            </w:r>
          </w:p>
        </w:tc>
        <w:tc>
          <w:tcPr>
            <w:tcW w:w="135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59.1</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r>
      <w:tr w:rsidR="00336793" w:rsidRPr="00A10A3B" w:rsidTr="00DF0B96">
        <w:tc>
          <w:tcPr>
            <w:tcW w:w="4607" w:type="dxa"/>
            <w:tcBorders>
              <w:top w:val="nil"/>
              <w:left w:val="nil"/>
              <w:bottom w:val="nil"/>
              <w:right w:val="nil"/>
            </w:tcBorders>
            <w:shd w:val="solid" w:color="FFFFFF" w:fill="auto"/>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Derivative assets</w:t>
            </w:r>
            <w:r w:rsidRPr="00E96950">
              <w:rPr>
                <w:rFonts w:eastAsiaTheme="minorEastAsia"/>
                <w:sz w:val="21"/>
                <w:vertAlign w:val="superscript"/>
                <w:lang w:eastAsia="en-AU"/>
              </w:rPr>
              <w:t xml:space="preserve"> (</w:t>
            </w:r>
            <w:r w:rsidRPr="00A10A3B">
              <w:rPr>
                <w:rFonts w:eastAsiaTheme="minorEastAsia"/>
                <w:sz w:val="21"/>
                <w:vertAlign w:val="superscript"/>
                <w:lang w:eastAsia="en-AU"/>
              </w:rPr>
              <w:t>d)</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593.7</w:t>
            </w:r>
          </w:p>
        </w:tc>
        <w:tc>
          <w:tcPr>
            <w:tcW w:w="135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20.9</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572.9</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r>
      <w:tr w:rsidR="00336793" w:rsidRPr="00A10A3B" w:rsidTr="00DF0B96">
        <w:tc>
          <w:tcPr>
            <w:tcW w:w="4607" w:type="dxa"/>
            <w:tcBorders>
              <w:top w:val="nil"/>
              <w:left w:val="nil"/>
              <w:bottom w:val="nil"/>
              <w:right w:val="nil"/>
            </w:tcBorders>
            <w:shd w:val="solid" w:color="FFFFFF" w:fill="auto"/>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Equities and managed investment schemes</w:t>
            </w:r>
          </w:p>
        </w:tc>
        <w:tc>
          <w:tcPr>
            <w:tcW w:w="144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16 771.7</w:t>
            </w:r>
          </w:p>
        </w:tc>
        <w:tc>
          <w:tcPr>
            <w:tcW w:w="135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4 942.6</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7 442.6</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4 386.4</w:t>
            </w:r>
          </w:p>
        </w:tc>
      </w:tr>
      <w:tr w:rsidR="00336793" w:rsidRPr="00A10A3B" w:rsidTr="00DF0B96">
        <w:tc>
          <w:tcPr>
            <w:tcW w:w="4607" w:type="dxa"/>
            <w:tcBorders>
              <w:top w:val="nil"/>
              <w:left w:val="nil"/>
              <w:bottom w:val="single" w:sz="6" w:space="0" w:color="auto"/>
              <w:right w:val="nil"/>
            </w:tcBorders>
            <w:shd w:val="solid" w:color="FFFFFF" w:fill="auto"/>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Debt securities at fair value</w:t>
            </w:r>
          </w:p>
        </w:tc>
        <w:tc>
          <w:tcPr>
            <w:tcW w:w="1440" w:type="dxa"/>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11 452.1</w:t>
            </w:r>
          </w:p>
        </w:tc>
        <w:tc>
          <w:tcPr>
            <w:tcW w:w="135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2 038.0</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9 170.7</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243.4</w:t>
            </w:r>
          </w:p>
        </w:tc>
      </w:tr>
      <w:tr w:rsidR="00336793" w:rsidRPr="00A10A3B" w:rsidTr="00DF0B96">
        <w:tc>
          <w:tcPr>
            <w:tcW w:w="4607"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text"/>
              <w:rPr>
                <w:rFonts w:eastAsiaTheme="minorEastAsia" w:cs="Calibri"/>
                <w:b/>
                <w:bCs/>
                <w:color w:val="000000"/>
                <w:sz w:val="21"/>
                <w:szCs w:val="22"/>
                <w:vertAlign w:val="superscript"/>
                <w:lang w:eastAsia="en-AU"/>
              </w:rPr>
            </w:pPr>
            <w:r w:rsidRPr="00A10A3B">
              <w:rPr>
                <w:rFonts w:eastAsiaTheme="minorEastAsia"/>
                <w:b/>
                <w:bCs/>
                <w:sz w:val="21"/>
                <w:lang w:eastAsia="en-AU"/>
              </w:rPr>
              <w:t>Total financial assets</w:t>
            </w:r>
            <w:r w:rsidRPr="00E96950">
              <w:rPr>
                <w:rFonts w:eastAsiaTheme="minorEastAsia" w:cs="Calibri"/>
                <w:b/>
                <w:bCs/>
                <w:color w:val="000000"/>
                <w:sz w:val="21"/>
                <w:szCs w:val="22"/>
                <w:vertAlign w:val="superscript"/>
                <w:lang w:eastAsia="en-AU"/>
              </w:rPr>
              <w:t xml:space="preserve"> (</w:t>
            </w:r>
            <w:r w:rsidRPr="00A10A3B">
              <w:rPr>
                <w:rFonts w:eastAsiaTheme="minorEastAsia" w:cs="Calibri"/>
                <w:b/>
                <w:bCs/>
                <w:color w:val="000000"/>
                <w:sz w:val="21"/>
                <w:szCs w:val="22"/>
                <w:vertAlign w:val="superscript"/>
                <w:lang w:eastAsia="en-AU"/>
              </w:rPr>
              <w:t>d)</w:t>
            </w:r>
          </w:p>
        </w:tc>
        <w:tc>
          <w:tcPr>
            <w:tcW w:w="1440"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sz w:val="21"/>
                <w:lang w:eastAsia="en-AU"/>
              </w:rPr>
            </w:pPr>
            <w:r w:rsidRPr="00A10A3B">
              <w:rPr>
                <w:rFonts w:eastAsiaTheme="minorEastAsia"/>
                <w:b/>
                <w:bCs/>
                <w:sz w:val="21"/>
                <w:lang w:eastAsia="en-AU"/>
              </w:rPr>
              <w:t>37 158.6</w:t>
            </w:r>
          </w:p>
        </w:tc>
        <w:tc>
          <w:tcPr>
            <w:tcW w:w="1350"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sz w:val="21"/>
                <w:lang w:eastAsia="en-AU"/>
              </w:rPr>
            </w:pPr>
            <w:r w:rsidRPr="00A10A3B">
              <w:rPr>
                <w:rFonts w:eastAsiaTheme="minorEastAsia"/>
                <w:b/>
                <w:bCs/>
                <w:sz w:val="21"/>
                <w:lang w:eastAsia="en-AU"/>
              </w:rPr>
              <w:t>15 283.6</w:t>
            </w:r>
          </w:p>
        </w:tc>
        <w:tc>
          <w:tcPr>
            <w:tcW w:w="1120"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sz w:val="21"/>
                <w:lang w:eastAsia="en-AU"/>
              </w:rPr>
            </w:pPr>
            <w:r w:rsidRPr="00A10A3B">
              <w:rPr>
                <w:rFonts w:eastAsiaTheme="minorEastAsia"/>
                <w:b/>
                <w:bCs/>
                <w:sz w:val="21"/>
                <w:lang w:eastAsia="en-AU"/>
              </w:rPr>
              <w:t>17 245.2</w:t>
            </w:r>
          </w:p>
        </w:tc>
        <w:tc>
          <w:tcPr>
            <w:tcW w:w="1120"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sz w:val="21"/>
                <w:lang w:eastAsia="en-AU"/>
              </w:rPr>
            </w:pPr>
            <w:r w:rsidRPr="00A10A3B">
              <w:rPr>
                <w:rFonts w:eastAsiaTheme="minorEastAsia"/>
                <w:b/>
                <w:bCs/>
                <w:sz w:val="21"/>
                <w:lang w:eastAsia="en-AU"/>
              </w:rPr>
              <w:t>4 629.9</w:t>
            </w:r>
          </w:p>
        </w:tc>
      </w:tr>
    </w:tbl>
    <w:p w:rsidR="00336793" w:rsidRDefault="00336793" w:rsidP="00DF0B96">
      <w:pPr>
        <w:pStyle w:val="4ptline"/>
        <w:rPr>
          <w:rFonts w:ascii="Times New Roman" w:hAnsi="Times New Roman"/>
          <w:b w:val="0"/>
          <w:bCs w:val="0"/>
          <w:color w:val="auto"/>
          <w:sz w:val="20"/>
          <w:szCs w:val="20"/>
          <w:shd w:val="clear" w:color="auto" w:fill="auto"/>
        </w:rPr>
      </w:pPr>
    </w:p>
    <w:tbl>
      <w:tblPr>
        <w:tblW w:w="9637" w:type="dxa"/>
        <w:tblInd w:w="28" w:type="dxa"/>
        <w:tblLayout w:type="fixed"/>
        <w:tblCellMar>
          <w:left w:w="45" w:type="dxa"/>
          <w:right w:w="45" w:type="dxa"/>
        </w:tblCellMar>
        <w:tblLook w:val="0000" w:firstRow="0" w:lastRow="0" w:firstColumn="0" w:lastColumn="0" w:noHBand="0" w:noVBand="0"/>
      </w:tblPr>
      <w:tblGrid>
        <w:gridCol w:w="4609"/>
        <w:gridCol w:w="1441"/>
        <w:gridCol w:w="1330"/>
        <w:gridCol w:w="1148"/>
        <w:gridCol w:w="1109"/>
      </w:tblGrid>
      <w:tr w:rsidR="00336793" w:rsidRPr="00A10A3B" w:rsidTr="00DF0B96">
        <w:trPr>
          <w:tblHeader/>
        </w:trPr>
        <w:tc>
          <w:tcPr>
            <w:tcW w:w="4609" w:type="dxa"/>
            <w:gridSpan w:val="5"/>
            <w:tcBorders>
              <w:top w:val="single" w:sz="6" w:space="0" w:color="auto"/>
              <w:left w:val="single" w:sz="6" w:space="0" w:color="auto"/>
              <w:bottom w:val="nil"/>
              <w:right w:val="single" w:sz="6" w:space="0" w:color="auto"/>
            </w:tcBorders>
            <w:shd w:val="clear" w:color="000000" w:fill="000000"/>
            <w:vAlign w:val="bottom"/>
          </w:tcPr>
          <w:p w:rsidR="00336793" w:rsidRPr="00A10A3B" w:rsidRDefault="00336793" w:rsidP="00DF0B96">
            <w:pPr>
              <w:pStyle w:val="Tabletextheading"/>
              <w:jc w:val="left"/>
              <w:rPr>
                <w:rFonts w:eastAsiaTheme="minorEastAsia" w:cs="Calibri"/>
                <w:iCs/>
                <w:color w:val="FFFFFF"/>
                <w:sz w:val="21"/>
                <w:szCs w:val="22"/>
                <w:lang w:eastAsia="en-AU"/>
              </w:rPr>
            </w:pPr>
            <w:r w:rsidRPr="00A10A3B">
              <w:rPr>
                <w:rFonts w:eastAsiaTheme="minorEastAsia"/>
                <w:color w:val="FFFFFF"/>
                <w:sz w:val="21"/>
                <w:lang w:eastAsia="en-AU"/>
              </w:rPr>
              <w:t>General</w:t>
            </w:r>
            <w:r w:rsidRPr="00A10A3B">
              <w:rPr>
                <w:rFonts w:eastAsiaTheme="minorEastAsia" w:cs="Calibri"/>
                <w:iCs/>
                <w:color w:val="FFFFFF"/>
                <w:sz w:val="21"/>
                <w:szCs w:val="22"/>
                <w:lang w:eastAsia="en-AU"/>
              </w:rPr>
              <w:t xml:space="preserve"> government sector</w:t>
            </w:r>
          </w:p>
        </w:tc>
      </w:tr>
      <w:tr w:rsidR="00336793" w:rsidRPr="00A10A3B" w:rsidTr="00DF0B96">
        <w:trPr>
          <w:tblHeader/>
        </w:trPr>
        <w:tc>
          <w:tcPr>
            <w:tcW w:w="4609"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sz w:val="21"/>
                <w:lang w:eastAsia="en-AU"/>
              </w:rPr>
            </w:pPr>
            <w:r w:rsidRPr="00A10A3B">
              <w:rPr>
                <w:rFonts w:eastAsiaTheme="minorEastAsia"/>
                <w:color w:val="FFFFFF"/>
                <w:sz w:val="21"/>
                <w:lang w:eastAsia="en-AU"/>
              </w:rPr>
              <w:t>2015</w:t>
            </w:r>
          </w:p>
        </w:tc>
        <w:tc>
          <w:tcPr>
            <w:tcW w:w="1441"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p>
        </w:tc>
        <w:tc>
          <w:tcPr>
            <w:tcW w:w="133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p>
        </w:tc>
        <w:tc>
          <w:tcPr>
            <w:tcW w:w="1148"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p>
        </w:tc>
        <w:tc>
          <w:tcPr>
            <w:tcW w:w="1109"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p>
        </w:tc>
      </w:tr>
      <w:tr w:rsidR="00336793" w:rsidRPr="00A10A3B" w:rsidTr="00DF0B96">
        <w:tc>
          <w:tcPr>
            <w:tcW w:w="4609"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Financial assets</w:t>
            </w:r>
          </w:p>
        </w:tc>
        <w:tc>
          <w:tcPr>
            <w:tcW w:w="1441"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330"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i/>
                <w:iCs/>
                <w:sz w:val="21"/>
                <w:szCs w:val="22"/>
                <w:lang w:eastAsia="en-AU"/>
              </w:rPr>
            </w:pPr>
            <w:r w:rsidRPr="00A10A3B">
              <w:rPr>
                <w:rFonts w:ascii="Calibri" w:eastAsiaTheme="minorEastAsia" w:hAnsi="Calibri" w:cs="Calibri"/>
                <w:i/>
                <w:iCs/>
                <w:sz w:val="21"/>
                <w:szCs w:val="22"/>
                <w:lang w:eastAsia="en-AU"/>
              </w:rPr>
              <w:t xml:space="preserve"> </w:t>
            </w:r>
          </w:p>
        </w:tc>
        <w:tc>
          <w:tcPr>
            <w:tcW w:w="1148"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i/>
                <w:iCs/>
                <w:sz w:val="21"/>
                <w:szCs w:val="22"/>
                <w:lang w:eastAsia="en-AU"/>
              </w:rPr>
            </w:pPr>
            <w:r w:rsidRPr="00A10A3B">
              <w:rPr>
                <w:rFonts w:ascii="Calibri" w:eastAsiaTheme="minorEastAsia" w:hAnsi="Calibri" w:cs="Calibri"/>
                <w:i/>
                <w:iCs/>
                <w:sz w:val="21"/>
                <w:szCs w:val="22"/>
                <w:lang w:eastAsia="en-AU"/>
              </w:rPr>
              <w:t xml:space="preserve"> </w:t>
            </w:r>
          </w:p>
        </w:tc>
        <w:tc>
          <w:tcPr>
            <w:tcW w:w="1109"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i/>
                <w:iCs/>
                <w:sz w:val="21"/>
                <w:szCs w:val="22"/>
                <w:lang w:eastAsia="en-AU"/>
              </w:rPr>
            </w:pPr>
            <w:r w:rsidRPr="00A10A3B">
              <w:rPr>
                <w:rFonts w:ascii="Calibri" w:eastAsiaTheme="minorEastAsia" w:hAnsi="Calibri" w:cs="Calibri"/>
                <w:i/>
                <w:iCs/>
                <w:sz w:val="21"/>
                <w:szCs w:val="22"/>
                <w:lang w:eastAsia="en-AU"/>
              </w:rPr>
              <w:t xml:space="preserve"> </w:t>
            </w:r>
          </w:p>
        </w:tc>
      </w:tr>
      <w:tr w:rsidR="00336793" w:rsidRPr="00A10A3B" w:rsidTr="00DF0B96">
        <w:tc>
          <w:tcPr>
            <w:tcW w:w="4609"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Cash</w:t>
            </w:r>
          </w:p>
        </w:tc>
        <w:tc>
          <w:tcPr>
            <w:tcW w:w="1441"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4 281.7</w:t>
            </w:r>
          </w:p>
        </w:tc>
        <w:tc>
          <w:tcPr>
            <w:tcW w:w="133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4 281.7</w:t>
            </w:r>
          </w:p>
        </w:tc>
        <w:tc>
          <w:tcPr>
            <w:tcW w:w="1148"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09"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r>
      <w:tr w:rsidR="00336793" w:rsidRPr="00A10A3B" w:rsidTr="00DF0B96">
        <w:tc>
          <w:tcPr>
            <w:tcW w:w="4609"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Derivative assets</w:t>
            </w:r>
          </w:p>
        </w:tc>
        <w:tc>
          <w:tcPr>
            <w:tcW w:w="1441"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0.2</w:t>
            </w:r>
          </w:p>
        </w:tc>
        <w:tc>
          <w:tcPr>
            <w:tcW w:w="133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48"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09"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0.2</w:t>
            </w:r>
          </w:p>
        </w:tc>
      </w:tr>
      <w:tr w:rsidR="00336793" w:rsidRPr="00A10A3B" w:rsidTr="00DF0B96">
        <w:tc>
          <w:tcPr>
            <w:tcW w:w="4609"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Equities and managed investment schemes</w:t>
            </w:r>
          </w:p>
        </w:tc>
        <w:tc>
          <w:tcPr>
            <w:tcW w:w="1441"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1 235.0</w:t>
            </w:r>
          </w:p>
        </w:tc>
        <w:tc>
          <w:tcPr>
            <w:tcW w:w="1330"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672.6</w:t>
            </w:r>
          </w:p>
        </w:tc>
        <w:tc>
          <w:tcPr>
            <w:tcW w:w="1148"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562.4</w:t>
            </w:r>
          </w:p>
        </w:tc>
        <w:tc>
          <w:tcPr>
            <w:tcW w:w="1109"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p>
        </w:tc>
      </w:tr>
      <w:tr w:rsidR="00336793" w:rsidRPr="00A10A3B" w:rsidTr="00DF0B96">
        <w:tc>
          <w:tcPr>
            <w:tcW w:w="4609"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Debt securities at fair value</w:t>
            </w:r>
          </w:p>
        </w:tc>
        <w:tc>
          <w:tcPr>
            <w:tcW w:w="1441"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40.8</w:t>
            </w:r>
          </w:p>
        </w:tc>
        <w:tc>
          <w:tcPr>
            <w:tcW w:w="1330"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40.8</w:t>
            </w:r>
          </w:p>
        </w:tc>
        <w:tc>
          <w:tcPr>
            <w:tcW w:w="1148"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09"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r>
      <w:tr w:rsidR="00336793" w:rsidRPr="00A10A3B" w:rsidTr="00DF0B96">
        <w:tc>
          <w:tcPr>
            <w:tcW w:w="4609"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 xml:space="preserve">Total financial assets </w:t>
            </w:r>
          </w:p>
        </w:tc>
        <w:tc>
          <w:tcPr>
            <w:tcW w:w="1441"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5 557.7</w:t>
            </w:r>
          </w:p>
        </w:tc>
        <w:tc>
          <w:tcPr>
            <w:tcW w:w="1330"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4 995.1</w:t>
            </w:r>
          </w:p>
        </w:tc>
        <w:tc>
          <w:tcPr>
            <w:tcW w:w="1148"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 xml:space="preserve"> 562.4</w:t>
            </w:r>
          </w:p>
        </w:tc>
        <w:tc>
          <w:tcPr>
            <w:tcW w:w="1109"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 xml:space="preserve"> 0.2</w:t>
            </w:r>
          </w:p>
        </w:tc>
      </w:tr>
    </w:tbl>
    <w:p w:rsidR="00336793" w:rsidRPr="00A10A3B"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4609"/>
        <w:gridCol w:w="1441"/>
        <w:gridCol w:w="1347"/>
        <w:gridCol w:w="1131"/>
        <w:gridCol w:w="1109"/>
      </w:tblGrid>
      <w:tr w:rsidR="00336793" w:rsidRPr="00A10A3B" w:rsidTr="00DF0B96">
        <w:trPr>
          <w:tblHeader/>
        </w:trPr>
        <w:tc>
          <w:tcPr>
            <w:tcW w:w="4609"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heading"/>
              <w:jc w:val="left"/>
              <w:rPr>
                <w:rFonts w:eastAsiaTheme="minorEastAsia"/>
                <w:color w:val="FFFFFF"/>
                <w:sz w:val="21"/>
                <w:lang w:eastAsia="en-AU"/>
              </w:rPr>
            </w:pPr>
            <w:r w:rsidRPr="00A10A3B">
              <w:rPr>
                <w:rFonts w:eastAsiaTheme="minorEastAsia"/>
                <w:color w:val="FFFFFF"/>
                <w:sz w:val="21"/>
                <w:lang w:eastAsia="en-AU"/>
              </w:rPr>
              <w:t>2014</w:t>
            </w:r>
          </w:p>
        </w:tc>
        <w:tc>
          <w:tcPr>
            <w:tcW w:w="1441"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b/>
                <w:bCs/>
                <w:color w:val="FFFFFF"/>
                <w:sz w:val="21"/>
                <w:lang w:eastAsia="en-AU"/>
              </w:rPr>
            </w:pPr>
            <w:r w:rsidRPr="00A10A3B">
              <w:rPr>
                <w:rFonts w:eastAsiaTheme="minorEastAsia"/>
                <w:b/>
                <w:bCs/>
                <w:color w:val="FFFFFF"/>
                <w:sz w:val="21"/>
                <w:lang w:eastAsia="en-AU"/>
              </w:rPr>
              <w:t xml:space="preserve"> </w:t>
            </w:r>
          </w:p>
        </w:tc>
        <w:tc>
          <w:tcPr>
            <w:tcW w:w="1347"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b/>
                <w:bCs/>
                <w:color w:val="FFFFFF"/>
                <w:sz w:val="21"/>
                <w:lang w:eastAsia="en-AU"/>
              </w:rPr>
            </w:pPr>
            <w:r w:rsidRPr="00A10A3B">
              <w:rPr>
                <w:rFonts w:eastAsiaTheme="minorEastAsia"/>
                <w:b/>
                <w:bCs/>
                <w:color w:val="FFFFFF"/>
                <w:sz w:val="21"/>
                <w:lang w:eastAsia="en-AU"/>
              </w:rPr>
              <w:t xml:space="preserve"> </w:t>
            </w:r>
          </w:p>
        </w:tc>
        <w:tc>
          <w:tcPr>
            <w:tcW w:w="1131"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b/>
                <w:bCs/>
                <w:color w:val="FFFFFF"/>
                <w:sz w:val="21"/>
                <w:lang w:eastAsia="en-AU"/>
              </w:rPr>
            </w:pPr>
            <w:r w:rsidRPr="00A10A3B">
              <w:rPr>
                <w:rFonts w:eastAsiaTheme="minorEastAsia"/>
                <w:b/>
                <w:bCs/>
                <w:color w:val="FFFFFF"/>
                <w:sz w:val="21"/>
                <w:lang w:eastAsia="en-AU"/>
              </w:rPr>
              <w:t xml:space="preserve"> </w:t>
            </w:r>
          </w:p>
        </w:tc>
        <w:tc>
          <w:tcPr>
            <w:tcW w:w="1109"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b/>
                <w:bCs/>
                <w:color w:val="FFFFFF"/>
                <w:sz w:val="21"/>
                <w:lang w:eastAsia="en-AU"/>
              </w:rPr>
            </w:pPr>
            <w:r w:rsidRPr="00A10A3B">
              <w:rPr>
                <w:rFonts w:eastAsiaTheme="minorEastAsia"/>
                <w:b/>
                <w:bCs/>
                <w:color w:val="FFFFFF"/>
                <w:sz w:val="21"/>
                <w:lang w:eastAsia="en-AU"/>
              </w:rPr>
              <w:t xml:space="preserve"> </w:t>
            </w:r>
          </w:p>
        </w:tc>
      </w:tr>
      <w:tr w:rsidR="00336793" w:rsidRPr="00A10A3B" w:rsidTr="00DF0B96">
        <w:tc>
          <w:tcPr>
            <w:tcW w:w="4609"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Financial assets</w:t>
            </w:r>
          </w:p>
        </w:tc>
        <w:tc>
          <w:tcPr>
            <w:tcW w:w="1441"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w:t>
            </w:r>
          </w:p>
        </w:tc>
        <w:tc>
          <w:tcPr>
            <w:tcW w:w="1347"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i/>
                <w:iCs/>
                <w:sz w:val="21"/>
                <w:szCs w:val="22"/>
                <w:lang w:eastAsia="en-AU"/>
              </w:rPr>
            </w:pPr>
            <w:r w:rsidRPr="00A10A3B">
              <w:rPr>
                <w:rFonts w:ascii="Calibri" w:eastAsiaTheme="minorEastAsia" w:hAnsi="Calibri" w:cs="Calibri"/>
                <w:i/>
                <w:iCs/>
                <w:sz w:val="21"/>
                <w:szCs w:val="22"/>
                <w:lang w:eastAsia="en-AU"/>
              </w:rPr>
              <w:t xml:space="preserve"> </w:t>
            </w:r>
          </w:p>
        </w:tc>
        <w:tc>
          <w:tcPr>
            <w:tcW w:w="1131"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i/>
                <w:iCs/>
                <w:sz w:val="21"/>
                <w:szCs w:val="22"/>
                <w:lang w:eastAsia="en-AU"/>
              </w:rPr>
            </w:pPr>
            <w:r w:rsidRPr="00A10A3B">
              <w:rPr>
                <w:rFonts w:ascii="Calibri" w:eastAsiaTheme="minorEastAsia" w:hAnsi="Calibri" w:cs="Calibri"/>
                <w:i/>
                <w:iCs/>
                <w:sz w:val="21"/>
                <w:szCs w:val="22"/>
                <w:lang w:eastAsia="en-AU"/>
              </w:rPr>
              <w:t xml:space="preserve"> </w:t>
            </w:r>
          </w:p>
        </w:tc>
        <w:tc>
          <w:tcPr>
            <w:tcW w:w="1109" w:type="dxa"/>
            <w:tcBorders>
              <w:top w:val="single" w:sz="6" w:space="0" w:color="auto"/>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i/>
                <w:iCs/>
                <w:sz w:val="21"/>
                <w:szCs w:val="22"/>
                <w:lang w:eastAsia="en-AU"/>
              </w:rPr>
            </w:pPr>
            <w:r w:rsidRPr="00A10A3B">
              <w:rPr>
                <w:rFonts w:ascii="Calibri" w:eastAsiaTheme="minorEastAsia" w:hAnsi="Calibri" w:cs="Calibri"/>
                <w:i/>
                <w:iCs/>
                <w:sz w:val="21"/>
                <w:szCs w:val="22"/>
                <w:lang w:eastAsia="en-AU"/>
              </w:rPr>
              <w:t xml:space="preserve"> </w:t>
            </w:r>
          </w:p>
        </w:tc>
      </w:tr>
      <w:tr w:rsidR="00336793" w:rsidRPr="00A10A3B" w:rsidTr="00DF0B96">
        <w:tc>
          <w:tcPr>
            <w:tcW w:w="4609"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0A3B">
              <w:rPr>
                <w:rFonts w:ascii="Calibri" w:eastAsiaTheme="minorEastAsia" w:hAnsi="Calibri" w:cs="Calibri"/>
                <w:sz w:val="21"/>
                <w:szCs w:val="22"/>
                <w:lang w:eastAsia="en-AU"/>
              </w:rPr>
              <w:t>Cash</w:t>
            </w:r>
            <w:r w:rsidRPr="00A10A3B">
              <w:rPr>
                <w:rFonts w:ascii="Calibri" w:eastAsiaTheme="minorEastAsia" w:hAnsi="Calibri" w:cs="Calibri"/>
                <w:sz w:val="21"/>
                <w:szCs w:val="22"/>
                <w:vertAlign w:val="superscript"/>
                <w:lang w:eastAsia="en-AU"/>
              </w:rPr>
              <w:t>(d)</w:t>
            </w:r>
          </w:p>
        </w:tc>
        <w:tc>
          <w:tcPr>
            <w:tcW w:w="1441"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4 5</w:t>
            </w:r>
            <w:r>
              <w:rPr>
                <w:rFonts w:ascii="Calibri" w:eastAsiaTheme="minorEastAsia" w:hAnsi="Calibri" w:cs="Calibri"/>
                <w:sz w:val="21"/>
                <w:szCs w:val="22"/>
                <w:lang w:eastAsia="en-AU"/>
              </w:rPr>
              <w:t>82.2</w:t>
            </w:r>
          </w:p>
        </w:tc>
        <w:tc>
          <w:tcPr>
            <w:tcW w:w="1347"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4 5</w:t>
            </w:r>
            <w:r>
              <w:rPr>
                <w:rFonts w:ascii="Calibri" w:eastAsiaTheme="minorEastAsia" w:hAnsi="Calibri" w:cs="Calibri"/>
                <w:sz w:val="21"/>
                <w:szCs w:val="22"/>
                <w:lang w:eastAsia="en-AU"/>
              </w:rPr>
              <w:t>82.2</w:t>
            </w:r>
          </w:p>
        </w:tc>
        <w:tc>
          <w:tcPr>
            <w:tcW w:w="1131"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09"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r>
      <w:tr w:rsidR="00336793" w:rsidRPr="00A10A3B" w:rsidTr="00DF0B96">
        <w:tc>
          <w:tcPr>
            <w:tcW w:w="4609"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Derivative assets</w:t>
            </w:r>
          </w:p>
        </w:tc>
        <w:tc>
          <w:tcPr>
            <w:tcW w:w="1441"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347"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31"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09"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r>
      <w:tr w:rsidR="00336793" w:rsidRPr="00A10A3B" w:rsidTr="00DF0B96">
        <w:tc>
          <w:tcPr>
            <w:tcW w:w="4609" w:type="dxa"/>
            <w:tcBorders>
              <w:top w:val="nil"/>
              <w:left w:val="nil"/>
              <w:bottom w:val="nil"/>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Equities and managed investment schemes </w:t>
            </w:r>
          </w:p>
        </w:tc>
        <w:tc>
          <w:tcPr>
            <w:tcW w:w="1441"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952.2</w:t>
            </w:r>
          </w:p>
        </w:tc>
        <w:tc>
          <w:tcPr>
            <w:tcW w:w="1347"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391.2</w:t>
            </w:r>
          </w:p>
        </w:tc>
        <w:tc>
          <w:tcPr>
            <w:tcW w:w="1131"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553.7</w:t>
            </w:r>
          </w:p>
        </w:tc>
        <w:tc>
          <w:tcPr>
            <w:tcW w:w="1109" w:type="dxa"/>
            <w:tcBorders>
              <w:top w:val="nil"/>
              <w:left w:val="nil"/>
              <w:bottom w:val="nil"/>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7.3</w:t>
            </w:r>
          </w:p>
        </w:tc>
      </w:tr>
      <w:tr w:rsidR="00336793" w:rsidRPr="00A10A3B" w:rsidTr="00DF0B96">
        <w:tc>
          <w:tcPr>
            <w:tcW w:w="4609" w:type="dxa"/>
            <w:tcBorders>
              <w:top w:val="nil"/>
              <w:left w:val="nil"/>
              <w:bottom w:val="single" w:sz="6" w:space="0" w:color="auto"/>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Debt securities at fair value</w:t>
            </w:r>
          </w:p>
        </w:tc>
        <w:tc>
          <w:tcPr>
            <w:tcW w:w="1441"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51.0</w:t>
            </w:r>
          </w:p>
        </w:tc>
        <w:tc>
          <w:tcPr>
            <w:tcW w:w="1347"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50.5</w:t>
            </w:r>
          </w:p>
        </w:tc>
        <w:tc>
          <w:tcPr>
            <w:tcW w:w="1131"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w:t>
            </w:r>
          </w:p>
        </w:tc>
        <w:tc>
          <w:tcPr>
            <w:tcW w:w="1109" w:type="dxa"/>
            <w:tcBorders>
              <w:top w:val="nil"/>
              <w:left w:val="nil"/>
              <w:bottom w:val="single" w:sz="6" w:space="0" w:color="auto"/>
              <w:right w:val="nil"/>
            </w:tcBorders>
          </w:tcPr>
          <w:p w:rsidR="00336793" w:rsidRPr="00A10A3B"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0A3B">
              <w:rPr>
                <w:rFonts w:ascii="Calibri" w:eastAsiaTheme="minorEastAsia" w:hAnsi="Calibri" w:cs="Calibri"/>
                <w:sz w:val="21"/>
                <w:szCs w:val="22"/>
                <w:lang w:eastAsia="en-AU"/>
              </w:rPr>
              <w:t xml:space="preserve"> 0.5</w:t>
            </w:r>
          </w:p>
        </w:tc>
      </w:tr>
      <w:tr w:rsidR="00336793" w:rsidRPr="00A10A3B" w:rsidTr="00DF0B96">
        <w:tc>
          <w:tcPr>
            <w:tcW w:w="4609"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Total financial assets</w:t>
            </w:r>
          </w:p>
        </w:tc>
        <w:tc>
          <w:tcPr>
            <w:tcW w:w="1441"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5 5</w:t>
            </w:r>
            <w:r>
              <w:rPr>
                <w:rFonts w:ascii="Calibri" w:eastAsiaTheme="minorEastAsia" w:hAnsi="Calibri" w:cs="Calibri"/>
                <w:b/>
                <w:bCs/>
                <w:sz w:val="21"/>
                <w:szCs w:val="22"/>
                <w:lang w:eastAsia="en-AU"/>
              </w:rPr>
              <w:t>85.4</w:t>
            </w:r>
          </w:p>
        </w:tc>
        <w:tc>
          <w:tcPr>
            <w:tcW w:w="1347"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Pr>
                <w:rFonts w:ascii="Calibri" w:eastAsiaTheme="minorEastAsia" w:hAnsi="Calibri" w:cs="Calibri"/>
                <w:b/>
                <w:bCs/>
                <w:sz w:val="21"/>
                <w:szCs w:val="22"/>
                <w:lang w:eastAsia="en-AU"/>
              </w:rPr>
              <w:t>5 023.9</w:t>
            </w:r>
          </w:p>
        </w:tc>
        <w:tc>
          <w:tcPr>
            <w:tcW w:w="1131"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 xml:space="preserve"> 553.7</w:t>
            </w:r>
          </w:p>
        </w:tc>
        <w:tc>
          <w:tcPr>
            <w:tcW w:w="1109" w:type="dxa"/>
            <w:tcBorders>
              <w:top w:val="single" w:sz="6" w:space="0" w:color="auto"/>
              <w:left w:val="nil"/>
              <w:bottom w:val="single" w:sz="12" w:space="0" w:color="000000"/>
              <w:right w:val="nil"/>
            </w:tcBorders>
            <w:shd w:val="solid" w:color="FFFFFF" w:fill="auto"/>
          </w:tcPr>
          <w:p w:rsidR="00336793" w:rsidRPr="00A10A3B"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0A3B">
              <w:rPr>
                <w:rFonts w:ascii="Calibri" w:eastAsiaTheme="minorEastAsia" w:hAnsi="Calibri" w:cs="Calibri"/>
                <w:b/>
                <w:bCs/>
                <w:sz w:val="21"/>
                <w:szCs w:val="22"/>
                <w:lang w:eastAsia="en-AU"/>
              </w:rPr>
              <w:t xml:space="preserve"> 7.8</w:t>
            </w:r>
          </w:p>
        </w:tc>
      </w:tr>
    </w:tbl>
    <w:p w:rsidR="00336793" w:rsidRDefault="00336793" w:rsidP="00DF0B96">
      <w:pPr>
        <w:pStyle w:val="Notes"/>
      </w:pPr>
      <w:r>
        <w:t>Notes:</w:t>
      </w:r>
    </w:p>
    <w:p w:rsidR="00336793" w:rsidRDefault="00336793" w:rsidP="00DF0B96">
      <w:pPr>
        <w:pStyle w:val="Notes"/>
      </w:pPr>
      <w:r>
        <w:t>(a)</w:t>
      </w:r>
      <w:r>
        <w:tab/>
        <w:t>Quoted prices (unadjusted) in active markets for identical assets or liabilities.</w:t>
      </w:r>
    </w:p>
    <w:p w:rsidR="00336793" w:rsidRDefault="00336793" w:rsidP="00DF0B96">
      <w:pPr>
        <w:pStyle w:val="Notes"/>
      </w:pPr>
      <w:r>
        <w:t>(b)</w:t>
      </w:r>
      <w:r>
        <w:tab/>
        <w:t>Inputs based on observable market data (either directly using prices or indirectly derived from prices).</w:t>
      </w:r>
    </w:p>
    <w:p w:rsidR="00336793" w:rsidRDefault="00336793" w:rsidP="00DF0B96">
      <w:pPr>
        <w:pStyle w:val="Notes"/>
      </w:pPr>
      <w:r>
        <w:t>(c)</w:t>
      </w:r>
      <w:r>
        <w:tab/>
        <w:t>Inputs not based on observable market data.</w:t>
      </w:r>
    </w:p>
    <w:p w:rsidR="00336793" w:rsidRDefault="00336793" w:rsidP="00DF0B96">
      <w:pPr>
        <w:pStyle w:val="Notes"/>
      </w:pPr>
      <w:r>
        <w:t>(d)</w:t>
      </w:r>
      <w:r>
        <w:tab/>
      </w:r>
      <w:r w:rsidRPr="00DF7C4A">
        <w:t>June 2014 comparative figures have been restated to reflect more current information.</w:t>
      </w:r>
    </w:p>
    <w:p w:rsidR="00336793" w:rsidRDefault="00336793" w:rsidP="00DF0B96">
      <w:pPr>
        <w:pStyle w:val="Notes"/>
      </w:pPr>
    </w:p>
    <w:p w:rsidR="00336793" w:rsidRDefault="00336793" w:rsidP="00DF0B96">
      <w:pPr>
        <w:pStyle w:val="Notes"/>
        <w:rPr>
          <w:i w:val="0"/>
          <w:sz w:val="20"/>
          <w:szCs w:val="18"/>
        </w:rPr>
      </w:pPr>
      <w:r>
        <w:br w:type="page"/>
      </w:r>
    </w:p>
    <w:p w:rsidR="00336793" w:rsidRPr="006A75A2" w:rsidRDefault="00336793" w:rsidP="00DF0B96">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336793" w:rsidRPr="00611343" w:rsidRDefault="00336793" w:rsidP="00DF0B96">
      <w:pPr>
        <w:pStyle w:val="Heading5a"/>
      </w:pPr>
      <w:r w:rsidRPr="00611343">
        <w:t>Significant transfers between Level 1 and Level 2</w:t>
      </w:r>
    </w:p>
    <w:p w:rsidR="00336793" w:rsidRPr="00611343" w:rsidRDefault="00336793" w:rsidP="00DF0B96">
      <w:pPr>
        <w:spacing w:after="0"/>
        <w:rPr>
          <w:rFonts w:ascii="Calibri" w:hAnsi="Calibri"/>
          <w:i/>
          <w:sz w:val="23"/>
        </w:rPr>
      </w:pPr>
      <w:r w:rsidRPr="00611343">
        <w:t>There were no significant transfers identified between Levels 1 and 2.</w:t>
      </w:r>
    </w:p>
    <w:p w:rsidR="00336793" w:rsidRPr="00611343" w:rsidRDefault="00336793" w:rsidP="00DF0B96"/>
    <w:p w:rsidR="00336793" w:rsidRPr="00611343" w:rsidRDefault="00336793" w:rsidP="00DF0B96">
      <w:pPr>
        <w:pStyle w:val="Heading5a"/>
      </w:pPr>
      <w:r w:rsidRPr="00F544EF">
        <w:t>Reconciliation</w:t>
      </w:r>
      <w:r w:rsidRPr="00611343">
        <w:t xml:space="preserve"> of Level 3 fair value movements</w:t>
      </w:r>
    </w:p>
    <w:p w:rsidR="00336793" w:rsidRPr="00A10A3B" w:rsidRDefault="00336793" w:rsidP="00DF0B96">
      <w:pPr>
        <w:pStyle w:val="million"/>
        <w:rPr>
          <w:rFonts w:ascii="Times New Roman" w:hAnsi="Times New Roman"/>
          <w:i w:val="0"/>
          <w:szCs w:val="20"/>
          <w:lang w:eastAsia="en-AU"/>
        </w:rPr>
      </w:pPr>
      <w:r w:rsidRPr="00611343">
        <w:t>($</w:t>
      </w:r>
      <w:r>
        <w:t> million)</w:t>
      </w:r>
    </w:p>
    <w:tbl>
      <w:tblPr>
        <w:tblW w:w="9647" w:type="dxa"/>
        <w:tblInd w:w="28" w:type="dxa"/>
        <w:tblLayout w:type="fixed"/>
        <w:tblCellMar>
          <w:left w:w="45" w:type="dxa"/>
          <w:right w:w="45" w:type="dxa"/>
        </w:tblCellMar>
        <w:tblLook w:val="0000" w:firstRow="0" w:lastRow="0" w:firstColumn="0" w:lastColumn="0" w:noHBand="0" w:noVBand="0"/>
      </w:tblPr>
      <w:tblGrid>
        <w:gridCol w:w="2917"/>
        <w:gridCol w:w="236"/>
        <w:gridCol w:w="884"/>
        <w:gridCol w:w="346"/>
        <w:gridCol w:w="236"/>
        <w:gridCol w:w="218"/>
        <w:gridCol w:w="18"/>
        <w:gridCol w:w="265"/>
        <w:gridCol w:w="1157"/>
        <w:gridCol w:w="18"/>
        <w:gridCol w:w="1102"/>
        <w:gridCol w:w="18"/>
        <w:gridCol w:w="257"/>
        <w:gridCol w:w="845"/>
        <w:gridCol w:w="18"/>
        <w:gridCol w:w="1112"/>
      </w:tblGrid>
      <w:tr w:rsidR="00336793" w:rsidRPr="00A10A3B" w:rsidTr="00DF0B96">
        <w:trPr>
          <w:tblHeader/>
        </w:trPr>
        <w:tc>
          <w:tcPr>
            <w:tcW w:w="291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 xml:space="preserve"> </w:t>
            </w:r>
          </w:p>
        </w:tc>
        <w:tc>
          <w:tcPr>
            <w:tcW w:w="236"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 xml:space="preserve"> </w:t>
            </w:r>
          </w:p>
        </w:tc>
        <w:tc>
          <w:tcPr>
            <w:tcW w:w="1684" w:type="dxa"/>
            <w:gridSpan w:val="4"/>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 xml:space="preserve"> </w:t>
            </w:r>
          </w:p>
          <w:p w:rsidR="00336793" w:rsidRPr="00A10A3B" w:rsidRDefault="00336793" w:rsidP="00DF0B96">
            <w:pPr>
              <w:pStyle w:val="Tabletextheading"/>
              <w:rPr>
                <w:rFonts w:eastAsiaTheme="minorEastAsia"/>
                <w:iCs/>
                <w:color w:val="FFFFFF"/>
                <w:sz w:val="21"/>
                <w:lang w:eastAsia="en-AU"/>
              </w:rPr>
            </w:pPr>
          </w:p>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Derivative assets</w:t>
            </w:r>
          </w:p>
        </w:tc>
        <w:tc>
          <w:tcPr>
            <w:tcW w:w="283"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 xml:space="preserve"> </w:t>
            </w:r>
          </w:p>
        </w:tc>
        <w:tc>
          <w:tcPr>
            <w:tcW w:w="2277" w:type="dxa"/>
            <w:gridSpan w:val="3"/>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 w:val="21"/>
                <w:szCs w:val="22"/>
                <w:lang w:eastAsia="en-AU"/>
              </w:rPr>
            </w:pPr>
            <w:r w:rsidRPr="00A10A3B">
              <w:rPr>
                <w:rFonts w:eastAsiaTheme="minorEastAsia"/>
                <w:iCs/>
                <w:color w:val="FFFFFF"/>
                <w:sz w:val="21"/>
                <w:lang w:eastAsia="en-AU"/>
              </w:rPr>
              <w:t xml:space="preserve">Equities </w:t>
            </w:r>
          </w:p>
          <w:p w:rsidR="00336793" w:rsidRPr="00A10A3B" w:rsidRDefault="00336793" w:rsidP="00DF0B96">
            <w:pPr>
              <w:pStyle w:val="Tabletextheading"/>
              <w:jc w:val="center"/>
              <w:rPr>
                <w:rFonts w:eastAsiaTheme="minorEastAsia"/>
                <w:iCs/>
                <w:color w:val="FFFFFF"/>
                <w:sz w:val="21"/>
                <w:lang w:eastAsia="en-AU"/>
              </w:rPr>
            </w:pPr>
            <w:r w:rsidRPr="00A10A3B">
              <w:rPr>
                <w:rFonts w:eastAsiaTheme="minorEastAsia"/>
                <w:iCs/>
                <w:color w:val="FFFFFF"/>
                <w:sz w:val="21"/>
                <w:lang w:eastAsia="en-AU"/>
              </w:rPr>
              <w:t>and managed</w:t>
            </w:r>
          </w:p>
          <w:p w:rsidR="00336793" w:rsidRPr="00A10A3B" w:rsidRDefault="00336793" w:rsidP="00DF0B96">
            <w:pPr>
              <w:pStyle w:val="Tabletextheading"/>
              <w:jc w:val="center"/>
              <w:rPr>
                <w:rFonts w:eastAsiaTheme="minorEastAsia"/>
                <w:iCs/>
                <w:color w:val="FFFFFF"/>
                <w:sz w:val="21"/>
                <w:lang w:eastAsia="en-AU"/>
              </w:rPr>
            </w:pPr>
            <w:r w:rsidRPr="00A10A3B">
              <w:rPr>
                <w:rFonts w:eastAsiaTheme="minorEastAsia"/>
                <w:iCs/>
                <w:color w:val="FFFFFF"/>
                <w:sz w:val="21"/>
                <w:lang w:eastAsia="en-AU"/>
              </w:rPr>
              <w:t>investment schemes</w:t>
            </w:r>
          </w:p>
        </w:tc>
        <w:tc>
          <w:tcPr>
            <w:tcW w:w="275"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 xml:space="preserve"> </w:t>
            </w:r>
          </w:p>
        </w:tc>
        <w:tc>
          <w:tcPr>
            <w:tcW w:w="1975" w:type="dxa"/>
            <w:gridSpan w:val="3"/>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iCs/>
                <w:color w:val="FFFFFF"/>
                <w:sz w:val="21"/>
                <w:lang w:eastAsia="en-AU"/>
              </w:rPr>
            </w:pPr>
          </w:p>
          <w:p w:rsidR="00336793" w:rsidRPr="00A10A3B" w:rsidRDefault="00336793" w:rsidP="00DF0B96">
            <w:pPr>
              <w:pStyle w:val="Tabletextheading"/>
              <w:jc w:val="center"/>
              <w:rPr>
                <w:rFonts w:eastAsiaTheme="minorEastAsia"/>
                <w:iCs/>
                <w:color w:val="FFFFFF"/>
                <w:sz w:val="21"/>
                <w:lang w:eastAsia="en-AU"/>
              </w:rPr>
            </w:pPr>
            <w:r>
              <w:rPr>
                <w:rFonts w:eastAsiaTheme="minorEastAsia"/>
                <w:iCs/>
                <w:color w:val="FFFFFF"/>
                <w:sz w:val="21"/>
                <w:lang w:eastAsia="en-AU"/>
              </w:rPr>
              <w:t>Debt securities at fair </w:t>
            </w:r>
            <w:r w:rsidRPr="00A10A3B">
              <w:rPr>
                <w:rFonts w:eastAsiaTheme="minorEastAsia"/>
                <w:iCs/>
                <w:color w:val="FFFFFF"/>
                <w:sz w:val="21"/>
                <w:lang w:eastAsia="en-AU"/>
              </w:rPr>
              <w:t>value</w:t>
            </w:r>
          </w:p>
        </w:tc>
      </w:tr>
      <w:tr w:rsidR="00336793" w:rsidRPr="00A10A3B" w:rsidTr="00DF0B96">
        <w:trPr>
          <w:tblHeader/>
        </w:trPr>
        <w:tc>
          <w:tcPr>
            <w:tcW w:w="2917" w:type="dxa"/>
            <w:tcBorders>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iCs/>
                <w:sz w:val="21"/>
                <w:lang w:eastAsia="en-AU"/>
              </w:rPr>
            </w:pPr>
            <w:r w:rsidRPr="00A10A3B">
              <w:rPr>
                <w:rFonts w:eastAsiaTheme="minorEastAsia"/>
                <w:i/>
                <w:iCs/>
                <w:sz w:val="21"/>
                <w:lang w:eastAsia="en-AU"/>
              </w:rPr>
              <w:t>State of Victoria</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2015</w:t>
            </w:r>
          </w:p>
        </w:tc>
        <w:tc>
          <w:tcPr>
            <w:tcW w:w="800" w:type="dxa"/>
            <w:gridSpan w:val="3"/>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2014</w:t>
            </w:r>
          </w:p>
        </w:tc>
        <w:tc>
          <w:tcPr>
            <w:tcW w:w="1440" w:type="dxa"/>
            <w:gridSpan w:val="3"/>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2015</w:t>
            </w:r>
          </w:p>
        </w:tc>
        <w:tc>
          <w:tcPr>
            <w:tcW w:w="1120" w:type="dxa"/>
            <w:gridSpan w:val="2"/>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2014</w:t>
            </w:r>
          </w:p>
        </w:tc>
        <w:tc>
          <w:tcPr>
            <w:tcW w:w="1120" w:type="dxa"/>
            <w:gridSpan w:val="3"/>
            <w:tcBorders>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2015</w:t>
            </w:r>
          </w:p>
        </w:tc>
        <w:tc>
          <w:tcPr>
            <w:tcW w:w="1130" w:type="dxa"/>
            <w:gridSpan w:val="2"/>
            <w:tcBorders>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2014</w:t>
            </w:r>
          </w:p>
        </w:tc>
      </w:tr>
      <w:tr w:rsidR="00336793" w:rsidRPr="00A10A3B" w:rsidTr="00DF0B96">
        <w:tc>
          <w:tcPr>
            <w:tcW w:w="2917" w:type="dxa"/>
            <w:tcBorders>
              <w:top w:val="single" w:sz="6" w:space="0" w:color="auto"/>
              <w:left w:val="nil"/>
              <w:bottom w:val="nil"/>
              <w:right w:val="nil"/>
            </w:tcBorders>
          </w:tcPr>
          <w:p w:rsidR="00336793" w:rsidRPr="00A10A3B" w:rsidRDefault="00336793" w:rsidP="00DF0B96">
            <w:pPr>
              <w:pStyle w:val="Tabletext"/>
              <w:rPr>
                <w:rFonts w:eastAsiaTheme="minorEastAsia"/>
                <w:b/>
                <w:sz w:val="21"/>
                <w:vertAlign w:val="superscript"/>
                <w:lang w:eastAsia="en-AU"/>
              </w:rPr>
            </w:pPr>
            <w:r w:rsidRPr="00A10A3B">
              <w:rPr>
                <w:rFonts w:eastAsiaTheme="minorEastAsia"/>
                <w:b/>
                <w:sz w:val="21"/>
                <w:lang w:eastAsia="en-AU"/>
              </w:rPr>
              <w:t>Opening balance</w:t>
            </w:r>
            <w:r w:rsidRPr="00E96950">
              <w:rPr>
                <w:rFonts w:eastAsiaTheme="minorEastAsia"/>
                <w:b/>
                <w:sz w:val="21"/>
                <w:vertAlign w:val="superscript"/>
                <w:lang w:eastAsia="en-AU"/>
              </w:rPr>
              <w:t xml:space="preserve"> (</w:t>
            </w:r>
            <w:r w:rsidRPr="00A10A3B">
              <w:rPr>
                <w:rFonts w:eastAsiaTheme="minorEastAsia"/>
                <w:b/>
                <w:sz w:val="21"/>
                <w:vertAlign w:val="superscript"/>
                <w:lang w:eastAsia="en-AU"/>
              </w:rPr>
              <w:t>a)</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w:t>
            </w:r>
          </w:p>
        </w:tc>
        <w:tc>
          <w:tcPr>
            <w:tcW w:w="800" w:type="dxa"/>
            <w:gridSpan w:val="3"/>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w:t>
            </w:r>
          </w:p>
        </w:tc>
        <w:tc>
          <w:tcPr>
            <w:tcW w:w="1440" w:type="dxa"/>
            <w:gridSpan w:val="3"/>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4 386.4</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4 331.0</w:t>
            </w:r>
          </w:p>
        </w:tc>
        <w:tc>
          <w:tcPr>
            <w:tcW w:w="1120" w:type="dxa"/>
            <w:gridSpan w:val="3"/>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243.4</w:t>
            </w:r>
          </w:p>
        </w:tc>
        <w:tc>
          <w:tcPr>
            <w:tcW w:w="113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96.4</w:t>
            </w:r>
          </w:p>
        </w:tc>
      </w:tr>
      <w:tr w:rsidR="00336793" w:rsidRPr="00A10A3B" w:rsidTr="00DF0B96">
        <w:tc>
          <w:tcPr>
            <w:tcW w:w="4383" w:type="dxa"/>
            <w:gridSpan w:val="4"/>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Total gains and losses recognised in:</w:t>
            </w:r>
          </w:p>
        </w:tc>
        <w:tc>
          <w:tcPr>
            <w:tcW w:w="236"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c>
          <w:tcPr>
            <w:tcW w:w="236"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c>
          <w:tcPr>
            <w:tcW w:w="144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c>
          <w:tcPr>
            <w:tcW w:w="112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c>
          <w:tcPr>
            <w:tcW w:w="1112"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r>
      <w:tr w:rsidR="00336793" w:rsidRPr="00A10A3B" w:rsidTr="00DF0B96">
        <w:tc>
          <w:tcPr>
            <w:tcW w:w="2917" w:type="dxa"/>
            <w:tcBorders>
              <w:top w:val="nil"/>
              <w:left w:val="nil"/>
              <w:bottom w:val="nil"/>
              <w:right w:val="nil"/>
            </w:tcBorders>
          </w:tcPr>
          <w:p w:rsidR="00336793" w:rsidRPr="00A10A3B" w:rsidRDefault="00336793" w:rsidP="00DF0B96">
            <w:pPr>
              <w:pStyle w:val="Tabletext"/>
              <w:rPr>
                <w:rFonts w:eastAsiaTheme="minorEastAsia" w:cs="Calibri"/>
                <w:color w:val="000000"/>
                <w:sz w:val="21"/>
                <w:szCs w:val="22"/>
                <w:vertAlign w:val="superscript"/>
                <w:lang w:eastAsia="en-AU"/>
              </w:rPr>
            </w:pPr>
            <w:r w:rsidRPr="00A10A3B">
              <w:rPr>
                <w:rFonts w:eastAsiaTheme="minorEastAsia"/>
                <w:sz w:val="21"/>
                <w:lang w:eastAsia="en-AU"/>
              </w:rPr>
              <w:t>Net result</w:t>
            </w:r>
            <w:r w:rsidRPr="00E96950">
              <w:rPr>
                <w:rFonts w:eastAsiaTheme="minorEastAsia"/>
                <w:sz w:val="21"/>
                <w:vertAlign w:val="superscript"/>
                <w:lang w:eastAsia="en-AU"/>
              </w:rPr>
              <w:t xml:space="preserve"> (</w:t>
            </w:r>
            <w:r w:rsidRPr="00A10A3B">
              <w:rPr>
                <w:rFonts w:eastAsiaTheme="minorEastAsia" w:cs="Calibri"/>
                <w:color w:val="000000"/>
                <w:sz w:val="21"/>
                <w:szCs w:val="22"/>
                <w:vertAlign w:val="superscript"/>
                <w:lang w:eastAsia="en-AU"/>
              </w:rPr>
              <w:t>b)</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80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44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97.8</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280.9)</w:t>
            </w:r>
          </w:p>
        </w:tc>
        <w:tc>
          <w:tcPr>
            <w:tcW w:w="1120" w:type="dxa"/>
            <w:gridSpan w:val="3"/>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1.3)</w:t>
            </w:r>
          </w:p>
        </w:tc>
        <w:tc>
          <w:tcPr>
            <w:tcW w:w="113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11.3</w:t>
            </w:r>
          </w:p>
        </w:tc>
      </w:tr>
      <w:tr w:rsidR="00336793" w:rsidRPr="00A10A3B" w:rsidTr="00DF0B96">
        <w:tc>
          <w:tcPr>
            <w:tcW w:w="291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Other comprehensive income</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80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44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3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r>
      <w:tr w:rsidR="00336793" w:rsidRPr="00A10A3B" w:rsidTr="00DF0B96">
        <w:tc>
          <w:tcPr>
            <w:tcW w:w="291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Purchase</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0.2</w:t>
            </w:r>
          </w:p>
        </w:tc>
        <w:tc>
          <w:tcPr>
            <w:tcW w:w="80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44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1 181.1</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723.7</w:t>
            </w:r>
          </w:p>
        </w:tc>
        <w:tc>
          <w:tcPr>
            <w:tcW w:w="112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45.0</w:t>
            </w:r>
          </w:p>
        </w:tc>
        <w:tc>
          <w:tcPr>
            <w:tcW w:w="113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2.0</w:t>
            </w:r>
          </w:p>
        </w:tc>
      </w:tr>
      <w:tr w:rsidR="00336793" w:rsidRPr="00A10A3B" w:rsidTr="00DF0B96">
        <w:tc>
          <w:tcPr>
            <w:tcW w:w="291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Sales</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80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440" w:type="dxa"/>
            <w:gridSpan w:val="3"/>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553.1)</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325.6)</w:t>
            </w:r>
          </w:p>
        </w:tc>
        <w:tc>
          <w:tcPr>
            <w:tcW w:w="112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30" w:type="dxa"/>
            <w:gridSpan w:val="2"/>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59.4)</w:t>
            </w:r>
          </w:p>
        </w:tc>
      </w:tr>
      <w:tr w:rsidR="00336793" w:rsidRPr="00A10A3B" w:rsidTr="00DF0B96">
        <w:tc>
          <w:tcPr>
            <w:tcW w:w="291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Settlements</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80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440" w:type="dxa"/>
            <w:gridSpan w:val="3"/>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33.3)</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22.3)</w:t>
            </w:r>
          </w:p>
        </w:tc>
        <w:tc>
          <w:tcPr>
            <w:tcW w:w="1120" w:type="dxa"/>
            <w:gridSpan w:val="3"/>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60.4)</w:t>
            </w:r>
          </w:p>
        </w:tc>
        <w:tc>
          <w:tcPr>
            <w:tcW w:w="1130" w:type="dxa"/>
            <w:gridSpan w:val="2"/>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9.1)</w:t>
            </w:r>
          </w:p>
        </w:tc>
      </w:tr>
      <w:tr w:rsidR="00336793" w:rsidRPr="00A10A3B" w:rsidTr="00DF0B96">
        <w:tc>
          <w:tcPr>
            <w:tcW w:w="291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Transfers from other levels</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80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44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0.2</w:t>
            </w:r>
          </w:p>
        </w:tc>
        <w:tc>
          <w:tcPr>
            <w:tcW w:w="1120"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3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202.1</w:t>
            </w:r>
          </w:p>
        </w:tc>
      </w:tr>
      <w:tr w:rsidR="00336793" w:rsidRPr="00A10A3B" w:rsidTr="00DF0B96">
        <w:tc>
          <w:tcPr>
            <w:tcW w:w="2917" w:type="dxa"/>
            <w:tcBorders>
              <w:top w:val="nil"/>
              <w:left w:val="nil"/>
              <w:bottom w:val="single" w:sz="6" w:space="0" w:color="auto"/>
              <w:right w:val="nil"/>
            </w:tcBorders>
          </w:tcPr>
          <w:p w:rsidR="00336793" w:rsidRPr="00A10A3B" w:rsidRDefault="00336793" w:rsidP="00DF0B96">
            <w:pPr>
              <w:pStyle w:val="Tabletext"/>
              <w:rPr>
                <w:rFonts w:eastAsiaTheme="minorEastAsia"/>
                <w:sz w:val="21"/>
                <w:vertAlign w:val="superscript"/>
                <w:lang w:eastAsia="en-AU"/>
              </w:rPr>
            </w:pPr>
            <w:r w:rsidRPr="00A10A3B">
              <w:rPr>
                <w:rFonts w:eastAsiaTheme="minorEastAsia"/>
                <w:sz w:val="21"/>
                <w:lang w:eastAsia="en-AU"/>
              </w:rPr>
              <w:t>Transfers out of Level 3</w:t>
            </w:r>
            <w:r w:rsidRPr="00E96950">
              <w:rPr>
                <w:rFonts w:eastAsiaTheme="minorEastAsia"/>
                <w:sz w:val="21"/>
                <w:vertAlign w:val="superscript"/>
                <w:lang w:eastAsia="en-AU"/>
              </w:rPr>
              <w:t xml:space="preserve"> (</w:t>
            </w:r>
            <w:r w:rsidRPr="00A10A3B">
              <w:rPr>
                <w:rFonts w:eastAsiaTheme="minorEastAsia"/>
                <w:sz w:val="21"/>
                <w:vertAlign w:val="superscript"/>
                <w:lang w:eastAsia="en-AU"/>
              </w:rPr>
              <w:t>a)</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800" w:type="dxa"/>
            <w:gridSpan w:val="3"/>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440" w:type="dxa"/>
            <w:gridSpan w:val="3"/>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7.9)</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39.7)</w:t>
            </w:r>
          </w:p>
        </w:tc>
        <w:tc>
          <w:tcPr>
            <w:tcW w:w="1120" w:type="dxa"/>
            <w:gridSpan w:val="3"/>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3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r>
      <w:tr w:rsidR="00336793" w:rsidRPr="00A10A3B" w:rsidTr="00DF0B96">
        <w:tc>
          <w:tcPr>
            <w:tcW w:w="2917"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text"/>
              <w:rPr>
                <w:rFonts w:eastAsiaTheme="minorEastAsia"/>
                <w:b/>
                <w:sz w:val="21"/>
                <w:lang w:eastAsia="en-AU"/>
              </w:rPr>
            </w:pPr>
            <w:r w:rsidRPr="00A10A3B">
              <w:rPr>
                <w:rFonts w:eastAsiaTheme="minorEastAsia"/>
                <w:b/>
                <w:sz w:val="21"/>
                <w:lang w:eastAsia="en-AU"/>
              </w:rPr>
              <w:t>Closing balance</w:t>
            </w:r>
          </w:p>
        </w:tc>
        <w:tc>
          <w:tcPr>
            <w:tcW w:w="1120" w:type="dxa"/>
            <w:gridSpan w:val="2"/>
            <w:tcBorders>
              <w:top w:val="single" w:sz="6" w:space="0" w:color="auto"/>
              <w:left w:val="nil"/>
              <w:bottom w:val="single" w:sz="12" w:space="0" w:color="000000"/>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0.2</w:t>
            </w:r>
          </w:p>
        </w:tc>
        <w:tc>
          <w:tcPr>
            <w:tcW w:w="800" w:type="dxa"/>
            <w:gridSpan w:val="3"/>
            <w:tcBorders>
              <w:top w:val="single" w:sz="6" w:space="0" w:color="auto"/>
              <w:left w:val="nil"/>
              <w:bottom w:val="single" w:sz="12" w:space="0" w:color="000000"/>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w:t>
            </w:r>
          </w:p>
        </w:tc>
        <w:tc>
          <w:tcPr>
            <w:tcW w:w="1440" w:type="dxa"/>
            <w:gridSpan w:val="3"/>
            <w:tcBorders>
              <w:top w:val="single" w:sz="6" w:space="0" w:color="auto"/>
              <w:left w:val="nil"/>
              <w:bottom w:val="single" w:sz="12" w:space="0" w:color="000000"/>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5 071.1</w:t>
            </w:r>
          </w:p>
        </w:tc>
        <w:tc>
          <w:tcPr>
            <w:tcW w:w="1120" w:type="dxa"/>
            <w:gridSpan w:val="2"/>
            <w:tcBorders>
              <w:top w:val="single" w:sz="6" w:space="0" w:color="auto"/>
              <w:left w:val="nil"/>
              <w:bottom w:val="single" w:sz="12" w:space="0" w:color="000000"/>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4 386.4</w:t>
            </w:r>
          </w:p>
        </w:tc>
        <w:tc>
          <w:tcPr>
            <w:tcW w:w="1120" w:type="dxa"/>
            <w:gridSpan w:val="3"/>
            <w:tcBorders>
              <w:top w:val="single" w:sz="6" w:space="0" w:color="auto"/>
              <w:left w:val="nil"/>
              <w:bottom w:val="single" w:sz="12" w:space="0" w:color="000000"/>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226.6</w:t>
            </w:r>
          </w:p>
        </w:tc>
        <w:tc>
          <w:tcPr>
            <w:tcW w:w="1130" w:type="dxa"/>
            <w:gridSpan w:val="2"/>
            <w:tcBorders>
              <w:top w:val="single" w:sz="6" w:space="0" w:color="auto"/>
              <w:left w:val="nil"/>
              <w:bottom w:val="single" w:sz="12" w:space="0" w:color="000000"/>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243.4</w:t>
            </w:r>
          </w:p>
        </w:tc>
      </w:tr>
    </w:tbl>
    <w:p w:rsidR="00336793" w:rsidRPr="00466EDE" w:rsidRDefault="00336793" w:rsidP="00DF0B96">
      <w:pPr>
        <w:pStyle w:val="4ptline"/>
      </w:pPr>
    </w:p>
    <w:tbl>
      <w:tblPr>
        <w:tblW w:w="9637" w:type="dxa"/>
        <w:tblInd w:w="28" w:type="dxa"/>
        <w:tblLayout w:type="fixed"/>
        <w:tblCellMar>
          <w:left w:w="45" w:type="dxa"/>
          <w:right w:w="45" w:type="dxa"/>
        </w:tblCellMar>
        <w:tblLook w:val="0000" w:firstRow="0" w:lastRow="0" w:firstColumn="0" w:lastColumn="0" w:noHBand="0" w:noVBand="0"/>
      </w:tblPr>
      <w:tblGrid>
        <w:gridCol w:w="2917"/>
        <w:gridCol w:w="367"/>
        <w:gridCol w:w="753"/>
        <w:gridCol w:w="1120"/>
        <w:gridCol w:w="1120"/>
        <w:gridCol w:w="1120"/>
        <w:gridCol w:w="1120"/>
        <w:gridCol w:w="1120"/>
      </w:tblGrid>
      <w:tr w:rsidR="00336793" w:rsidRPr="00466EDE" w:rsidTr="00DF0B96">
        <w:trPr>
          <w:cantSplit/>
          <w:tblHeader/>
        </w:trPr>
        <w:tc>
          <w:tcPr>
            <w:tcW w:w="2917" w:type="dxa"/>
            <w:tcBorders>
              <w:top w:val="single" w:sz="6" w:space="0" w:color="auto"/>
              <w:left w:val="single" w:sz="6" w:space="0" w:color="auto"/>
              <w:bottom w:val="single" w:sz="6" w:space="0" w:color="auto"/>
              <w:right w:val="nil"/>
            </w:tcBorders>
            <w:shd w:val="clear" w:color="000000" w:fill="000000"/>
            <w:vAlign w:val="bottom"/>
          </w:tcPr>
          <w:p w:rsidR="00336793" w:rsidRPr="00466EDE" w:rsidRDefault="00336793" w:rsidP="00DF0B96">
            <w:pPr>
              <w:pStyle w:val="Tabletextheading"/>
              <w:jc w:val="left"/>
              <w:rPr>
                <w:rFonts w:eastAsiaTheme="minorEastAsia"/>
                <w:color w:val="FFFFFF"/>
                <w:sz w:val="21"/>
                <w:lang w:eastAsia="en-AU"/>
              </w:rPr>
            </w:pPr>
            <w:r w:rsidRPr="00466EDE">
              <w:rPr>
                <w:rFonts w:eastAsiaTheme="minorEastAsia"/>
                <w:color w:val="FFFFFF"/>
                <w:sz w:val="21"/>
                <w:lang w:eastAsia="en-AU"/>
              </w:rPr>
              <w:t>General government sector</w:t>
            </w:r>
          </w:p>
        </w:tc>
        <w:tc>
          <w:tcPr>
            <w:tcW w:w="1120" w:type="dxa"/>
            <w:gridSpan w:val="2"/>
            <w:tcBorders>
              <w:top w:val="single" w:sz="6" w:space="0" w:color="auto"/>
              <w:left w:val="nil"/>
              <w:bottom w:val="single" w:sz="6" w:space="0" w:color="auto"/>
              <w:right w:val="nil"/>
            </w:tcBorders>
            <w:shd w:val="clear" w:color="000000" w:fill="000000"/>
            <w:vAlign w:val="bottom"/>
          </w:tcPr>
          <w:p w:rsidR="00336793" w:rsidRPr="00466EDE" w:rsidRDefault="00336793" w:rsidP="00DF0B96">
            <w:pPr>
              <w:pStyle w:val="Tabletextheading"/>
              <w:rPr>
                <w:rFonts w:eastAsiaTheme="minorEastAsia"/>
                <w:color w:val="FFFFFF"/>
                <w:sz w:val="21"/>
                <w:lang w:eastAsia="en-AU"/>
              </w:rPr>
            </w:pPr>
            <w:r w:rsidRPr="00466EDE">
              <w:rPr>
                <w:rFonts w:eastAsiaTheme="minorEastAsia"/>
                <w:color w:val="FFFFFF"/>
                <w:sz w:val="21"/>
                <w:lang w:eastAsia="en-AU"/>
              </w:rPr>
              <w:t xml:space="preserve"> </w:t>
            </w:r>
          </w:p>
        </w:tc>
        <w:tc>
          <w:tcPr>
            <w:tcW w:w="1120" w:type="dxa"/>
            <w:tcBorders>
              <w:top w:val="single" w:sz="6" w:space="0" w:color="auto"/>
              <w:left w:val="nil"/>
              <w:bottom w:val="single" w:sz="6" w:space="0" w:color="auto"/>
              <w:right w:val="nil"/>
            </w:tcBorders>
            <w:shd w:val="clear" w:color="000000" w:fill="000000"/>
            <w:vAlign w:val="bottom"/>
          </w:tcPr>
          <w:p w:rsidR="00336793" w:rsidRPr="00466EDE" w:rsidRDefault="00336793" w:rsidP="00DF0B96">
            <w:pPr>
              <w:pStyle w:val="Tabletextheading"/>
              <w:rPr>
                <w:rFonts w:eastAsiaTheme="minorEastAsia"/>
                <w:color w:val="FFFFFF"/>
                <w:sz w:val="21"/>
                <w:lang w:eastAsia="en-AU"/>
              </w:rPr>
            </w:pPr>
            <w:r w:rsidRPr="00466EDE">
              <w:rPr>
                <w:rFonts w:eastAsiaTheme="minorEastAsia"/>
                <w:color w:val="FFFFFF"/>
                <w:sz w:val="21"/>
                <w:lang w:eastAsia="en-AU"/>
              </w:rPr>
              <w:t xml:space="preserve"> </w:t>
            </w:r>
          </w:p>
        </w:tc>
        <w:tc>
          <w:tcPr>
            <w:tcW w:w="1120" w:type="dxa"/>
            <w:tcBorders>
              <w:top w:val="single" w:sz="6" w:space="0" w:color="auto"/>
              <w:left w:val="nil"/>
              <w:bottom w:val="single" w:sz="6" w:space="0" w:color="auto"/>
              <w:right w:val="nil"/>
            </w:tcBorders>
            <w:shd w:val="clear" w:color="000000" w:fill="000000"/>
            <w:vAlign w:val="bottom"/>
          </w:tcPr>
          <w:p w:rsidR="00336793" w:rsidRPr="00466EDE" w:rsidRDefault="00336793" w:rsidP="00DF0B96">
            <w:pPr>
              <w:pStyle w:val="Tabletextheading"/>
              <w:rPr>
                <w:rFonts w:eastAsiaTheme="minorEastAsia"/>
                <w:color w:val="FFFFFF"/>
                <w:sz w:val="21"/>
                <w:lang w:eastAsia="en-AU"/>
              </w:rPr>
            </w:pPr>
            <w:r w:rsidRPr="00466EDE">
              <w:rPr>
                <w:rFonts w:eastAsiaTheme="minorEastAsia"/>
                <w:color w:val="FFFFFF"/>
                <w:sz w:val="21"/>
                <w:lang w:eastAsia="en-AU"/>
              </w:rPr>
              <w:t xml:space="preserve"> </w:t>
            </w:r>
          </w:p>
        </w:tc>
        <w:tc>
          <w:tcPr>
            <w:tcW w:w="1120" w:type="dxa"/>
            <w:tcBorders>
              <w:top w:val="single" w:sz="6" w:space="0" w:color="auto"/>
              <w:left w:val="nil"/>
              <w:bottom w:val="single" w:sz="6" w:space="0" w:color="auto"/>
              <w:right w:val="nil"/>
            </w:tcBorders>
            <w:shd w:val="clear" w:color="000000" w:fill="000000"/>
            <w:vAlign w:val="bottom"/>
          </w:tcPr>
          <w:p w:rsidR="00336793" w:rsidRPr="00466EDE" w:rsidRDefault="00336793" w:rsidP="00DF0B96">
            <w:pPr>
              <w:pStyle w:val="Tabletextheading"/>
              <w:rPr>
                <w:rFonts w:eastAsiaTheme="minorEastAsia"/>
                <w:color w:val="FFFFFF"/>
                <w:sz w:val="21"/>
                <w:lang w:eastAsia="en-AU"/>
              </w:rPr>
            </w:pPr>
            <w:r w:rsidRPr="00466EDE">
              <w:rPr>
                <w:rFonts w:eastAsiaTheme="minorEastAsia"/>
                <w:color w:val="FFFFFF"/>
                <w:sz w:val="21"/>
                <w:lang w:eastAsia="en-AU"/>
              </w:rPr>
              <w:t xml:space="preserve"> </w:t>
            </w:r>
          </w:p>
        </w:tc>
        <w:tc>
          <w:tcPr>
            <w:tcW w:w="1120" w:type="dxa"/>
            <w:tcBorders>
              <w:top w:val="single" w:sz="6" w:space="0" w:color="auto"/>
              <w:left w:val="nil"/>
              <w:bottom w:val="single" w:sz="6" w:space="0" w:color="auto"/>
              <w:right w:val="nil"/>
            </w:tcBorders>
            <w:shd w:val="clear" w:color="000000" w:fill="000000"/>
            <w:vAlign w:val="bottom"/>
          </w:tcPr>
          <w:p w:rsidR="00336793" w:rsidRPr="00466EDE" w:rsidRDefault="00336793" w:rsidP="00DF0B96">
            <w:pPr>
              <w:pStyle w:val="Tabletextheading"/>
              <w:rPr>
                <w:rFonts w:eastAsiaTheme="minorEastAsia"/>
                <w:color w:val="FFFFFF"/>
                <w:sz w:val="21"/>
                <w:lang w:eastAsia="en-AU"/>
              </w:rPr>
            </w:pPr>
            <w:r w:rsidRPr="00466EDE">
              <w:rPr>
                <w:rFonts w:eastAsiaTheme="minorEastAsia"/>
                <w:color w:val="FFFFFF"/>
                <w:sz w:val="21"/>
                <w:lang w:eastAsia="en-AU"/>
              </w:rPr>
              <w:t xml:space="preserve"> </w:t>
            </w:r>
          </w:p>
        </w:tc>
        <w:tc>
          <w:tcPr>
            <w:tcW w:w="1120" w:type="dxa"/>
            <w:tcBorders>
              <w:top w:val="single" w:sz="6" w:space="0" w:color="auto"/>
              <w:left w:val="nil"/>
              <w:bottom w:val="single" w:sz="6" w:space="0" w:color="auto"/>
              <w:right w:val="single" w:sz="6" w:space="0" w:color="auto"/>
            </w:tcBorders>
            <w:shd w:val="clear" w:color="000000" w:fill="000000"/>
            <w:vAlign w:val="bottom"/>
          </w:tcPr>
          <w:p w:rsidR="00336793" w:rsidRPr="00466EDE" w:rsidRDefault="00336793" w:rsidP="00DF0B96">
            <w:pPr>
              <w:pStyle w:val="Tabletextheading"/>
              <w:rPr>
                <w:rFonts w:eastAsiaTheme="minorEastAsia"/>
                <w:color w:val="FFFFFF"/>
                <w:sz w:val="21"/>
                <w:lang w:eastAsia="en-AU"/>
              </w:rPr>
            </w:pPr>
            <w:r w:rsidRPr="00466EDE">
              <w:rPr>
                <w:rFonts w:eastAsiaTheme="minorEastAsia"/>
                <w:color w:val="FFFFFF"/>
                <w:sz w:val="21"/>
                <w:lang w:eastAsia="en-AU"/>
              </w:rPr>
              <w:t xml:space="preserve"> </w:t>
            </w:r>
          </w:p>
        </w:tc>
      </w:tr>
      <w:tr w:rsidR="00336793" w:rsidRPr="00466EDE" w:rsidTr="00DF0B96">
        <w:trPr>
          <w:cantSplit/>
        </w:trPr>
        <w:tc>
          <w:tcPr>
            <w:tcW w:w="2917" w:type="dxa"/>
            <w:tcBorders>
              <w:top w:val="single" w:sz="6" w:space="0" w:color="auto"/>
              <w:left w:val="nil"/>
              <w:bottom w:val="nil"/>
              <w:right w:val="nil"/>
            </w:tcBorders>
          </w:tcPr>
          <w:p w:rsidR="00336793" w:rsidRPr="00466EDE" w:rsidRDefault="00336793" w:rsidP="00DF0B96">
            <w:pPr>
              <w:autoSpaceDE w:val="0"/>
              <w:autoSpaceDN w:val="0"/>
              <w:adjustRightInd w:val="0"/>
              <w:spacing w:after="0"/>
              <w:rPr>
                <w:rFonts w:ascii="Calibri" w:eastAsiaTheme="minorEastAsia" w:hAnsi="Calibri" w:cs="Calibri"/>
                <w:b/>
                <w:bCs/>
                <w:sz w:val="21"/>
                <w:szCs w:val="22"/>
                <w:vertAlign w:val="superscript"/>
                <w:lang w:eastAsia="en-AU"/>
              </w:rPr>
            </w:pPr>
            <w:r w:rsidRPr="00466EDE">
              <w:rPr>
                <w:rFonts w:ascii="Calibri" w:eastAsiaTheme="minorEastAsia" w:hAnsi="Calibri" w:cs="Calibri"/>
                <w:b/>
                <w:bCs/>
                <w:sz w:val="21"/>
                <w:szCs w:val="22"/>
                <w:lang w:eastAsia="en-AU"/>
              </w:rPr>
              <w:t>Opening balance</w:t>
            </w:r>
            <w:r w:rsidRPr="00466EDE">
              <w:rPr>
                <w:rFonts w:ascii="Calibri" w:eastAsiaTheme="minorEastAsia" w:hAnsi="Calibri" w:cs="Calibri"/>
                <w:b/>
                <w:bCs/>
                <w:sz w:val="21"/>
                <w:szCs w:val="22"/>
                <w:vertAlign w:val="superscript"/>
                <w:lang w:eastAsia="en-AU"/>
              </w:rPr>
              <w:t>(a)</w:t>
            </w:r>
          </w:p>
        </w:tc>
        <w:tc>
          <w:tcPr>
            <w:tcW w:w="1120" w:type="dxa"/>
            <w:gridSpan w:val="2"/>
            <w:tcBorders>
              <w:top w:val="single" w:sz="6" w:space="0" w:color="auto"/>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w:t>
            </w:r>
          </w:p>
        </w:tc>
        <w:tc>
          <w:tcPr>
            <w:tcW w:w="1120" w:type="dxa"/>
            <w:tcBorders>
              <w:top w:val="single" w:sz="6" w:space="0" w:color="auto"/>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w:t>
            </w:r>
          </w:p>
        </w:tc>
        <w:tc>
          <w:tcPr>
            <w:tcW w:w="1120" w:type="dxa"/>
            <w:tcBorders>
              <w:top w:val="single" w:sz="6" w:space="0" w:color="auto"/>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 xml:space="preserve"> 7.3</w:t>
            </w:r>
          </w:p>
        </w:tc>
        <w:tc>
          <w:tcPr>
            <w:tcW w:w="1120" w:type="dxa"/>
            <w:tcBorders>
              <w:top w:val="single" w:sz="6" w:space="0" w:color="auto"/>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 xml:space="preserve"> 41.4</w:t>
            </w:r>
          </w:p>
        </w:tc>
        <w:tc>
          <w:tcPr>
            <w:tcW w:w="1120" w:type="dxa"/>
            <w:tcBorders>
              <w:top w:val="single" w:sz="6" w:space="0" w:color="auto"/>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 xml:space="preserve"> 0.5</w:t>
            </w:r>
          </w:p>
        </w:tc>
        <w:tc>
          <w:tcPr>
            <w:tcW w:w="1120" w:type="dxa"/>
            <w:tcBorders>
              <w:top w:val="single" w:sz="6" w:space="0" w:color="auto"/>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 xml:space="preserve"> 0.5</w:t>
            </w:r>
          </w:p>
        </w:tc>
      </w:tr>
      <w:tr w:rsidR="00336793" w:rsidRPr="00466EDE" w:rsidTr="00DF0B96">
        <w:trPr>
          <w:cantSplit/>
          <w:trHeight w:val="225"/>
        </w:trPr>
        <w:tc>
          <w:tcPr>
            <w:tcW w:w="3284" w:type="dxa"/>
            <w:gridSpan w:val="2"/>
            <w:tcBorders>
              <w:top w:val="nil"/>
              <w:left w:val="nil"/>
              <w:bottom w:val="nil"/>
              <w:right w:val="nil"/>
            </w:tcBorders>
            <w:shd w:val="solid" w:color="FFFFFF" w:fill="auto"/>
          </w:tcPr>
          <w:p w:rsidR="00336793" w:rsidRPr="00466EDE" w:rsidRDefault="00336793" w:rsidP="00DF0B96">
            <w:pPr>
              <w:autoSpaceDE w:val="0"/>
              <w:autoSpaceDN w:val="0"/>
              <w:adjustRightInd w:val="0"/>
              <w:spacing w:after="0"/>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Total gains and losses recognised in:</w:t>
            </w:r>
          </w:p>
        </w:tc>
        <w:tc>
          <w:tcPr>
            <w:tcW w:w="753"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p>
        </w:tc>
      </w:tr>
      <w:tr w:rsidR="00336793" w:rsidRPr="00466EDE" w:rsidTr="00DF0B96">
        <w:trPr>
          <w:cantSplit/>
        </w:trPr>
        <w:tc>
          <w:tcPr>
            <w:tcW w:w="2917" w:type="dxa"/>
            <w:tcBorders>
              <w:top w:val="nil"/>
              <w:left w:val="nil"/>
              <w:bottom w:val="nil"/>
              <w:right w:val="nil"/>
            </w:tcBorders>
            <w:shd w:val="solid" w:color="FFFFFF" w:fill="auto"/>
          </w:tcPr>
          <w:p w:rsidR="00336793" w:rsidRPr="00466EDE" w:rsidRDefault="00336793" w:rsidP="00DF0B96">
            <w:pPr>
              <w:autoSpaceDE w:val="0"/>
              <w:autoSpaceDN w:val="0"/>
              <w:adjustRightInd w:val="0"/>
              <w:spacing w:after="0"/>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Net result</w:t>
            </w:r>
          </w:p>
        </w:tc>
        <w:tc>
          <w:tcPr>
            <w:tcW w:w="1120" w:type="dxa"/>
            <w:gridSpan w:val="2"/>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r>
      <w:tr w:rsidR="00336793" w:rsidRPr="00466EDE" w:rsidTr="00DF0B96">
        <w:trPr>
          <w:cantSplit/>
        </w:trPr>
        <w:tc>
          <w:tcPr>
            <w:tcW w:w="2917" w:type="dxa"/>
            <w:tcBorders>
              <w:top w:val="nil"/>
              <w:left w:val="nil"/>
              <w:bottom w:val="nil"/>
              <w:right w:val="nil"/>
            </w:tcBorders>
          </w:tcPr>
          <w:p w:rsidR="00336793" w:rsidRPr="00466EDE" w:rsidRDefault="00336793" w:rsidP="00DF0B96">
            <w:pPr>
              <w:autoSpaceDE w:val="0"/>
              <w:autoSpaceDN w:val="0"/>
              <w:adjustRightInd w:val="0"/>
              <w:spacing w:after="0"/>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Other comprehensive income</w:t>
            </w:r>
          </w:p>
        </w:tc>
        <w:tc>
          <w:tcPr>
            <w:tcW w:w="1120" w:type="dxa"/>
            <w:gridSpan w:val="2"/>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r>
      <w:tr w:rsidR="00336793" w:rsidRPr="00466EDE" w:rsidTr="00DF0B96">
        <w:trPr>
          <w:cantSplit/>
        </w:trPr>
        <w:tc>
          <w:tcPr>
            <w:tcW w:w="2917" w:type="dxa"/>
            <w:tcBorders>
              <w:top w:val="nil"/>
              <w:left w:val="nil"/>
              <w:bottom w:val="nil"/>
              <w:right w:val="nil"/>
            </w:tcBorders>
          </w:tcPr>
          <w:p w:rsidR="00336793" w:rsidRPr="00466EDE" w:rsidRDefault="00336793" w:rsidP="00DF0B96">
            <w:pPr>
              <w:autoSpaceDE w:val="0"/>
              <w:autoSpaceDN w:val="0"/>
              <w:adjustRightInd w:val="0"/>
              <w:spacing w:after="0"/>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Purchases</w:t>
            </w:r>
          </w:p>
        </w:tc>
        <w:tc>
          <w:tcPr>
            <w:tcW w:w="1120" w:type="dxa"/>
            <w:gridSpan w:val="2"/>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 xml:space="preserve"> 0.2</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 xml:space="preserve"> 5.5</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r>
      <w:tr w:rsidR="00336793" w:rsidRPr="00466EDE" w:rsidTr="00DF0B96">
        <w:trPr>
          <w:cantSplit/>
        </w:trPr>
        <w:tc>
          <w:tcPr>
            <w:tcW w:w="2917" w:type="dxa"/>
            <w:tcBorders>
              <w:top w:val="nil"/>
              <w:left w:val="nil"/>
              <w:bottom w:val="nil"/>
              <w:right w:val="nil"/>
            </w:tcBorders>
          </w:tcPr>
          <w:p w:rsidR="00336793" w:rsidRPr="00466EDE" w:rsidRDefault="00336793" w:rsidP="00DF0B96">
            <w:pPr>
              <w:autoSpaceDE w:val="0"/>
              <w:autoSpaceDN w:val="0"/>
              <w:adjustRightInd w:val="0"/>
              <w:spacing w:after="0"/>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Sales</w:t>
            </w:r>
          </w:p>
        </w:tc>
        <w:tc>
          <w:tcPr>
            <w:tcW w:w="1120" w:type="dxa"/>
            <w:gridSpan w:val="2"/>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r w:rsidRPr="00466EDE">
              <w:rPr>
                <w:rFonts w:ascii="Calibri" w:eastAsiaTheme="minorEastAsia" w:hAnsi="Calibri" w:cs="Calibri"/>
                <w:sz w:val="21"/>
                <w:szCs w:val="22"/>
                <w:lang w:eastAsia="en-AU"/>
              </w:rPr>
              <w:t>0.3)</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r>
      <w:tr w:rsidR="00336793" w:rsidRPr="00466EDE" w:rsidTr="00DF0B96">
        <w:trPr>
          <w:cantSplit/>
        </w:trPr>
        <w:tc>
          <w:tcPr>
            <w:tcW w:w="2917" w:type="dxa"/>
            <w:tcBorders>
              <w:top w:val="nil"/>
              <w:left w:val="nil"/>
              <w:bottom w:val="nil"/>
              <w:right w:val="nil"/>
            </w:tcBorders>
          </w:tcPr>
          <w:p w:rsidR="00336793" w:rsidRPr="00466EDE" w:rsidRDefault="00336793" w:rsidP="00DF0B96">
            <w:pPr>
              <w:autoSpaceDE w:val="0"/>
              <w:autoSpaceDN w:val="0"/>
              <w:adjustRightInd w:val="0"/>
              <w:spacing w:after="0"/>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Settlements</w:t>
            </w:r>
          </w:p>
        </w:tc>
        <w:tc>
          <w:tcPr>
            <w:tcW w:w="1120" w:type="dxa"/>
            <w:gridSpan w:val="2"/>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r w:rsidRPr="00466EDE">
              <w:rPr>
                <w:rFonts w:ascii="Calibri" w:eastAsiaTheme="minorEastAsia" w:hAnsi="Calibri" w:cs="Calibri"/>
                <w:sz w:val="21"/>
                <w:szCs w:val="22"/>
                <w:lang w:eastAsia="en-AU"/>
              </w:rPr>
              <w:t>0.5)</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r>
      <w:tr w:rsidR="00336793" w:rsidRPr="00466EDE" w:rsidTr="00DF0B96">
        <w:trPr>
          <w:cantSplit/>
        </w:trPr>
        <w:tc>
          <w:tcPr>
            <w:tcW w:w="2917" w:type="dxa"/>
            <w:tcBorders>
              <w:top w:val="nil"/>
              <w:left w:val="nil"/>
              <w:bottom w:val="nil"/>
              <w:right w:val="nil"/>
            </w:tcBorders>
          </w:tcPr>
          <w:p w:rsidR="00336793" w:rsidRPr="00466EDE" w:rsidRDefault="00336793" w:rsidP="00DF0B96">
            <w:pPr>
              <w:autoSpaceDE w:val="0"/>
              <w:autoSpaceDN w:val="0"/>
              <w:adjustRightInd w:val="0"/>
              <w:spacing w:after="0"/>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Transfers from other levels</w:t>
            </w:r>
          </w:p>
        </w:tc>
        <w:tc>
          <w:tcPr>
            <w:tcW w:w="1120" w:type="dxa"/>
            <w:gridSpan w:val="2"/>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nil"/>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r>
      <w:tr w:rsidR="00336793" w:rsidRPr="00466EDE" w:rsidTr="00DF0B96">
        <w:trPr>
          <w:cantSplit/>
        </w:trPr>
        <w:tc>
          <w:tcPr>
            <w:tcW w:w="2917" w:type="dxa"/>
            <w:tcBorders>
              <w:top w:val="nil"/>
              <w:left w:val="nil"/>
              <w:bottom w:val="single" w:sz="6" w:space="0" w:color="auto"/>
              <w:right w:val="nil"/>
            </w:tcBorders>
          </w:tcPr>
          <w:p w:rsidR="00336793" w:rsidRPr="00466EDE"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466EDE">
              <w:rPr>
                <w:rFonts w:ascii="Calibri" w:eastAsiaTheme="minorEastAsia" w:hAnsi="Calibri" w:cs="Calibri"/>
                <w:sz w:val="21"/>
                <w:szCs w:val="22"/>
                <w:lang w:eastAsia="en-AU"/>
              </w:rPr>
              <w:t>Transfers out of Level 3</w:t>
            </w:r>
            <w:r w:rsidRPr="00466EDE">
              <w:rPr>
                <w:rFonts w:ascii="Calibri" w:eastAsiaTheme="minorEastAsia" w:hAnsi="Calibri" w:cs="Calibri"/>
                <w:sz w:val="21"/>
                <w:szCs w:val="22"/>
                <w:vertAlign w:val="superscript"/>
                <w:lang w:eastAsia="en-AU"/>
              </w:rPr>
              <w:t>(a)</w:t>
            </w:r>
          </w:p>
        </w:tc>
        <w:tc>
          <w:tcPr>
            <w:tcW w:w="1120" w:type="dxa"/>
            <w:gridSpan w:val="2"/>
            <w:tcBorders>
              <w:top w:val="nil"/>
              <w:left w:val="nil"/>
              <w:bottom w:val="single" w:sz="6" w:space="0" w:color="auto"/>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single" w:sz="6" w:space="0" w:color="auto"/>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single" w:sz="6" w:space="0" w:color="auto"/>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r w:rsidRPr="00466EDE">
              <w:rPr>
                <w:rFonts w:ascii="Calibri" w:eastAsiaTheme="minorEastAsia" w:hAnsi="Calibri" w:cs="Calibri"/>
                <w:sz w:val="21"/>
                <w:szCs w:val="22"/>
                <w:lang w:eastAsia="en-AU"/>
              </w:rPr>
              <w:t>6.9)</w:t>
            </w:r>
          </w:p>
        </w:tc>
        <w:tc>
          <w:tcPr>
            <w:tcW w:w="1120" w:type="dxa"/>
            <w:tcBorders>
              <w:top w:val="nil"/>
              <w:left w:val="nil"/>
              <w:bottom w:val="single" w:sz="6" w:space="0" w:color="auto"/>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Pr>
                <w:rFonts w:ascii="Calibri" w:eastAsiaTheme="minorEastAsia" w:hAnsi="Calibri" w:cs="Calibri"/>
                <w:sz w:val="21"/>
                <w:szCs w:val="22"/>
                <w:lang w:eastAsia="en-AU"/>
              </w:rPr>
              <w:t>(</w:t>
            </w:r>
            <w:r w:rsidRPr="00466EDE">
              <w:rPr>
                <w:rFonts w:ascii="Calibri" w:eastAsiaTheme="minorEastAsia" w:hAnsi="Calibri" w:cs="Calibri"/>
                <w:sz w:val="21"/>
                <w:szCs w:val="22"/>
                <w:lang w:eastAsia="en-AU"/>
              </w:rPr>
              <w:t>39.7)</w:t>
            </w:r>
          </w:p>
        </w:tc>
        <w:tc>
          <w:tcPr>
            <w:tcW w:w="1120" w:type="dxa"/>
            <w:tcBorders>
              <w:top w:val="nil"/>
              <w:left w:val="nil"/>
              <w:bottom w:val="single" w:sz="6" w:space="0" w:color="auto"/>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c>
          <w:tcPr>
            <w:tcW w:w="1120" w:type="dxa"/>
            <w:tcBorders>
              <w:top w:val="nil"/>
              <w:left w:val="nil"/>
              <w:bottom w:val="single" w:sz="6" w:space="0" w:color="auto"/>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466EDE">
              <w:rPr>
                <w:rFonts w:ascii="Calibri" w:eastAsiaTheme="minorEastAsia" w:hAnsi="Calibri" w:cs="Calibri"/>
                <w:sz w:val="21"/>
                <w:szCs w:val="22"/>
                <w:lang w:eastAsia="en-AU"/>
              </w:rPr>
              <w:t>..</w:t>
            </w:r>
          </w:p>
        </w:tc>
      </w:tr>
      <w:tr w:rsidR="00336793" w:rsidRPr="00466EDE" w:rsidTr="00DF0B96">
        <w:trPr>
          <w:cantSplit/>
        </w:trPr>
        <w:tc>
          <w:tcPr>
            <w:tcW w:w="2917" w:type="dxa"/>
            <w:tcBorders>
              <w:top w:val="single" w:sz="6" w:space="0" w:color="auto"/>
              <w:left w:val="nil"/>
              <w:bottom w:val="single" w:sz="12" w:space="0" w:color="000000"/>
              <w:right w:val="nil"/>
            </w:tcBorders>
            <w:shd w:val="solid" w:color="FFFFFF" w:fill="auto"/>
          </w:tcPr>
          <w:p w:rsidR="00336793" w:rsidRPr="00466EDE" w:rsidRDefault="00336793" w:rsidP="00DF0B96">
            <w:pPr>
              <w:autoSpaceDE w:val="0"/>
              <w:autoSpaceDN w:val="0"/>
              <w:adjustRightInd w:val="0"/>
              <w:spacing w:after="0"/>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Closing balance</w:t>
            </w:r>
          </w:p>
        </w:tc>
        <w:tc>
          <w:tcPr>
            <w:tcW w:w="1120" w:type="dxa"/>
            <w:gridSpan w:val="2"/>
            <w:tcBorders>
              <w:top w:val="single" w:sz="6" w:space="0" w:color="auto"/>
              <w:left w:val="nil"/>
              <w:bottom w:val="single" w:sz="12" w:space="0" w:color="000000"/>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 xml:space="preserve"> 0.2</w:t>
            </w:r>
          </w:p>
        </w:tc>
        <w:tc>
          <w:tcPr>
            <w:tcW w:w="1120" w:type="dxa"/>
            <w:tcBorders>
              <w:top w:val="single" w:sz="6" w:space="0" w:color="auto"/>
              <w:left w:val="nil"/>
              <w:bottom w:val="single" w:sz="12" w:space="0" w:color="000000"/>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w:t>
            </w:r>
          </w:p>
        </w:tc>
        <w:tc>
          <w:tcPr>
            <w:tcW w:w="1120" w:type="dxa"/>
            <w:tcBorders>
              <w:top w:val="single" w:sz="6" w:space="0" w:color="auto"/>
              <w:left w:val="nil"/>
              <w:bottom w:val="single" w:sz="12" w:space="0" w:color="000000"/>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Pr>
                <w:rFonts w:ascii="Calibri" w:eastAsiaTheme="minorEastAsia" w:hAnsi="Calibri" w:cs="Calibri"/>
                <w:b/>
                <w:bCs/>
                <w:sz w:val="21"/>
                <w:szCs w:val="22"/>
                <w:lang w:eastAsia="en-AU"/>
              </w:rPr>
              <w:t>..</w:t>
            </w:r>
          </w:p>
        </w:tc>
        <w:tc>
          <w:tcPr>
            <w:tcW w:w="1120" w:type="dxa"/>
            <w:tcBorders>
              <w:top w:val="single" w:sz="6" w:space="0" w:color="auto"/>
              <w:left w:val="nil"/>
              <w:bottom w:val="single" w:sz="12" w:space="0" w:color="000000"/>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 xml:space="preserve"> 7.3</w:t>
            </w:r>
          </w:p>
        </w:tc>
        <w:tc>
          <w:tcPr>
            <w:tcW w:w="1120" w:type="dxa"/>
            <w:tcBorders>
              <w:top w:val="single" w:sz="6" w:space="0" w:color="auto"/>
              <w:left w:val="nil"/>
              <w:bottom w:val="single" w:sz="12" w:space="0" w:color="000000"/>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w:t>
            </w:r>
          </w:p>
        </w:tc>
        <w:tc>
          <w:tcPr>
            <w:tcW w:w="1120" w:type="dxa"/>
            <w:tcBorders>
              <w:top w:val="single" w:sz="6" w:space="0" w:color="auto"/>
              <w:left w:val="nil"/>
              <w:bottom w:val="single" w:sz="12" w:space="0" w:color="000000"/>
              <w:right w:val="nil"/>
            </w:tcBorders>
          </w:tcPr>
          <w:p w:rsidR="00336793" w:rsidRPr="00466EDE"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466EDE">
              <w:rPr>
                <w:rFonts w:ascii="Calibri" w:eastAsiaTheme="minorEastAsia" w:hAnsi="Calibri" w:cs="Calibri"/>
                <w:b/>
                <w:bCs/>
                <w:sz w:val="21"/>
                <w:szCs w:val="22"/>
                <w:lang w:eastAsia="en-AU"/>
              </w:rPr>
              <w:t xml:space="preserve"> 0.5</w:t>
            </w:r>
          </w:p>
        </w:tc>
      </w:tr>
    </w:tbl>
    <w:p w:rsidR="00336793" w:rsidRPr="006A75A2" w:rsidRDefault="00336793" w:rsidP="00DF0B96">
      <w:pPr>
        <w:pStyle w:val="Notes"/>
      </w:pPr>
      <w:r>
        <w:t>N</w:t>
      </w:r>
      <w:r w:rsidRPr="006A75A2">
        <w:t>ote</w:t>
      </w:r>
      <w:r>
        <w:t>s</w:t>
      </w:r>
      <w:r w:rsidRPr="006A75A2">
        <w:t>:</w:t>
      </w:r>
    </w:p>
    <w:p w:rsidR="00336793" w:rsidRDefault="00336793" w:rsidP="00DF0B96">
      <w:pPr>
        <w:pStyle w:val="Notes"/>
      </w:pPr>
      <w:r w:rsidRPr="006A75A2">
        <w:t>(a)</w:t>
      </w:r>
      <w:r w:rsidRPr="006A75A2">
        <w:tab/>
      </w:r>
      <w:r w:rsidRPr="00F038FD">
        <w:t>June 2014 comparative figures have been restated to reflect more current information.</w:t>
      </w:r>
    </w:p>
    <w:p w:rsidR="00336793" w:rsidRDefault="00336793" w:rsidP="00DF0B96">
      <w:pPr>
        <w:pStyle w:val="Notes"/>
      </w:pPr>
      <w:r>
        <w:t>(b)</w:t>
      </w:r>
      <w:r w:rsidRPr="006A75A2">
        <w:tab/>
      </w:r>
      <w:r w:rsidRPr="00DF7C4A">
        <w:t>June 2014 comparative figures have been restated. See Note 37.</w:t>
      </w:r>
    </w:p>
    <w:p w:rsidR="00336793" w:rsidRDefault="00336793" w:rsidP="00DF0B96">
      <w:pPr>
        <w:pStyle w:val="Notes"/>
      </w:pPr>
    </w:p>
    <w:p w:rsidR="00336793" w:rsidRDefault="00336793" w:rsidP="00DF0B96"/>
    <w:p w:rsidR="00336793" w:rsidRDefault="00336793">
      <w:pPr>
        <w:spacing w:after="0"/>
        <w:rPr>
          <w:rFonts w:ascii="Calibri" w:hAnsi="Calibri"/>
          <w:b/>
        </w:rPr>
      </w:pPr>
      <w:r>
        <w:br w:type="page"/>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A75A2" w:rsidRDefault="00336793" w:rsidP="00DF0B96">
      <w:pPr>
        <w:pStyle w:val="Heading5"/>
      </w:pPr>
      <w:r>
        <w:t>(m)</w:t>
      </w:r>
      <w:r w:rsidRPr="006A75A2">
        <w:tab/>
        <w:t>Description of Level 3 valuation techniques used and key inputs to valuation</w:t>
      </w:r>
    </w:p>
    <w:p w:rsidR="00336793" w:rsidRPr="006A75A2" w:rsidRDefault="00336793" w:rsidP="00DF0B96">
      <w:r w:rsidRPr="006A75A2">
        <w:t>The majority of the State</w:t>
      </w:r>
      <w:r>
        <w:t>’</w:t>
      </w:r>
      <w:r w:rsidRPr="006A75A2">
        <w:t>s Level 3 financial assets relate to equities and managed investment schemes that are managed by VFMC on behalf of the State</w:t>
      </w:r>
      <w:r>
        <w:t>’</w:t>
      </w:r>
      <w:r w:rsidRPr="006A75A2">
        <w:t>s insurance entities.</w:t>
      </w:r>
    </w:p>
    <w:p w:rsidR="00336793" w:rsidRPr="006A75A2" w:rsidRDefault="00336793" w:rsidP="00DF0B96">
      <w:r w:rsidRPr="006A75A2">
        <w:t>The disclosure below provides details of the inputs and assumptions used in the current valuation models. Further detailed information has been provided where available. Given that a significant majority of these investments are held via third party pooled investment vehicles, and the State is not privy to the detailed inputs and assumptions used to value the underlying investment assets, the State is not in a position to provide the sensitivity analysis pertaining to the fair value measurement due to changes in unobservable inputs.</w:t>
      </w:r>
    </w:p>
    <w:p w:rsidR="00336793" w:rsidRPr="006A75A2" w:rsidRDefault="00336793" w:rsidP="00DF0B96">
      <w:pPr>
        <w:pStyle w:val="Heading3"/>
      </w:pPr>
      <w:r w:rsidRPr="0014350B">
        <w:t>Equities</w:t>
      </w:r>
    </w:p>
    <w:p w:rsidR="00336793" w:rsidRPr="004C75FC" w:rsidRDefault="00336793" w:rsidP="00DF0B96">
      <w:r w:rsidRPr="004C75FC">
        <w:t>The State</w:t>
      </w:r>
      <w:r>
        <w:t>’</w:t>
      </w:r>
      <w:r w:rsidRPr="004C75FC">
        <w:t>s equity investments comprise Australian and private equity investments. The former are equity investments that are currently on a trading halt or do not have recent trading activity and the latter are externally managed unlisted pooled vehicles and trusts.</w:t>
      </w:r>
    </w:p>
    <w:p w:rsidR="00336793" w:rsidRPr="004C75FC" w:rsidRDefault="00336793" w:rsidP="00DF0B96">
      <w:pPr>
        <w:spacing w:after="0"/>
      </w:pPr>
      <w:r w:rsidRPr="004C75FC">
        <w:t>The valuations of Australian equities are based on the last trading price of the securities. In contrast, private equity investments are based primarily on multiples of earnings, discounted cash flow, market equivalents and other market accepted methodologies. Key inputs and assumptions which are subject to estimation uncertainty include the identification of appropriate comparables, estimated future profits, risk free discount rate, risk premium, estimated future cash flows and future economic and regulatory conditions.</w:t>
      </w:r>
    </w:p>
    <w:p w:rsidR="00336793" w:rsidRPr="004C75FC" w:rsidRDefault="00336793" w:rsidP="00DF0B96">
      <w:pPr>
        <w:pStyle w:val="Heading3"/>
      </w:pPr>
      <w:r w:rsidRPr="004C75FC">
        <w:t xml:space="preserve">Managed </w:t>
      </w:r>
      <w:r w:rsidRPr="0014350B">
        <w:t>investment</w:t>
      </w:r>
      <w:r w:rsidRPr="004C75FC">
        <w:t xml:space="preserve"> schemes</w:t>
      </w:r>
    </w:p>
    <w:p w:rsidR="00336793" w:rsidRPr="004C75FC" w:rsidRDefault="00336793" w:rsidP="00DF0B96">
      <w:r w:rsidRPr="004C75FC">
        <w:t>The State</w:t>
      </w:r>
      <w:r>
        <w:t>’</w:t>
      </w:r>
      <w:r w:rsidRPr="004C75FC">
        <w:t>s managed investment schemes include diversified fixed interest investments, infrastructure, private equity, non</w:t>
      </w:r>
      <w:r>
        <w:noBreakHyphen/>
      </w:r>
      <w:r w:rsidRPr="004C75FC">
        <w:t xml:space="preserve">traditional strategies and property investments. </w:t>
      </w:r>
    </w:p>
    <w:p w:rsidR="00336793" w:rsidRPr="004C75FC" w:rsidRDefault="00336793" w:rsidP="00DF0B96">
      <w:pPr>
        <w:pStyle w:val="Heading4"/>
      </w:pPr>
      <w:r w:rsidRPr="004C75FC">
        <w:t xml:space="preserve">Diversified fixed interest </w:t>
      </w:r>
    </w:p>
    <w:p w:rsidR="00336793" w:rsidRPr="004C75FC" w:rsidRDefault="00336793" w:rsidP="00DF0B96">
      <w:r w:rsidRPr="004C75FC">
        <w:t>Diversified fixed interest investments comprise investments in Government, Government related, corporate and securitised bonds, loans and other debt instruments, primary from Australian issuers but with some limited exposure to international issuers, and fixed interest and currency instruments through externally managed unlisted pooled vehicles and segregated portfolios.</w:t>
      </w:r>
    </w:p>
    <w:p w:rsidR="00336793" w:rsidRPr="004C75FC" w:rsidRDefault="00336793" w:rsidP="00DF0B96">
      <w:r w:rsidRPr="004C75FC">
        <w:t>The valuations of diversified fixed interest investments are based primarily on third party pricing servicers, brokers, market makers and valuation methodologies determined to be appropriate by the fund manager or their independent valuation agent. Such methodologies applied may include discounted cash flow, amortised cost and direct comparison. Key inputs and assumptions which are subject to estimation uncertainty include the appropriate credit spread and other risk premium, risk free discount rate, future cash flows, identification of appropriate comparables and future economic and regulatory conditions.</w:t>
      </w:r>
    </w:p>
    <w:p w:rsidR="00336793" w:rsidRPr="004C75FC" w:rsidRDefault="00336793" w:rsidP="00DF0B96">
      <w:pPr>
        <w:pStyle w:val="Heading4"/>
      </w:pPr>
      <w:r w:rsidRPr="004C75FC">
        <w:t>Infrastructure</w:t>
      </w:r>
    </w:p>
    <w:p w:rsidR="00336793" w:rsidRPr="004C75FC" w:rsidRDefault="00336793" w:rsidP="00DF0B96">
      <w:r w:rsidRPr="004C75FC">
        <w:t>Infrastructure investments comprise both domestic and international exposures to transport, social, energy and other infrastructure assets through unlisted pooled vehicles and unlisted trusts.</w:t>
      </w:r>
    </w:p>
    <w:p w:rsidR="00336793" w:rsidRPr="004C75FC" w:rsidRDefault="00336793" w:rsidP="00DF0B96">
      <w:r w:rsidRPr="004C75FC">
        <w:t>The valuations of unlisted infrastructure investments are based primarily on the discounted cash flow methodology. Key inputs and assumptions which are subject to estimation uncertainty include the choice of risk free discount rates, risk premium, asset utilisation rates, capital expenditure and operating cost forecasts and other estimated future cash flows dependent on the longer term general economic forecasts and the forecast performance of applicable underlying assets.</w:t>
      </w:r>
    </w:p>
    <w:p w:rsidR="00336793" w:rsidRDefault="00336793">
      <w:pPr>
        <w:spacing w:after="0"/>
        <w:rPr>
          <w:rFonts w:ascii="Calibri" w:hAnsi="Calibri"/>
          <w:i/>
          <w:sz w:val="23"/>
        </w:rPr>
      </w:pPr>
      <w:r>
        <w:br w:type="page"/>
      </w:r>
    </w:p>
    <w:p w:rsidR="00336793" w:rsidRPr="006A75A2" w:rsidRDefault="00336793" w:rsidP="00DF0B96">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336793" w:rsidRPr="004C75FC" w:rsidRDefault="00336793" w:rsidP="00DF0B96">
      <w:pPr>
        <w:pStyle w:val="Heading4"/>
      </w:pPr>
      <w:r w:rsidRPr="004C75FC">
        <w:t>Private equity</w:t>
      </w:r>
    </w:p>
    <w:p w:rsidR="00336793" w:rsidRPr="004C75FC" w:rsidRDefault="00336793" w:rsidP="00DF0B96">
      <w:r w:rsidRPr="004C75FC">
        <w:t>Private equity investments comprise both domestic and international exposures to venture capital, buyout, special situations and expansion capital sectors. The investments include externally managed unlisted pooled vehicles and trusts.</w:t>
      </w:r>
    </w:p>
    <w:p w:rsidR="00336793" w:rsidRPr="004C75FC" w:rsidRDefault="00336793" w:rsidP="00DF0B96">
      <w:r w:rsidRPr="004C75FC">
        <w:t xml:space="preserve">The valuation of unlisted private equity investments are based primarily on multiples of earnings, discounted cash flow, market equivalents and other market accepted methodologies. Key inputs and assumptions which are subject to estimation uncertainty include the identification of appropriate comparables, estimated future profits, risk free discount rate, risk premium, estimated future cash flows and future economic and regulatory conditions. </w:t>
      </w:r>
    </w:p>
    <w:p w:rsidR="00336793" w:rsidRPr="004C75FC" w:rsidRDefault="00336793" w:rsidP="00DF0B96">
      <w:pPr>
        <w:pStyle w:val="Heading4"/>
      </w:pPr>
      <w:r w:rsidRPr="004C75FC">
        <w:t>Insurance investments (non</w:t>
      </w:r>
      <w:r>
        <w:noBreakHyphen/>
      </w:r>
      <w:r w:rsidRPr="004C75FC">
        <w:t>traditional strategies)</w:t>
      </w:r>
    </w:p>
    <w:p w:rsidR="00336793" w:rsidRPr="004C75FC" w:rsidRDefault="00336793" w:rsidP="00DF0B96">
      <w:r w:rsidRPr="004C75FC">
        <w:t>Insurance investments include an unlisted trust with exposure to a portfolio of US life insurance policies.</w:t>
      </w:r>
    </w:p>
    <w:p w:rsidR="00336793" w:rsidRPr="004C75FC" w:rsidRDefault="00336793" w:rsidP="00DF0B96">
      <w:r w:rsidRPr="004C75FC">
        <w:t>The valuation of insurance investments is based on the discounted cash flow methodology, with key assumptions of insureds</w:t>
      </w:r>
      <w:r>
        <w:t>’</w:t>
      </w:r>
      <w:r w:rsidRPr="004C75FC">
        <w:t xml:space="preserve"> mortality and premium payments on the valuation date. Other assumptions and interdependencies include the weighted average discount rate of 16.4</w:t>
      </w:r>
      <w:r>
        <w:t> per cent</w:t>
      </w:r>
      <w:r w:rsidRPr="004C75FC">
        <w:t xml:space="preserve"> a year (16.4</w:t>
      </w:r>
      <w:r>
        <w:t> per cent</w:t>
      </w:r>
      <w:r w:rsidRPr="004C75FC">
        <w:t xml:space="preserve"> a year in 2014), life expectancy estimates obtained from qualified providers and expected premium payments based on the back solving premiums optimisation method.</w:t>
      </w:r>
    </w:p>
    <w:p w:rsidR="00336793" w:rsidRPr="005D7472" w:rsidRDefault="00336793" w:rsidP="00DF0B96">
      <w:pPr>
        <w:pStyle w:val="Heading4"/>
      </w:pPr>
      <w:r w:rsidRPr="004C75FC">
        <w:t>Fixed interest investmen</w:t>
      </w:r>
      <w:r>
        <w:t>ts (non</w:t>
      </w:r>
      <w:r>
        <w:noBreakHyphen/>
        <w:t>traditional strategies)</w:t>
      </w:r>
    </w:p>
    <w:p w:rsidR="00336793" w:rsidRPr="004C75FC" w:rsidRDefault="00336793" w:rsidP="00DF0B96">
      <w:r w:rsidRPr="008E592D">
        <w:t>Non</w:t>
      </w:r>
      <w:r>
        <w:noBreakHyphen/>
      </w:r>
      <w:r w:rsidRPr="008E592D">
        <w:t>traditional</w:t>
      </w:r>
      <w:r w:rsidRPr="004C75FC">
        <w:t xml:space="preserve"> fixed interest strategies comprise investments in hedge funds and other non</w:t>
      </w:r>
      <w:r>
        <w:noBreakHyphen/>
      </w:r>
      <w:r w:rsidRPr="004C75FC">
        <w:t>traditional investments that do no</w:t>
      </w:r>
      <w:r>
        <w:t xml:space="preserve">t fit within the definition of </w:t>
      </w:r>
      <w:r w:rsidRPr="004C75FC">
        <w:t xml:space="preserve">other asset classes but which provide diversification benefits to the total portfolio. Investments are made through externally managed unlisted pooled vehicles. </w:t>
      </w:r>
    </w:p>
    <w:p w:rsidR="00336793" w:rsidRPr="006A75A2" w:rsidRDefault="00336793" w:rsidP="00DF0B96">
      <w:pPr>
        <w:rPr>
          <w:rFonts w:asciiTheme="minorHAnsi" w:hAnsiTheme="minorHAnsi" w:cstheme="minorHAnsi"/>
          <w:i/>
          <w:sz w:val="23"/>
          <w:szCs w:val="23"/>
        </w:rPr>
      </w:pPr>
      <w:r w:rsidRPr="004C75FC">
        <w:t>The valuation of fixed interest investments</w:t>
      </w:r>
      <w:r w:rsidRPr="004C75FC">
        <w:rPr>
          <w:rFonts w:asciiTheme="minorHAnsi" w:hAnsiTheme="minorHAnsi" w:cstheme="minorHAnsi"/>
          <w:sz w:val="23"/>
          <w:szCs w:val="23"/>
        </w:rPr>
        <w:t xml:space="preserve"> </w:t>
      </w:r>
      <w:r w:rsidRPr="004C75FC">
        <w:t>are based primarily on prices quoted on an exchange or traded in a dealer market. For less liquid securities, valuation methodologies are set out by each fund manager</w:t>
      </w:r>
      <w:r w:rsidRPr="006A75A2">
        <w:t>. Depending on the investment, the methodologies applied include discounted cash flow, amortised cost, direct comparison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risk free discount rate, future cash flows, identification of appropriate comparables and future economic and regulatory conditions.</w:t>
      </w:r>
    </w:p>
    <w:p w:rsidR="00336793" w:rsidRPr="006A75A2" w:rsidRDefault="00336793" w:rsidP="00DF0B96">
      <w:pPr>
        <w:pStyle w:val="Heading4"/>
      </w:pPr>
      <w:r w:rsidRPr="006A75A2">
        <w:t>Property investments</w:t>
      </w:r>
    </w:p>
    <w:p w:rsidR="00336793" w:rsidRPr="006A75A2" w:rsidRDefault="00336793" w:rsidP="00DF0B96">
      <w:r w:rsidRPr="006A75A2">
        <w:t xml:space="preserve">Property investments comprise externally managed unlisted property trusts with exposure to domestic and international commercial, industrial, retail and development property market. </w:t>
      </w:r>
    </w:p>
    <w:p w:rsidR="00336793" w:rsidRDefault="00336793" w:rsidP="00DF0B96">
      <w:r w:rsidRPr="006A75A2">
        <w:t>The valuations of unlisted property investments are primarily based on discounted cash flow, capitalisation and direct comparison methodologies. Assumptions which may be subject to estimation uncertainty would include the identification of appropriate comparables, estimated future profits, risk free rate, risk premium, estimated future cash flows and future economic and regulatory conditions.</w:t>
      </w:r>
    </w:p>
    <w:p w:rsidR="00336793" w:rsidRPr="006A75A2" w:rsidRDefault="00336793" w:rsidP="00DF0B96"/>
    <w:p w:rsidR="00336793" w:rsidRDefault="00336793">
      <w:pPr>
        <w:spacing w:after="0"/>
        <w:rPr>
          <w:rFonts w:ascii="Calibri" w:hAnsi="Calibri"/>
          <w:b/>
        </w:rPr>
      </w:pPr>
      <w:r>
        <w:br w:type="page"/>
      </w:r>
    </w:p>
    <w:p w:rsidR="00336793" w:rsidRDefault="00336793" w:rsidP="00DF0B96">
      <w:pPr>
        <w:pStyle w:val="Heading2NotesContd"/>
        <w:rPr>
          <w:i/>
        </w:rPr>
      </w:pPr>
      <w:r w:rsidRPr="006A75A2">
        <w:lastRenderedPageBreak/>
        <w:t>Note 33:</w:t>
      </w:r>
      <w:r w:rsidRPr="006A75A2">
        <w:tab/>
        <w:t xml:space="preserve">Financial instruments </w:t>
      </w:r>
      <w:r w:rsidRPr="006A75A2">
        <w:rPr>
          <w:i/>
        </w:rPr>
        <w:t>(continued)</w:t>
      </w:r>
    </w:p>
    <w:p w:rsidR="00336793" w:rsidRPr="006A75A2" w:rsidRDefault="00336793" w:rsidP="00DF0B96">
      <w:pPr>
        <w:pStyle w:val="Heading5"/>
      </w:pPr>
      <w:r w:rsidRPr="006A75A2">
        <w:t>(n)</w:t>
      </w:r>
      <w:r w:rsidRPr="006A75A2">
        <w:tab/>
        <w:t>Master netting or similar arrangements</w:t>
      </w:r>
    </w:p>
    <w:p w:rsidR="00336793" w:rsidRDefault="00336793" w:rsidP="00DF0B96">
      <w:r>
        <w:t xml:space="preserve">Certain financial assets and financial liabilities are presented on a net basis in the Statement of Financial Position (see Note 1(K) </w:t>
      </w:r>
      <w:r w:rsidRPr="00CE241B">
        <w:rPr>
          <w:i/>
        </w:rPr>
        <w:t>Financial instruments</w:t>
      </w:r>
      <w:r>
        <w:t>).</w:t>
      </w:r>
    </w:p>
    <w:p w:rsidR="00336793" w:rsidRDefault="00336793" w:rsidP="00DF0B96">
      <w:r>
        <w:t xml:space="preserve">The following tables provide information on the impact of offsetting on the Statement of Financial Position, as well as the financial impact of netting for instruments subject to an enforceable master netting arrangement, as well as available cash and financial instrument collateral. </w:t>
      </w:r>
    </w:p>
    <w:p w:rsidR="00336793" w:rsidRDefault="00336793" w:rsidP="00DF0B96">
      <w:r>
        <w:t xml:space="preserve">In line with general market practice, the State of Victoria has entered into arrangements that do not meet criteria for offsetting in a normal course of business, but allow for the relevant amounts to be set off in certain circumstances, such as bankruptcy, default or insolvency. </w:t>
      </w:r>
    </w:p>
    <w:p w:rsidR="00336793" w:rsidRDefault="00336793" w:rsidP="00DF0B96">
      <w:r>
        <w:t>The effect of these arrangements is reflected in the column ‘related amounts not offset’.</w:t>
      </w:r>
    </w:p>
    <w:p w:rsidR="00336793" w:rsidRDefault="00336793" w:rsidP="00DF0B96">
      <w:r>
        <w:t>The column ‘Net amount’ shows the impact on State of Victoria balance sheet if all existing rights of offset were exercised.</w:t>
      </w:r>
    </w:p>
    <w:p w:rsidR="00336793" w:rsidRPr="00A10A3B"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3257"/>
        <w:gridCol w:w="270"/>
        <w:gridCol w:w="270"/>
        <w:gridCol w:w="423"/>
        <w:gridCol w:w="1665"/>
        <w:gridCol w:w="1764"/>
        <w:gridCol w:w="1026"/>
        <w:gridCol w:w="432"/>
        <w:gridCol w:w="270"/>
        <w:gridCol w:w="260"/>
      </w:tblGrid>
      <w:tr w:rsidR="00336793" w:rsidRPr="00A10A3B" w:rsidTr="00DF0B96">
        <w:trPr>
          <w:tblHeader/>
        </w:trPr>
        <w:tc>
          <w:tcPr>
            <w:tcW w:w="32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sz w:val="21"/>
                <w:lang w:eastAsia="en-AU"/>
              </w:rPr>
            </w:pPr>
            <w:r w:rsidRPr="00A10A3B">
              <w:rPr>
                <w:rFonts w:eastAsiaTheme="minorEastAsia"/>
                <w:i/>
                <w:sz w:val="21"/>
                <w:lang w:eastAsia="en-AU"/>
              </w:rPr>
              <w:t xml:space="preserve"> </w:t>
            </w:r>
          </w:p>
        </w:tc>
        <w:tc>
          <w:tcPr>
            <w:tcW w:w="270" w:type="dxa"/>
            <w:tcBorders>
              <w:top w:val="single" w:sz="6" w:space="0" w:color="auto"/>
              <w:left w:val="nil"/>
              <w:bottom w:val="single" w:sz="6" w:space="0" w:color="FFFFFF" w:themeColor="background1"/>
              <w:right w:val="nil"/>
            </w:tcBorders>
            <w:shd w:val="clear" w:color="000000" w:fill="000000"/>
            <w:vAlign w:val="bottom"/>
          </w:tcPr>
          <w:p w:rsidR="00336793" w:rsidRPr="00A10A3B" w:rsidRDefault="00336793" w:rsidP="00DF0B96">
            <w:pPr>
              <w:pStyle w:val="TabletextheadingCentred"/>
              <w:rPr>
                <w:sz w:val="21"/>
              </w:rPr>
            </w:pPr>
            <w:r w:rsidRPr="00A10A3B">
              <w:rPr>
                <w:sz w:val="21"/>
              </w:rPr>
              <w:t xml:space="preserve">  </w:t>
            </w:r>
          </w:p>
        </w:tc>
        <w:tc>
          <w:tcPr>
            <w:tcW w:w="270" w:type="dxa"/>
            <w:tcBorders>
              <w:top w:val="single" w:sz="6" w:space="0" w:color="auto"/>
              <w:left w:val="nil"/>
              <w:bottom w:val="single" w:sz="6" w:space="0" w:color="FFFFFF" w:themeColor="background1"/>
              <w:right w:val="nil"/>
            </w:tcBorders>
            <w:shd w:val="clear" w:color="000000" w:fill="000000"/>
            <w:vAlign w:val="bottom"/>
          </w:tcPr>
          <w:p w:rsidR="00336793" w:rsidRPr="00A10A3B" w:rsidRDefault="00336793" w:rsidP="00DF0B96">
            <w:pPr>
              <w:pStyle w:val="TabletextheadingCentred"/>
              <w:rPr>
                <w:sz w:val="21"/>
              </w:rPr>
            </w:pPr>
            <w:r w:rsidRPr="00A10A3B">
              <w:rPr>
                <w:sz w:val="21"/>
              </w:rPr>
              <w:t xml:space="preserve"> </w:t>
            </w:r>
          </w:p>
        </w:tc>
        <w:tc>
          <w:tcPr>
            <w:tcW w:w="5310" w:type="dxa"/>
            <w:gridSpan w:val="5"/>
            <w:tcBorders>
              <w:top w:val="single" w:sz="6" w:space="0" w:color="auto"/>
              <w:left w:val="nil"/>
              <w:bottom w:val="single" w:sz="6" w:space="0" w:color="FFFFFF" w:themeColor="background1"/>
              <w:right w:val="nil"/>
            </w:tcBorders>
            <w:shd w:val="clear" w:color="000000" w:fill="000000"/>
            <w:vAlign w:val="bottom"/>
          </w:tcPr>
          <w:p w:rsidR="00336793" w:rsidRPr="00A10A3B" w:rsidRDefault="00336793" w:rsidP="00DF0B96">
            <w:pPr>
              <w:pStyle w:val="TabletextheadingCentred"/>
              <w:rPr>
                <w:rFonts w:eastAsiaTheme="minorEastAsia" w:cs="Calibri"/>
                <w:color w:val="FFFFFF"/>
                <w:sz w:val="21"/>
                <w:szCs w:val="22"/>
                <w:lang w:eastAsia="en-AU"/>
              </w:rPr>
            </w:pPr>
            <w:r w:rsidRPr="00A10A3B">
              <w:rPr>
                <w:sz w:val="21"/>
              </w:rPr>
              <w:t xml:space="preserve">Effects </w:t>
            </w:r>
            <w:r w:rsidRPr="00A10A3B">
              <w:rPr>
                <w:rFonts w:eastAsiaTheme="minorEastAsia" w:cs="Calibri"/>
                <w:color w:val="FFFFFF"/>
                <w:sz w:val="21"/>
                <w:szCs w:val="22"/>
                <w:lang w:eastAsia="en-AU"/>
              </w:rPr>
              <w:t>of offsetting on the statement of financial position</w:t>
            </w:r>
          </w:p>
        </w:tc>
        <w:tc>
          <w:tcPr>
            <w:tcW w:w="270" w:type="dxa"/>
            <w:tcBorders>
              <w:top w:val="single" w:sz="6" w:space="0" w:color="auto"/>
              <w:left w:val="nil"/>
              <w:bottom w:val="single" w:sz="6" w:space="0" w:color="FFFFFF" w:themeColor="background1"/>
              <w:right w:val="nil"/>
            </w:tcBorders>
            <w:shd w:val="clear" w:color="000000" w:fill="000000"/>
            <w:vAlign w:val="bottom"/>
          </w:tcPr>
          <w:p w:rsidR="00336793" w:rsidRPr="00A10A3B" w:rsidRDefault="00336793" w:rsidP="00DF0B96">
            <w:pPr>
              <w:pStyle w:val="TabletextheadingCentred"/>
              <w:rPr>
                <w:sz w:val="21"/>
              </w:rPr>
            </w:pPr>
            <w:r w:rsidRPr="00A10A3B">
              <w:rPr>
                <w:sz w:val="21"/>
              </w:rPr>
              <w:t xml:space="preserve"> </w:t>
            </w:r>
          </w:p>
        </w:tc>
        <w:tc>
          <w:tcPr>
            <w:tcW w:w="260" w:type="dxa"/>
            <w:tcBorders>
              <w:top w:val="single" w:sz="6" w:space="0" w:color="auto"/>
              <w:left w:val="nil"/>
              <w:bottom w:val="single" w:sz="6" w:space="0" w:color="FFFFFF" w:themeColor="background1"/>
              <w:right w:val="single" w:sz="6" w:space="0" w:color="auto"/>
            </w:tcBorders>
            <w:shd w:val="clear" w:color="000000" w:fill="000000"/>
            <w:vAlign w:val="bottom"/>
          </w:tcPr>
          <w:p w:rsidR="00336793" w:rsidRPr="00A10A3B" w:rsidRDefault="00336793" w:rsidP="00DF0B96">
            <w:pPr>
              <w:pStyle w:val="TabletextheadingCentred"/>
              <w:rPr>
                <w:sz w:val="21"/>
              </w:rPr>
            </w:pPr>
            <w:r w:rsidRPr="00A10A3B">
              <w:rPr>
                <w:sz w:val="21"/>
              </w:rPr>
              <w:t xml:space="preserve"> </w:t>
            </w:r>
          </w:p>
        </w:tc>
      </w:tr>
      <w:tr w:rsidR="00336793" w:rsidRPr="00A10A3B" w:rsidTr="00DF0B96">
        <w:trPr>
          <w:tblHeader/>
        </w:trPr>
        <w:tc>
          <w:tcPr>
            <w:tcW w:w="3257" w:type="dxa"/>
            <w:tcBorders>
              <w:top w:val="nil"/>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b/>
                <w:bCs/>
                <w:i/>
                <w:sz w:val="21"/>
                <w:lang w:eastAsia="en-AU"/>
              </w:rPr>
            </w:pPr>
          </w:p>
          <w:p w:rsidR="00336793" w:rsidRPr="00A10A3B" w:rsidRDefault="00336793" w:rsidP="00DF0B96">
            <w:pPr>
              <w:pStyle w:val="TabletextheadingLeft"/>
              <w:rPr>
                <w:rFonts w:eastAsiaTheme="minorEastAsia"/>
                <w:sz w:val="21"/>
                <w:lang w:eastAsia="en-AU"/>
              </w:rPr>
            </w:pPr>
            <w:r w:rsidRPr="00A10A3B">
              <w:rPr>
                <w:rFonts w:eastAsiaTheme="minorEastAsia"/>
                <w:sz w:val="21"/>
                <w:lang w:eastAsia="en-AU"/>
              </w:rPr>
              <w:t xml:space="preserve">State of Victoria </w:t>
            </w:r>
          </w:p>
        </w:tc>
        <w:tc>
          <w:tcPr>
            <w:tcW w:w="963" w:type="dxa"/>
            <w:gridSpan w:val="3"/>
            <w:tcBorders>
              <w:top w:val="single" w:sz="6" w:space="0" w:color="FFFFFF" w:themeColor="background1"/>
              <w:left w:val="nil"/>
              <w:bottom w:val="nil"/>
              <w:right w:val="nil"/>
            </w:tcBorders>
            <w:shd w:val="clear" w:color="000000" w:fill="000000"/>
            <w:vAlign w:val="bottom"/>
          </w:tcPr>
          <w:p w:rsidR="00336793" w:rsidRPr="00A10A3B" w:rsidRDefault="00336793" w:rsidP="00DF0B96">
            <w:pPr>
              <w:pStyle w:val="Tabletextheading"/>
              <w:rPr>
                <w:sz w:val="21"/>
              </w:rPr>
            </w:pPr>
            <w:r w:rsidRPr="00A10A3B">
              <w:rPr>
                <w:sz w:val="21"/>
              </w:rPr>
              <w:t xml:space="preserve">Gross amounts </w:t>
            </w:r>
          </w:p>
        </w:tc>
        <w:tc>
          <w:tcPr>
            <w:tcW w:w="1665" w:type="dxa"/>
            <w:tcBorders>
              <w:top w:val="single" w:sz="6" w:space="0" w:color="FFFFFF" w:themeColor="background1"/>
              <w:left w:val="nil"/>
              <w:bottom w:val="nil"/>
              <w:right w:val="nil"/>
            </w:tcBorders>
            <w:shd w:val="clear" w:color="000000" w:fill="000000"/>
            <w:vAlign w:val="bottom"/>
          </w:tcPr>
          <w:p w:rsidR="00336793" w:rsidRPr="00A10A3B" w:rsidRDefault="00336793" w:rsidP="00DF0B96">
            <w:pPr>
              <w:pStyle w:val="Tabletextheading"/>
              <w:rPr>
                <w:sz w:val="21"/>
              </w:rPr>
            </w:pPr>
            <w:r w:rsidRPr="00A10A3B">
              <w:rPr>
                <w:sz w:val="21"/>
              </w:rPr>
              <w:t>Gross amounts set off in the consolidated balance sheet</w:t>
            </w:r>
          </w:p>
        </w:tc>
        <w:tc>
          <w:tcPr>
            <w:tcW w:w="1764" w:type="dxa"/>
            <w:tcBorders>
              <w:top w:val="single" w:sz="6" w:space="0" w:color="FFFFFF" w:themeColor="background1"/>
              <w:left w:val="nil"/>
              <w:bottom w:val="nil"/>
              <w:right w:val="nil"/>
            </w:tcBorders>
            <w:shd w:val="clear" w:color="000000" w:fill="000000"/>
            <w:vAlign w:val="bottom"/>
          </w:tcPr>
          <w:p w:rsidR="00336793" w:rsidRPr="00A10A3B" w:rsidRDefault="00336793" w:rsidP="00DF0B96">
            <w:pPr>
              <w:pStyle w:val="Tabletextheading"/>
              <w:rPr>
                <w:sz w:val="21"/>
              </w:rPr>
            </w:pPr>
            <w:r w:rsidRPr="00A10A3B">
              <w:rPr>
                <w:sz w:val="21"/>
              </w:rPr>
              <w:t>Net amounts presented in the consolidated balance sheet</w:t>
            </w:r>
          </w:p>
        </w:tc>
        <w:tc>
          <w:tcPr>
            <w:tcW w:w="1026" w:type="dxa"/>
            <w:tcBorders>
              <w:top w:val="single" w:sz="6" w:space="0" w:color="FFFFFF" w:themeColor="background1"/>
              <w:left w:val="nil"/>
              <w:bottom w:val="nil"/>
              <w:right w:val="nil"/>
            </w:tcBorders>
            <w:shd w:val="clear" w:color="000000" w:fill="000000"/>
            <w:vAlign w:val="bottom"/>
          </w:tcPr>
          <w:p w:rsidR="00336793" w:rsidRPr="00A10A3B" w:rsidRDefault="00336793" w:rsidP="00DF0B96">
            <w:pPr>
              <w:pStyle w:val="Tabletextheading"/>
              <w:rPr>
                <w:sz w:val="21"/>
              </w:rPr>
            </w:pPr>
            <w:r w:rsidRPr="00A10A3B">
              <w:rPr>
                <w:sz w:val="21"/>
              </w:rPr>
              <w:t>Related amounts not offset</w:t>
            </w:r>
          </w:p>
        </w:tc>
        <w:tc>
          <w:tcPr>
            <w:tcW w:w="962" w:type="dxa"/>
            <w:gridSpan w:val="3"/>
            <w:tcBorders>
              <w:top w:val="single" w:sz="6" w:space="0" w:color="FFFFFF" w:themeColor="background1"/>
              <w:left w:val="nil"/>
              <w:bottom w:val="nil"/>
              <w:right w:val="single" w:sz="6" w:space="0" w:color="auto"/>
            </w:tcBorders>
            <w:shd w:val="clear" w:color="000000" w:fill="000000"/>
            <w:vAlign w:val="bottom"/>
          </w:tcPr>
          <w:p w:rsidR="00336793" w:rsidRPr="00A10A3B" w:rsidRDefault="00336793" w:rsidP="00DF0B96">
            <w:pPr>
              <w:pStyle w:val="Tabletextheading"/>
              <w:rPr>
                <w:sz w:val="21"/>
              </w:rPr>
            </w:pPr>
            <w:r w:rsidRPr="00A10A3B">
              <w:rPr>
                <w:sz w:val="21"/>
              </w:rPr>
              <w:t>Net amount</w:t>
            </w:r>
          </w:p>
        </w:tc>
      </w:tr>
      <w:tr w:rsidR="00336793" w:rsidRPr="00A10A3B" w:rsidTr="00DF0B96">
        <w:trPr>
          <w:tblHeader/>
        </w:trPr>
        <w:tc>
          <w:tcPr>
            <w:tcW w:w="32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sz w:val="21"/>
                <w:lang w:eastAsia="en-AU"/>
              </w:rPr>
            </w:pPr>
            <w:r w:rsidRPr="00A10A3B">
              <w:rPr>
                <w:rFonts w:eastAsiaTheme="minorEastAsia"/>
                <w:i/>
                <w:sz w:val="21"/>
                <w:lang w:eastAsia="en-AU"/>
              </w:rPr>
              <w:t>2015</w:t>
            </w:r>
          </w:p>
        </w:tc>
        <w:tc>
          <w:tcPr>
            <w:tcW w:w="963" w:type="dxa"/>
            <w:gridSpan w:val="3"/>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w:t>
            </w:r>
          </w:p>
        </w:tc>
        <w:tc>
          <w:tcPr>
            <w:tcW w:w="1665"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w:t>
            </w:r>
          </w:p>
        </w:tc>
        <w:tc>
          <w:tcPr>
            <w:tcW w:w="1764"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w:t>
            </w:r>
          </w:p>
        </w:tc>
        <w:tc>
          <w:tcPr>
            <w:tcW w:w="1026"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w:t>
            </w:r>
          </w:p>
        </w:tc>
        <w:tc>
          <w:tcPr>
            <w:tcW w:w="962" w:type="dxa"/>
            <w:gridSpan w:val="3"/>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w:t>
            </w:r>
          </w:p>
        </w:tc>
      </w:tr>
      <w:tr w:rsidR="00336793" w:rsidRPr="00A10A3B" w:rsidTr="00DF0B96">
        <w:tc>
          <w:tcPr>
            <w:tcW w:w="3257" w:type="dxa"/>
            <w:tcBorders>
              <w:top w:val="single" w:sz="6" w:space="0" w:color="auto"/>
              <w:left w:val="nil"/>
              <w:bottom w:val="nil"/>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Financial assets</w:t>
            </w:r>
          </w:p>
        </w:tc>
        <w:tc>
          <w:tcPr>
            <w:tcW w:w="963" w:type="dxa"/>
            <w:gridSpan w:val="3"/>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665" w:type="dxa"/>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764" w:type="dxa"/>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026" w:type="dxa"/>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962" w:type="dxa"/>
            <w:gridSpan w:val="3"/>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325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 xml:space="preserve">Cash and cash equivalents </w:t>
            </w:r>
          </w:p>
        </w:tc>
        <w:tc>
          <w:tcPr>
            <w:tcW w:w="963"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6 521.1</w:t>
            </w:r>
          </w:p>
        </w:tc>
        <w:tc>
          <w:tcPr>
            <w:tcW w:w="1665"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764"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6 521.1</w:t>
            </w:r>
          </w:p>
        </w:tc>
        <w:tc>
          <w:tcPr>
            <w:tcW w:w="1026"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962"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6 521.1</w:t>
            </w:r>
          </w:p>
        </w:tc>
      </w:tr>
      <w:tr w:rsidR="00336793" w:rsidRPr="00A10A3B" w:rsidTr="00DF0B96">
        <w:tc>
          <w:tcPr>
            <w:tcW w:w="325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Derivative financial instruments</w:t>
            </w:r>
          </w:p>
        </w:tc>
        <w:tc>
          <w:tcPr>
            <w:tcW w:w="963"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2 741.9</w:t>
            </w:r>
          </w:p>
        </w:tc>
        <w:tc>
          <w:tcPr>
            <w:tcW w:w="1665"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(2 087.0)</w:t>
            </w:r>
          </w:p>
        </w:tc>
        <w:tc>
          <w:tcPr>
            <w:tcW w:w="1764"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654.9</w:t>
            </w:r>
          </w:p>
        </w:tc>
        <w:tc>
          <w:tcPr>
            <w:tcW w:w="1026"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439.4)</w:t>
            </w:r>
          </w:p>
        </w:tc>
        <w:tc>
          <w:tcPr>
            <w:tcW w:w="962"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215.5</w:t>
            </w:r>
          </w:p>
        </w:tc>
      </w:tr>
      <w:tr w:rsidR="00336793" w:rsidRPr="00A10A3B" w:rsidTr="00DF0B96">
        <w:tc>
          <w:tcPr>
            <w:tcW w:w="3257" w:type="dxa"/>
            <w:tcBorders>
              <w:top w:val="nil"/>
              <w:left w:val="nil"/>
              <w:bottom w:val="nil"/>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 xml:space="preserve">Financial liabilities </w:t>
            </w:r>
          </w:p>
        </w:tc>
        <w:tc>
          <w:tcPr>
            <w:tcW w:w="963" w:type="dxa"/>
            <w:gridSpan w:val="3"/>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665" w:type="dxa"/>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764" w:type="dxa"/>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026" w:type="dxa"/>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962" w:type="dxa"/>
            <w:gridSpan w:val="3"/>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3257" w:type="dxa"/>
            <w:tcBorders>
              <w:top w:val="nil"/>
              <w:left w:val="nil"/>
              <w:bottom w:val="single" w:sz="12" w:space="0" w:color="auto"/>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Derivative financial instruments</w:t>
            </w:r>
          </w:p>
        </w:tc>
        <w:tc>
          <w:tcPr>
            <w:tcW w:w="963" w:type="dxa"/>
            <w:gridSpan w:val="3"/>
            <w:tcBorders>
              <w:top w:val="nil"/>
              <w:left w:val="nil"/>
              <w:bottom w:val="single" w:sz="12"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2 934.7</w:t>
            </w:r>
          </w:p>
        </w:tc>
        <w:tc>
          <w:tcPr>
            <w:tcW w:w="1665" w:type="dxa"/>
            <w:tcBorders>
              <w:top w:val="nil"/>
              <w:left w:val="nil"/>
              <w:bottom w:val="single" w:sz="12"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(2 087.0)</w:t>
            </w:r>
          </w:p>
        </w:tc>
        <w:tc>
          <w:tcPr>
            <w:tcW w:w="1764" w:type="dxa"/>
            <w:tcBorders>
              <w:top w:val="nil"/>
              <w:left w:val="nil"/>
              <w:bottom w:val="single" w:sz="12"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847.7</w:t>
            </w:r>
          </w:p>
        </w:tc>
        <w:tc>
          <w:tcPr>
            <w:tcW w:w="1026" w:type="dxa"/>
            <w:tcBorders>
              <w:top w:val="nil"/>
              <w:left w:val="nil"/>
              <w:bottom w:val="single" w:sz="12" w:space="0" w:color="auto"/>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582.5)</w:t>
            </w:r>
          </w:p>
        </w:tc>
        <w:tc>
          <w:tcPr>
            <w:tcW w:w="962" w:type="dxa"/>
            <w:gridSpan w:val="3"/>
            <w:tcBorders>
              <w:top w:val="nil"/>
              <w:left w:val="nil"/>
              <w:bottom w:val="single" w:sz="12"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265.2</w:t>
            </w:r>
          </w:p>
        </w:tc>
      </w:tr>
      <w:tr w:rsidR="00336793" w:rsidRPr="00A10A3B" w:rsidTr="00DF0B96">
        <w:trPr>
          <w:trHeight w:hRule="exact" w:val="120"/>
        </w:trPr>
        <w:tc>
          <w:tcPr>
            <w:tcW w:w="3257" w:type="dxa"/>
            <w:tcBorders>
              <w:top w:val="nil"/>
              <w:left w:val="nil"/>
              <w:bottom w:val="single" w:sz="6" w:space="0" w:color="auto"/>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 xml:space="preserve"> </w:t>
            </w:r>
          </w:p>
        </w:tc>
        <w:tc>
          <w:tcPr>
            <w:tcW w:w="963" w:type="dxa"/>
            <w:gridSpan w:val="3"/>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c>
          <w:tcPr>
            <w:tcW w:w="1665" w:type="dxa"/>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c>
          <w:tcPr>
            <w:tcW w:w="1764" w:type="dxa"/>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c>
          <w:tcPr>
            <w:tcW w:w="1026" w:type="dxa"/>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c>
          <w:tcPr>
            <w:tcW w:w="962" w:type="dxa"/>
            <w:gridSpan w:val="3"/>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r>
      <w:tr w:rsidR="00336793" w:rsidRPr="00A10A3B" w:rsidTr="00DF0B96">
        <w:tc>
          <w:tcPr>
            <w:tcW w:w="3257" w:type="dxa"/>
            <w:tcBorders>
              <w:top w:val="single" w:sz="6" w:space="0" w:color="auto"/>
              <w:left w:val="single" w:sz="6" w:space="0" w:color="auto"/>
              <w:bottom w:val="single" w:sz="6" w:space="0" w:color="auto"/>
              <w:right w:val="nil"/>
            </w:tcBorders>
            <w:shd w:val="solid" w:color="000000" w:fill="auto"/>
          </w:tcPr>
          <w:p w:rsidR="00336793" w:rsidRPr="00A10A3B" w:rsidRDefault="00336793" w:rsidP="00DF0B96">
            <w:pPr>
              <w:pStyle w:val="Tabletext"/>
              <w:rPr>
                <w:rFonts w:eastAsiaTheme="minorEastAsia"/>
                <w:i/>
                <w:sz w:val="21"/>
                <w:lang w:eastAsia="en-AU"/>
              </w:rPr>
            </w:pPr>
            <w:r w:rsidRPr="00A10A3B">
              <w:rPr>
                <w:rFonts w:eastAsiaTheme="minorEastAsia"/>
                <w:i/>
                <w:sz w:val="21"/>
                <w:lang w:eastAsia="en-AU"/>
              </w:rPr>
              <w:t>2014</w:t>
            </w:r>
          </w:p>
        </w:tc>
        <w:tc>
          <w:tcPr>
            <w:tcW w:w="963" w:type="dxa"/>
            <w:gridSpan w:val="3"/>
            <w:tcBorders>
              <w:top w:val="single" w:sz="6" w:space="0" w:color="auto"/>
              <w:left w:val="nil"/>
              <w:bottom w:val="single" w:sz="6" w:space="0" w:color="auto"/>
              <w:right w:val="nil"/>
            </w:tcBorders>
            <w:shd w:val="solid" w:color="000000" w:fill="auto"/>
          </w:tcPr>
          <w:p w:rsidR="00336793" w:rsidRPr="00A10A3B" w:rsidRDefault="00336793" w:rsidP="00DF0B96">
            <w:pPr>
              <w:pStyle w:val="TableofFigures"/>
              <w:rPr>
                <w:rFonts w:eastAsiaTheme="minorEastAsia"/>
                <w:i/>
                <w:sz w:val="21"/>
                <w:lang w:eastAsia="en-AU"/>
              </w:rPr>
            </w:pPr>
            <w:r w:rsidRPr="00A10A3B">
              <w:rPr>
                <w:rFonts w:eastAsiaTheme="minorEastAsia"/>
                <w:i/>
                <w:sz w:val="21"/>
                <w:lang w:eastAsia="en-AU"/>
              </w:rPr>
              <w:t xml:space="preserve"> </w:t>
            </w:r>
          </w:p>
        </w:tc>
        <w:tc>
          <w:tcPr>
            <w:tcW w:w="1665" w:type="dxa"/>
            <w:tcBorders>
              <w:top w:val="single" w:sz="6" w:space="0" w:color="auto"/>
              <w:left w:val="nil"/>
              <w:bottom w:val="single" w:sz="6" w:space="0" w:color="auto"/>
              <w:right w:val="nil"/>
            </w:tcBorders>
            <w:shd w:val="solid" w:color="000000" w:fill="auto"/>
          </w:tcPr>
          <w:p w:rsidR="00336793" w:rsidRPr="00A10A3B" w:rsidRDefault="00336793" w:rsidP="00DF0B96">
            <w:pPr>
              <w:pStyle w:val="TableofFigures"/>
              <w:rPr>
                <w:rFonts w:eastAsiaTheme="minorEastAsia"/>
                <w:i/>
                <w:sz w:val="21"/>
                <w:lang w:eastAsia="en-AU"/>
              </w:rPr>
            </w:pPr>
            <w:r w:rsidRPr="00A10A3B">
              <w:rPr>
                <w:rFonts w:eastAsiaTheme="minorEastAsia"/>
                <w:i/>
                <w:sz w:val="21"/>
                <w:lang w:eastAsia="en-AU"/>
              </w:rPr>
              <w:t xml:space="preserve"> </w:t>
            </w:r>
          </w:p>
        </w:tc>
        <w:tc>
          <w:tcPr>
            <w:tcW w:w="1764" w:type="dxa"/>
            <w:tcBorders>
              <w:top w:val="single" w:sz="6" w:space="0" w:color="auto"/>
              <w:left w:val="nil"/>
              <w:bottom w:val="single" w:sz="6" w:space="0" w:color="auto"/>
              <w:right w:val="nil"/>
            </w:tcBorders>
            <w:shd w:val="solid" w:color="000000" w:fill="auto"/>
          </w:tcPr>
          <w:p w:rsidR="00336793" w:rsidRPr="00A10A3B" w:rsidRDefault="00336793" w:rsidP="00DF0B96">
            <w:pPr>
              <w:pStyle w:val="TableofFigures"/>
              <w:rPr>
                <w:rFonts w:eastAsiaTheme="minorEastAsia"/>
                <w:i/>
                <w:sz w:val="21"/>
                <w:lang w:eastAsia="en-AU"/>
              </w:rPr>
            </w:pPr>
            <w:r w:rsidRPr="00A10A3B">
              <w:rPr>
                <w:rFonts w:eastAsiaTheme="minorEastAsia"/>
                <w:i/>
                <w:sz w:val="21"/>
                <w:lang w:eastAsia="en-AU"/>
              </w:rPr>
              <w:t xml:space="preserve"> </w:t>
            </w:r>
          </w:p>
        </w:tc>
        <w:tc>
          <w:tcPr>
            <w:tcW w:w="1026" w:type="dxa"/>
            <w:tcBorders>
              <w:top w:val="single" w:sz="6" w:space="0" w:color="auto"/>
              <w:left w:val="nil"/>
              <w:bottom w:val="single" w:sz="6" w:space="0" w:color="auto"/>
              <w:right w:val="nil"/>
            </w:tcBorders>
            <w:shd w:val="solid" w:color="000000" w:fill="auto"/>
          </w:tcPr>
          <w:p w:rsidR="00336793" w:rsidRPr="00A10A3B" w:rsidRDefault="00336793" w:rsidP="00DF0B96">
            <w:pPr>
              <w:pStyle w:val="TableofFigures"/>
              <w:rPr>
                <w:rFonts w:eastAsiaTheme="minorEastAsia"/>
                <w:i/>
                <w:sz w:val="21"/>
                <w:lang w:eastAsia="en-AU"/>
              </w:rPr>
            </w:pPr>
            <w:r w:rsidRPr="00A10A3B">
              <w:rPr>
                <w:rFonts w:eastAsiaTheme="minorEastAsia"/>
                <w:i/>
                <w:sz w:val="21"/>
                <w:lang w:eastAsia="en-AU"/>
              </w:rPr>
              <w:t xml:space="preserve"> </w:t>
            </w:r>
          </w:p>
        </w:tc>
        <w:tc>
          <w:tcPr>
            <w:tcW w:w="962" w:type="dxa"/>
            <w:gridSpan w:val="3"/>
            <w:tcBorders>
              <w:top w:val="single" w:sz="6" w:space="0" w:color="auto"/>
              <w:left w:val="nil"/>
              <w:bottom w:val="single" w:sz="6" w:space="0" w:color="auto"/>
              <w:right w:val="single" w:sz="6" w:space="0" w:color="auto"/>
            </w:tcBorders>
            <w:shd w:val="solid" w:color="000000" w:fill="auto"/>
          </w:tcPr>
          <w:p w:rsidR="00336793" w:rsidRPr="00A10A3B" w:rsidRDefault="00336793" w:rsidP="00DF0B96">
            <w:pPr>
              <w:pStyle w:val="TableofFigures"/>
              <w:rPr>
                <w:rFonts w:eastAsiaTheme="minorEastAsia"/>
                <w:i/>
                <w:sz w:val="21"/>
                <w:lang w:eastAsia="en-AU"/>
              </w:rPr>
            </w:pPr>
            <w:r w:rsidRPr="00A10A3B">
              <w:rPr>
                <w:rFonts w:eastAsiaTheme="minorEastAsia"/>
                <w:i/>
                <w:sz w:val="21"/>
                <w:lang w:eastAsia="en-AU"/>
              </w:rPr>
              <w:t xml:space="preserve"> </w:t>
            </w:r>
          </w:p>
        </w:tc>
      </w:tr>
      <w:tr w:rsidR="00336793" w:rsidRPr="00A10A3B" w:rsidTr="00DF0B96">
        <w:tc>
          <w:tcPr>
            <w:tcW w:w="3257" w:type="dxa"/>
            <w:tcBorders>
              <w:top w:val="single" w:sz="6" w:space="0" w:color="auto"/>
              <w:left w:val="nil"/>
              <w:bottom w:val="nil"/>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Financial assets</w:t>
            </w:r>
          </w:p>
        </w:tc>
        <w:tc>
          <w:tcPr>
            <w:tcW w:w="963" w:type="dxa"/>
            <w:gridSpan w:val="3"/>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665" w:type="dxa"/>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764" w:type="dxa"/>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026" w:type="dxa"/>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962" w:type="dxa"/>
            <w:gridSpan w:val="3"/>
            <w:tcBorders>
              <w:top w:val="single" w:sz="6" w:space="0" w:color="auto"/>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3257"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 xml:space="preserve">Cash and cash equivalents </w:t>
            </w:r>
          </w:p>
        </w:tc>
        <w:tc>
          <w:tcPr>
            <w:tcW w:w="963"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8 282.0</w:t>
            </w:r>
          </w:p>
        </w:tc>
        <w:tc>
          <w:tcPr>
            <w:tcW w:w="1665"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764"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8 282.0</w:t>
            </w:r>
          </w:p>
        </w:tc>
        <w:tc>
          <w:tcPr>
            <w:tcW w:w="1026"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(1 090.0)</w:t>
            </w:r>
          </w:p>
        </w:tc>
        <w:tc>
          <w:tcPr>
            <w:tcW w:w="962"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7 192.1</w:t>
            </w:r>
          </w:p>
        </w:tc>
      </w:tr>
      <w:tr w:rsidR="00336793" w:rsidRPr="00A10A3B" w:rsidTr="00DF0B96">
        <w:tc>
          <w:tcPr>
            <w:tcW w:w="3257" w:type="dxa"/>
            <w:tcBorders>
              <w:top w:val="nil"/>
              <w:left w:val="nil"/>
              <w:bottom w:val="nil"/>
              <w:right w:val="nil"/>
            </w:tcBorders>
          </w:tcPr>
          <w:p w:rsidR="00336793" w:rsidRPr="00A10A3B" w:rsidRDefault="00336793" w:rsidP="00DF0B96">
            <w:pPr>
              <w:pStyle w:val="Tabletext"/>
              <w:rPr>
                <w:rFonts w:eastAsiaTheme="minorEastAsia" w:cs="Calibri"/>
                <w:color w:val="000000"/>
                <w:sz w:val="21"/>
                <w:szCs w:val="22"/>
                <w:vertAlign w:val="superscript"/>
                <w:lang w:eastAsia="en-AU"/>
              </w:rPr>
            </w:pPr>
            <w:r w:rsidRPr="00A10A3B">
              <w:rPr>
                <w:rFonts w:eastAsiaTheme="minorEastAsia"/>
                <w:sz w:val="21"/>
                <w:lang w:eastAsia="en-AU"/>
              </w:rPr>
              <w:t>Derivative financial instruments</w:t>
            </w:r>
            <w:r w:rsidRPr="00E96950">
              <w:rPr>
                <w:rFonts w:eastAsiaTheme="minorEastAsia"/>
                <w:sz w:val="21"/>
                <w:vertAlign w:val="superscript"/>
                <w:lang w:eastAsia="en-AU"/>
              </w:rPr>
              <w:t xml:space="preserve"> (</w:t>
            </w:r>
            <w:r w:rsidRPr="00A10A3B">
              <w:rPr>
                <w:rFonts w:eastAsiaTheme="minorEastAsia" w:cs="Calibri"/>
                <w:color w:val="000000"/>
                <w:sz w:val="21"/>
                <w:szCs w:val="22"/>
                <w:vertAlign w:val="superscript"/>
                <w:lang w:eastAsia="en-AU"/>
              </w:rPr>
              <w:t>a)</w:t>
            </w:r>
          </w:p>
        </w:tc>
        <w:tc>
          <w:tcPr>
            <w:tcW w:w="963"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2 368.7</w:t>
            </w:r>
          </w:p>
        </w:tc>
        <w:tc>
          <w:tcPr>
            <w:tcW w:w="1665"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(1 774.9)</w:t>
            </w:r>
          </w:p>
        </w:tc>
        <w:tc>
          <w:tcPr>
            <w:tcW w:w="1764"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593.7</w:t>
            </w:r>
          </w:p>
        </w:tc>
        <w:tc>
          <w:tcPr>
            <w:tcW w:w="1026"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462.8)</w:t>
            </w:r>
          </w:p>
        </w:tc>
        <w:tc>
          <w:tcPr>
            <w:tcW w:w="962" w:type="dxa"/>
            <w:gridSpan w:val="3"/>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131.0</w:t>
            </w:r>
          </w:p>
        </w:tc>
      </w:tr>
      <w:tr w:rsidR="00336793" w:rsidRPr="00A10A3B" w:rsidTr="00DF0B96">
        <w:tc>
          <w:tcPr>
            <w:tcW w:w="3257" w:type="dxa"/>
            <w:tcBorders>
              <w:top w:val="nil"/>
              <w:left w:val="nil"/>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 xml:space="preserve">Financial liabilities </w:t>
            </w:r>
          </w:p>
        </w:tc>
        <w:tc>
          <w:tcPr>
            <w:tcW w:w="963" w:type="dxa"/>
            <w:gridSpan w:val="3"/>
            <w:tcBorders>
              <w:top w:val="nil"/>
              <w:left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665" w:type="dxa"/>
            <w:tcBorders>
              <w:top w:val="nil"/>
              <w:left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764" w:type="dxa"/>
            <w:tcBorders>
              <w:top w:val="nil"/>
              <w:left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026" w:type="dxa"/>
            <w:tcBorders>
              <w:top w:val="nil"/>
              <w:left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962" w:type="dxa"/>
            <w:gridSpan w:val="3"/>
            <w:tcBorders>
              <w:top w:val="nil"/>
              <w:left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3257" w:type="dxa"/>
            <w:tcBorders>
              <w:top w:val="nil"/>
              <w:left w:val="nil"/>
              <w:bottom w:val="single" w:sz="12" w:space="0" w:color="000000"/>
              <w:right w:val="nil"/>
            </w:tcBorders>
            <w:shd w:val="clear" w:color="auto" w:fill="auto"/>
          </w:tcPr>
          <w:p w:rsidR="00336793" w:rsidRPr="00A10A3B" w:rsidRDefault="00336793" w:rsidP="00DF0B96">
            <w:pPr>
              <w:pStyle w:val="Tabletext"/>
              <w:rPr>
                <w:rFonts w:eastAsiaTheme="minorEastAsia" w:cs="Calibri"/>
                <w:color w:val="000000"/>
                <w:sz w:val="21"/>
                <w:szCs w:val="22"/>
                <w:vertAlign w:val="superscript"/>
                <w:lang w:eastAsia="en-AU"/>
              </w:rPr>
            </w:pPr>
            <w:r w:rsidRPr="00A10A3B">
              <w:rPr>
                <w:rFonts w:eastAsiaTheme="minorEastAsia"/>
                <w:sz w:val="21"/>
                <w:lang w:eastAsia="en-AU"/>
              </w:rPr>
              <w:t>Derivative financial instruments</w:t>
            </w:r>
            <w:r w:rsidRPr="00E96950">
              <w:rPr>
                <w:rFonts w:eastAsiaTheme="minorEastAsia"/>
                <w:sz w:val="21"/>
                <w:vertAlign w:val="superscript"/>
                <w:lang w:eastAsia="en-AU"/>
              </w:rPr>
              <w:t xml:space="preserve"> (</w:t>
            </w:r>
            <w:r w:rsidRPr="00A10A3B">
              <w:rPr>
                <w:rFonts w:eastAsiaTheme="minorEastAsia" w:cs="Calibri"/>
                <w:color w:val="000000"/>
                <w:sz w:val="21"/>
                <w:szCs w:val="22"/>
                <w:vertAlign w:val="superscript"/>
                <w:lang w:eastAsia="en-AU"/>
              </w:rPr>
              <w:t>a)</w:t>
            </w:r>
          </w:p>
        </w:tc>
        <w:tc>
          <w:tcPr>
            <w:tcW w:w="963" w:type="dxa"/>
            <w:gridSpan w:val="3"/>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2 416.5</w:t>
            </w:r>
          </w:p>
        </w:tc>
        <w:tc>
          <w:tcPr>
            <w:tcW w:w="1665" w:type="dxa"/>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(1 774.9)</w:t>
            </w:r>
          </w:p>
        </w:tc>
        <w:tc>
          <w:tcPr>
            <w:tcW w:w="1764" w:type="dxa"/>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641.6</w:t>
            </w:r>
          </w:p>
        </w:tc>
        <w:tc>
          <w:tcPr>
            <w:tcW w:w="1026" w:type="dxa"/>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 w:val="21"/>
                <w:szCs w:val="22"/>
                <w:lang w:eastAsia="en-AU"/>
              </w:rPr>
              <w:t>354.5)</w:t>
            </w:r>
          </w:p>
        </w:tc>
        <w:tc>
          <w:tcPr>
            <w:tcW w:w="962" w:type="dxa"/>
            <w:gridSpan w:val="3"/>
            <w:tcBorders>
              <w:top w:val="nil"/>
              <w:left w:val="nil"/>
              <w:bottom w:val="single" w:sz="12" w:space="0" w:color="000000"/>
              <w:right w:val="nil"/>
            </w:tcBorders>
            <w:shd w:val="clear" w:color="auto"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287.1</w:t>
            </w:r>
          </w:p>
        </w:tc>
      </w:tr>
    </w:tbl>
    <w:p w:rsidR="00336793" w:rsidRPr="006A75A2" w:rsidRDefault="00336793" w:rsidP="00DF0B96">
      <w:pPr>
        <w:pStyle w:val="Notes"/>
      </w:pPr>
      <w:r>
        <w:t>N</w:t>
      </w:r>
      <w:r w:rsidRPr="006A75A2">
        <w:t>ote:</w:t>
      </w:r>
    </w:p>
    <w:p w:rsidR="00336793" w:rsidRDefault="00336793" w:rsidP="00DF0B96">
      <w:pPr>
        <w:pStyle w:val="Notes"/>
      </w:pPr>
      <w:r w:rsidRPr="006A75A2">
        <w:t>(a)</w:t>
      </w:r>
      <w:r w:rsidRPr="006A75A2">
        <w:tab/>
      </w:r>
      <w:r w:rsidRPr="00DF7C4A">
        <w:t>June 2014 comparative figures have been restated. See Note 37.</w:t>
      </w:r>
    </w:p>
    <w:p w:rsidR="00336793" w:rsidRDefault="00336793" w:rsidP="00DF0B96">
      <w:pPr>
        <w:pStyle w:val="Notes"/>
      </w:pPr>
    </w:p>
    <w:p w:rsidR="00336793" w:rsidRPr="006A75A2" w:rsidRDefault="00336793" w:rsidP="00DF0B96"/>
    <w:p w:rsidR="00336793" w:rsidRDefault="00336793">
      <w:pPr>
        <w:spacing w:after="0"/>
      </w:pPr>
      <w:r>
        <w:br w:type="page"/>
      </w:r>
    </w:p>
    <w:p w:rsidR="00336793" w:rsidRPr="006A75A2" w:rsidRDefault="00336793" w:rsidP="00DF0B96">
      <w:pPr>
        <w:pStyle w:val="Heading2Notes"/>
        <w:rPr>
          <w:kern w:val="0"/>
        </w:rPr>
      </w:pPr>
      <w:bookmarkStart w:id="109" w:name="_Toc400040281"/>
      <w:bookmarkStart w:id="110" w:name="_Toc433984517"/>
      <w:r w:rsidRPr="006A75A2">
        <w:rPr>
          <w:kern w:val="0"/>
        </w:rPr>
        <w:lastRenderedPageBreak/>
        <w:t>Note 34:</w:t>
      </w:r>
      <w:r w:rsidRPr="006A75A2">
        <w:rPr>
          <w:kern w:val="0"/>
        </w:rPr>
        <w:tab/>
        <w:t>Commitments</w:t>
      </w:r>
      <w:bookmarkEnd w:id="109"/>
      <w:bookmarkEnd w:id="110"/>
    </w:p>
    <w:p w:rsidR="00336793" w:rsidRPr="006A75A2" w:rsidRDefault="00336793" w:rsidP="00DF0B96">
      <w:pPr>
        <w:pStyle w:val="Heading5"/>
      </w:pPr>
      <w:r w:rsidRPr="006A75A2">
        <w:t>(a)</w:t>
      </w:r>
      <w:r w:rsidRPr="006A75A2">
        <w:tab/>
        <w:t>Non</w:t>
      </w:r>
      <w:r>
        <w:noBreakHyphen/>
      </w:r>
      <w:r w:rsidRPr="006A75A2">
        <w:t>public private partnerships</w:t>
      </w:r>
      <w:r>
        <w:rPr>
          <w:vertAlign w:val="superscript"/>
        </w:rPr>
        <w:t>(a)</w:t>
      </w:r>
    </w:p>
    <w:p w:rsidR="00336793" w:rsidRPr="00C82B89"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1120"/>
        <w:gridCol w:w="1120"/>
        <w:gridCol w:w="1120"/>
        <w:gridCol w:w="1120"/>
      </w:tblGrid>
      <w:tr w:rsidR="00336793" w:rsidRPr="00C82B89" w:rsidTr="00DF0B96">
        <w:tc>
          <w:tcPr>
            <w:tcW w:w="5157" w:type="dxa"/>
            <w:tcBorders>
              <w:top w:val="single" w:sz="6" w:space="0" w:color="auto"/>
              <w:left w:val="single" w:sz="6" w:space="0" w:color="auto"/>
              <w:bottom w:val="nil"/>
              <w:right w:val="nil"/>
            </w:tcBorders>
            <w:shd w:val="clear" w:color="000000" w:fill="000000"/>
          </w:tcPr>
          <w:p w:rsidR="00336793" w:rsidRPr="00C82B89" w:rsidRDefault="00336793" w:rsidP="00DF0B96">
            <w:pPr>
              <w:pStyle w:val="Tabletextheading"/>
              <w:jc w:val="left"/>
              <w:rPr>
                <w:rFonts w:eastAsiaTheme="minorEastAsia"/>
                <w:color w:val="FFFFFF"/>
                <w:sz w:val="20"/>
                <w:lang w:eastAsia="en-AU"/>
              </w:rPr>
            </w:pPr>
            <w:r w:rsidRPr="00C82B89">
              <w:rPr>
                <w:rFonts w:eastAsiaTheme="minorEastAsia"/>
                <w:color w:val="FFFFFF"/>
                <w:sz w:val="20"/>
                <w:lang w:eastAsia="en-AU"/>
              </w:rPr>
              <w:t xml:space="preserve"> </w:t>
            </w:r>
          </w:p>
        </w:tc>
        <w:tc>
          <w:tcPr>
            <w:tcW w:w="1120" w:type="dxa"/>
            <w:tcBorders>
              <w:top w:val="single" w:sz="6" w:space="0" w:color="auto"/>
              <w:left w:val="nil"/>
              <w:bottom w:val="nil"/>
              <w:right w:val="nil"/>
            </w:tcBorders>
            <w:shd w:val="clear" w:color="000000" w:fill="000000"/>
          </w:tcPr>
          <w:p w:rsidR="00336793" w:rsidRPr="00C82B89" w:rsidRDefault="00336793" w:rsidP="00DF0B96">
            <w:pPr>
              <w:pStyle w:val="Tabletextheading"/>
              <w:rPr>
                <w:rFonts w:eastAsiaTheme="minorEastAsia"/>
                <w:iCs/>
                <w:color w:val="FFFFFF"/>
                <w:sz w:val="20"/>
                <w:lang w:eastAsia="en-AU"/>
              </w:rPr>
            </w:pPr>
          </w:p>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State of Victoria</w:t>
            </w:r>
          </w:p>
        </w:tc>
        <w:tc>
          <w:tcPr>
            <w:tcW w:w="1120" w:type="dxa"/>
            <w:tcBorders>
              <w:top w:val="single" w:sz="6" w:space="0" w:color="auto"/>
              <w:left w:val="nil"/>
              <w:bottom w:val="nil"/>
              <w:right w:val="nil"/>
            </w:tcBorders>
            <w:shd w:val="clear" w:color="000000" w:fill="000000"/>
          </w:tcPr>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General government sector</w:t>
            </w:r>
          </w:p>
        </w:tc>
        <w:tc>
          <w:tcPr>
            <w:tcW w:w="1120" w:type="dxa"/>
            <w:tcBorders>
              <w:top w:val="single" w:sz="6" w:space="0" w:color="auto"/>
              <w:left w:val="nil"/>
              <w:bottom w:val="nil"/>
              <w:right w:val="nil"/>
            </w:tcBorders>
            <w:shd w:val="clear" w:color="000000" w:fill="000000"/>
          </w:tcPr>
          <w:p w:rsidR="00336793" w:rsidRPr="00C82B89" w:rsidRDefault="00336793" w:rsidP="00DF0B96">
            <w:pPr>
              <w:pStyle w:val="Tabletextheading"/>
              <w:rPr>
                <w:rFonts w:eastAsiaTheme="minorEastAsia"/>
                <w:iCs/>
                <w:color w:val="FFFFFF"/>
                <w:sz w:val="20"/>
                <w:lang w:eastAsia="en-AU"/>
              </w:rPr>
            </w:pPr>
          </w:p>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State of Victoria</w:t>
            </w:r>
          </w:p>
        </w:tc>
        <w:tc>
          <w:tcPr>
            <w:tcW w:w="1120" w:type="dxa"/>
            <w:tcBorders>
              <w:top w:val="single" w:sz="6" w:space="0" w:color="auto"/>
              <w:left w:val="nil"/>
              <w:bottom w:val="nil"/>
              <w:right w:val="single" w:sz="6" w:space="0" w:color="auto"/>
            </w:tcBorders>
            <w:shd w:val="clear" w:color="000000" w:fill="000000"/>
          </w:tcPr>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General government sector</w:t>
            </w:r>
          </w:p>
        </w:tc>
      </w:tr>
      <w:tr w:rsidR="00336793" w:rsidRPr="00C82B89" w:rsidTr="00DF0B96">
        <w:tc>
          <w:tcPr>
            <w:tcW w:w="5157" w:type="dxa"/>
            <w:tcBorders>
              <w:top w:val="nil"/>
              <w:left w:val="single" w:sz="6" w:space="0" w:color="auto"/>
              <w:bottom w:val="nil"/>
              <w:right w:val="nil"/>
            </w:tcBorders>
            <w:shd w:val="clear" w:color="000000" w:fill="000000"/>
          </w:tcPr>
          <w:p w:rsidR="00336793" w:rsidRPr="00C82B89" w:rsidRDefault="00336793" w:rsidP="00DF0B96">
            <w:pPr>
              <w:pStyle w:val="Tabletextheading"/>
              <w:jc w:val="left"/>
              <w:rPr>
                <w:rFonts w:eastAsiaTheme="minorEastAsia"/>
                <w:color w:val="FFFFFF"/>
                <w:sz w:val="20"/>
                <w:lang w:eastAsia="en-AU"/>
              </w:rPr>
            </w:pPr>
            <w:r w:rsidRPr="00C82B89">
              <w:rPr>
                <w:rFonts w:eastAsiaTheme="minorEastAsia"/>
                <w:color w:val="FFFFFF"/>
                <w:sz w:val="20"/>
                <w:lang w:eastAsia="en-AU"/>
              </w:rPr>
              <w:t xml:space="preserve"> </w:t>
            </w:r>
          </w:p>
        </w:tc>
        <w:tc>
          <w:tcPr>
            <w:tcW w:w="1120" w:type="dxa"/>
            <w:tcBorders>
              <w:top w:val="nil"/>
              <w:left w:val="nil"/>
              <w:bottom w:val="nil"/>
              <w:right w:val="nil"/>
            </w:tcBorders>
            <w:shd w:val="clear" w:color="000000" w:fill="000000"/>
          </w:tcPr>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2015</w:t>
            </w:r>
          </w:p>
        </w:tc>
        <w:tc>
          <w:tcPr>
            <w:tcW w:w="1120" w:type="dxa"/>
            <w:tcBorders>
              <w:top w:val="nil"/>
              <w:left w:val="nil"/>
              <w:bottom w:val="nil"/>
              <w:right w:val="nil"/>
            </w:tcBorders>
            <w:shd w:val="clear" w:color="000000" w:fill="000000"/>
          </w:tcPr>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2015</w:t>
            </w:r>
          </w:p>
        </w:tc>
        <w:tc>
          <w:tcPr>
            <w:tcW w:w="1120" w:type="dxa"/>
            <w:tcBorders>
              <w:top w:val="nil"/>
              <w:left w:val="nil"/>
              <w:bottom w:val="nil"/>
              <w:right w:val="nil"/>
            </w:tcBorders>
            <w:shd w:val="clear" w:color="000000" w:fill="000000"/>
          </w:tcPr>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2014</w:t>
            </w:r>
          </w:p>
        </w:tc>
        <w:tc>
          <w:tcPr>
            <w:tcW w:w="1120" w:type="dxa"/>
            <w:tcBorders>
              <w:top w:val="nil"/>
              <w:left w:val="nil"/>
              <w:bottom w:val="nil"/>
              <w:right w:val="single" w:sz="6" w:space="0" w:color="auto"/>
            </w:tcBorders>
            <w:shd w:val="clear" w:color="000000" w:fill="000000"/>
          </w:tcPr>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2014</w:t>
            </w:r>
          </w:p>
        </w:tc>
      </w:tr>
      <w:tr w:rsidR="00336793" w:rsidRPr="00C82B89" w:rsidTr="00DF0B96">
        <w:tc>
          <w:tcPr>
            <w:tcW w:w="5157" w:type="dxa"/>
            <w:tcBorders>
              <w:top w:val="nil"/>
              <w:left w:val="single" w:sz="6" w:space="0" w:color="auto"/>
              <w:bottom w:val="single" w:sz="6" w:space="0" w:color="auto"/>
              <w:right w:val="nil"/>
            </w:tcBorders>
            <w:shd w:val="clear" w:color="000000" w:fill="000000"/>
          </w:tcPr>
          <w:p w:rsidR="00336793" w:rsidRPr="00C82B89" w:rsidRDefault="00336793" w:rsidP="00DF0B96">
            <w:pPr>
              <w:pStyle w:val="Tabletextheading"/>
              <w:jc w:val="left"/>
              <w:rPr>
                <w:rFonts w:eastAsiaTheme="minorEastAsia"/>
                <w:iCs/>
                <w:color w:val="FFFFFF"/>
                <w:sz w:val="20"/>
                <w:lang w:eastAsia="en-AU"/>
              </w:rPr>
            </w:pPr>
            <w:r w:rsidRPr="00C82B89">
              <w:rPr>
                <w:rFonts w:eastAsiaTheme="minorEastAsia"/>
                <w:iCs/>
                <w:color w:val="FFFFFF"/>
                <w:sz w:val="20"/>
                <w:lang w:eastAsia="en-AU"/>
              </w:rPr>
              <w:t xml:space="preserve"> </w:t>
            </w:r>
          </w:p>
        </w:tc>
        <w:tc>
          <w:tcPr>
            <w:tcW w:w="1120" w:type="dxa"/>
            <w:tcBorders>
              <w:top w:val="nil"/>
              <w:left w:val="nil"/>
              <w:bottom w:val="single" w:sz="6" w:space="0" w:color="auto"/>
              <w:right w:val="nil"/>
            </w:tcBorders>
            <w:shd w:val="clear" w:color="000000" w:fill="000000"/>
          </w:tcPr>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Nominal value</w:t>
            </w:r>
          </w:p>
        </w:tc>
        <w:tc>
          <w:tcPr>
            <w:tcW w:w="1120" w:type="dxa"/>
            <w:tcBorders>
              <w:top w:val="nil"/>
              <w:left w:val="nil"/>
              <w:bottom w:val="single" w:sz="6" w:space="0" w:color="auto"/>
              <w:right w:val="nil"/>
            </w:tcBorders>
            <w:shd w:val="clear" w:color="000000" w:fill="000000"/>
          </w:tcPr>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Nominal value</w:t>
            </w:r>
          </w:p>
        </w:tc>
        <w:tc>
          <w:tcPr>
            <w:tcW w:w="1120" w:type="dxa"/>
            <w:tcBorders>
              <w:top w:val="nil"/>
              <w:left w:val="nil"/>
              <w:bottom w:val="single" w:sz="6" w:space="0" w:color="auto"/>
              <w:right w:val="nil"/>
            </w:tcBorders>
            <w:shd w:val="clear" w:color="000000" w:fill="000000"/>
          </w:tcPr>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Nominal value</w:t>
            </w:r>
          </w:p>
        </w:tc>
        <w:tc>
          <w:tcPr>
            <w:tcW w:w="1120" w:type="dxa"/>
            <w:tcBorders>
              <w:top w:val="nil"/>
              <w:left w:val="nil"/>
              <w:bottom w:val="single" w:sz="6" w:space="0" w:color="auto"/>
              <w:right w:val="single" w:sz="6" w:space="0" w:color="auto"/>
            </w:tcBorders>
            <w:shd w:val="clear" w:color="000000" w:fill="000000"/>
          </w:tcPr>
          <w:p w:rsidR="00336793" w:rsidRPr="00C82B89" w:rsidRDefault="00336793" w:rsidP="00DF0B96">
            <w:pPr>
              <w:pStyle w:val="Tabletextheading"/>
              <w:rPr>
                <w:rFonts w:eastAsiaTheme="minorEastAsia"/>
                <w:iCs/>
                <w:color w:val="FFFFFF"/>
                <w:sz w:val="20"/>
                <w:lang w:eastAsia="en-AU"/>
              </w:rPr>
            </w:pPr>
            <w:r w:rsidRPr="00C82B89">
              <w:rPr>
                <w:rFonts w:eastAsiaTheme="minorEastAsia"/>
                <w:iCs/>
                <w:color w:val="FFFFFF"/>
                <w:sz w:val="20"/>
                <w:lang w:eastAsia="en-AU"/>
              </w:rPr>
              <w:t>Nominal value</w:t>
            </w:r>
          </w:p>
        </w:tc>
      </w:tr>
      <w:tr w:rsidR="00336793" w:rsidRPr="00C82B89" w:rsidTr="00DF0B96">
        <w:tc>
          <w:tcPr>
            <w:tcW w:w="5157" w:type="dxa"/>
            <w:tcBorders>
              <w:top w:val="single" w:sz="6" w:space="0" w:color="auto"/>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Capital expenditure commitments</w:t>
            </w:r>
          </w:p>
        </w:tc>
        <w:tc>
          <w:tcPr>
            <w:tcW w:w="1120" w:type="dxa"/>
            <w:tcBorders>
              <w:top w:val="single" w:sz="6" w:space="0" w:color="auto"/>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 xml:space="preserve"> </w:t>
            </w:r>
          </w:p>
        </w:tc>
        <w:tc>
          <w:tcPr>
            <w:tcW w:w="1120" w:type="dxa"/>
            <w:tcBorders>
              <w:top w:val="single" w:sz="6" w:space="0" w:color="auto"/>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 xml:space="preserve"> </w:t>
            </w:r>
          </w:p>
        </w:tc>
        <w:tc>
          <w:tcPr>
            <w:tcW w:w="1120" w:type="dxa"/>
            <w:tcBorders>
              <w:top w:val="single" w:sz="6" w:space="0" w:color="auto"/>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w:t>
            </w:r>
          </w:p>
        </w:tc>
        <w:tc>
          <w:tcPr>
            <w:tcW w:w="1120" w:type="dxa"/>
            <w:tcBorders>
              <w:top w:val="single" w:sz="6" w:space="0" w:color="auto"/>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Land and buildings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653.2</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497.6</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881.1</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750.3</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Plant, equipment and vehicles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204.0</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158.1</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282.0</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218.4</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Infrastructure systems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727.1</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288.4</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1 100.6</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235.5</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Road networks and earthworks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1 112.7</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1 112.7</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636.1</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636.1</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Other</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color w:val="000000"/>
                <w:sz w:val="20"/>
                <w:szCs w:val="21"/>
                <w:lang w:eastAsia="en-AU"/>
              </w:rPr>
            </w:pPr>
            <w:r w:rsidRPr="00C82B89">
              <w:rPr>
                <w:rFonts w:ascii="Calibri" w:eastAsiaTheme="minorEastAsia" w:hAnsi="Calibri" w:cs="Calibri"/>
                <w:sz w:val="20"/>
                <w:szCs w:val="21"/>
                <w:lang w:eastAsia="en-AU"/>
              </w:rPr>
              <w:t>1 010.1</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991.4</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1 328.9</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1 304.2</w:t>
            </w:r>
          </w:p>
        </w:tc>
      </w:tr>
      <w:tr w:rsidR="00336793" w:rsidRPr="00C82B89" w:rsidTr="00DF0B96">
        <w:tc>
          <w:tcPr>
            <w:tcW w:w="5157"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Total capital expenditure commitments</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3 707.2</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3 048.1</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4 228.6</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3 144.5</w:t>
            </w:r>
          </w:p>
        </w:tc>
      </w:tr>
      <w:tr w:rsidR="00336793" w:rsidRPr="00C82B89" w:rsidTr="00DF0B96">
        <w:trPr>
          <w:trHeight w:hRule="exact" w:val="120"/>
        </w:trPr>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 xml:space="preserve"> </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Operating and lease commitments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Rail services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3 384.1</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3 384.1</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4 559.9</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4 559.9</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Bus services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4 104.9</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4 104.3</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3 473.9</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3 473.9</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Other</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2 378.5</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1 700.7</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2 548.7</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1 632.1</w:t>
            </w:r>
          </w:p>
        </w:tc>
      </w:tr>
      <w:tr w:rsidR="00336793" w:rsidRPr="00C82B89" w:rsidTr="00DF0B96">
        <w:tc>
          <w:tcPr>
            <w:tcW w:w="5157"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Total operating and lease commitments</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9 867.5</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9 189.1</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10 582.5</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9 665.9</w:t>
            </w:r>
          </w:p>
        </w:tc>
      </w:tr>
      <w:tr w:rsidR="00336793" w:rsidRPr="00C82B89" w:rsidTr="00DF0B96">
        <w:trPr>
          <w:trHeight w:hRule="exact" w:val="120"/>
        </w:trPr>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Other commitments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Building occupancy services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71.6</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72.4</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Capital investment commitments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125.6</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37.9</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Commercial contracts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192.7</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52.2</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137.4</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136.2</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Debt collection services (Traffic camera office)</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95.7</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95.7</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76.3</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76.3</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Emergency Alert System</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30.6</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30.6</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51.4</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51.4</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vertAlign w:val="superscript"/>
                <w:lang w:eastAsia="en-AU"/>
              </w:rPr>
            </w:pPr>
            <w:r w:rsidRPr="00C82B89">
              <w:rPr>
                <w:rFonts w:ascii="Calibri" w:eastAsiaTheme="minorEastAsia" w:hAnsi="Calibri" w:cs="Calibri"/>
                <w:sz w:val="20"/>
                <w:szCs w:val="21"/>
                <w:lang w:eastAsia="en-AU"/>
              </w:rPr>
              <w:t>Goulburn</w:t>
            </w:r>
            <w:r>
              <w:rPr>
                <w:rFonts w:ascii="Calibri" w:eastAsiaTheme="minorEastAsia" w:hAnsi="Calibri" w:cs="Calibri"/>
                <w:sz w:val="20"/>
                <w:szCs w:val="21"/>
                <w:lang w:eastAsia="en-AU"/>
              </w:rPr>
              <w:noBreakHyphen/>
            </w:r>
            <w:r w:rsidRPr="00C82B89">
              <w:rPr>
                <w:rFonts w:ascii="Calibri" w:eastAsiaTheme="minorEastAsia" w:hAnsi="Calibri" w:cs="Calibri"/>
                <w:sz w:val="20"/>
                <w:szCs w:val="21"/>
                <w:lang w:eastAsia="en-AU"/>
              </w:rPr>
              <w:t>Murray Water Connections Project</w:t>
            </w:r>
            <w:r w:rsidRPr="00C82B89">
              <w:rPr>
                <w:rFonts w:ascii="Calibri" w:eastAsiaTheme="minorEastAsia" w:hAnsi="Calibri" w:cs="Calibri"/>
                <w:sz w:val="20"/>
                <w:szCs w:val="21"/>
                <w:vertAlign w:val="superscript"/>
                <w:lang w:eastAsia="en-AU"/>
              </w:rPr>
              <w:t xml:space="preserve"> (b)</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115.4</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724.9</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34.8</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976.9</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Hopkins correctional centre</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435.2</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435.2</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446.4</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446.4</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Information technology</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31.5</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26.6</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43.1</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35.3</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New ticketing solution </w:t>
            </w:r>
            <w:r w:rsidRPr="00C82B89">
              <w:rPr>
                <w:rFonts w:ascii="Calibri" w:eastAsiaTheme="minorEastAsia" w:hAnsi="Calibri" w:cs="Calibri"/>
                <w:i/>
                <w:sz w:val="20"/>
                <w:szCs w:val="21"/>
                <w:lang w:eastAsia="en-AU"/>
              </w:rPr>
              <w:t>(myki)</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178.4</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178.4</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208.1</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208.1</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Outsourcing of services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372.5</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191.6</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363.1</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213.0</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Policing services</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26.9</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26.9</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76.9</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76.9</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Traffic camera services (Traffic camera office)</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90.8</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90.8</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76.7</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76.7</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Transport Accident Commission funded medical research</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22.8</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 xml:space="preserve"> 35.3</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w:t>
            </w:r>
          </w:p>
        </w:tc>
      </w:tr>
      <w:tr w:rsidR="00336793" w:rsidRPr="00C82B89" w:rsidTr="00DF0B96">
        <w:tc>
          <w:tcPr>
            <w:tcW w:w="5157" w:type="dxa"/>
            <w:tcBorders>
              <w:top w:val="nil"/>
              <w:left w:val="nil"/>
              <w:bottom w:val="nil"/>
              <w:right w:val="nil"/>
            </w:tcBorders>
          </w:tcPr>
          <w:p w:rsidR="00336793" w:rsidRPr="00C82B89" w:rsidRDefault="00336793" w:rsidP="00DF0B96">
            <w:pPr>
              <w:autoSpaceDE w:val="0"/>
              <w:autoSpaceDN w:val="0"/>
              <w:adjustRightInd w:val="0"/>
              <w:spacing w:after="0"/>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Other</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2 778.3</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2 429.5</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2 066.2</w:t>
            </w:r>
          </w:p>
        </w:tc>
        <w:tc>
          <w:tcPr>
            <w:tcW w:w="1120" w:type="dxa"/>
            <w:tcBorders>
              <w:top w:val="nil"/>
              <w:left w:val="nil"/>
              <w:bottom w:val="nil"/>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sz w:val="20"/>
                <w:szCs w:val="21"/>
                <w:lang w:eastAsia="en-AU"/>
              </w:rPr>
            </w:pPr>
            <w:r w:rsidRPr="00C82B89">
              <w:rPr>
                <w:rFonts w:ascii="Calibri" w:eastAsiaTheme="minorEastAsia" w:hAnsi="Calibri" w:cs="Calibri"/>
                <w:sz w:val="20"/>
                <w:szCs w:val="21"/>
                <w:lang w:eastAsia="en-AU"/>
              </w:rPr>
              <w:t>1 905.8</w:t>
            </w:r>
          </w:p>
        </w:tc>
      </w:tr>
      <w:tr w:rsidR="00336793" w:rsidRPr="00C82B89" w:rsidTr="00DF0B96">
        <w:tc>
          <w:tcPr>
            <w:tcW w:w="5157"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Total other commitments</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4 496.4</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4 354.0</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3 653.5</w:t>
            </w:r>
          </w:p>
        </w:tc>
        <w:tc>
          <w:tcPr>
            <w:tcW w:w="1120" w:type="dxa"/>
            <w:tcBorders>
              <w:top w:val="single" w:sz="6" w:space="0" w:color="auto"/>
              <w:left w:val="nil"/>
              <w:bottom w:val="single" w:sz="6" w:space="0" w:color="auto"/>
              <w:right w:val="nil"/>
            </w:tcBorders>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4 275.3</w:t>
            </w:r>
          </w:p>
        </w:tc>
      </w:tr>
      <w:tr w:rsidR="00336793" w:rsidRPr="00C82B89" w:rsidTr="00DF0B96">
        <w:tc>
          <w:tcPr>
            <w:tcW w:w="5157" w:type="dxa"/>
            <w:tcBorders>
              <w:top w:val="single" w:sz="6" w:space="0" w:color="auto"/>
              <w:left w:val="nil"/>
              <w:bottom w:val="single" w:sz="12" w:space="0" w:color="000000"/>
              <w:right w:val="nil"/>
            </w:tcBorders>
            <w:shd w:val="clear" w:color="auto" w:fill="auto"/>
          </w:tcPr>
          <w:p w:rsidR="00336793" w:rsidRPr="00C82B89" w:rsidRDefault="00336793" w:rsidP="00DF0B96">
            <w:pPr>
              <w:autoSpaceDE w:val="0"/>
              <w:autoSpaceDN w:val="0"/>
              <w:adjustRightInd w:val="0"/>
              <w:spacing w:after="0"/>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Total commitments</w:t>
            </w:r>
          </w:p>
        </w:tc>
        <w:tc>
          <w:tcPr>
            <w:tcW w:w="1120" w:type="dxa"/>
            <w:tcBorders>
              <w:top w:val="single" w:sz="6" w:space="0" w:color="auto"/>
              <w:left w:val="nil"/>
              <w:bottom w:val="single" w:sz="12" w:space="0" w:color="000000"/>
              <w:right w:val="nil"/>
            </w:tcBorders>
            <w:shd w:val="clear" w:color="auto" w:fill="auto"/>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18 071.1</w:t>
            </w:r>
          </w:p>
        </w:tc>
        <w:tc>
          <w:tcPr>
            <w:tcW w:w="1120" w:type="dxa"/>
            <w:tcBorders>
              <w:top w:val="single" w:sz="6" w:space="0" w:color="auto"/>
              <w:left w:val="nil"/>
              <w:bottom w:val="single" w:sz="12" w:space="0" w:color="000000"/>
              <w:right w:val="nil"/>
            </w:tcBorders>
            <w:shd w:val="clear" w:color="auto" w:fill="auto"/>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16 591.3</w:t>
            </w:r>
          </w:p>
        </w:tc>
        <w:tc>
          <w:tcPr>
            <w:tcW w:w="1120" w:type="dxa"/>
            <w:tcBorders>
              <w:top w:val="single" w:sz="6" w:space="0" w:color="auto"/>
              <w:left w:val="nil"/>
              <w:bottom w:val="single" w:sz="12" w:space="0" w:color="000000"/>
              <w:right w:val="nil"/>
            </w:tcBorders>
            <w:shd w:val="clear" w:color="auto" w:fill="auto"/>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18 464.5</w:t>
            </w:r>
          </w:p>
        </w:tc>
        <w:tc>
          <w:tcPr>
            <w:tcW w:w="1120" w:type="dxa"/>
            <w:tcBorders>
              <w:top w:val="single" w:sz="6" w:space="0" w:color="auto"/>
              <w:left w:val="nil"/>
              <w:bottom w:val="single" w:sz="12" w:space="0" w:color="000000"/>
              <w:right w:val="nil"/>
            </w:tcBorders>
            <w:shd w:val="clear" w:color="auto" w:fill="auto"/>
          </w:tcPr>
          <w:p w:rsidR="00336793" w:rsidRPr="00C82B89" w:rsidRDefault="00336793" w:rsidP="00DF0B96">
            <w:pPr>
              <w:autoSpaceDE w:val="0"/>
              <w:autoSpaceDN w:val="0"/>
              <w:adjustRightInd w:val="0"/>
              <w:spacing w:after="0"/>
              <w:jc w:val="right"/>
              <w:rPr>
                <w:rFonts w:ascii="Calibri" w:eastAsiaTheme="minorEastAsia" w:hAnsi="Calibri" w:cs="Calibri"/>
                <w:b/>
                <w:bCs/>
                <w:sz w:val="20"/>
                <w:szCs w:val="21"/>
                <w:lang w:eastAsia="en-AU"/>
              </w:rPr>
            </w:pPr>
            <w:r w:rsidRPr="00C82B89">
              <w:rPr>
                <w:rFonts w:ascii="Calibri" w:eastAsiaTheme="minorEastAsia" w:hAnsi="Calibri" w:cs="Calibri"/>
                <w:b/>
                <w:bCs/>
                <w:sz w:val="20"/>
                <w:szCs w:val="21"/>
                <w:lang w:eastAsia="en-AU"/>
              </w:rPr>
              <w:t>17 085.7</w:t>
            </w:r>
          </w:p>
        </w:tc>
      </w:tr>
    </w:tbl>
    <w:p w:rsidR="00336793" w:rsidRPr="006A75A2" w:rsidRDefault="00336793" w:rsidP="00DF0B96">
      <w:pPr>
        <w:pStyle w:val="Notes"/>
      </w:pPr>
      <w:r>
        <w:t>Notes</w:t>
      </w:r>
      <w:r w:rsidRPr="006A75A2">
        <w:t>:</w:t>
      </w:r>
    </w:p>
    <w:p w:rsidR="00336793" w:rsidRDefault="00336793" w:rsidP="00DF0B96">
      <w:pPr>
        <w:pStyle w:val="Notes"/>
      </w:pPr>
      <w:r>
        <w:t>(a)</w:t>
      </w:r>
      <w:r w:rsidRPr="006A75A2">
        <w:tab/>
        <w:t>The figures presented are inclusive of GST.</w:t>
      </w:r>
    </w:p>
    <w:p w:rsidR="00336793" w:rsidRPr="006A75A2" w:rsidRDefault="00336793" w:rsidP="00DF0B96">
      <w:pPr>
        <w:pStyle w:val="Notes"/>
      </w:pPr>
      <w:r>
        <w:t>(b)</w:t>
      </w:r>
      <w:r>
        <w:tab/>
        <w:t>The Goulburn</w:t>
      </w:r>
      <w:r>
        <w:noBreakHyphen/>
        <w:t>Murray Water Connections Project was formally known as the Northern Victoria Irrigation Renewal Project.</w:t>
      </w:r>
    </w:p>
    <w:p w:rsidR="00336793" w:rsidRDefault="00336793" w:rsidP="00DF0B96"/>
    <w:p w:rsidR="00336793" w:rsidRDefault="00336793" w:rsidP="00DF0B96"/>
    <w:p w:rsidR="00336793" w:rsidRDefault="00336793" w:rsidP="00DF0B96">
      <w:pPr>
        <w:sectPr w:rsidR="00336793" w:rsidSect="00DF0B96">
          <w:headerReference w:type="even" r:id="rId116"/>
          <w:headerReference w:type="default" r:id="rId117"/>
          <w:footerReference w:type="even" r:id="rId118"/>
          <w:footerReference w:type="default" r:id="rId119"/>
          <w:pgSz w:w="11906" w:h="16838" w:code="9"/>
          <w:pgMar w:top="1152" w:right="1152" w:bottom="1152" w:left="1152" w:header="720" w:footer="720" w:gutter="0"/>
          <w:cols w:space="708"/>
          <w:docGrid w:linePitch="360"/>
        </w:sectPr>
      </w:pPr>
    </w:p>
    <w:p w:rsidR="00336793" w:rsidRDefault="00336793" w:rsidP="000830D0">
      <w:pPr>
        <w:pStyle w:val="Heading2NotesContd"/>
        <w:spacing w:before="40"/>
        <w:rPr>
          <w:i/>
        </w:rPr>
      </w:pPr>
      <w:r w:rsidRPr="006A75A2">
        <w:lastRenderedPageBreak/>
        <w:t>Note 34:</w:t>
      </w:r>
      <w:r w:rsidRPr="006A75A2">
        <w:tab/>
        <w:t>Commitments</w:t>
      </w:r>
      <w:r>
        <w:t xml:space="preserve"> </w:t>
      </w:r>
      <w:r w:rsidRPr="00CD0EDE">
        <w:rPr>
          <w:i/>
        </w:rPr>
        <w:t>(continued)</w:t>
      </w:r>
    </w:p>
    <w:p w:rsidR="00336793" w:rsidRPr="006A75A2" w:rsidRDefault="00336793" w:rsidP="00DF0B96">
      <w:pPr>
        <w:pStyle w:val="Heading5"/>
      </w:pPr>
      <w:r w:rsidRPr="006A75A2">
        <w:t>(b)</w:t>
      </w:r>
      <w:r w:rsidRPr="006A75A2">
        <w:tab/>
        <w:t xml:space="preserve">Public </w:t>
      </w:r>
      <w:r w:rsidRPr="00F544EF">
        <w:t>private</w:t>
      </w:r>
      <w:r w:rsidRPr="006A75A2">
        <w:t xml:space="preserve"> partnerships</w:t>
      </w:r>
      <w:r>
        <w:rPr>
          <w:vertAlign w:val="superscript"/>
        </w:rPr>
        <w:t>(a)(b)</w:t>
      </w:r>
    </w:p>
    <w:p w:rsidR="00336793" w:rsidRPr="006535CD" w:rsidRDefault="00336793" w:rsidP="00DF0B96">
      <w:pPr>
        <w:pStyle w:val="million"/>
        <w:rPr>
          <w:rFonts w:ascii="Times New Roman" w:hAnsi="Times New Roman"/>
          <w:i w:val="0"/>
          <w:szCs w:val="20"/>
          <w:lang w:eastAsia="en-AU"/>
        </w:rPr>
      </w:pPr>
      <w:r w:rsidRPr="00F37897">
        <w:rPr>
          <w:sz w:val="18"/>
        </w:rPr>
        <w:t>($</w:t>
      </w:r>
      <w:r>
        <w:rPr>
          <w:sz w:val="18"/>
        </w:rPr>
        <w:t> million</w:t>
      </w:r>
      <w:r w:rsidRPr="00F37897">
        <w:rPr>
          <w:sz w:val="18"/>
        </w:rPr>
        <w:t>)</w:t>
      </w:r>
    </w:p>
    <w:tbl>
      <w:tblPr>
        <w:tblW w:w="14571" w:type="dxa"/>
        <w:tblInd w:w="28" w:type="dxa"/>
        <w:tblLayout w:type="fixed"/>
        <w:tblCellMar>
          <w:left w:w="45" w:type="dxa"/>
          <w:right w:w="45" w:type="dxa"/>
        </w:tblCellMar>
        <w:tblLook w:val="0000" w:firstRow="0" w:lastRow="0" w:firstColumn="0" w:lastColumn="0" w:noHBand="0" w:noVBand="0"/>
      </w:tblPr>
      <w:tblGrid>
        <w:gridCol w:w="2150"/>
        <w:gridCol w:w="1035"/>
        <w:gridCol w:w="9"/>
        <w:gridCol w:w="101"/>
        <w:gridCol w:w="925"/>
        <w:gridCol w:w="1035"/>
        <w:gridCol w:w="128"/>
        <w:gridCol w:w="227"/>
        <w:gridCol w:w="227"/>
        <w:gridCol w:w="227"/>
        <w:gridCol w:w="227"/>
        <w:gridCol w:w="116"/>
        <w:gridCol w:w="919"/>
        <w:gridCol w:w="1051"/>
        <w:gridCol w:w="1032"/>
        <w:gridCol w:w="110"/>
        <w:gridCol w:w="939"/>
        <w:gridCol w:w="1016"/>
        <w:gridCol w:w="54"/>
        <w:gridCol w:w="978"/>
        <w:gridCol w:w="111"/>
        <w:gridCol w:w="919"/>
        <w:gridCol w:w="1035"/>
      </w:tblGrid>
      <w:tr w:rsidR="00336793" w:rsidRPr="006535CD" w:rsidTr="00DF0B96">
        <w:tc>
          <w:tcPr>
            <w:tcW w:w="2150" w:type="dxa"/>
            <w:tcBorders>
              <w:top w:val="single" w:sz="6" w:space="0" w:color="auto"/>
              <w:left w:val="single" w:sz="6" w:space="0" w:color="auto"/>
              <w:bottom w:val="nil"/>
              <w:right w:val="nil"/>
            </w:tcBorders>
            <w:shd w:val="clear" w:color="000000" w:fill="000000"/>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 xml:space="preserve"> </w:t>
            </w:r>
          </w:p>
        </w:tc>
        <w:tc>
          <w:tcPr>
            <w:tcW w:w="1035" w:type="dxa"/>
            <w:tcBorders>
              <w:top w:val="single" w:sz="6" w:space="0" w:color="auto"/>
              <w:left w:val="nil"/>
              <w:bottom w:val="nil"/>
              <w:right w:val="nil"/>
            </w:tcBorders>
            <w:shd w:val="clear" w:color="000000" w:fill="000000"/>
          </w:tcPr>
          <w:p w:rsidR="00336793" w:rsidRPr="006535CD" w:rsidRDefault="00336793" w:rsidP="00DF0B96">
            <w:pPr>
              <w:pStyle w:val="Tabletextheading"/>
              <w:rPr>
                <w:rFonts w:eastAsiaTheme="minorEastAsia"/>
                <w:iCs/>
                <w:color w:val="FFFFFF"/>
                <w:sz w:val="16"/>
                <w:lang w:eastAsia="en-AU"/>
              </w:rPr>
            </w:pPr>
            <w:r w:rsidRPr="006535CD">
              <w:rPr>
                <w:rFonts w:eastAsiaTheme="minorEastAsia"/>
                <w:iCs/>
                <w:color w:val="FFFFFF"/>
                <w:sz w:val="16"/>
                <w:lang w:eastAsia="en-AU"/>
              </w:rPr>
              <w:t xml:space="preserve"> </w:t>
            </w:r>
          </w:p>
        </w:tc>
        <w:tc>
          <w:tcPr>
            <w:tcW w:w="110" w:type="dxa"/>
            <w:gridSpan w:val="2"/>
            <w:tcBorders>
              <w:top w:val="single" w:sz="6" w:space="0" w:color="auto"/>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960" w:type="dxa"/>
            <w:gridSpan w:val="2"/>
            <w:tcBorders>
              <w:top w:val="single" w:sz="6" w:space="0" w:color="auto"/>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State of Victoria</w:t>
            </w:r>
          </w:p>
        </w:tc>
        <w:tc>
          <w:tcPr>
            <w:tcW w:w="1036" w:type="dxa"/>
            <w:gridSpan w:val="5"/>
            <w:tcBorders>
              <w:top w:val="single" w:sz="6" w:space="0" w:color="auto"/>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16" w:type="dxa"/>
            <w:tcBorders>
              <w:top w:val="single" w:sz="6" w:space="0" w:color="auto"/>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970" w:type="dxa"/>
            <w:gridSpan w:val="2"/>
            <w:tcBorders>
              <w:top w:val="single" w:sz="6" w:space="0" w:color="auto"/>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General government sector</w:t>
            </w:r>
          </w:p>
        </w:tc>
        <w:tc>
          <w:tcPr>
            <w:tcW w:w="1032" w:type="dxa"/>
            <w:tcBorders>
              <w:top w:val="single" w:sz="6" w:space="0" w:color="auto"/>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10" w:type="dxa"/>
            <w:tcBorders>
              <w:top w:val="single" w:sz="6" w:space="0" w:color="auto"/>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955" w:type="dxa"/>
            <w:gridSpan w:val="2"/>
            <w:tcBorders>
              <w:top w:val="single" w:sz="6" w:space="0" w:color="auto"/>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State of Victoria</w:t>
            </w:r>
          </w:p>
        </w:tc>
        <w:tc>
          <w:tcPr>
            <w:tcW w:w="1032" w:type="dxa"/>
            <w:gridSpan w:val="2"/>
            <w:tcBorders>
              <w:top w:val="single" w:sz="6" w:space="0" w:color="auto"/>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11" w:type="dxa"/>
            <w:tcBorders>
              <w:top w:val="single" w:sz="6" w:space="0" w:color="auto"/>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954" w:type="dxa"/>
            <w:gridSpan w:val="2"/>
            <w:tcBorders>
              <w:top w:val="single" w:sz="6" w:space="0" w:color="auto"/>
              <w:left w:val="nil"/>
              <w:bottom w:val="nil"/>
              <w:right w:val="single" w:sz="6" w:space="0" w:color="auto"/>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General government sector</w:t>
            </w:r>
          </w:p>
        </w:tc>
      </w:tr>
      <w:tr w:rsidR="00336793" w:rsidRPr="006535CD" w:rsidTr="00DF0B96">
        <w:tc>
          <w:tcPr>
            <w:tcW w:w="2150" w:type="dxa"/>
            <w:tcBorders>
              <w:top w:val="nil"/>
              <w:left w:val="single" w:sz="6" w:space="0" w:color="auto"/>
              <w:bottom w:val="nil"/>
              <w:right w:val="nil"/>
            </w:tcBorders>
            <w:shd w:val="clear" w:color="000000" w:fill="000000"/>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 xml:space="preserve"> </w:t>
            </w:r>
          </w:p>
        </w:tc>
        <w:tc>
          <w:tcPr>
            <w:tcW w:w="1035" w:type="dxa"/>
            <w:tcBorders>
              <w:top w:val="nil"/>
              <w:left w:val="nil"/>
              <w:bottom w:val="nil"/>
              <w:right w:val="nil"/>
            </w:tcBorders>
            <w:shd w:val="clear" w:color="000000" w:fill="000000"/>
          </w:tcPr>
          <w:p w:rsidR="00336793" w:rsidRPr="006535CD" w:rsidRDefault="00336793" w:rsidP="00DF0B96">
            <w:pPr>
              <w:pStyle w:val="Tabletextheading"/>
              <w:rPr>
                <w:rFonts w:eastAsiaTheme="minorEastAsia"/>
                <w:iCs/>
                <w:color w:val="FFFFFF"/>
                <w:sz w:val="16"/>
                <w:lang w:eastAsia="en-AU"/>
              </w:rPr>
            </w:pPr>
            <w:r w:rsidRPr="006535CD">
              <w:rPr>
                <w:rFonts w:eastAsiaTheme="minorEastAsia"/>
                <w:iCs/>
                <w:color w:val="FFFFFF"/>
                <w:sz w:val="16"/>
                <w:lang w:eastAsia="en-AU"/>
              </w:rPr>
              <w:t xml:space="preserve"> </w:t>
            </w:r>
          </w:p>
        </w:tc>
        <w:tc>
          <w:tcPr>
            <w:tcW w:w="110" w:type="dxa"/>
            <w:gridSpan w:val="2"/>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960" w:type="dxa"/>
            <w:gridSpan w:val="2"/>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2015</w:t>
            </w:r>
          </w:p>
        </w:tc>
        <w:tc>
          <w:tcPr>
            <w:tcW w:w="1036" w:type="dxa"/>
            <w:gridSpan w:val="5"/>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16" w:type="dxa"/>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970" w:type="dxa"/>
            <w:gridSpan w:val="2"/>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2015</w:t>
            </w:r>
          </w:p>
        </w:tc>
        <w:tc>
          <w:tcPr>
            <w:tcW w:w="1032" w:type="dxa"/>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10" w:type="dxa"/>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955" w:type="dxa"/>
            <w:gridSpan w:val="2"/>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2014</w:t>
            </w:r>
          </w:p>
        </w:tc>
        <w:tc>
          <w:tcPr>
            <w:tcW w:w="1032" w:type="dxa"/>
            <w:gridSpan w:val="2"/>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11" w:type="dxa"/>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954" w:type="dxa"/>
            <w:gridSpan w:val="2"/>
            <w:tcBorders>
              <w:top w:val="nil"/>
              <w:left w:val="nil"/>
              <w:bottom w:val="nil"/>
              <w:right w:val="single" w:sz="6" w:space="0" w:color="auto"/>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2014</w:t>
            </w:r>
          </w:p>
        </w:tc>
      </w:tr>
      <w:tr w:rsidR="00336793" w:rsidRPr="006535CD" w:rsidTr="00DF0B96">
        <w:tc>
          <w:tcPr>
            <w:tcW w:w="2150" w:type="dxa"/>
            <w:tcBorders>
              <w:top w:val="nil"/>
              <w:left w:val="single" w:sz="6" w:space="0" w:color="auto"/>
              <w:bottom w:val="nil"/>
              <w:right w:val="nil"/>
            </w:tcBorders>
            <w:shd w:val="clear" w:color="000000" w:fill="000000"/>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 xml:space="preserve"> </w:t>
            </w:r>
          </w:p>
        </w:tc>
        <w:tc>
          <w:tcPr>
            <w:tcW w:w="1035" w:type="dxa"/>
            <w:tcBorders>
              <w:top w:val="nil"/>
              <w:left w:val="nil"/>
              <w:bottom w:val="nil"/>
              <w:right w:val="nil"/>
            </w:tcBorders>
            <w:shd w:val="clear" w:color="000000" w:fill="000000"/>
          </w:tcPr>
          <w:p w:rsidR="00336793" w:rsidRPr="006535CD" w:rsidRDefault="00336793" w:rsidP="00DF0B96">
            <w:pPr>
              <w:pStyle w:val="Tabletextheading"/>
              <w:rPr>
                <w:rFonts w:eastAsiaTheme="minorEastAsia"/>
                <w:iCs/>
                <w:color w:val="FFFFFF"/>
                <w:sz w:val="16"/>
                <w:lang w:eastAsia="en-AU"/>
              </w:rPr>
            </w:pPr>
            <w:r w:rsidRPr="006535CD">
              <w:rPr>
                <w:rFonts w:eastAsiaTheme="minorEastAsia"/>
                <w:iCs/>
                <w:color w:val="FFFFFF"/>
                <w:sz w:val="16"/>
                <w:lang w:eastAsia="en-AU"/>
              </w:rPr>
              <w:t xml:space="preserve"> </w:t>
            </w:r>
          </w:p>
        </w:tc>
        <w:tc>
          <w:tcPr>
            <w:tcW w:w="110" w:type="dxa"/>
            <w:gridSpan w:val="2"/>
            <w:tcBorders>
              <w:top w:val="nil"/>
              <w:left w:val="nil"/>
              <w:bottom w:val="nil"/>
              <w:right w:val="nil"/>
            </w:tcBorders>
            <w:shd w:val="clear" w:color="000000" w:fill="000000"/>
          </w:tcPr>
          <w:p w:rsidR="00336793" w:rsidRPr="006535CD" w:rsidRDefault="00336793" w:rsidP="00DF0B96">
            <w:pPr>
              <w:pStyle w:val="Tabletextheading"/>
              <w:rPr>
                <w:rFonts w:eastAsiaTheme="minorEastAsia"/>
                <w:iCs/>
                <w:color w:val="FFFFFF"/>
                <w:sz w:val="16"/>
                <w:lang w:eastAsia="en-AU"/>
              </w:rPr>
            </w:pPr>
            <w:r w:rsidRPr="006535CD">
              <w:rPr>
                <w:rFonts w:eastAsiaTheme="minorEastAsia"/>
                <w:iCs/>
                <w:color w:val="FFFFFF"/>
                <w:sz w:val="16"/>
                <w:lang w:eastAsia="en-AU"/>
              </w:rPr>
              <w:t xml:space="preserve"> </w:t>
            </w:r>
          </w:p>
        </w:tc>
        <w:tc>
          <w:tcPr>
            <w:tcW w:w="1960" w:type="dxa"/>
            <w:gridSpan w:val="2"/>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Other commitments</w:t>
            </w:r>
          </w:p>
        </w:tc>
        <w:tc>
          <w:tcPr>
            <w:tcW w:w="1036" w:type="dxa"/>
            <w:gridSpan w:val="5"/>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16" w:type="dxa"/>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970" w:type="dxa"/>
            <w:gridSpan w:val="2"/>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Other commitments</w:t>
            </w:r>
          </w:p>
        </w:tc>
        <w:tc>
          <w:tcPr>
            <w:tcW w:w="1032" w:type="dxa"/>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10" w:type="dxa"/>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955" w:type="dxa"/>
            <w:gridSpan w:val="2"/>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Other commitments</w:t>
            </w:r>
          </w:p>
        </w:tc>
        <w:tc>
          <w:tcPr>
            <w:tcW w:w="1032" w:type="dxa"/>
            <w:gridSpan w:val="2"/>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11" w:type="dxa"/>
            <w:tcBorders>
              <w:top w:val="nil"/>
              <w:left w:val="nil"/>
              <w:bottom w:val="nil"/>
              <w:right w:val="nil"/>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 xml:space="preserve"> </w:t>
            </w:r>
          </w:p>
        </w:tc>
        <w:tc>
          <w:tcPr>
            <w:tcW w:w="1954" w:type="dxa"/>
            <w:gridSpan w:val="2"/>
            <w:tcBorders>
              <w:top w:val="nil"/>
              <w:left w:val="nil"/>
              <w:bottom w:val="nil"/>
              <w:right w:val="single" w:sz="6" w:space="0" w:color="auto"/>
            </w:tcBorders>
            <w:shd w:val="clear" w:color="000000" w:fill="000000"/>
          </w:tcPr>
          <w:p w:rsidR="00336793" w:rsidRPr="006535CD" w:rsidRDefault="00336793" w:rsidP="00DF0B96">
            <w:pPr>
              <w:pStyle w:val="TabletextheadingCentred"/>
              <w:rPr>
                <w:rFonts w:eastAsiaTheme="minorEastAsia"/>
                <w:sz w:val="16"/>
                <w:lang w:eastAsia="en-AU"/>
              </w:rPr>
            </w:pPr>
            <w:r w:rsidRPr="006535CD">
              <w:rPr>
                <w:rFonts w:eastAsiaTheme="minorEastAsia"/>
                <w:sz w:val="16"/>
                <w:lang w:eastAsia="en-AU"/>
              </w:rPr>
              <w:t>Other commitments</w:t>
            </w:r>
          </w:p>
        </w:tc>
      </w:tr>
      <w:tr w:rsidR="00336793" w:rsidRPr="006535CD" w:rsidTr="00D96F49">
        <w:tc>
          <w:tcPr>
            <w:tcW w:w="2150" w:type="dxa"/>
            <w:tcBorders>
              <w:top w:val="nil"/>
              <w:left w:val="single" w:sz="6" w:space="0" w:color="auto"/>
              <w:bottom w:val="single" w:sz="6" w:space="0" w:color="auto"/>
              <w:right w:val="nil"/>
            </w:tcBorders>
            <w:shd w:val="clear" w:color="000000" w:fill="000000"/>
          </w:tcPr>
          <w:p w:rsidR="00336793" w:rsidRPr="006535CD" w:rsidRDefault="00336793" w:rsidP="00DF0B96">
            <w:pPr>
              <w:pStyle w:val="Tabletext"/>
              <w:rPr>
                <w:rFonts w:eastAsiaTheme="minorEastAsia"/>
                <w:i/>
                <w:iCs/>
                <w:sz w:val="16"/>
                <w:lang w:eastAsia="en-AU"/>
              </w:rPr>
            </w:pPr>
            <w:r w:rsidRPr="006535CD">
              <w:rPr>
                <w:rFonts w:eastAsiaTheme="minorEastAsia"/>
                <w:i/>
                <w:iCs/>
                <w:sz w:val="16"/>
                <w:lang w:eastAsia="en-AU"/>
              </w:rPr>
              <w:t xml:space="preserve"> </w:t>
            </w:r>
          </w:p>
        </w:tc>
        <w:tc>
          <w:tcPr>
            <w:tcW w:w="1044" w:type="dxa"/>
            <w:gridSpan w:val="2"/>
            <w:tcBorders>
              <w:top w:val="nil"/>
              <w:left w:val="nil"/>
              <w:bottom w:val="single" w:sz="6" w:space="0" w:color="auto"/>
              <w:right w:val="nil"/>
            </w:tcBorders>
            <w:shd w:val="clear" w:color="000000" w:fill="000000"/>
          </w:tcPr>
          <w:p w:rsidR="00336793" w:rsidRPr="006535CD" w:rsidRDefault="00336793" w:rsidP="00DF0B96">
            <w:pPr>
              <w:pStyle w:val="Tabletextheading"/>
              <w:rPr>
                <w:rFonts w:eastAsiaTheme="minorEastAsia"/>
                <w:color w:val="FFFFFF"/>
                <w:sz w:val="16"/>
                <w:lang w:eastAsia="en-AU"/>
              </w:rPr>
            </w:pPr>
            <w:r w:rsidRPr="006535CD">
              <w:rPr>
                <w:rFonts w:eastAsiaTheme="minorEastAsia"/>
                <w:color w:val="FFFFFF"/>
                <w:sz w:val="16"/>
                <w:lang w:eastAsia="en-AU"/>
              </w:rPr>
              <w:t xml:space="preserve"> </w:t>
            </w:r>
          </w:p>
        </w:tc>
        <w:tc>
          <w:tcPr>
            <w:tcW w:w="1026" w:type="dxa"/>
            <w:gridSpan w:val="2"/>
            <w:tcBorders>
              <w:top w:val="nil"/>
              <w:left w:val="nil"/>
              <w:bottom w:val="single" w:sz="6" w:space="0" w:color="auto"/>
              <w:right w:val="nil"/>
            </w:tcBorders>
            <w:shd w:val="clear" w:color="000000" w:fill="000000"/>
          </w:tcPr>
          <w:p w:rsidR="00336793" w:rsidRPr="006535CD" w:rsidRDefault="00336793" w:rsidP="00DF0B96">
            <w:pPr>
              <w:pStyle w:val="Tabletextheading"/>
              <w:rPr>
                <w:rFonts w:eastAsiaTheme="minorEastAsia" w:cs="Calibri"/>
                <w:iCs/>
                <w:color w:val="FFFFFF"/>
                <w:sz w:val="16"/>
                <w:szCs w:val="19"/>
                <w:lang w:eastAsia="en-AU"/>
              </w:rPr>
            </w:pPr>
            <w:r w:rsidRPr="006535CD">
              <w:rPr>
                <w:rFonts w:eastAsiaTheme="minorEastAsia"/>
                <w:iCs/>
                <w:color w:val="FFFFFF"/>
                <w:sz w:val="16"/>
                <w:lang w:eastAsia="en-AU"/>
              </w:rPr>
              <w:t>Present value</w:t>
            </w:r>
          </w:p>
        </w:tc>
        <w:tc>
          <w:tcPr>
            <w:tcW w:w="1035" w:type="dxa"/>
            <w:tcBorders>
              <w:top w:val="nil"/>
              <w:left w:val="nil"/>
              <w:bottom w:val="single" w:sz="6" w:space="0" w:color="auto"/>
              <w:right w:val="nil"/>
            </w:tcBorders>
            <w:shd w:val="clear" w:color="000000" w:fill="000000"/>
          </w:tcPr>
          <w:p w:rsidR="00336793" w:rsidRPr="006535CD" w:rsidRDefault="00336793" w:rsidP="00DF0B96">
            <w:pPr>
              <w:pStyle w:val="Tabletextheading"/>
              <w:rPr>
                <w:rFonts w:eastAsiaTheme="minorEastAsia"/>
                <w:iCs/>
                <w:color w:val="FFFFFF"/>
                <w:sz w:val="16"/>
                <w:lang w:eastAsia="en-AU"/>
              </w:rPr>
            </w:pPr>
            <w:r w:rsidRPr="006535CD">
              <w:rPr>
                <w:rFonts w:eastAsiaTheme="minorEastAsia"/>
                <w:iCs/>
                <w:color w:val="FFFFFF"/>
                <w:sz w:val="16"/>
                <w:lang w:eastAsia="en-AU"/>
              </w:rPr>
              <w:t>Nominal value</w:t>
            </w:r>
          </w:p>
        </w:tc>
        <w:tc>
          <w:tcPr>
            <w:tcW w:w="1036" w:type="dxa"/>
            <w:gridSpan w:val="5"/>
            <w:tcBorders>
              <w:top w:val="nil"/>
              <w:left w:val="nil"/>
              <w:bottom w:val="single" w:sz="6" w:space="0" w:color="auto"/>
              <w:right w:val="nil"/>
            </w:tcBorders>
            <w:shd w:val="clear" w:color="000000" w:fill="000000"/>
          </w:tcPr>
          <w:p w:rsidR="00336793" w:rsidRPr="006535CD" w:rsidRDefault="00336793" w:rsidP="00DF0B96">
            <w:pPr>
              <w:pStyle w:val="Tabletextheading"/>
              <w:rPr>
                <w:rFonts w:eastAsiaTheme="minorEastAsia"/>
                <w:color w:val="FFFFFF"/>
                <w:sz w:val="16"/>
                <w:lang w:eastAsia="en-AU"/>
              </w:rPr>
            </w:pPr>
            <w:r w:rsidRPr="006535CD">
              <w:rPr>
                <w:rFonts w:eastAsiaTheme="minorEastAsia"/>
                <w:color w:val="FFFFFF"/>
                <w:sz w:val="16"/>
                <w:lang w:eastAsia="en-AU"/>
              </w:rPr>
              <w:t xml:space="preserve"> </w:t>
            </w:r>
          </w:p>
        </w:tc>
        <w:tc>
          <w:tcPr>
            <w:tcW w:w="1035" w:type="dxa"/>
            <w:gridSpan w:val="2"/>
            <w:tcBorders>
              <w:top w:val="nil"/>
              <w:left w:val="nil"/>
              <w:bottom w:val="single" w:sz="6" w:space="0" w:color="auto"/>
              <w:right w:val="nil"/>
            </w:tcBorders>
            <w:shd w:val="clear" w:color="000000" w:fill="000000"/>
          </w:tcPr>
          <w:p w:rsidR="00336793" w:rsidRPr="006535CD" w:rsidRDefault="00336793" w:rsidP="00DF0B96">
            <w:pPr>
              <w:pStyle w:val="Tabletextheading"/>
              <w:rPr>
                <w:rFonts w:eastAsiaTheme="minorEastAsia" w:cs="Calibri"/>
                <w:iCs/>
                <w:color w:val="FFFFFF"/>
                <w:sz w:val="16"/>
                <w:szCs w:val="19"/>
                <w:lang w:eastAsia="en-AU"/>
              </w:rPr>
            </w:pPr>
            <w:r w:rsidRPr="006535CD">
              <w:rPr>
                <w:rFonts w:eastAsiaTheme="minorEastAsia"/>
                <w:iCs/>
                <w:color w:val="FFFFFF"/>
                <w:sz w:val="16"/>
                <w:lang w:eastAsia="en-AU"/>
              </w:rPr>
              <w:t>Present value</w:t>
            </w:r>
          </w:p>
        </w:tc>
        <w:tc>
          <w:tcPr>
            <w:tcW w:w="1051" w:type="dxa"/>
            <w:tcBorders>
              <w:top w:val="nil"/>
              <w:left w:val="nil"/>
              <w:bottom w:val="single" w:sz="6" w:space="0" w:color="auto"/>
              <w:right w:val="nil"/>
            </w:tcBorders>
            <w:shd w:val="clear" w:color="000000" w:fill="000000"/>
          </w:tcPr>
          <w:p w:rsidR="00336793" w:rsidRPr="006535CD" w:rsidRDefault="00336793" w:rsidP="00DF0B96">
            <w:pPr>
              <w:pStyle w:val="Tabletextheading"/>
              <w:rPr>
                <w:rFonts w:eastAsiaTheme="minorEastAsia"/>
                <w:iCs/>
                <w:color w:val="FFFFFF"/>
                <w:sz w:val="16"/>
                <w:lang w:eastAsia="en-AU"/>
              </w:rPr>
            </w:pPr>
            <w:r w:rsidRPr="006535CD">
              <w:rPr>
                <w:rFonts w:eastAsiaTheme="minorEastAsia"/>
                <w:iCs/>
                <w:color w:val="FFFFFF"/>
                <w:sz w:val="16"/>
                <w:lang w:eastAsia="en-AU"/>
              </w:rPr>
              <w:t>Nominal value</w:t>
            </w:r>
          </w:p>
        </w:tc>
        <w:tc>
          <w:tcPr>
            <w:tcW w:w="1032" w:type="dxa"/>
            <w:tcBorders>
              <w:top w:val="nil"/>
              <w:left w:val="nil"/>
              <w:bottom w:val="single" w:sz="6" w:space="0" w:color="auto"/>
              <w:right w:val="nil"/>
            </w:tcBorders>
            <w:shd w:val="clear" w:color="000000" w:fill="000000"/>
          </w:tcPr>
          <w:p w:rsidR="00336793" w:rsidRPr="006535CD" w:rsidRDefault="00336793" w:rsidP="00DF0B96">
            <w:pPr>
              <w:pStyle w:val="Tabletextheading"/>
              <w:rPr>
                <w:rFonts w:eastAsiaTheme="minorEastAsia"/>
                <w:color w:val="FFFFFF"/>
                <w:sz w:val="16"/>
                <w:lang w:eastAsia="en-AU"/>
              </w:rPr>
            </w:pPr>
            <w:r w:rsidRPr="006535CD">
              <w:rPr>
                <w:rFonts w:eastAsiaTheme="minorEastAsia"/>
                <w:color w:val="FFFFFF"/>
                <w:sz w:val="16"/>
                <w:lang w:eastAsia="en-AU"/>
              </w:rPr>
              <w:t xml:space="preserve"> </w:t>
            </w:r>
          </w:p>
        </w:tc>
        <w:tc>
          <w:tcPr>
            <w:tcW w:w="1049" w:type="dxa"/>
            <w:gridSpan w:val="2"/>
            <w:tcBorders>
              <w:top w:val="nil"/>
              <w:left w:val="nil"/>
              <w:bottom w:val="single" w:sz="6" w:space="0" w:color="auto"/>
              <w:right w:val="nil"/>
            </w:tcBorders>
            <w:shd w:val="clear" w:color="000000" w:fill="000000"/>
          </w:tcPr>
          <w:p w:rsidR="00336793" w:rsidRPr="006535CD" w:rsidRDefault="00336793" w:rsidP="00DF0B96">
            <w:pPr>
              <w:pStyle w:val="Tabletextheading"/>
              <w:rPr>
                <w:rFonts w:eastAsiaTheme="minorEastAsia"/>
                <w:iCs/>
                <w:color w:val="FFFFFF"/>
                <w:sz w:val="16"/>
                <w:lang w:eastAsia="en-AU"/>
              </w:rPr>
            </w:pPr>
            <w:r w:rsidRPr="006535CD">
              <w:rPr>
                <w:rFonts w:eastAsiaTheme="minorEastAsia"/>
                <w:iCs/>
                <w:color w:val="FFFFFF"/>
                <w:sz w:val="16"/>
                <w:lang w:eastAsia="en-AU"/>
              </w:rPr>
              <w:t>Present value</w:t>
            </w:r>
          </w:p>
        </w:tc>
        <w:tc>
          <w:tcPr>
            <w:tcW w:w="1070" w:type="dxa"/>
            <w:gridSpan w:val="2"/>
            <w:tcBorders>
              <w:top w:val="nil"/>
              <w:left w:val="nil"/>
              <w:bottom w:val="single" w:sz="6" w:space="0" w:color="auto"/>
              <w:right w:val="nil"/>
            </w:tcBorders>
            <w:shd w:val="clear" w:color="000000" w:fill="000000"/>
          </w:tcPr>
          <w:p w:rsidR="00336793" w:rsidRPr="006535CD" w:rsidRDefault="00336793" w:rsidP="00D96F49">
            <w:pPr>
              <w:pStyle w:val="Tabletextheading"/>
              <w:jc w:val="left"/>
              <w:rPr>
                <w:rFonts w:eastAsiaTheme="minorEastAsia"/>
                <w:iCs/>
                <w:color w:val="FFFFFF"/>
                <w:sz w:val="16"/>
                <w:lang w:eastAsia="en-AU"/>
              </w:rPr>
            </w:pPr>
            <w:r w:rsidRPr="006535CD">
              <w:rPr>
                <w:rFonts w:eastAsiaTheme="minorEastAsia"/>
                <w:iCs/>
                <w:color w:val="FFFFFF"/>
                <w:sz w:val="16"/>
                <w:lang w:eastAsia="en-AU"/>
              </w:rPr>
              <w:t>Nominal value</w:t>
            </w:r>
          </w:p>
        </w:tc>
        <w:tc>
          <w:tcPr>
            <w:tcW w:w="978" w:type="dxa"/>
            <w:tcBorders>
              <w:top w:val="nil"/>
              <w:left w:val="nil"/>
              <w:bottom w:val="single" w:sz="6" w:space="0" w:color="auto"/>
              <w:right w:val="nil"/>
            </w:tcBorders>
            <w:shd w:val="clear" w:color="000000" w:fill="000000"/>
          </w:tcPr>
          <w:p w:rsidR="00336793" w:rsidRPr="006535CD" w:rsidRDefault="00336793" w:rsidP="00DF0B96">
            <w:pPr>
              <w:pStyle w:val="Tabletextheading"/>
              <w:rPr>
                <w:rFonts w:eastAsiaTheme="minorEastAsia"/>
                <w:color w:val="FFFFFF"/>
                <w:sz w:val="16"/>
                <w:lang w:eastAsia="en-AU"/>
              </w:rPr>
            </w:pPr>
            <w:r w:rsidRPr="006535CD">
              <w:rPr>
                <w:rFonts w:eastAsiaTheme="minorEastAsia"/>
                <w:color w:val="FFFFFF"/>
                <w:sz w:val="16"/>
                <w:lang w:eastAsia="en-AU"/>
              </w:rPr>
              <w:t xml:space="preserve"> </w:t>
            </w:r>
          </w:p>
        </w:tc>
        <w:tc>
          <w:tcPr>
            <w:tcW w:w="1030" w:type="dxa"/>
            <w:gridSpan w:val="2"/>
            <w:tcBorders>
              <w:top w:val="nil"/>
              <w:left w:val="nil"/>
              <w:bottom w:val="single" w:sz="6" w:space="0" w:color="auto"/>
              <w:right w:val="nil"/>
            </w:tcBorders>
            <w:shd w:val="clear" w:color="000000" w:fill="000000"/>
          </w:tcPr>
          <w:p w:rsidR="00336793" w:rsidRPr="006535CD" w:rsidRDefault="00336793" w:rsidP="00DF0B96">
            <w:pPr>
              <w:pStyle w:val="Tabletextheading"/>
              <w:rPr>
                <w:rFonts w:eastAsiaTheme="minorEastAsia"/>
                <w:iCs/>
                <w:color w:val="FFFFFF"/>
                <w:sz w:val="16"/>
                <w:lang w:eastAsia="en-AU"/>
              </w:rPr>
            </w:pPr>
            <w:r w:rsidRPr="006535CD">
              <w:rPr>
                <w:rFonts w:eastAsiaTheme="minorEastAsia"/>
                <w:iCs/>
                <w:color w:val="FFFFFF"/>
                <w:sz w:val="16"/>
                <w:lang w:eastAsia="en-AU"/>
              </w:rPr>
              <w:t>Present value</w:t>
            </w:r>
          </w:p>
        </w:tc>
        <w:tc>
          <w:tcPr>
            <w:tcW w:w="1035" w:type="dxa"/>
            <w:tcBorders>
              <w:top w:val="nil"/>
              <w:left w:val="nil"/>
              <w:bottom w:val="single" w:sz="6" w:space="0" w:color="auto"/>
              <w:right w:val="single" w:sz="6" w:space="0" w:color="auto"/>
            </w:tcBorders>
            <w:shd w:val="clear" w:color="000000" w:fill="000000"/>
          </w:tcPr>
          <w:p w:rsidR="00336793" w:rsidRPr="006535CD" w:rsidRDefault="00336793" w:rsidP="00DF0B96">
            <w:pPr>
              <w:pStyle w:val="Tabletextheading"/>
              <w:rPr>
                <w:rFonts w:eastAsiaTheme="minorEastAsia"/>
                <w:iCs/>
                <w:color w:val="FFFFFF"/>
                <w:sz w:val="16"/>
                <w:lang w:eastAsia="en-AU"/>
              </w:rPr>
            </w:pPr>
            <w:r w:rsidRPr="006535CD">
              <w:rPr>
                <w:rFonts w:eastAsiaTheme="minorEastAsia"/>
                <w:iCs/>
                <w:color w:val="FFFFFF"/>
                <w:sz w:val="16"/>
                <w:lang w:eastAsia="en-AU"/>
              </w:rPr>
              <w:t>Nominal value</w:t>
            </w:r>
          </w:p>
        </w:tc>
      </w:tr>
      <w:tr w:rsidR="00336793" w:rsidRPr="006535CD" w:rsidTr="00DF0B96">
        <w:trPr>
          <w:trHeight w:hRule="exact" w:val="120"/>
        </w:trPr>
        <w:tc>
          <w:tcPr>
            <w:tcW w:w="2150" w:type="dxa"/>
            <w:tcBorders>
              <w:top w:val="single" w:sz="6" w:space="0" w:color="auto"/>
              <w:left w:val="nil"/>
              <w:bottom w:val="nil"/>
              <w:right w:val="nil"/>
            </w:tcBorders>
          </w:tcPr>
          <w:p w:rsidR="00336793" w:rsidRPr="006535CD" w:rsidRDefault="00336793" w:rsidP="00DF0B96">
            <w:pPr>
              <w:pStyle w:val="Tabletext"/>
              <w:rPr>
                <w:rFonts w:eastAsiaTheme="minorEastAsia"/>
                <w:i/>
                <w:iCs/>
                <w:sz w:val="16"/>
                <w:lang w:eastAsia="en-AU"/>
              </w:rPr>
            </w:pPr>
            <w:r w:rsidRPr="006535CD">
              <w:rPr>
                <w:rFonts w:eastAsiaTheme="minorEastAsia"/>
                <w:i/>
                <w:iCs/>
                <w:sz w:val="16"/>
                <w:lang w:eastAsia="en-AU"/>
              </w:rPr>
              <w:t xml:space="preserve"> </w:t>
            </w:r>
          </w:p>
        </w:tc>
        <w:tc>
          <w:tcPr>
            <w:tcW w:w="1035" w:type="dxa"/>
            <w:tcBorders>
              <w:top w:val="single" w:sz="6" w:space="0" w:color="auto"/>
              <w:left w:val="nil"/>
              <w:bottom w:val="nil"/>
              <w:right w:val="nil"/>
            </w:tcBorders>
          </w:tcPr>
          <w:p w:rsidR="00336793" w:rsidRPr="006535CD" w:rsidRDefault="00336793" w:rsidP="00DF0B96">
            <w:pPr>
              <w:pStyle w:val="TableofFigures"/>
              <w:rPr>
                <w:rFonts w:eastAsiaTheme="minorEastAsia"/>
                <w:i/>
                <w:sz w:val="16"/>
                <w:lang w:eastAsia="en-AU"/>
              </w:rPr>
            </w:pPr>
            <w:r w:rsidRPr="006535CD">
              <w:rPr>
                <w:rFonts w:eastAsiaTheme="minorEastAsia"/>
                <w:i/>
                <w:sz w:val="16"/>
                <w:lang w:eastAsia="en-AU"/>
              </w:rPr>
              <w:t xml:space="preserve"> </w:t>
            </w:r>
          </w:p>
        </w:tc>
        <w:tc>
          <w:tcPr>
            <w:tcW w:w="1035" w:type="dxa"/>
            <w:gridSpan w:val="3"/>
            <w:tcBorders>
              <w:top w:val="single" w:sz="6" w:space="0" w:color="auto"/>
              <w:left w:val="nil"/>
              <w:bottom w:val="nil"/>
              <w:right w:val="nil"/>
            </w:tcBorders>
          </w:tcPr>
          <w:p w:rsidR="00336793" w:rsidRPr="006535CD" w:rsidRDefault="00336793" w:rsidP="00DF0B96">
            <w:pPr>
              <w:pStyle w:val="TableofFigures"/>
              <w:rPr>
                <w:rFonts w:eastAsiaTheme="minorEastAsia"/>
                <w:i/>
                <w:iCs/>
                <w:sz w:val="16"/>
                <w:lang w:eastAsia="en-AU"/>
              </w:rPr>
            </w:pPr>
            <w:r w:rsidRPr="006535CD">
              <w:rPr>
                <w:rFonts w:eastAsiaTheme="minorEastAsia"/>
                <w:i/>
                <w:iCs/>
                <w:sz w:val="16"/>
                <w:lang w:eastAsia="en-AU"/>
              </w:rPr>
              <w:t xml:space="preserve"> </w:t>
            </w:r>
          </w:p>
        </w:tc>
        <w:tc>
          <w:tcPr>
            <w:tcW w:w="1035" w:type="dxa"/>
            <w:tcBorders>
              <w:top w:val="single" w:sz="6" w:space="0" w:color="auto"/>
              <w:left w:val="nil"/>
              <w:bottom w:val="nil"/>
              <w:right w:val="nil"/>
            </w:tcBorders>
          </w:tcPr>
          <w:p w:rsidR="00336793" w:rsidRPr="006535CD" w:rsidRDefault="00336793" w:rsidP="00DF0B96">
            <w:pPr>
              <w:pStyle w:val="TableofFigures"/>
              <w:rPr>
                <w:rFonts w:eastAsiaTheme="minorEastAsia"/>
                <w:i/>
                <w:iCs/>
                <w:sz w:val="16"/>
                <w:lang w:eastAsia="en-AU"/>
              </w:rPr>
            </w:pPr>
            <w:r w:rsidRPr="006535CD">
              <w:rPr>
                <w:rFonts w:eastAsiaTheme="minorEastAsia"/>
                <w:i/>
                <w:iCs/>
                <w:sz w:val="16"/>
                <w:lang w:eastAsia="en-AU"/>
              </w:rPr>
              <w:t xml:space="preserve"> </w:t>
            </w:r>
          </w:p>
        </w:tc>
        <w:tc>
          <w:tcPr>
            <w:tcW w:w="1036" w:type="dxa"/>
            <w:gridSpan w:val="5"/>
            <w:tcBorders>
              <w:top w:val="single" w:sz="6" w:space="0" w:color="auto"/>
              <w:left w:val="nil"/>
              <w:bottom w:val="nil"/>
              <w:right w:val="nil"/>
            </w:tcBorders>
          </w:tcPr>
          <w:p w:rsidR="00336793" w:rsidRPr="006535CD" w:rsidRDefault="00336793" w:rsidP="00DF0B96">
            <w:pPr>
              <w:pStyle w:val="TableofFigures"/>
              <w:rPr>
                <w:rFonts w:eastAsiaTheme="minorEastAsia"/>
                <w:i/>
                <w:sz w:val="16"/>
                <w:lang w:eastAsia="en-AU"/>
              </w:rPr>
            </w:pPr>
            <w:r w:rsidRPr="006535CD">
              <w:rPr>
                <w:rFonts w:eastAsiaTheme="minorEastAsia"/>
                <w:i/>
                <w:sz w:val="16"/>
                <w:lang w:eastAsia="en-AU"/>
              </w:rPr>
              <w:t xml:space="preserve"> </w:t>
            </w:r>
          </w:p>
        </w:tc>
        <w:tc>
          <w:tcPr>
            <w:tcW w:w="1035" w:type="dxa"/>
            <w:gridSpan w:val="2"/>
            <w:tcBorders>
              <w:top w:val="single" w:sz="6" w:space="0" w:color="auto"/>
              <w:left w:val="nil"/>
              <w:bottom w:val="nil"/>
              <w:right w:val="nil"/>
            </w:tcBorders>
          </w:tcPr>
          <w:p w:rsidR="00336793" w:rsidRPr="006535CD" w:rsidRDefault="00336793" w:rsidP="00DF0B96">
            <w:pPr>
              <w:pStyle w:val="TableofFigures"/>
              <w:rPr>
                <w:rFonts w:eastAsiaTheme="minorEastAsia"/>
                <w:i/>
                <w:iCs/>
                <w:sz w:val="16"/>
                <w:lang w:eastAsia="en-AU"/>
              </w:rPr>
            </w:pPr>
            <w:r w:rsidRPr="006535CD">
              <w:rPr>
                <w:rFonts w:eastAsiaTheme="minorEastAsia"/>
                <w:i/>
                <w:iCs/>
                <w:sz w:val="16"/>
                <w:lang w:eastAsia="en-AU"/>
              </w:rPr>
              <w:t xml:space="preserve"> </w:t>
            </w:r>
          </w:p>
        </w:tc>
        <w:tc>
          <w:tcPr>
            <w:tcW w:w="1051" w:type="dxa"/>
            <w:tcBorders>
              <w:top w:val="single" w:sz="6" w:space="0" w:color="auto"/>
              <w:left w:val="nil"/>
              <w:bottom w:val="nil"/>
              <w:right w:val="nil"/>
            </w:tcBorders>
          </w:tcPr>
          <w:p w:rsidR="00336793" w:rsidRPr="006535CD" w:rsidRDefault="00336793" w:rsidP="00DF0B96">
            <w:pPr>
              <w:pStyle w:val="TableofFigures"/>
              <w:rPr>
                <w:rFonts w:eastAsiaTheme="minorEastAsia"/>
                <w:i/>
                <w:iCs/>
                <w:sz w:val="16"/>
                <w:lang w:eastAsia="en-AU"/>
              </w:rPr>
            </w:pPr>
            <w:r w:rsidRPr="006535CD">
              <w:rPr>
                <w:rFonts w:eastAsiaTheme="minorEastAsia"/>
                <w:i/>
                <w:iCs/>
                <w:sz w:val="16"/>
                <w:lang w:eastAsia="en-AU"/>
              </w:rPr>
              <w:t xml:space="preserve"> </w:t>
            </w:r>
          </w:p>
        </w:tc>
        <w:tc>
          <w:tcPr>
            <w:tcW w:w="1032" w:type="dxa"/>
            <w:tcBorders>
              <w:top w:val="single" w:sz="6" w:space="0" w:color="auto"/>
              <w:left w:val="nil"/>
              <w:bottom w:val="nil"/>
              <w:right w:val="nil"/>
            </w:tcBorders>
          </w:tcPr>
          <w:p w:rsidR="00336793" w:rsidRPr="006535CD" w:rsidRDefault="00336793" w:rsidP="00DF0B96">
            <w:pPr>
              <w:pStyle w:val="TableofFigures"/>
              <w:rPr>
                <w:rFonts w:eastAsiaTheme="minorEastAsia"/>
                <w:i/>
                <w:sz w:val="16"/>
                <w:lang w:eastAsia="en-AU"/>
              </w:rPr>
            </w:pPr>
            <w:r w:rsidRPr="006535CD">
              <w:rPr>
                <w:rFonts w:eastAsiaTheme="minorEastAsia"/>
                <w:i/>
                <w:sz w:val="16"/>
                <w:lang w:eastAsia="en-AU"/>
              </w:rPr>
              <w:t xml:space="preserve"> </w:t>
            </w:r>
          </w:p>
        </w:tc>
        <w:tc>
          <w:tcPr>
            <w:tcW w:w="1049" w:type="dxa"/>
            <w:gridSpan w:val="2"/>
            <w:tcBorders>
              <w:top w:val="single" w:sz="6" w:space="0" w:color="auto"/>
              <w:left w:val="nil"/>
              <w:bottom w:val="nil"/>
              <w:right w:val="nil"/>
            </w:tcBorders>
          </w:tcPr>
          <w:p w:rsidR="00336793" w:rsidRPr="006535CD" w:rsidRDefault="00336793" w:rsidP="00DF0B96">
            <w:pPr>
              <w:pStyle w:val="TableofFigures"/>
              <w:rPr>
                <w:rFonts w:eastAsiaTheme="minorEastAsia"/>
                <w:i/>
                <w:iCs/>
                <w:sz w:val="16"/>
                <w:lang w:eastAsia="en-AU"/>
              </w:rPr>
            </w:pPr>
            <w:r w:rsidRPr="006535CD">
              <w:rPr>
                <w:rFonts w:eastAsiaTheme="minorEastAsia"/>
                <w:i/>
                <w:iCs/>
                <w:sz w:val="16"/>
                <w:lang w:eastAsia="en-AU"/>
              </w:rPr>
              <w:t xml:space="preserve"> </w:t>
            </w:r>
          </w:p>
        </w:tc>
        <w:tc>
          <w:tcPr>
            <w:tcW w:w="1016" w:type="dxa"/>
            <w:tcBorders>
              <w:top w:val="single" w:sz="6" w:space="0" w:color="auto"/>
              <w:left w:val="nil"/>
              <w:bottom w:val="nil"/>
              <w:right w:val="nil"/>
            </w:tcBorders>
          </w:tcPr>
          <w:p w:rsidR="00336793" w:rsidRPr="006535CD" w:rsidRDefault="00336793" w:rsidP="00DF0B96">
            <w:pPr>
              <w:pStyle w:val="TableofFigures"/>
              <w:rPr>
                <w:rFonts w:eastAsiaTheme="minorEastAsia"/>
                <w:i/>
                <w:iCs/>
                <w:sz w:val="16"/>
                <w:lang w:eastAsia="en-AU"/>
              </w:rPr>
            </w:pPr>
            <w:r w:rsidRPr="006535CD">
              <w:rPr>
                <w:rFonts w:eastAsiaTheme="minorEastAsia"/>
                <w:i/>
                <w:iCs/>
                <w:sz w:val="16"/>
                <w:lang w:eastAsia="en-AU"/>
              </w:rPr>
              <w:t xml:space="preserve"> </w:t>
            </w:r>
          </w:p>
        </w:tc>
        <w:tc>
          <w:tcPr>
            <w:tcW w:w="1032" w:type="dxa"/>
            <w:gridSpan w:val="2"/>
            <w:tcBorders>
              <w:top w:val="single" w:sz="6" w:space="0" w:color="auto"/>
              <w:left w:val="nil"/>
              <w:bottom w:val="nil"/>
              <w:right w:val="nil"/>
            </w:tcBorders>
          </w:tcPr>
          <w:p w:rsidR="00336793" w:rsidRPr="006535CD" w:rsidRDefault="00336793" w:rsidP="00DF0B96">
            <w:pPr>
              <w:pStyle w:val="TableofFigures"/>
              <w:rPr>
                <w:rFonts w:eastAsiaTheme="minorEastAsia"/>
                <w:i/>
                <w:sz w:val="16"/>
                <w:lang w:eastAsia="en-AU"/>
              </w:rPr>
            </w:pPr>
            <w:r w:rsidRPr="006535CD">
              <w:rPr>
                <w:rFonts w:eastAsiaTheme="minorEastAsia"/>
                <w:i/>
                <w:sz w:val="16"/>
                <w:lang w:eastAsia="en-AU"/>
              </w:rPr>
              <w:t xml:space="preserve"> </w:t>
            </w:r>
          </w:p>
        </w:tc>
        <w:tc>
          <w:tcPr>
            <w:tcW w:w="1030" w:type="dxa"/>
            <w:gridSpan w:val="2"/>
            <w:tcBorders>
              <w:top w:val="single" w:sz="6" w:space="0" w:color="auto"/>
              <w:left w:val="nil"/>
              <w:bottom w:val="nil"/>
              <w:right w:val="nil"/>
            </w:tcBorders>
          </w:tcPr>
          <w:p w:rsidR="00336793" w:rsidRPr="006535CD" w:rsidRDefault="00336793" w:rsidP="00DF0B96">
            <w:pPr>
              <w:pStyle w:val="TableofFigures"/>
              <w:rPr>
                <w:rFonts w:eastAsiaTheme="minorEastAsia"/>
                <w:i/>
                <w:iCs/>
                <w:sz w:val="16"/>
                <w:lang w:eastAsia="en-AU"/>
              </w:rPr>
            </w:pPr>
            <w:r w:rsidRPr="006535CD">
              <w:rPr>
                <w:rFonts w:eastAsiaTheme="minorEastAsia"/>
                <w:i/>
                <w:iCs/>
                <w:sz w:val="16"/>
                <w:lang w:eastAsia="en-AU"/>
              </w:rPr>
              <w:t xml:space="preserve"> </w:t>
            </w:r>
          </w:p>
        </w:tc>
        <w:tc>
          <w:tcPr>
            <w:tcW w:w="1035" w:type="dxa"/>
            <w:tcBorders>
              <w:top w:val="single" w:sz="6" w:space="0" w:color="auto"/>
              <w:left w:val="nil"/>
              <w:bottom w:val="nil"/>
              <w:right w:val="nil"/>
            </w:tcBorders>
          </w:tcPr>
          <w:p w:rsidR="00336793" w:rsidRPr="006535CD" w:rsidRDefault="00336793" w:rsidP="00DF0B96">
            <w:pPr>
              <w:pStyle w:val="TableofFigures"/>
              <w:rPr>
                <w:rFonts w:eastAsiaTheme="minorEastAsia"/>
                <w:i/>
                <w:iCs/>
                <w:sz w:val="16"/>
                <w:lang w:eastAsia="en-AU"/>
              </w:rPr>
            </w:pPr>
            <w:r w:rsidRPr="006535CD">
              <w:rPr>
                <w:rFonts w:eastAsiaTheme="minorEastAsia"/>
                <w:i/>
                <w:iCs/>
                <w:sz w:val="16"/>
                <w:lang w:eastAsia="en-AU"/>
              </w:rPr>
              <w:t xml:space="preserve"> </w:t>
            </w:r>
          </w:p>
        </w:tc>
      </w:tr>
      <w:tr w:rsidR="00336793" w:rsidRPr="006535CD" w:rsidTr="00DF0B96">
        <w:tc>
          <w:tcPr>
            <w:tcW w:w="5383" w:type="dxa"/>
            <w:gridSpan w:val="7"/>
            <w:tcBorders>
              <w:top w:val="nil"/>
              <w:left w:val="nil"/>
              <w:bottom w:val="nil"/>
              <w:right w:val="nil"/>
            </w:tcBorders>
          </w:tcPr>
          <w:p w:rsidR="00336793" w:rsidRPr="006535CD" w:rsidRDefault="00336793" w:rsidP="00DF0B96">
            <w:pPr>
              <w:pStyle w:val="Tabletext"/>
              <w:rPr>
                <w:rFonts w:eastAsiaTheme="minorEastAsia"/>
                <w:b/>
                <w:bCs/>
                <w:sz w:val="16"/>
                <w:lang w:eastAsia="en-AU"/>
              </w:rPr>
            </w:pPr>
            <w:r w:rsidRPr="006535CD">
              <w:rPr>
                <w:rFonts w:eastAsiaTheme="minorEastAsia"/>
                <w:b/>
                <w:bCs/>
                <w:sz w:val="16"/>
                <w:lang w:eastAsia="en-AU"/>
              </w:rPr>
              <w:t>Commissioned Public Private Partnerships other commitments</w:t>
            </w:r>
          </w:p>
        </w:tc>
        <w:tc>
          <w:tcPr>
            <w:tcW w:w="227" w:type="dxa"/>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227" w:type="dxa"/>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227" w:type="dxa"/>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227" w:type="dxa"/>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1035" w:type="dxa"/>
            <w:gridSpan w:val="2"/>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1051" w:type="dxa"/>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1032" w:type="dxa"/>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1049" w:type="dxa"/>
            <w:gridSpan w:val="2"/>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1016" w:type="dxa"/>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1032" w:type="dxa"/>
            <w:gridSpan w:val="2"/>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1035" w:type="dxa"/>
            <w:tcBorders>
              <w:top w:val="nil"/>
              <w:left w:val="nil"/>
              <w:bottom w:val="nil"/>
              <w:right w:val="nil"/>
            </w:tcBorders>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AgriBio Project</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120.1</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310.5</w:t>
            </w:r>
          </w:p>
        </w:tc>
        <w:tc>
          <w:tcPr>
            <w:tcW w:w="1036" w:type="dxa"/>
            <w:gridSpan w:val="5"/>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120.1</w:t>
            </w:r>
          </w:p>
        </w:tc>
        <w:tc>
          <w:tcPr>
            <w:tcW w:w="1051"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310.5</w:t>
            </w:r>
          </w:p>
        </w:tc>
        <w:tc>
          <w:tcPr>
            <w:tcW w:w="1032"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117.3</w:t>
            </w:r>
          </w:p>
        </w:tc>
        <w:tc>
          <w:tcPr>
            <w:tcW w:w="1016"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319.1</w:t>
            </w:r>
          </w:p>
        </w:tc>
        <w:tc>
          <w:tcPr>
            <w:tcW w:w="1032"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117.3</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319.1</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Barwon Water</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64.7</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112.4</w:t>
            </w:r>
          </w:p>
        </w:tc>
        <w:tc>
          <w:tcPr>
            <w:tcW w:w="1036" w:type="dxa"/>
            <w:gridSpan w:val="5"/>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c>
          <w:tcPr>
            <w:tcW w:w="1051"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c>
          <w:tcPr>
            <w:tcW w:w="1032"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72.3</w:t>
            </w:r>
          </w:p>
        </w:tc>
        <w:tc>
          <w:tcPr>
            <w:tcW w:w="1016"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130.5</w:t>
            </w:r>
          </w:p>
        </w:tc>
        <w:tc>
          <w:tcPr>
            <w:tcW w:w="1032"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Casey Hospital</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62.0</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117.8</w:t>
            </w:r>
          </w:p>
        </w:tc>
        <w:tc>
          <w:tcPr>
            <w:tcW w:w="1036" w:type="dxa"/>
            <w:gridSpan w:val="5"/>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62.0</w:t>
            </w:r>
          </w:p>
        </w:tc>
        <w:tc>
          <w:tcPr>
            <w:tcW w:w="1051"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117.8</w:t>
            </w:r>
          </w:p>
        </w:tc>
        <w:tc>
          <w:tcPr>
            <w:tcW w:w="1032"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67.5</w:t>
            </w:r>
          </w:p>
        </w:tc>
        <w:tc>
          <w:tcPr>
            <w:tcW w:w="1016"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121.3</w:t>
            </w:r>
          </w:p>
        </w:tc>
        <w:tc>
          <w:tcPr>
            <w:tcW w:w="1032"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67.5</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121.3</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Central Highlands Water</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59.9</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70.9</w:t>
            </w:r>
          </w:p>
        </w:tc>
        <w:tc>
          <w:tcPr>
            <w:tcW w:w="1036" w:type="dxa"/>
            <w:gridSpan w:val="5"/>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c>
          <w:tcPr>
            <w:tcW w:w="1051"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c>
          <w:tcPr>
            <w:tcW w:w="1032"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70.7</w:t>
            </w:r>
          </w:p>
        </w:tc>
        <w:tc>
          <w:tcPr>
            <w:tcW w:w="1016"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86.5</w:t>
            </w:r>
          </w:p>
        </w:tc>
        <w:tc>
          <w:tcPr>
            <w:tcW w:w="1032"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Coliban Water</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99.3</w:t>
            </w:r>
          </w:p>
        </w:tc>
        <w:tc>
          <w:tcPr>
            <w:tcW w:w="1035"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157.1</w:t>
            </w:r>
          </w:p>
        </w:tc>
        <w:tc>
          <w:tcPr>
            <w:tcW w:w="1036" w:type="dxa"/>
            <w:gridSpan w:val="5"/>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c>
          <w:tcPr>
            <w:tcW w:w="1051"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c>
          <w:tcPr>
            <w:tcW w:w="1032"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86.9</w:t>
            </w:r>
          </w:p>
        </w:tc>
        <w:tc>
          <w:tcPr>
            <w:tcW w:w="1016"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107.9</w:t>
            </w:r>
          </w:p>
        </w:tc>
        <w:tc>
          <w:tcPr>
            <w:tcW w:w="1032"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County Court</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78.9</w:t>
            </w:r>
          </w:p>
        </w:tc>
        <w:tc>
          <w:tcPr>
            <w:tcW w:w="1035"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97.0</w:t>
            </w:r>
          </w:p>
        </w:tc>
        <w:tc>
          <w:tcPr>
            <w:tcW w:w="1036" w:type="dxa"/>
            <w:gridSpan w:val="5"/>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78.9</w:t>
            </w:r>
          </w:p>
        </w:tc>
        <w:tc>
          <w:tcPr>
            <w:tcW w:w="1051"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97.0</w:t>
            </w:r>
          </w:p>
        </w:tc>
        <w:tc>
          <w:tcPr>
            <w:tcW w:w="1032"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34.4</w:t>
            </w:r>
          </w:p>
        </w:tc>
        <w:tc>
          <w:tcPr>
            <w:tcW w:w="1016"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45.4</w:t>
            </w:r>
          </w:p>
        </w:tc>
        <w:tc>
          <w:tcPr>
            <w:tcW w:w="1032"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34.4</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45.4</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Emergency Service Telecommunications</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56.9</w:t>
            </w:r>
          </w:p>
        </w:tc>
        <w:tc>
          <w:tcPr>
            <w:tcW w:w="1035"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59.0</w:t>
            </w:r>
          </w:p>
        </w:tc>
        <w:tc>
          <w:tcPr>
            <w:tcW w:w="1036" w:type="dxa"/>
            <w:gridSpan w:val="5"/>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56.9</w:t>
            </w:r>
          </w:p>
        </w:tc>
        <w:tc>
          <w:tcPr>
            <w:tcW w:w="1051"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59.0</w:t>
            </w:r>
          </w:p>
        </w:tc>
        <w:tc>
          <w:tcPr>
            <w:tcW w:w="1032"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51.2</w:t>
            </w:r>
          </w:p>
        </w:tc>
        <w:tc>
          <w:tcPr>
            <w:tcW w:w="1016"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53.9</w:t>
            </w:r>
          </w:p>
        </w:tc>
        <w:tc>
          <w:tcPr>
            <w:tcW w:w="1032"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51.2</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53.9</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Melbourne Convention Centre</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220.7</w:t>
            </w:r>
          </w:p>
        </w:tc>
        <w:tc>
          <w:tcPr>
            <w:tcW w:w="1035"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484.6</w:t>
            </w:r>
          </w:p>
        </w:tc>
        <w:tc>
          <w:tcPr>
            <w:tcW w:w="1036" w:type="dxa"/>
            <w:gridSpan w:val="5"/>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220.7</w:t>
            </w:r>
          </w:p>
        </w:tc>
        <w:tc>
          <w:tcPr>
            <w:tcW w:w="1051"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484.6</w:t>
            </w:r>
          </w:p>
        </w:tc>
        <w:tc>
          <w:tcPr>
            <w:tcW w:w="1032"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240.1</w:t>
            </w:r>
          </w:p>
        </w:tc>
        <w:tc>
          <w:tcPr>
            <w:tcW w:w="1016"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505.0</w:t>
            </w:r>
          </w:p>
        </w:tc>
        <w:tc>
          <w:tcPr>
            <w:tcW w:w="1032"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240.1</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505.0</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Peninsula Link</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200.5</w:t>
            </w:r>
          </w:p>
        </w:tc>
        <w:tc>
          <w:tcPr>
            <w:tcW w:w="1035"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473.1</w:t>
            </w:r>
          </w:p>
        </w:tc>
        <w:tc>
          <w:tcPr>
            <w:tcW w:w="1036" w:type="dxa"/>
            <w:gridSpan w:val="5"/>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200.5</w:t>
            </w:r>
          </w:p>
        </w:tc>
        <w:tc>
          <w:tcPr>
            <w:tcW w:w="1051"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473.1</w:t>
            </w:r>
          </w:p>
        </w:tc>
        <w:tc>
          <w:tcPr>
            <w:tcW w:w="1032"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197.8</w:t>
            </w:r>
          </w:p>
        </w:tc>
        <w:tc>
          <w:tcPr>
            <w:tcW w:w="1016"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487.4</w:t>
            </w:r>
          </w:p>
        </w:tc>
        <w:tc>
          <w:tcPr>
            <w:tcW w:w="1032"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197.8</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487.4</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Partnerships Victoria in Schools</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102.5</w:t>
            </w:r>
          </w:p>
        </w:tc>
        <w:tc>
          <w:tcPr>
            <w:tcW w:w="1035"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222.8</w:t>
            </w:r>
          </w:p>
        </w:tc>
        <w:tc>
          <w:tcPr>
            <w:tcW w:w="1036" w:type="dxa"/>
            <w:gridSpan w:val="5"/>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102.5</w:t>
            </w:r>
          </w:p>
        </w:tc>
        <w:tc>
          <w:tcPr>
            <w:tcW w:w="1051"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222.8</w:t>
            </w:r>
          </w:p>
        </w:tc>
        <w:tc>
          <w:tcPr>
            <w:tcW w:w="1032"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99.8</w:t>
            </w:r>
          </w:p>
        </w:tc>
        <w:tc>
          <w:tcPr>
            <w:tcW w:w="1016"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224.5</w:t>
            </w:r>
          </w:p>
        </w:tc>
        <w:tc>
          <w:tcPr>
            <w:tcW w:w="1032"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99.8</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224.5</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Prisons</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1 446.6</w:t>
            </w:r>
          </w:p>
        </w:tc>
        <w:tc>
          <w:tcPr>
            <w:tcW w:w="1035"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1 921.7</w:t>
            </w:r>
          </w:p>
        </w:tc>
        <w:tc>
          <w:tcPr>
            <w:tcW w:w="1036" w:type="dxa"/>
            <w:gridSpan w:val="5"/>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1 446.6</w:t>
            </w:r>
          </w:p>
        </w:tc>
        <w:tc>
          <w:tcPr>
            <w:tcW w:w="1051"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1 921.7</w:t>
            </w:r>
          </w:p>
        </w:tc>
        <w:tc>
          <w:tcPr>
            <w:tcW w:w="1032"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520.7</w:t>
            </w:r>
          </w:p>
        </w:tc>
        <w:tc>
          <w:tcPr>
            <w:tcW w:w="1016" w:type="dxa"/>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611.5</w:t>
            </w:r>
          </w:p>
        </w:tc>
        <w:tc>
          <w:tcPr>
            <w:tcW w:w="1032" w:type="dxa"/>
            <w:gridSpan w:val="2"/>
            <w:tcBorders>
              <w:top w:val="nil"/>
              <w:left w:val="nil"/>
              <w:bottom w:val="nil"/>
              <w:right w:val="nil"/>
            </w:tcBorders>
            <w:shd w:val="clear" w:color="auto" w:fill="auto"/>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520.7</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611.5</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Royal Children</w:t>
            </w:r>
            <w:r>
              <w:rPr>
                <w:rFonts w:eastAsiaTheme="minorEastAsia"/>
                <w:sz w:val="16"/>
                <w:lang w:eastAsia="en-AU"/>
              </w:rPr>
              <w:t>’</w:t>
            </w:r>
            <w:r w:rsidRPr="006535CD">
              <w:rPr>
                <w:rFonts w:eastAsiaTheme="minorEastAsia"/>
                <w:sz w:val="16"/>
                <w:lang w:eastAsia="en-AU"/>
              </w:rPr>
              <w:t>s Hospital</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337.3</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834.7</w:t>
            </w:r>
          </w:p>
        </w:tc>
        <w:tc>
          <w:tcPr>
            <w:tcW w:w="1036" w:type="dxa"/>
            <w:gridSpan w:val="5"/>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337.3</w:t>
            </w:r>
          </w:p>
        </w:tc>
        <w:tc>
          <w:tcPr>
            <w:tcW w:w="1051"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834.7</w:t>
            </w:r>
          </w:p>
        </w:tc>
        <w:tc>
          <w:tcPr>
            <w:tcW w:w="1032"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366.3</w:t>
            </w:r>
          </w:p>
        </w:tc>
        <w:tc>
          <w:tcPr>
            <w:tcW w:w="1016"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862.7</w:t>
            </w:r>
          </w:p>
        </w:tc>
        <w:tc>
          <w:tcPr>
            <w:tcW w:w="1032"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366.3</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862.7</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Royal Melbourne Showgrounds</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46.4</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73.5</w:t>
            </w:r>
          </w:p>
        </w:tc>
        <w:tc>
          <w:tcPr>
            <w:tcW w:w="1036" w:type="dxa"/>
            <w:gridSpan w:val="5"/>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46.4</w:t>
            </w:r>
          </w:p>
        </w:tc>
        <w:tc>
          <w:tcPr>
            <w:tcW w:w="1051"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73.5</w:t>
            </w:r>
          </w:p>
        </w:tc>
        <w:tc>
          <w:tcPr>
            <w:tcW w:w="1032"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49.1</w:t>
            </w:r>
          </w:p>
        </w:tc>
        <w:tc>
          <w:tcPr>
            <w:tcW w:w="1016"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79.7</w:t>
            </w:r>
          </w:p>
        </w:tc>
        <w:tc>
          <w:tcPr>
            <w:tcW w:w="1032"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49.1</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79.7</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Royal Women</w:t>
            </w:r>
            <w:r>
              <w:rPr>
                <w:rFonts w:eastAsiaTheme="minorEastAsia"/>
                <w:sz w:val="16"/>
                <w:lang w:eastAsia="en-AU"/>
              </w:rPr>
              <w:t>’</w:t>
            </w:r>
            <w:r w:rsidRPr="006535CD">
              <w:rPr>
                <w:rFonts w:eastAsiaTheme="minorEastAsia"/>
                <w:sz w:val="16"/>
                <w:lang w:eastAsia="en-AU"/>
              </w:rPr>
              <w:t>s Hospital</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193.5</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414.4</w:t>
            </w:r>
          </w:p>
        </w:tc>
        <w:tc>
          <w:tcPr>
            <w:tcW w:w="1036" w:type="dxa"/>
            <w:gridSpan w:val="5"/>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193.5</w:t>
            </w:r>
          </w:p>
        </w:tc>
        <w:tc>
          <w:tcPr>
            <w:tcW w:w="1051"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414.4</w:t>
            </w:r>
          </w:p>
        </w:tc>
        <w:tc>
          <w:tcPr>
            <w:tcW w:w="1032"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212.9</w:t>
            </w:r>
          </w:p>
        </w:tc>
        <w:tc>
          <w:tcPr>
            <w:tcW w:w="1016"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431.0</w:t>
            </w:r>
          </w:p>
        </w:tc>
        <w:tc>
          <w:tcPr>
            <w:tcW w:w="1032"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212.9</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431.0</w:t>
            </w:r>
          </w:p>
        </w:tc>
      </w:tr>
      <w:tr w:rsidR="00336793" w:rsidRPr="006535CD" w:rsidTr="00DF0B96">
        <w:tc>
          <w:tcPr>
            <w:tcW w:w="2150" w:type="dxa"/>
            <w:tcBorders>
              <w:top w:val="nil"/>
              <w:left w:val="nil"/>
              <w:bottom w:val="nil"/>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Southern Cross Station</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242.1</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572.3</w:t>
            </w:r>
          </w:p>
        </w:tc>
        <w:tc>
          <w:tcPr>
            <w:tcW w:w="1036" w:type="dxa"/>
            <w:gridSpan w:val="5"/>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242.1</w:t>
            </w:r>
          </w:p>
        </w:tc>
        <w:tc>
          <w:tcPr>
            <w:tcW w:w="1051"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572.3</w:t>
            </w:r>
          </w:p>
        </w:tc>
        <w:tc>
          <w:tcPr>
            <w:tcW w:w="1032"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234.9</w:t>
            </w:r>
          </w:p>
        </w:tc>
        <w:tc>
          <w:tcPr>
            <w:tcW w:w="1016"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579.4</w:t>
            </w:r>
          </w:p>
        </w:tc>
        <w:tc>
          <w:tcPr>
            <w:tcW w:w="1032"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234.9</w:t>
            </w:r>
          </w:p>
        </w:tc>
        <w:tc>
          <w:tcPr>
            <w:tcW w:w="1035" w:type="dxa"/>
            <w:tcBorders>
              <w:top w:val="nil"/>
              <w:left w:val="nil"/>
              <w:bottom w:val="nil"/>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579.4</w:t>
            </w:r>
          </w:p>
        </w:tc>
      </w:tr>
      <w:tr w:rsidR="00336793" w:rsidRPr="006535CD" w:rsidTr="00DF0B96">
        <w:tc>
          <w:tcPr>
            <w:tcW w:w="2150" w:type="dxa"/>
            <w:tcBorders>
              <w:top w:val="nil"/>
              <w:left w:val="nil"/>
              <w:bottom w:val="single" w:sz="6" w:space="0" w:color="auto"/>
              <w:right w:val="nil"/>
            </w:tcBorders>
          </w:tcPr>
          <w:p w:rsidR="00336793" w:rsidRPr="006535CD" w:rsidRDefault="00336793" w:rsidP="00DF0B96">
            <w:pPr>
              <w:pStyle w:val="Tabletext"/>
              <w:rPr>
                <w:rFonts w:eastAsiaTheme="minorEastAsia"/>
                <w:sz w:val="16"/>
                <w:lang w:eastAsia="en-AU"/>
              </w:rPr>
            </w:pPr>
            <w:r w:rsidRPr="006535CD">
              <w:rPr>
                <w:rFonts w:eastAsiaTheme="minorEastAsia"/>
                <w:sz w:val="16"/>
                <w:lang w:eastAsia="en-AU"/>
              </w:rPr>
              <w:t>Victorian Desalination Plant</w:t>
            </w:r>
          </w:p>
        </w:tc>
        <w:tc>
          <w:tcPr>
            <w:tcW w:w="1035" w:type="dxa"/>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3"/>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1 562.4</w:t>
            </w:r>
          </w:p>
        </w:tc>
        <w:tc>
          <w:tcPr>
            <w:tcW w:w="1035" w:type="dxa"/>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4 959.5</w:t>
            </w:r>
          </w:p>
        </w:tc>
        <w:tc>
          <w:tcPr>
            <w:tcW w:w="1036" w:type="dxa"/>
            <w:gridSpan w:val="5"/>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5" w:type="dxa"/>
            <w:gridSpan w:val="2"/>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1 562.4</w:t>
            </w:r>
          </w:p>
        </w:tc>
        <w:tc>
          <w:tcPr>
            <w:tcW w:w="1051" w:type="dxa"/>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4 959.5</w:t>
            </w:r>
          </w:p>
        </w:tc>
        <w:tc>
          <w:tcPr>
            <w:tcW w:w="1032" w:type="dxa"/>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49" w:type="dxa"/>
            <w:gridSpan w:val="2"/>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1 532.4</w:t>
            </w:r>
          </w:p>
        </w:tc>
        <w:tc>
          <w:tcPr>
            <w:tcW w:w="1016" w:type="dxa"/>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5 100.4</w:t>
            </w:r>
          </w:p>
        </w:tc>
        <w:tc>
          <w:tcPr>
            <w:tcW w:w="1032" w:type="dxa"/>
            <w:gridSpan w:val="2"/>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 xml:space="preserve"> </w:t>
            </w:r>
          </w:p>
        </w:tc>
        <w:tc>
          <w:tcPr>
            <w:tcW w:w="1030" w:type="dxa"/>
            <w:gridSpan w:val="2"/>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1 532.4</w:t>
            </w:r>
          </w:p>
        </w:tc>
        <w:tc>
          <w:tcPr>
            <w:tcW w:w="1035" w:type="dxa"/>
            <w:tcBorders>
              <w:top w:val="nil"/>
              <w:left w:val="nil"/>
              <w:bottom w:val="single" w:sz="6" w:space="0" w:color="auto"/>
              <w:right w:val="nil"/>
            </w:tcBorders>
          </w:tcPr>
          <w:p w:rsidR="00336793" w:rsidRPr="006535CD" w:rsidRDefault="00336793" w:rsidP="00DF0B96">
            <w:pPr>
              <w:pStyle w:val="TableofFigures"/>
              <w:rPr>
                <w:rFonts w:eastAsiaTheme="minorEastAsia"/>
                <w:sz w:val="16"/>
                <w:lang w:eastAsia="en-AU"/>
              </w:rPr>
            </w:pPr>
            <w:r w:rsidRPr="006535CD">
              <w:rPr>
                <w:rFonts w:eastAsiaTheme="minorEastAsia"/>
                <w:sz w:val="16"/>
                <w:lang w:eastAsia="en-AU"/>
              </w:rPr>
              <w:t>5 100.4</w:t>
            </w:r>
          </w:p>
        </w:tc>
      </w:tr>
      <w:tr w:rsidR="00336793" w:rsidRPr="006535CD" w:rsidTr="00DF0B96">
        <w:tc>
          <w:tcPr>
            <w:tcW w:w="2150" w:type="dxa"/>
            <w:tcBorders>
              <w:top w:val="single" w:sz="6" w:space="0" w:color="auto"/>
              <w:left w:val="nil"/>
              <w:bottom w:val="single" w:sz="12" w:space="0" w:color="000000"/>
              <w:right w:val="nil"/>
            </w:tcBorders>
            <w:shd w:val="clear" w:color="auto" w:fill="auto"/>
          </w:tcPr>
          <w:p w:rsidR="00336793" w:rsidRPr="006535CD" w:rsidRDefault="00336793" w:rsidP="00DF0B96">
            <w:pPr>
              <w:pStyle w:val="Tabletext"/>
              <w:rPr>
                <w:rFonts w:eastAsiaTheme="minorEastAsia"/>
                <w:b/>
                <w:bCs/>
                <w:sz w:val="16"/>
                <w:lang w:eastAsia="en-AU"/>
              </w:rPr>
            </w:pPr>
            <w:r w:rsidRPr="006535CD">
              <w:rPr>
                <w:rFonts w:eastAsiaTheme="minorEastAsia"/>
                <w:b/>
                <w:bCs/>
                <w:sz w:val="16"/>
                <w:lang w:eastAsia="en-AU"/>
              </w:rPr>
              <w:t>Sub</w:t>
            </w:r>
            <w:r>
              <w:rPr>
                <w:rFonts w:eastAsiaTheme="minorEastAsia"/>
                <w:b/>
                <w:bCs/>
                <w:sz w:val="16"/>
                <w:lang w:eastAsia="en-AU"/>
              </w:rPr>
              <w:noBreakHyphen/>
            </w:r>
            <w:r w:rsidRPr="006535CD">
              <w:rPr>
                <w:rFonts w:eastAsiaTheme="minorEastAsia"/>
                <w:b/>
                <w:bCs/>
                <w:sz w:val="16"/>
                <w:lang w:eastAsia="en-AU"/>
              </w:rPr>
              <w:t>total</w:t>
            </w:r>
          </w:p>
        </w:tc>
        <w:tc>
          <w:tcPr>
            <w:tcW w:w="1035" w:type="dxa"/>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sz w:val="16"/>
                <w:lang w:eastAsia="en-AU"/>
              </w:rPr>
            </w:pPr>
            <w:r w:rsidRPr="006535CD">
              <w:rPr>
                <w:rFonts w:eastAsiaTheme="minorEastAsia"/>
                <w:b/>
                <w:sz w:val="16"/>
                <w:lang w:eastAsia="en-AU"/>
              </w:rPr>
              <w:t xml:space="preserve"> </w:t>
            </w:r>
          </w:p>
        </w:tc>
        <w:tc>
          <w:tcPr>
            <w:tcW w:w="1035" w:type="dxa"/>
            <w:gridSpan w:val="3"/>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4 893.8</w:t>
            </w:r>
          </w:p>
        </w:tc>
        <w:tc>
          <w:tcPr>
            <w:tcW w:w="1035" w:type="dxa"/>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10 881.3</w:t>
            </w:r>
          </w:p>
        </w:tc>
        <w:tc>
          <w:tcPr>
            <w:tcW w:w="1036" w:type="dxa"/>
            <w:gridSpan w:val="5"/>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sz w:val="16"/>
                <w:lang w:eastAsia="en-AU"/>
              </w:rPr>
            </w:pPr>
            <w:r w:rsidRPr="006535CD">
              <w:rPr>
                <w:rFonts w:eastAsiaTheme="minorEastAsia"/>
                <w:b/>
                <w:sz w:val="16"/>
                <w:lang w:eastAsia="en-AU"/>
              </w:rPr>
              <w:t xml:space="preserve"> </w:t>
            </w:r>
          </w:p>
        </w:tc>
        <w:tc>
          <w:tcPr>
            <w:tcW w:w="1035" w:type="dxa"/>
            <w:gridSpan w:val="2"/>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4 669.9</w:t>
            </w:r>
          </w:p>
        </w:tc>
        <w:tc>
          <w:tcPr>
            <w:tcW w:w="1051" w:type="dxa"/>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10 540.9</w:t>
            </w:r>
          </w:p>
        </w:tc>
        <w:tc>
          <w:tcPr>
            <w:tcW w:w="1032" w:type="dxa"/>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 xml:space="preserve"> </w:t>
            </w:r>
          </w:p>
        </w:tc>
        <w:tc>
          <w:tcPr>
            <w:tcW w:w="1049" w:type="dxa"/>
            <w:gridSpan w:val="2"/>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3 954.1</w:t>
            </w:r>
          </w:p>
        </w:tc>
        <w:tc>
          <w:tcPr>
            <w:tcW w:w="1016" w:type="dxa"/>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9 746.3</w:t>
            </w:r>
          </w:p>
        </w:tc>
        <w:tc>
          <w:tcPr>
            <w:tcW w:w="1032" w:type="dxa"/>
            <w:gridSpan w:val="2"/>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sz w:val="16"/>
                <w:lang w:eastAsia="en-AU"/>
              </w:rPr>
            </w:pPr>
            <w:r w:rsidRPr="006535CD">
              <w:rPr>
                <w:rFonts w:eastAsiaTheme="minorEastAsia"/>
                <w:b/>
                <w:sz w:val="16"/>
                <w:lang w:eastAsia="en-AU"/>
              </w:rPr>
              <w:t xml:space="preserve"> </w:t>
            </w:r>
          </w:p>
        </w:tc>
        <w:tc>
          <w:tcPr>
            <w:tcW w:w="1030" w:type="dxa"/>
            <w:gridSpan w:val="2"/>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3 724.2</w:t>
            </w:r>
          </w:p>
        </w:tc>
        <w:tc>
          <w:tcPr>
            <w:tcW w:w="1035" w:type="dxa"/>
            <w:tcBorders>
              <w:top w:val="single" w:sz="6" w:space="0" w:color="auto"/>
              <w:left w:val="nil"/>
              <w:bottom w:val="single" w:sz="12" w:space="0" w:color="000000"/>
              <w:right w:val="nil"/>
            </w:tcBorders>
            <w:shd w:val="clear" w:color="auto" w:fill="auto"/>
          </w:tcPr>
          <w:p w:rsidR="00336793" w:rsidRPr="006535CD" w:rsidRDefault="00336793" w:rsidP="00DF0B96">
            <w:pPr>
              <w:pStyle w:val="TableofFigures"/>
              <w:rPr>
                <w:rFonts w:eastAsiaTheme="minorEastAsia"/>
                <w:b/>
                <w:bCs/>
                <w:sz w:val="16"/>
                <w:lang w:eastAsia="en-AU"/>
              </w:rPr>
            </w:pPr>
            <w:r w:rsidRPr="006535CD">
              <w:rPr>
                <w:rFonts w:eastAsiaTheme="minorEastAsia"/>
                <w:b/>
                <w:bCs/>
                <w:sz w:val="16"/>
                <w:lang w:eastAsia="en-AU"/>
              </w:rPr>
              <w:t>9 421.5</w:t>
            </w:r>
          </w:p>
        </w:tc>
      </w:tr>
    </w:tbl>
    <w:p w:rsidR="00336793" w:rsidRDefault="00336793" w:rsidP="00DF0B96">
      <w:pPr>
        <w:pStyle w:val="Notes"/>
      </w:pPr>
    </w:p>
    <w:p w:rsidR="00336793" w:rsidRDefault="00336793" w:rsidP="00DF0B96">
      <w:pPr>
        <w:pStyle w:val="Notes"/>
      </w:pPr>
    </w:p>
    <w:p w:rsidR="00336793" w:rsidRDefault="00336793">
      <w:pPr>
        <w:spacing w:after="0"/>
        <w:rPr>
          <w:rFonts w:ascii="Calibri" w:hAnsi="Calibri"/>
          <w:i/>
          <w:sz w:val="20"/>
          <w:szCs w:val="18"/>
        </w:rPr>
      </w:pPr>
      <w:r>
        <w:br w:type="page"/>
      </w:r>
    </w:p>
    <w:p w:rsidR="00336793" w:rsidRDefault="00336793" w:rsidP="00DF0B96">
      <w:pPr>
        <w:pStyle w:val="Heading2NotesContd"/>
        <w:rPr>
          <w:i/>
        </w:rPr>
      </w:pPr>
      <w:r w:rsidRPr="006A75A2">
        <w:lastRenderedPageBreak/>
        <w:t>Note 34:</w:t>
      </w:r>
      <w:r w:rsidRPr="006A75A2">
        <w:tab/>
        <w:t>Commitments</w:t>
      </w:r>
      <w:r>
        <w:t xml:space="preserve"> </w:t>
      </w:r>
      <w:r w:rsidRPr="00CD0EDE">
        <w:rPr>
          <w:i/>
        </w:rPr>
        <w:t>(continued)</w:t>
      </w:r>
    </w:p>
    <w:p w:rsidR="00336793" w:rsidRPr="006A75A2" w:rsidRDefault="00336793" w:rsidP="00DF0B96">
      <w:pPr>
        <w:pStyle w:val="Heading5"/>
      </w:pPr>
      <w:r w:rsidRPr="006A75A2">
        <w:t>(b)</w:t>
      </w:r>
      <w:r w:rsidRPr="006A75A2">
        <w:tab/>
        <w:t xml:space="preserve">Public </w:t>
      </w:r>
      <w:r w:rsidRPr="00F544EF">
        <w:t>private</w:t>
      </w:r>
      <w:r w:rsidRPr="006A75A2">
        <w:t xml:space="preserve"> partnerships</w:t>
      </w:r>
      <w:r>
        <w:rPr>
          <w:vertAlign w:val="superscript"/>
        </w:rPr>
        <w:t xml:space="preserve">(a)(b) </w:t>
      </w:r>
      <w:r w:rsidRPr="00CD0EDE">
        <w:rPr>
          <w:i/>
        </w:rPr>
        <w:t>(</w:t>
      </w:r>
      <w:r>
        <w:rPr>
          <w:i/>
        </w:rPr>
        <w:t>c</w:t>
      </w:r>
      <w:r w:rsidRPr="00CD0EDE">
        <w:rPr>
          <w:i/>
        </w:rPr>
        <w:t>ontinued)</w:t>
      </w:r>
    </w:p>
    <w:p w:rsidR="00336793" w:rsidRPr="006535CD" w:rsidRDefault="00336793" w:rsidP="00DF0B96">
      <w:pPr>
        <w:pStyle w:val="million"/>
        <w:rPr>
          <w:rFonts w:ascii="Times New Roman" w:hAnsi="Times New Roman"/>
          <w:i w:val="0"/>
          <w:szCs w:val="20"/>
          <w:lang w:eastAsia="en-AU"/>
        </w:rPr>
      </w:pPr>
      <w:r>
        <w:t>($ million)</w:t>
      </w:r>
    </w:p>
    <w:tbl>
      <w:tblPr>
        <w:tblW w:w="14571" w:type="dxa"/>
        <w:tblInd w:w="28" w:type="dxa"/>
        <w:tblLayout w:type="fixed"/>
        <w:tblCellMar>
          <w:left w:w="45" w:type="dxa"/>
          <w:right w:w="45" w:type="dxa"/>
        </w:tblCellMar>
        <w:tblLook w:val="0000" w:firstRow="0" w:lastRow="0" w:firstColumn="0" w:lastColumn="0" w:noHBand="0" w:noVBand="0"/>
      </w:tblPr>
      <w:tblGrid>
        <w:gridCol w:w="2144"/>
        <w:gridCol w:w="1035"/>
        <w:gridCol w:w="1036"/>
        <w:gridCol w:w="1035"/>
        <w:gridCol w:w="937"/>
        <w:gridCol w:w="99"/>
        <w:gridCol w:w="128"/>
        <w:gridCol w:w="227"/>
        <w:gridCol w:w="227"/>
        <w:gridCol w:w="227"/>
        <w:gridCol w:w="227"/>
        <w:gridCol w:w="1036"/>
        <w:gridCol w:w="1035"/>
        <w:gridCol w:w="1036"/>
        <w:gridCol w:w="1035"/>
        <w:gridCol w:w="1036"/>
        <w:gridCol w:w="1035"/>
        <w:gridCol w:w="1036"/>
      </w:tblGrid>
      <w:tr w:rsidR="00336793" w:rsidRPr="00E96950" w:rsidTr="002B10CD">
        <w:tc>
          <w:tcPr>
            <w:tcW w:w="2144" w:type="dxa"/>
            <w:tcBorders>
              <w:top w:val="single" w:sz="6" w:space="0" w:color="auto"/>
              <w:left w:val="single" w:sz="6" w:space="0" w:color="auto"/>
              <w:right w:val="nil"/>
            </w:tcBorders>
            <w:shd w:val="clear" w:color="000000" w:fill="000000"/>
          </w:tcPr>
          <w:p w:rsidR="00336793" w:rsidRPr="00E96950" w:rsidRDefault="00336793" w:rsidP="00DF0B96">
            <w:pPr>
              <w:pStyle w:val="Tabletext"/>
              <w:rPr>
                <w:rFonts w:eastAsiaTheme="minorEastAsia"/>
                <w:sz w:val="16"/>
                <w:lang w:eastAsia="en-AU"/>
              </w:rPr>
            </w:pPr>
            <w:r w:rsidRPr="00E96950">
              <w:rPr>
                <w:rFonts w:eastAsiaTheme="minorEastAsia"/>
                <w:sz w:val="16"/>
                <w:lang w:eastAsia="en-AU"/>
              </w:rPr>
              <w:t xml:space="preserve"> </w:t>
            </w:r>
          </w:p>
        </w:tc>
        <w:tc>
          <w:tcPr>
            <w:tcW w:w="1035" w:type="dxa"/>
            <w:tcBorders>
              <w:top w:val="single" w:sz="6" w:space="0" w:color="auto"/>
              <w:left w:val="nil"/>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 xml:space="preserve">Minimum </w:t>
            </w:r>
          </w:p>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lease payments</w:t>
            </w:r>
          </w:p>
        </w:tc>
        <w:tc>
          <w:tcPr>
            <w:tcW w:w="1036" w:type="dxa"/>
            <w:tcBorders>
              <w:top w:val="single" w:sz="6" w:space="0" w:color="auto"/>
              <w:left w:val="nil"/>
              <w:right w:val="nil"/>
            </w:tcBorders>
            <w:shd w:val="clear" w:color="000000" w:fill="000000"/>
            <w:vAlign w:val="bottom"/>
          </w:tcPr>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Other commitments</w:t>
            </w:r>
          </w:p>
        </w:tc>
        <w:tc>
          <w:tcPr>
            <w:tcW w:w="1035" w:type="dxa"/>
            <w:tcBorders>
              <w:top w:val="single" w:sz="6" w:space="0" w:color="auto"/>
              <w:left w:val="nil"/>
              <w:right w:val="nil"/>
            </w:tcBorders>
            <w:shd w:val="clear" w:color="000000" w:fill="000000"/>
            <w:vAlign w:val="bottom"/>
          </w:tcPr>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Total commitments</w:t>
            </w:r>
          </w:p>
        </w:tc>
        <w:tc>
          <w:tcPr>
            <w:tcW w:w="1036" w:type="dxa"/>
            <w:gridSpan w:val="2"/>
            <w:tcBorders>
              <w:top w:val="single" w:sz="6" w:space="0" w:color="auto"/>
              <w:left w:val="nil"/>
              <w:right w:val="nil"/>
            </w:tcBorders>
            <w:shd w:val="clear" w:color="000000" w:fill="000000"/>
            <w:vAlign w:val="bottom"/>
          </w:tcPr>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 xml:space="preserve">Minimum </w:t>
            </w:r>
          </w:p>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lease payments</w:t>
            </w:r>
          </w:p>
        </w:tc>
        <w:tc>
          <w:tcPr>
            <w:tcW w:w="1035" w:type="dxa"/>
            <w:gridSpan w:val="5"/>
            <w:tcBorders>
              <w:top w:val="single" w:sz="6" w:space="0" w:color="auto"/>
              <w:left w:val="nil"/>
              <w:right w:val="nil"/>
            </w:tcBorders>
            <w:shd w:val="clear" w:color="000000" w:fill="000000"/>
            <w:vAlign w:val="bottom"/>
          </w:tcPr>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Other commitments</w:t>
            </w:r>
          </w:p>
        </w:tc>
        <w:tc>
          <w:tcPr>
            <w:tcW w:w="1036" w:type="dxa"/>
            <w:tcBorders>
              <w:top w:val="single" w:sz="6" w:space="0" w:color="auto"/>
              <w:left w:val="nil"/>
              <w:right w:val="nil"/>
            </w:tcBorders>
            <w:shd w:val="clear" w:color="000000" w:fill="000000"/>
            <w:vAlign w:val="bottom"/>
          </w:tcPr>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Total commitments</w:t>
            </w:r>
          </w:p>
        </w:tc>
        <w:tc>
          <w:tcPr>
            <w:tcW w:w="1035" w:type="dxa"/>
            <w:tcBorders>
              <w:top w:val="single" w:sz="6" w:space="0" w:color="auto"/>
              <w:left w:val="nil"/>
              <w:right w:val="nil"/>
            </w:tcBorders>
            <w:shd w:val="clear" w:color="000000" w:fill="000000"/>
            <w:vAlign w:val="bottom"/>
          </w:tcPr>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 xml:space="preserve">Minimum </w:t>
            </w:r>
          </w:p>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lease payments</w:t>
            </w:r>
          </w:p>
        </w:tc>
        <w:tc>
          <w:tcPr>
            <w:tcW w:w="1036" w:type="dxa"/>
            <w:tcBorders>
              <w:top w:val="single" w:sz="6" w:space="0" w:color="auto"/>
              <w:left w:val="nil"/>
              <w:right w:val="nil"/>
            </w:tcBorders>
            <w:shd w:val="clear" w:color="000000" w:fill="000000"/>
            <w:vAlign w:val="bottom"/>
          </w:tcPr>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Other commitments</w:t>
            </w:r>
          </w:p>
        </w:tc>
        <w:tc>
          <w:tcPr>
            <w:tcW w:w="1035" w:type="dxa"/>
            <w:tcBorders>
              <w:top w:val="single" w:sz="6" w:space="0" w:color="auto"/>
              <w:left w:val="nil"/>
              <w:right w:val="nil"/>
            </w:tcBorders>
            <w:shd w:val="clear" w:color="000000" w:fill="000000"/>
            <w:vAlign w:val="bottom"/>
          </w:tcPr>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 xml:space="preserve">Total </w:t>
            </w:r>
          </w:p>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commitments</w:t>
            </w:r>
          </w:p>
        </w:tc>
        <w:tc>
          <w:tcPr>
            <w:tcW w:w="1036" w:type="dxa"/>
            <w:tcBorders>
              <w:top w:val="single" w:sz="6" w:space="0" w:color="auto"/>
              <w:left w:val="nil"/>
              <w:right w:val="nil"/>
            </w:tcBorders>
            <w:shd w:val="clear" w:color="000000" w:fill="000000"/>
            <w:vAlign w:val="bottom"/>
          </w:tcPr>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 xml:space="preserve">Minimum </w:t>
            </w:r>
          </w:p>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lease payments</w:t>
            </w:r>
          </w:p>
        </w:tc>
        <w:tc>
          <w:tcPr>
            <w:tcW w:w="1035" w:type="dxa"/>
            <w:tcBorders>
              <w:top w:val="single" w:sz="6" w:space="0" w:color="auto"/>
              <w:left w:val="nil"/>
              <w:right w:val="nil"/>
            </w:tcBorders>
            <w:shd w:val="clear" w:color="000000" w:fill="000000"/>
            <w:vAlign w:val="bottom"/>
          </w:tcPr>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Other commitments</w:t>
            </w:r>
          </w:p>
        </w:tc>
        <w:tc>
          <w:tcPr>
            <w:tcW w:w="1036" w:type="dxa"/>
            <w:tcBorders>
              <w:top w:val="single" w:sz="6" w:space="0" w:color="auto"/>
              <w:left w:val="nil"/>
              <w:right w:val="single" w:sz="6" w:space="0" w:color="auto"/>
            </w:tcBorders>
            <w:shd w:val="clear" w:color="000000" w:fill="000000"/>
            <w:vAlign w:val="bottom"/>
          </w:tcPr>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 xml:space="preserve">Total </w:t>
            </w:r>
          </w:p>
          <w:p w:rsidR="00336793" w:rsidRPr="00E96950" w:rsidRDefault="00336793" w:rsidP="002B10CD">
            <w:pPr>
              <w:pStyle w:val="Tabletextheading"/>
              <w:rPr>
                <w:rFonts w:eastAsiaTheme="minorEastAsia"/>
                <w:iCs/>
                <w:color w:val="FFFFFF"/>
                <w:sz w:val="16"/>
                <w:lang w:eastAsia="en-AU"/>
              </w:rPr>
            </w:pPr>
            <w:r w:rsidRPr="00E96950">
              <w:rPr>
                <w:rFonts w:eastAsiaTheme="minorEastAsia"/>
                <w:iCs/>
                <w:color w:val="FFFFFF"/>
                <w:sz w:val="16"/>
                <w:lang w:eastAsia="en-AU"/>
              </w:rPr>
              <w:t>commitments</w:t>
            </w:r>
          </w:p>
        </w:tc>
      </w:tr>
      <w:tr w:rsidR="00336793" w:rsidRPr="00E96950" w:rsidTr="00DF0B96">
        <w:trPr>
          <w:trHeight w:hRule="exact" w:val="120"/>
        </w:trPr>
        <w:tc>
          <w:tcPr>
            <w:tcW w:w="2144" w:type="dxa"/>
            <w:tcBorders>
              <w:top w:val="nil"/>
              <w:left w:val="single" w:sz="6" w:space="0" w:color="auto"/>
              <w:right w:val="nil"/>
            </w:tcBorders>
            <w:shd w:val="clear" w:color="000000" w:fill="000000"/>
          </w:tcPr>
          <w:p w:rsidR="00336793" w:rsidRPr="00E96950" w:rsidRDefault="00336793" w:rsidP="00DF0B96">
            <w:pPr>
              <w:pStyle w:val="Tabletext"/>
              <w:rPr>
                <w:rFonts w:eastAsiaTheme="minorEastAsia"/>
                <w:i/>
                <w:iCs/>
                <w:sz w:val="16"/>
                <w:lang w:eastAsia="en-AU"/>
              </w:rPr>
            </w:pPr>
            <w:r w:rsidRPr="00E96950">
              <w:rPr>
                <w:rFonts w:eastAsiaTheme="minorEastAsia"/>
                <w:i/>
                <w:iCs/>
                <w:sz w:val="16"/>
                <w:lang w:eastAsia="en-AU"/>
              </w:rPr>
              <w:t xml:space="preserve"> </w:t>
            </w:r>
          </w:p>
        </w:tc>
        <w:tc>
          <w:tcPr>
            <w:tcW w:w="1035" w:type="dxa"/>
            <w:tcBorders>
              <w:top w:val="nil"/>
              <w:left w:val="nil"/>
              <w:right w:val="nil"/>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c>
          <w:tcPr>
            <w:tcW w:w="1036" w:type="dxa"/>
            <w:tcBorders>
              <w:top w:val="nil"/>
              <w:left w:val="nil"/>
              <w:right w:val="nil"/>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c>
          <w:tcPr>
            <w:tcW w:w="1035" w:type="dxa"/>
            <w:tcBorders>
              <w:top w:val="nil"/>
              <w:left w:val="nil"/>
              <w:right w:val="nil"/>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c>
          <w:tcPr>
            <w:tcW w:w="1036" w:type="dxa"/>
            <w:gridSpan w:val="2"/>
            <w:tcBorders>
              <w:top w:val="nil"/>
              <w:left w:val="nil"/>
              <w:right w:val="nil"/>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c>
          <w:tcPr>
            <w:tcW w:w="1035" w:type="dxa"/>
            <w:gridSpan w:val="5"/>
            <w:tcBorders>
              <w:top w:val="nil"/>
              <w:left w:val="nil"/>
              <w:right w:val="nil"/>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c>
          <w:tcPr>
            <w:tcW w:w="1036" w:type="dxa"/>
            <w:tcBorders>
              <w:top w:val="nil"/>
              <w:left w:val="nil"/>
              <w:right w:val="nil"/>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c>
          <w:tcPr>
            <w:tcW w:w="1035" w:type="dxa"/>
            <w:tcBorders>
              <w:top w:val="nil"/>
              <w:left w:val="nil"/>
              <w:right w:val="nil"/>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c>
          <w:tcPr>
            <w:tcW w:w="1036" w:type="dxa"/>
            <w:tcBorders>
              <w:top w:val="nil"/>
              <w:left w:val="nil"/>
              <w:right w:val="nil"/>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c>
          <w:tcPr>
            <w:tcW w:w="1035" w:type="dxa"/>
            <w:tcBorders>
              <w:top w:val="nil"/>
              <w:left w:val="nil"/>
              <w:right w:val="nil"/>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c>
          <w:tcPr>
            <w:tcW w:w="1036" w:type="dxa"/>
            <w:tcBorders>
              <w:top w:val="nil"/>
              <w:left w:val="nil"/>
              <w:right w:val="nil"/>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c>
          <w:tcPr>
            <w:tcW w:w="1035" w:type="dxa"/>
            <w:tcBorders>
              <w:top w:val="nil"/>
              <w:left w:val="nil"/>
              <w:right w:val="nil"/>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c>
          <w:tcPr>
            <w:tcW w:w="1036" w:type="dxa"/>
            <w:tcBorders>
              <w:top w:val="nil"/>
              <w:left w:val="nil"/>
              <w:right w:val="single" w:sz="6" w:space="0" w:color="auto"/>
            </w:tcBorders>
            <w:shd w:val="clear" w:color="000000" w:fill="000000"/>
          </w:tcPr>
          <w:p w:rsidR="00336793" w:rsidRPr="00E96950" w:rsidRDefault="00336793" w:rsidP="00DF0B96">
            <w:pPr>
              <w:pStyle w:val="Tabletextheading"/>
              <w:rPr>
                <w:rFonts w:eastAsiaTheme="minorEastAsia"/>
                <w:color w:val="FFFFFF"/>
                <w:sz w:val="16"/>
                <w:lang w:eastAsia="en-AU"/>
              </w:rPr>
            </w:pPr>
            <w:r w:rsidRPr="00E96950">
              <w:rPr>
                <w:rFonts w:eastAsiaTheme="minorEastAsia"/>
                <w:color w:val="FFFFFF"/>
                <w:sz w:val="16"/>
                <w:lang w:eastAsia="en-AU"/>
              </w:rPr>
              <w:t xml:space="preserve">  </w:t>
            </w:r>
          </w:p>
        </w:tc>
      </w:tr>
      <w:tr w:rsidR="00336793" w:rsidRPr="00E96950" w:rsidTr="00DF0B96">
        <w:tc>
          <w:tcPr>
            <w:tcW w:w="2144" w:type="dxa"/>
            <w:tcBorders>
              <w:top w:val="nil"/>
              <w:left w:val="single" w:sz="6" w:space="0" w:color="auto"/>
              <w:bottom w:val="single" w:sz="6" w:space="0" w:color="auto"/>
              <w:right w:val="nil"/>
            </w:tcBorders>
            <w:shd w:val="clear" w:color="000000" w:fill="000000"/>
          </w:tcPr>
          <w:p w:rsidR="00336793" w:rsidRPr="00E96950" w:rsidRDefault="00336793" w:rsidP="00DF0B96">
            <w:pPr>
              <w:pStyle w:val="Tabletext"/>
              <w:rPr>
                <w:rFonts w:eastAsiaTheme="minorEastAsia"/>
                <w:i/>
                <w:iCs/>
                <w:sz w:val="16"/>
                <w:lang w:eastAsia="en-AU"/>
              </w:rPr>
            </w:pPr>
            <w:r w:rsidRPr="00E96950">
              <w:rPr>
                <w:rFonts w:eastAsiaTheme="minorEastAsia"/>
                <w:i/>
                <w:iCs/>
                <w:sz w:val="16"/>
                <w:lang w:eastAsia="en-AU"/>
              </w:rPr>
              <w:t xml:space="preserve"> </w:t>
            </w:r>
          </w:p>
        </w:tc>
        <w:tc>
          <w:tcPr>
            <w:tcW w:w="1035" w:type="dxa"/>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Discounted value</w:t>
            </w:r>
          </w:p>
        </w:tc>
        <w:tc>
          <w:tcPr>
            <w:tcW w:w="1036" w:type="dxa"/>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 xml:space="preserve">Present </w:t>
            </w:r>
          </w:p>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value</w:t>
            </w:r>
          </w:p>
        </w:tc>
        <w:tc>
          <w:tcPr>
            <w:tcW w:w="1035" w:type="dxa"/>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 xml:space="preserve">Nominal </w:t>
            </w:r>
          </w:p>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value</w:t>
            </w:r>
          </w:p>
        </w:tc>
        <w:tc>
          <w:tcPr>
            <w:tcW w:w="1036" w:type="dxa"/>
            <w:gridSpan w:val="2"/>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Discounted value</w:t>
            </w:r>
          </w:p>
        </w:tc>
        <w:tc>
          <w:tcPr>
            <w:tcW w:w="1035" w:type="dxa"/>
            <w:gridSpan w:val="5"/>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 xml:space="preserve">Present </w:t>
            </w:r>
          </w:p>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value</w:t>
            </w:r>
          </w:p>
        </w:tc>
        <w:tc>
          <w:tcPr>
            <w:tcW w:w="1036" w:type="dxa"/>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 xml:space="preserve">Nominal </w:t>
            </w:r>
          </w:p>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value</w:t>
            </w:r>
          </w:p>
        </w:tc>
        <w:tc>
          <w:tcPr>
            <w:tcW w:w="1035" w:type="dxa"/>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Discounted value</w:t>
            </w:r>
          </w:p>
        </w:tc>
        <w:tc>
          <w:tcPr>
            <w:tcW w:w="1036" w:type="dxa"/>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 xml:space="preserve">Present </w:t>
            </w:r>
          </w:p>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value</w:t>
            </w:r>
          </w:p>
        </w:tc>
        <w:tc>
          <w:tcPr>
            <w:tcW w:w="1035" w:type="dxa"/>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 xml:space="preserve">Nominal </w:t>
            </w:r>
          </w:p>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value</w:t>
            </w:r>
          </w:p>
        </w:tc>
        <w:tc>
          <w:tcPr>
            <w:tcW w:w="1036" w:type="dxa"/>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Discounted value</w:t>
            </w:r>
          </w:p>
        </w:tc>
        <w:tc>
          <w:tcPr>
            <w:tcW w:w="1035" w:type="dxa"/>
            <w:tcBorders>
              <w:top w:val="nil"/>
              <w:left w:val="nil"/>
              <w:bottom w:val="single" w:sz="6" w:space="0" w:color="auto"/>
              <w:right w:val="nil"/>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 xml:space="preserve">Present </w:t>
            </w:r>
          </w:p>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value</w:t>
            </w:r>
          </w:p>
        </w:tc>
        <w:tc>
          <w:tcPr>
            <w:tcW w:w="1036" w:type="dxa"/>
            <w:tcBorders>
              <w:top w:val="nil"/>
              <w:left w:val="nil"/>
              <w:bottom w:val="single" w:sz="6" w:space="0" w:color="auto"/>
              <w:right w:val="single" w:sz="6" w:space="0" w:color="auto"/>
            </w:tcBorders>
            <w:shd w:val="clear" w:color="000000" w:fill="000000"/>
          </w:tcPr>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 xml:space="preserve">Nominal </w:t>
            </w:r>
          </w:p>
          <w:p w:rsidR="00336793" w:rsidRPr="00E96950" w:rsidRDefault="00336793" w:rsidP="00DF0B96">
            <w:pPr>
              <w:pStyle w:val="Tabletextheading"/>
              <w:rPr>
                <w:rFonts w:eastAsiaTheme="minorEastAsia"/>
                <w:iCs/>
                <w:color w:val="FFFFFF"/>
                <w:sz w:val="16"/>
                <w:lang w:eastAsia="en-AU"/>
              </w:rPr>
            </w:pPr>
            <w:r w:rsidRPr="00E96950">
              <w:rPr>
                <w:rFonts w:eastAsiaTheme="minorEastAsia"/>
                <w:iCs/>
                <w:color w:val="FFFFFF"/>
                <w:sz w:val="16"/>
                <w:lang w:eastAsia="en-AU"/>
              </w:rPr>
              <w:t>value</w:t>
            </w:r>
          </w:p>
        </w:tc>
      </w:tr>
      <w:tr w:rsidR="00336793" w:rsidRPr="00E96950" w:rsidTr="00DF0B96">
        <w:trPr>
          <w:trHeight w:hRule="exact" w:val="120"/>
        </w:trPr>
        <w:tc>
          <w:tcPr>
            <w:tcW w:w="2144" w:type="dxa"/>
            <w:tcBorders>
              <w:top w:val="single" w:sz="6" w:space="0" w:color="auto"/>
              <w:left w:val="nil"/>
              <w:bottom w:val="nil"/>
              <w:right w:val="nil"/>
            </w:tcBorders>
          </w:tcPr>
          <w:p w:rsidR="00336793" w:rsidRPr="00E96950" w:rsidRDefault="00336793" w:rsidP="00DF0B96">
            <w:pPr>
              <w:pStyle w:val="Tabletext"/>
              <w:rPr>
                <w:rFonts w:eastAsiaTheme="minorEastAsia"/>
                <w:i/>
                <w:iCs/>
                <w:sz w:val="16"/>
                <w:lang w:eastAsia="en-AU"/>
              </w:rPr>
            </w:pPr>
            <w:r w:rsidRPr="00E96950">
              <w:rPr>
                <w:rFonts w:eastAsiaTheme="minorEastAsia"/>
                <w:i/>
                <w:iCs/>
                <w:sz w:val="16"/>
                <w:lang w:eastAsia="en-AU"/>
              </w:rPr>
              <w:t xml:space="preserve"> </w:t>
            </w:r>
          </w:p>
        </w:tc>
        <w:tc>
          <w:tcPr>
            <w:tcW w:w="1035" w:type="dxa"/>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c>
          <w:tcPr>
            <w:tcW w:w="1036" w:type="dxa"/>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c>
          <w:tcPr>
            <w:tcW w:w="1035" w:type="dxa"/>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c>
          <w:tcPr>
            <w:tcW w:w="1036" w:type="dxa"/>
            <w:gridSpan w:val="2"/>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c>
          <w:tcPr>
            <w:tcW w:w="1035" w:type="dxa"/>
            <w:gridSpan w:val="5"/>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c>
          <w:tcPr>
            <w:tcW w:w="1036" w:type="dxa"/>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c>
          <w:tcPr>
            <w:tcW w:w="1035" w:type="dxa"/>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c>
          <w:tcPr>
            <w:tcW w:w="1036" w:type="dxa"/>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c>
          <w:tcPr>
            <w:tcW w:w="1035" w:type="dxa"/>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c>
          <w:tcPr>
            <w:tcW w:w="1036" w:type="dxa"/>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c>
          <w:tcPr>
            <w:tcW w:w="1035" w:type="dxa"/>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c>
          <w:tcPr>
            <w:tcW w:w="1036" w:type="dxa"/>
            <w:tcBorders>
              <w:top w:val="single" w:sz="6" w:space="0" w:color="auto"/>
              <w:left w:val="nil"/>
              <w:bottom w:val="nil"/>
              <w:right w:val="nil"/>
            </w:tcBorders>
          </w:tcPr>
          <w:p w:rsidR="00336793" w:rsidRPr="00E96950" w:rsidRDefault="00336793" w:rsidP="00DF0B96">
            <w:pPr>
              <w:pStyle w:val="TableofFigures"/>
              <w:rPr>
                <w:rFonts w:eastAsiaTheme="minorEastAsia"/>
                <w:i/>
                <w:iCs/>
                <w:sz w:val="16"/>
                <w:lang w:eastAsia="en-AU"/>
              </w:rPr>
            </w:pPr>
            <w:r w:rsidRPr="00E96950">
              <w:rPr>
                <w:rFonts w:eastAsiaTheme="minorEastAsia"/>
                <w:i/>
                <w:iCs/>
                <w:sz w:val="16"/>
                <w:lang w:eastAsia="en-AU"/>
              </w:rPr>
              <w:t xml:space="preserve"> </w:t>
            </w:r>
          </w:p>
        </w:tc>
      </w:tr>
      <w:tr w:rsidR="00336793" w:rsidRPr="00E96950" w:rsidTr="00DF0B96">
        <w:tc>
          <w:tcPr>
            <w:tcW w:w="6187" w:type="dxa"/>
            <w:gridSpan w:val="5"/>
            <w:tcBorders>
              <w:top w:val="nil"/>
              <w:left w:val="nil"/>
              <w:bottom w:val="nil"/>
              <w:right w:val="nil"/>
            </w:tcBorders>
          </w:tcPr>
          <w:p w:rsidR="00336793" w:rsidRPr="00E96950" w:rsidRDefault="00336793" w:rsidP="00DF0B96">
            <w:pPr>
              <w:pStyle w:val="Tabletext"/>
              <w:rPr>
                <w:rFonts w:eastAsiaTheme="minorEastAsia"/>
                <w:b/>
                <w:bCs/>
                <w:sz w:val="16"/>
                <w:lang w:eastAsia="en-AU"/>
              </w:rPr>
            </w:pPr>
            <w:r w:rsidRPr="00E96950">
              <w:rPr>
                <w:rFonts w:eastAsiaTheme="minorEastAsia"/>
                <w:b/>
                <w:bCs/>
                <w:sz w:val="16"/>
                <w:lang w:eastAsia="en-AU"/>
              </w:rPr>
              <w:t>Uncommissioned Public Private Partnerships total commitments</w:t>
            </w:r>
          </w:p>
        </w:tc>
        <w:tc>
          <w:tcPr>
            <w:tcW w:w="227" w:type="dxa"/>
            <w:gridSpan w:val="2"/>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c>
          <w:tcPr>
            <w:tcW w:w="227" w:type="dxa"/>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c>
          <w:tcPr>
            <w:tcW w:w="227" w:type="dxa"/>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c>
          <w:tcPr>
            <w:tcW w:w="227" w:type="dxa"/>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c>
          <w:tcPr>
            <w:tcW w:w="227" w:type="dxa"/>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c>
          <w:tcPr>
            <w:tcW w:w="1036" w:type="dxa"/>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c>
          <w:tcPr>
            <w:tcW w:w="1035" w:type="dxa"/>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c>
          <w:tcPr>
            <w:tcW w:w="1036" w:type="dxa"/>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c>
          <w:tcPr>
            <w:tcW w:w="1035" w:type="dxa"/>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c>
          <w:tcPr>
            <w:tcW w:w="1036" w:type="dxa"/>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c>
          <w:tcPr>
            <w:tcW w:w="1035" w:type="dxa"/>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c>
          <w:tcPr>
            <w:tcW w:w="1036" w:type="dxa"/>
            <w:tcBorders>
              <w:top w:val="nil"/>
              <w:left w:val="nil"/>
              <w:bottom w:val="nil"/>
              <w:right w:val="nil"/>
            </w:tcBorders>
          </w:tcPr>
          <w:p w:rsidR="00336793" w:rsidRPr="00E96950" w:rsidRDefault="00336793" w:rsidP="00DF0B96">
            <w:pPr>
              <w:pStyle w:val="TableofFigures"/>
              <w:rPr>
                <w:rFonts w:eastAsiaTheme="minorEastAsia"/>
                <w:b/>
                <w:i/>
                <w:iCs/>
                <w:sz w:val="16"/>
                <w:lang w:eastAsia="en-AU"/>
              </w:rPr>
            </w:pPr>
            <w:r w:rsidRPr="00E96950">
              <w:rPr>
                <w:rFonts w:eastAsiaTheme="minorEastAsia"/>
                <w:b/>
                <w:i/>
                <w:iCs/>
                <w:sz w:val="16"/>
                <w:lang w:eastAsia="en-AU"/>
              </w:rPr>
              <w:t xml:space="preserve"> </w:t>
            </w:r>
          </w:p>
        </w:tc>
      </w:tr>
      <w:tr w:rsidR="00336793" w:rsidRPr="00E96950" w:rsidTr="00DF0B96">
        <w:tc>
          <w:tcPr>
            <w:tcW w:w="2144" w:type="dxa"/>
            <w:tcBorders>
              <w:top w:val="nil"/>
              <w:left w:val="nil"/>
              <w:bottom w:val="nil"/>
              <w:right w:val="nil"/>
            </w:tcBorders>
          </w:tcPr>
          <w:p w:rsidR="00336793" w:rsidRPr="00E96950" w:rsidRDefault="00336793" w:rsidP="00DF0B96">
            <w:pPr>
              <w:pStyle w:val="Tabletext"/>
              <w:rPr>
                <w:rFonts w:eastAsiaTheme="minorEastAsia"/>
                <w:sz w:val="16"/>
                <w:vertAlign w:val="superscript"/>
                <w:lang w:eastAsia="en-AU"/>
              </w:rPr>
            </w:pPr>
            <w:r w:rsidRPr="00E96950">
              <w:rPr>
                <w:rFonts w:eastAsiaTheme="minorEastAsia"/>
                <w:sz w:val="16"/>
                <w:lang w:eastAsia="en-AU"/>
              </w:rPr>
              <w:t>Bendigo Hospital – stage one</w:t>
            </w:r>
            <w:r w:rsidRPr="00E96950">
              <w:rPr>
                <w:rFonts w:eastAsiaTheme="minorEastAsia"/>
                <w:sz w:val="16"/>
                <w:vertAlign w:val="superscript"/>
                <w:lang w:eastAsia="en-AU"/>
              </w:rPr>
              <w:t xml:space="preserve"> (c)</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279.4</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1 178.2</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2 861.7</w:t>
            </w:r>
          </w:p>
        </w:tc>
        <w:tc>
          <w:tcPr>
            <w:tcW w:w="1036" w:type="dxa"/>
            <w:gridSpan w:val="2"/>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279.4</w:t>
            </w:r>
          </w:p>
        </w:tc>
        <w:tc>
          <w:tcPr>
            <w:tcW w:w="1035" w:type="dxa"/>
            <w:gridSpan w:val="5"/>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1 178.2</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2 861.7</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279.4</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1 138.3</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2 861.7</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279.4</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1 138.3</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2 861.7</w:t>
            </w:r>
          </w:p>
        </w:tc>
      </w:tr>
      <w:tr w:rsidR="00336793" w:rsidRPr="00E96950" w:rsidTr="00DF0B96">
        <w:tc>
          <w:tcPr>
            <w:tcW w:w="2144" w:type="dxa"/>
            <w:tcBorders>
              <w:top w:val="nil"/>
              <w:left w:val="nil"/>
              <w:bottom w:val="nil"/>
              <w:right w:val="nil"/>
            </w:tcBorders>
          </w:tcPr>
          <w:p w:rsidR="00336793" w:rsidRPr="00E96950" w:rsidRDefault="00336793" w:rsidP="00DF0B96">
            <w:pPr>
              <w:pStyle w:val="Tabletext"/>
              <w:rPr>
                <w:rFonts w:eastAsiaTheme="minorEastAsia"/>
                <w:sz w:val="16"/>
                <w:vertAlign w:val="superscript"/>
                <w:lang w:eastAsia="en-AU"/>
              </w:rPr>
            </w:pPr>
            <w:r w:rsidRPr="00E96950">
              <w:rPr>
                <w:rFonts w:eastAsiaTheme="minorEastAsia"/>
                <w:sz w:val="16"/>
                <w:lang w:eastAsia="en-AU"/>
              </w:rPr>
              <w:t>Bendigo Hospital – stage two</w:t>
            </w:r>
            <w:r w:rsidRPr="00E96950">
              <w:rPr>
                <w:rFonts w:eastAsiaTheme="minorEastAsia"/>
                <w:sz w:val="16"/>
                <w:vertAlign w:val="superscript"/>
                <w:lang w:eastAsia="en-AU"/>
              </w:rPr>
              <w:t xml:space="preserve"> (c)</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17.5</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47.1</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99.6</w:t>
            </w:r>
          </w:p>
        </w:tc>
        <w:tc>
          <w:tcPr>
            <w:tcW w:w="1036" w:type="dxa"/>
            <w:gridSpan w:val="2"/>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17.5</w:t>
            </w:r>
          </w:p>
        </w:tc>
        <w:tc>
          <w:tcPr>
            <w:tcW w:w="1035" w:type="dxa"/>
            <w:gridSpan w:val="5"/>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47.1</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99.6</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17.5</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46.7</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99.6</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17.5</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46.7</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99.6</w:t>
            </w:r>
          </w:p>
        </w:tc>
      </w:tr>
      <w:tr w:rsidR="00336793" w:rsidRPr="00E96950" w:rsidTr="00DF0B96">
        <w:tc>
          <w:tcPr>
            <w:tcW w:w="2144" w:type="dxa"/>
            <w:tcBorders>
              <w:top w:val="nil"/>
              <w:left w:val="nil"/>
              <w:bottom w:val="nil"/>
              <w:right w:val="nil"/>
            </w:tcBorders>
          </w:tcPr>
          <w:p w:rsidR="00336793" w:rsidRPr="00E96950" w:rsidRDefault="00336793" w:rsidP="00DF0B96">
            <w:pPr>
              <w:pStyle w:val="Tabletext"/>
              <w:rPr>
                <w:rFonts w:eastAsiaTheme="minorEastAsia"/>
                <w:sz w:val="16"/>
                <w:lang w:eastAsia="en-AU"/>
              </w:rPr>
            </w:pPr>
            <w:r w:rsidRPr="00E96950">
              <w:rPr>
                <w:rFonts w:eastAsiaTheme="minorEastAsia"/>
                <w:sz w:val="16"/>
                <w:lang w:eastAsia="en-AU"/>
              </w:rPr>
              <w:t>Victorian Comprehensive Cancer Centre (VCCC)</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1 050.4</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383.1</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3 199.8</w:t>
            </w:r>
          </w:p>
        </w:tc>
        <w:tc>
          <w:tcPr>
            <w:tcW w:w="1036" w:type="dxa"/>
            <w:gridSpan w:val="2"/>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1 050.4</w:t>
            </w:r>
          </w:p>
        </w:tc>
        <w:tc>
          <w:tcPr>
            <w:tcW w:w="1035" w:type="dxa"/>
            <w:gridSpan w:val="5"/>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383.1</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3 199.8</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1 050.4</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353.6</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3 199.8</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1 050.4</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353.6</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3 199.8</w:t>
            </w:r>
          </w:p>
        </w:tc>
      </w:tr>
      <w:tr w:rsidR="00336793" w:rsidRPr="00E96950" w:rsidTr="00DF0B96">
        <w:tc>
          <w:tcPr>
            <w:tcW w:w="2144" w:type="dxa"/>
            <w:tcBorders>
              <w:top w:val="nil"/>
              <w:left w:val="nil"/>
              <w:bottom w:val="nil"/>
              <w:right w:val="nil"/>
            </w:tcBorders>
          </w:tcPr>
          <w:p w:rsidR="00336793" w:rsidRPr="00E96950" w:rsidRDefault="00336793" w:rsidP="00DF0B96">
            <w:pPr>
              <w:pStyle w:val="Tabletext"/>
              <w:rPr>
                <w:rFonts w:eastAsiaTheme="minorEastAsia" w:cs="Calibri"/>
                <w:color w:val="000000"/>
                <w:sz w:val="16"/>
                <w:szCs w:val="19"/>
                <w:lang w:eastAsia="en-AU"/>
              </w:rPr>
            </w:pPr>
            <w:r w:rsidRPr="00E96950">
              <w:rPr>
                <w:rFonts w:eastAsiaTheme="minorEastAsia"/>
                <w:sz w:val="16"/>
                <w:lang w:eastAsia="en-AU"/>
              </w:rPr>
              <w:t xml:space="preserve">Ravenhall </w:t>
            </w:r>
            <w:r w:rsidRPr="00E96950">
              <w:rPr>
                <w:rFonts w:eastAsiaTheme="minorEastAsia" w:cs="Calibri"/>
                <w:color w:val="000000"/>
                <w:sz w:val="16"/>
                <w:szCs w:val="19"/>
                <w:lang w:eastAsia="en-AU"/>
              </w:rPr>
              <w:t>Prison</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791.6</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2 685.2</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7 459.8</w:t>
            </w:r>
          </w:p>
        </w:tc>
        <w:tc>
          <w:tcPr>
            <w:tcW w:w="1036" w:type="dxa"/>
            <w:gridSpan w:val="2"/>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791.6</w:t>
            </w:r>
          </w:p>
        </w:tc>
        <w:tc>
          <w:tcPr>
            <w:tcW w:w="1035" w:type="dxa"/>
            <w:gridSpan w:val="5"/>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2 685.2</w:t>
            </w: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7 459.8</w:t>
            </w: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p>
        </w:tc>
        <w:tc>
          <w:tcPr>
            <w:tcW w:w="1035"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p>
        </w:tc>
        <w:tc>
          <w:tcPr>
            <w:tcW w:w="1036" w:type="dxa"/>
            <w:tcBorders>
              <w:top w:val="nil"/>
              <w:left w:val="nil"/>
              <w:bottom w:val="nil"/>
              <w:right w:val="nil"/>
            </w:tcBorders>
          </w:tcPr>
          <w:p w:rsidR="00336793" w:rsidRPr="00E96950" w:rsidRDefault="00336793" w:rsidP="00DF0B96">
            <w:pPr>
              <w:pStyle w:val="TableofFigures"/>
              <w:rPr>
                <w:rFonts w:eastAsiaTheme="minorEastAsia"/>
                <w:sz w:val="16"/>
                <w:lang w:eastAsia="en-AU"/>
              </w:rPr>
            </w:pPr>
          </w:p>
        </w:tc>
      </w:tr>
      <w:tr w:rsidR="00336793" w:rsidRPr="00E96950" w:rsidTr="00DF0B96">
        <w:tc>
          <w:tcPr>
            <w:tcW w:w="2144" w:type="dxa"/>
            <w:tcBorders>
              <w:top w:val="single" w:sz="6" w:space="0" w:color="auto"/>
              <w:left w:val="nil"/>
              <w:bottom w:val="single" w:sz="6" w:space="0" w:color="auto"/>
              <w:right w:val="nil"/>
            </w:tcBorders>
          </w:tcPr>
          <w:p w:rsidR="00336793" w:rsidRPr="00E96950" w:rsidRDefault="00336793" w:rsidP="00DF0B96">
            <w:pPr>
              <w:pStyle w:val="Tabletext"/>
              <w:rPr>
                <w:rFonts w:eastAsiaTheme="minorEastAsia"/>
                <w:b/>
                <w:bCs/>
                <w:sz w:val="16"/>
                <w:lang w:eastAsia="en-AU"/>
              </w:rPr>
            </w:pPr>
            <w:r w:rsidRPr="00E96950">
              <w:rPr>
                <w:rFonts w:eastAsiaTheme="minorEastAsia"/>
                <w:b/>
                <w:bCs/>
                <w:sz w:val="16"/>
                <w:lang w:eastAsia="en-AU"/>
              </w:rPr>
              <w:t>Sub</w:t>
            </w:r>
            <w:r w:rsidRPr="00E96950">
              <w:rPr>
                <w:rFonts w:eastAsiaTheme="minorEastAsia"/>
                <w:b/>
                <w:bCs/>
                <w:sz w:val="16"/>
                <w:lang w:eastAsia="en-AU"/>
              </w:rPr>
              <w:noBreakHyphen/>
              <w:t>total</w:t>
            </w:r>
          </w:p>
        </w:tc>
        <w:tc>
          <w:tcPr>
            <w:tcW w:w="1035"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2 138.9</w:t>
            </w:r>
          </w:p>
        </w:tc>
        <w:tc>
          <w:tcPr>
            <w:tcW w:w="1036"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4 293.6</w:t>
            </w:r>
          </w:p>
        </w:tc>
        <w:tc>
          <w:tcPr>
            <w:tcW w:w="1035"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13 620.9</w:t>
            </w:r>
          </w:p>
        </w:tc>
        <w:tc>
          <w:tcPr>
            <w:tcW w:w="1036" w:type="dxa"/>
            <w:gridSpan w:val="2"/>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2 138.9</w:t>
            </w:r>
          </w:p>
        </w:tc>
        <w:tc>
          <w:tcPr>
            <w:tcW w:w="1035" w:type="dxa"/>
            <w:gridSpan w:val="5"/>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4 293.6</w:t>
            </w:r>
          </w:p>
        </w:tc>
        <w:tc>
          <w:tcPr>
            <w:tcW w:w="1036"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13 620.9</w:t>
            </w:r>
          </w:p>
        </w:tc>
        <w:tc>
          <w:tcPr>
            <w:tcW w:w="1035"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1 347.3</w:t>
            </w:r>
          </w:p>
        </w:tc>
        <w:tc>
          <w:tcPr>
            <w:tcW w:w="1036"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1 538.5</w:t>
            </w:r>
          </w:p>
        </w:tc>
        <w:tc>
          <w:tcPr>
            <w:tcW w:w="1035"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6 161.2</w:t>
            </w:r>
          </w:p>
        </w:tc>
        <w:tc>
          <w:tcPr>
            <w:tcW w:w="1036"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1 347.3</w:t>
            </w:r>
          </w:p>
        </w:tc>
        <w:tc>
          <w:tcPr>
            <w:tcW w:w="1035"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1 538.5</w:t>
            </w:r>
          </w:p>
        </w:tc>
        <w:tc>
          <w:tcPr>
            <w:tcW w:w="1036"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6 161.2</w:t>
            </w:r>
          </w:p>
        </w:tc>
      </w:tr>
      <w:tr w:rsidR="00336793" w:rsidRPr="00E96950" w:rsidTr="00DF0B96">
        <w:tc>
          <w:tcPr>
            <w:tcW w:w="2144" w:type="dxa"/>
            <w:tcBorders>
              <w:top w:val="single" w:sz="6" w:space="0" w:color="auto"/>
              <w:left w:val="nil"/>
              <w:bottom w:val="single" w:sz="6" w:space="0" w:color="auto"/>
              <w:right w:val="nil"/>
            </w:tcBorders>
          </w:tcPr>
          <w:p w:rsidR="00336793" w:rsidRPr="00E96950" w:rsidRDefault="00336793" w:rsidP="00DF0B96">
            <w:pPr>
              <w:pStyle w:val="Tabletext"/>
              <w:rPr>
                <w:rFonts w:eastAsiaTheme="minorEastAsia"/>
                <w:b/>
                <w:bCs/>
                <w:sz w:val="16"/>
                <w:lang w:eastAsia="en-AU"/>
              </w:rPr>
            </w:pPr>
            <w:r w:rsidRPr="00E96950">
              <w:rPr>
                <w:rFonts w:eastAsiaTheme="minorEastAsia"/>
                <w:b/>
                <w:bCs/>
                <w:sz w:val="16"/>
                <w:lang w:eastAsia="en-AU"/>
              </w:rPr>
              <w:t>Total commitments for Public Private Partnerships</w:t>
            </w:r>
          </w:p>
        </w:tc>
        <w:tc>
          <w:tcPr>
            <w:tcW w:w="1035"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6"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9 187.4</w:t>
            </w:r>
          </w:p>
        </w:tc>
        <w:tc>
          <w:tcPr>
            <w:tcW w:w="1035"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24 502.2</w:t>
            </w:r>
          </w:p>
        </w:tc>
        <w:tc>
          <w:tcPr>
            <w:tcW w:w="1036" w:type="dxa"/>
            <w:gridSpan w:val="2"/>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5" w:type="dxa"/>
            <w:gridSpan w:val="5"/>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8 963.5</w:t>
            </w:r>
          </w:p>
        </w:tc>
        <w:tc>
          <w:tcPr>
            <w:tcW w:w="1036"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24 161.8</w:t>
            </w:r>
          </w:p>
        </w:tc>
        <w:tc>
          <w:tcPr>
            <w:tcW w:w="1035"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6"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5 492.6</w:t>
            </w:r>
          </w:p>
        </w:tc>
        <w:tc>
          <w:tcPr>
            <w:tcW w:w="1035"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15 907.5</w:t>
            </w:r>
          </w:p>
        </w:tc>
        <w:tc>
          <w:tcPr>
            <w:tcW w:w="1036"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5"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5 262.8</w:t>
            </w:r>
          </w:p>
        </w:tc>
        <w:tc>
          <w:tcPr>
            <w:tcW w:w="1036" w:type="dxa"/>
            <w:tcBorders>
              <w:top w:val="single" w:sz="6" w:space="0" w:color="auto"/>
              <w:left w:val="nil"/>
              <w:bottom w:val="single" w:sz="6" w:space="0" w:color="auto"/>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15 582.7</w:t>
            </w:r>
          </w:p>
        </w:tc>
      </w:tr>
      <w:tr w:rsidR="00336793" w:rsidRPr="00E96950" w:rsidTr="00DF0B96">
        <w:tc>
          <w:tcPr>
            <w:tcW w:w="2144" w:type="dxa"/>
            <w:tcBorders>
              <w:top w:val="single" w:sz="6" w:space="0" w:color="auto"/>
              <w:left w:val="nil"/>
              <w:bottom w:val="nil"/>
              <w:right w:val="nil"/>
            </w:tcBorders>
          </w:tcPr>
          <w:p w:rsidR="00336793" w:rsidRPr="00E96950" w:rsidRDefault="00336793" w:rsidP="00DF0B96">
            <w:pPr>
              <w:pStyle w:val="Tabletext"/>
              <w:rPr>
                <w:rFonts w:eastAsiaTheme="minorEastAsia"/>
                <w:b/>
                <w:bCs/>
                <w:sz w:val="16"/>
                <w:vertAlign w:val="superscript"/>
                <w:lang w:eastAsia="en-AU"/>
              </w:rPr>
            </w:pPr>
            <w:r w:rsidRPr="00E96950">
              <w:rPr>
                <w:rFonts w:eastAsiaTheme="minorEastAsia"/>
                <w:b/>
                <w:bCs/>
                <w:sz w:val="16"/>
                <w:lang w:eastAsia="en-AU"/>
              </w:rPr>
              <w:t>Total commitments (inclusive of GST)</w:t>
            </w:r>
            <w:r w:rsidRPr="00E96950">
              <w:rPr>
                <w:rFonts w:eastAsiaTheme="minorEastAsia"/>
                <w:b/>
                <w:bCs/>
                <w:sz w:val="16"/>
                <w:vertAlign w:val="superscript"/>
                <w:lang w:eastAsia="en-AU"/>
              </w:rPr>
              <w:t xml:space="preserve"> (d)</w:t>
            </w:r>
          </w:p>
        </w:tc>
        <w:tc>
          <w:tcPr>
            <w:tcW w:w="1035" w:type="dxa"/>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6" w:type="dxa"/>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5" w:type="dxa"/>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42 573.3</w:t>
            </w:r>
          </w:p>
        </w:tc>
        <w:tc>
          <w:tcPr>
            <w:tcW w:w="1036" w:type="dxa"/>
            <w:gridSpan w:val="2"/>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5" w:type="dxa"/>
            <w:gridSpan w:val="5"/>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6" w:type="dxa"/>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40 753.1</w:t>
            </w:r>
          </w:p>
        </w:tc>
        <w:tc>
          <w:tcPr>
            <w:tcW w:w="1035" w:type="dxa"/>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6" w:type="dxa"/>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5" w:type="dxa"/>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34 372.0</w:t>
            </w:r>
          </w:p>
        </w:tc>
        <w:tc>
          <w:tcPr>
            <w:tcW w:w="1036" w:type="dxa"/>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5" w:type="dxa"/>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6" w:type="dxa"/>
            <w:tcBorders>
              <w:top w:val="single" w:sz="6" w:space="0" w:color="auto"/>
              <w:left w:val="nil"/>
              <w:bottom w:val="nil"/>
              <w:right w:val="nil"/>
            </w:tcBorders>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32 668.4</w:t>
            </w:r>
          </w:p>
        </w:tc>
      </w:tr>
      <w:tr w:rsidR="00336793" w:rsidRPr="00E96950" w:rsidTr="00DF0B96">
        <w:tc>
          <w:tcPr>
            <w:tcW w:w="2144" w:type="dxa"/>
            <w:tcBorders>
              <w:top w:val="nil"/>
              <w:left w:val="nil"/>
              <w:bottom w:val="single" w:sz="6" w:space="0" w:color="auto"/>
              <w:right w:val="nil"/>
            </w:tcBorders>
          </w:tcPr>
          <w:p w:rsidR="00336793" w:rsidRPr="00E96950" w:rsidRDefault="00336793" w:rsidP="00DF0B96">
            <w:pPr>
              <w:pStyle w:val="Tabletext"/>
              <w:rPr>
                <w:rFonts w:eastAsiaTheme="minorEastAsia"/>
                <w:sz w:val="16"/>
                <w:lang w:eastAsia="en-AU"/>
              </w:rPr>
            </w:pPr>
            <w:r w:rsidRPr="00E96950">
              <w:rPr>
                <w:rFonts w:eastAsiaTheme="minorEastAsia"/>
                <w:sz w:val="16"/>
                <w:lang w:eastAsia="en-AU"/>
              </w:rPr>
              <w:t>Less GST recoverable from the Australian Tax Office</w:t>
            </w:r>
          </w:p>
        </w:tc>
        <w:tc>
          <w:tcPr>
            <w:tcW w:w="1035" w:type="dxa"/>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w:t>
            </w:r>
          </w:p>
        </w:tc>
        <w:tc>
          <w:tcPr>
            <w:tcW w:w="1036" w:type="dxa"/>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w:t>
            </w:r>
          </w:p>
        </w:tc>
        <w:tc>
          <w:tcPr>
            <w:tcW w:w="1035" w:type="dxa"/>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3 870.3</w:t>
            </w:r>
          </w:p>
        </w:tc>
        <w:tc>
          <w:tcPr>
            <w:tcW w:w="1036" w:type="dxa"/>
            <w:gridSpan w:val="2"/>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w:t>
            </w:r>
          </w:p>
        </w:tc>
        <w:tc>
          <w:tcPr>
            <w:tcW w:w="1035" w:type="dxa"/>
            <w:gridSpan w:val="5"/>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w:t>
            </w:r>
          </w:p>
        </w:tc>
        <w:tc>
          <w:tcPr>
            <w:tcW w:w="1036" w:type="dxa"/>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3 704.8</w:t>
            </w:r>
          </w:p>
        </w:tc>
        <w:tc>
          <w:tcPr>
            <w:tcW w:w="1035" w:type="dxa"/>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w:t>
            </w:r>
          </w:p>
        </w:tc>
        <w:tc>
          <w:tcPr>
            <w:tcW w:w="1036" w:type="dxa"/>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w:t>
            </w:r>
          </w:p>
        </w:tc>
        <w:tc>
          <w:tcPr>
            <w:tcW w:w="1035" w:type="dxa"/>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3 124.7</w:t>
            </w:r>
          </w:p>
        </w:tc>
        <w:tc>
          <w:tcPr>
            <w:tcW w:w="1036" w:type="dxa"/>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w:t>
            </w:r>
          </w:p>
        </w:tc>
        <w:tc>
          <w:tcPr>
            <w:tcW w:w="1035" w:type="dxa"/>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 xml:space="preserve"> </w:t>
            </w:r>
          </w:p>
        </w:tc>
        <w:tc>
          <w:tcPr>
            <w:tcW w:w="1036" w:type="dxa"/>
            <w:tcBorders>
              <w:top w:val="nil"/>
              <w:left w:val="nil"/>
              <w:bottom w:val="single" w:sz="6" w:space="0" w:color="auto"/>
              <w:right w:val="nil"/>
            </w:tcBorders>
          </w:tcPr>
          <w:p w:rsidR="00336793" w:rsidRPr="00E96950" w:rsidRDefault="00336793" w:rsidP="00DF0B96">
            <w:pPr>
              <w:pStyle w:val="TableofFigures"/>
              <w:rPr>
                <w:rFonts w:eastAsiaTheme="minorEastAsia"/>
                <w:sz w:val="16"/>
                <w:lang w:eastAsia="en-AU"/>
              </w:rPr>
            </w:pPr>
            <w:r w:rsidRPr="00E96950">
              <w:rPr>
                <w:rFonts w:eastAsiaTheme="minorEastAsia"/>
                <w:sz w:val="16"/>
                <w:lang w:eastAsia="en-AU"/>
              </w:rPr>
              <w:t>2 969.9</w:t>
            </w:r>
          </w:p>
        </w:tc>
      </w:tr>
      <w:tr w:rsidR="00336793" w:rsidRPr="00E96950" w:rsidTr="00DF0B96">
        <w:tc>
          <w:tcPr>
            <w:tcW w:w="2144"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text"/>
              <w:rPr>
                <w:rFonts w:eastAsiaTheme="minorEastAsia"/>
                <w:b/>
                <w:bCs/>
                <w:sz w:val="16"/>
                <w:lang w:eastAsia="en-AU"/>
              </w:rPr>
            </w:pPr>
            <w:r w:rsidRPr="00E96950">
              <w:rPr>
                <w:rFonts w:eastAsiaTheme="minorEastAsia"/>
                <w:b/>
                <w:bCs/>
                <w:sz w:val="16"/>
                <w:lang w:eastAsia="en-AU"/>
              </w:rPr>
              <w:t>Total commitments (exclusive of GST)</w:t>
            </w:r>
          </w:p>
        </w:tc>
        <w:tc>
          <w:tcPr>
            <w:tcW w:w="1035"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6"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5"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38 703.0</w:t>
            </w:r>
          </w:p>
        </w:tc>
        <w:tc>
          <w:tcPr>
            <w:tcW w:w="1036" w:type="dxa"/>
            <w:gridSpan w:val="2"/>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5" w:type="dxa"/>
            <w:gridSpan w:val="5"/>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6"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37 048.3</w:t>
            </w:r>
          </w:p>
        </w:tc>
        <w:tc>
          <w:tcPr>
            <w:tcW w:w="1035"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6"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5"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31 247.3</w:t>
            </w:r>
          </w:p>
        </w:tc>
        <w:tc>
          <w:tcPr>
            <w:tcW w:w="1036"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5"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 xml:space="preserve"> </w:t>
            </w:r>
          </w:p>
        </w:tc>
        <w:tc>
          <w:tcPr>
            <w:tcW w:w="1036" w:type="dxa"/>
            <w:tcBorders>
              <w:top w:val="single" w:sz="6" w:space="0" w:color="auto"/>
              <w:left w:val="nil"/>
              <w:bottom w:val="single" w:sz="12" w:space="0" w:color="000000"/>
              <w:right w:val="nil"/>
            </w:tcBorders>
            <w:shd w:val="clear" w:color="auto" w:fill="auto"/>
          </w:tcPr>
          <w:p w:rsidR="00336793" w:rsidRPr="00E96950" w:rsidRDefault="00336793" w:rsidP="00DF0B96">
            <w:pPr>
              <w:pStyle w:val="TableofFigures"/>
              <w:rPr>
                <w:rFonts w:eastAsiaTheme="minorEastAsia"/>
                <w:b/>
                <w:bCs/>
                <w:sz w:val="16"/>
                <w:lang w:eastAsia="en-AU"/>
              </w:rPr>
            </w:pPr>
            <w:r w:rsidRPr="00E96950">
              <w:rPr>
                <w:rFonts w:eastAsiaTheme="minorEastAsia"/>
                <w:b/>
                <w:bCs/>
                <w:sz w:val="16"/>
                <w:lang w:eastAsia="en-AU"/>
              </w:rPr>
              <w:t>29 698.5</w:t>
            </w:r>
          </w:p>
        </w:tc>
      </w:tr>
    </w:tbl>
    <w:p w:rsidR="00336793" w:rsidRPr="006A75A2" w:rsidRDefault="00336793" w:rsidP="00DF0B96">
      <w:pPr>
        <w:pStyle w:val="Notes"/>
      </w:pPr>
      <w:r w:rsidRPr="006A75A2">
        <w:t>Notes:</w:t>
      </w:r>
    </w:p>
    <w:p w:rsidR="00336793" w:rsidRPr="006A75A2" w:rsidRDefault="00336793" w:rsidP="00DF0B96">
      <w:pPr>
        <w:pStyle w:val="Notes"/>
      </w:pPr>
      <w:r w:rsidRPr="006A75A2">
        <w:t>(a)</w:t>
      </w:r>
      <w:r w:rsidRPr="006A75A2">
        <w:tab/>
        <w:t>The minimum lease payments of commissioned Public Private Partnerships (PPPs) are recognised on the balance sheet and are not disclosed as a commitment.</w:t>
      </w:r>
    </w:p>
    <w:p w:rsidR="00336793" w:rsidRPr="006A75A2" w:rsidRDefault="00336793" w:rsidP="00DF0B96">
      <w:pPr>
        <w:pStyle w:val="Notes"/>
      </w:pPr>
      <w:r w:rsidRPr="006A75A2">
        <w:t>(b)</w:t>
      </w:r>
      <w:r w:rsidRPr="006A75A2">
        <w:tab/>
        <w:t xml:space="preserve">The discounted value of the </w:t>
      </w:r>
      <w:r>
        <w:t>‘</w:t>
      </w:r>
      <w:r w:rsidRPr="006A75A2">
        <w:t>minimum lease payments</w:t>
      </w:r>
      <w:r>
        <w:t>’</w:t>
      </w:r>
      <w:r w:rsidRPr="006A75A2">
        <w:t xml:space="preserve"> has been discounted to the expected date of commissioning and the present value of </w:t>
      </w:r>
      <w:r>
        <w:t>‘</w:t>
      </w:r>
      <w:r w:rsidRPr="006A75A2">
        <w:t>other commitments</w:t>
      </w:r>
      <w:r>
        <w:t>’</w:t>
      </w:r>
      <w:r w:rsidRPr="006A75A2">
        <w:t xml:space="preserve"> have been discounted to 30 June of the respective financial years. After adjusting for GST, the discounted value of minimum lease payments reflects the expected impact on the balance sheet when the PPP is commissioned. </w:t>
      </w:r>
    </w:p>
    <w:p w:rsidR="00336793" w:rsidRPr="006A75A2" w:rsidRDefault="00336793" w:rsidP="00DF0B96">
      <w:pPr>
        <w:pStyle w:val="Notes"/>
        <w:ind w:left="0" w:firstLine="0"/>
      </w:pPr>
      <w:r>
        <w:t>(c</w:t>
      </w:r>
      <w:r w:rsidRPr="006A75A2">
        <w:t>)</w:t>
      </w:r>
      <w:r w:rsidRPr="006A75A2">
        <w:tab/>
        <w:t>The liabilities for Bendigo Hospital are required to be split for reporting purposes due to the contracted staged commissioning (Commercial Acceptance to occur in 2016</w:t>
      </w:r>
      <w:r>
        <w:noBreakHyphen/>
      </w:r>
      <w:r w:rsidRPr="006A75A2">
        <w:t>17 and 2017</w:t>
      </w:r>
      <w:r>
        <w:noBreakHyphen/>
      </w:r>
      <w:r w:rsidRPr="006A75A2">
        <w:t>18 for Stages 1 and 2 respectively).</w:t>
      </w:r>
    </w:p>
    <w:p w:rsidR="00336793" w:rsidRPr="006A75A2" w:rsidRDefault="00336793" w:rsidP="00DF0B96">
      <w:pPr>
        <w:pStyle w:val="Notes"/>
      </w:pPr>
      <w:r>
        <w:t>(d</w:t>
      </w:r>
      <w:r w:rsidRPr="006A75A2">
        <w:t>)</w:t>
      </w:r>
      <w:r w:rsidRPr="006A75A2">
        <w:tab/>
        <w:t>Total commitments (inclusive of GST) include commitments of both PPPs and non PPPs.</w:t>
      </w:r>
    </w:p>
    <w:p w:rsidR="00336793" w:rsidRDefault="00336793" w:rsidP="00DF0B96"/>
    <w:p w:rsidR="00336793" w:rsidRDefault="00336793" w:rsidP="00DF0B96"/>
    <w:p w:rsidR="00336793" w:rsidRDefault="00336793" w:rsidP="00DF0B96">
      <w:pPr>
        <w:sectPr w:rsidR="00336793" w:rsidSect="00DF0B96">
          <w:headerReference w:type="even" r:id="rId120"/>
          <w:headerReference w:type="default" r:id="rId121"/>
          <w:footerReference w:type="even" r:id="rId122"/>
          <w:footerReference w:type="default" r:id="rId123"/>
          <w:pgSz w:w="16838" w:h="11906" w:orient="landscape" w:code="9"/>
          <w:pgMar w:top="1152" w:right="1152" w:bottom="1152" w:left="1152" w:header="720" w:footer="720" w:gutter="0"/>
          <w:cols w:space="708"/>
          <w:docGrid w:linePitch="360"/>
        </w:sectPr>
      </w:pPr>
    </w:p>
    <w:p w:rsidR="00336793" w:rsidRDefault="00336793" w:rsidP="00DF0B96">
      <w:pPr>
        <w:pStyle w:val="Heading2NotesContd"/>
        <w:rPr>
          <w:i/>
        </w:rPr>
      </w:pPr>
      <w:r w:rsidRPr="006A75A2">
        <w:lastRenderedPageBreak/>
        <w:t>Note 34:</w:t>
      </w:r>
      <w:r w:rsidRPr="006A75A2">
        <w:tab/>
        <w:t>Commitments</w:t>
      </w:r>
      <w:r>
        <w:t xml:space="preserve"> </w:t>
      </w:r>
      <w:r w:rsidRPr="00CD0EDE">
        <w:rPr>
          <w:i/>
        </w:rPr>
        <w:t>(continued)</w:t>
      </w:r>
    </w:p>
    <w:p w:rsidR="00336793" w:rsidRPr="006A75A2" w:rsidRDefault="00336793" w:rsidP="00DF0B96">
      <w:pPr>
        <w:pStyle w:val="Heading5"/>
      </w:pPr>
      <w:r w:rsidRPr="006A75A2">
        <w:t>(c)</w:t>
      </w:r>
      <w:r w:rsidRPr="006A75A2">
        <w:tab/>
      </w:r>
      <w:r w:rsidRPr="00F544EF">
        <w:t>Commitment</w:t>
      </w:r>
      <w:r w:rsidRPr="006A75A2">
        <w:t xml:space="preserve"> payables</w:t>
      </w:r>
      <w:r>
        <w:rPr>
          <w:vertAlign w:val="superscript"/>
        </w:rPr>
        <w:t xml:space="preserve"> (a)</w:t>
      </w:r>
    </w:p>
    <w:p w:rsidR="00336793" w:rsidRPr="0046470F"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4553"/>
        <w:gridCol w:w="1271"/>
        <w:gridCol w:w="1271"/>
        <w:gridCol w:w="1271"/>
        <w:gridCol w:w="1271"/>
      </w:tblGrid>
      <w:tr w:rsidR="00336793" w:rsidRPr="0046470F" w:rsidTr="00DF0B96">
        <w:tc>
          <w:tcPr>
            <w:tcW w:w="4553" w:type="dxa"/>
            <w:tcBorders>
              <w:top w:val="single" w:sz="6" w:space="0" w:color="auto"/>
              <w:left w:val="single" w:sz="6" w:space="0" w:color="auto"/>
              <w:right w:val="nil"/>
            </w:tcBorders>
            <w:shd w:val="clear" w:color="000000" w:fill="000000"/>
          </w:tcPr>
          <w:p w:rsidR="00336793" w:rsidRPr="0046470F" w:rsidRDefault="00336793" w:rsidP="00DF0B96">
            <w:pPr>
              <w:pStyle w:val="Tabletext"/>
              <w:rPr>
                <w:rFonts w:eastAsiaTheme="minorEastAsia"/>
                <w:i/>
                <w:sz w:val="19"/>
                <w:lang w:eastAsia="en-AU"/>
              </w:rPr>
            </w:pPr>
            <w:r w:rsidRPr="0046470F">
              <w:rPr>
                <w:rFonts w:eastAsiaTheme="minorEastAsia"/>
                <w:i/>
                <w:sz w:val="19"/>
                <w:lang w:eastAsia="en-AU"/>
              </w:rPr>
              <w:t xml:space="preserve"> </w:t>
            </w:r>
          </w:p>
        </w:tc>
        <w:tc>
          <w:tcPr>
            <w:tcW w:w="1271" w:type="dxa"/>
            <w:tcBorders>
              <w:top w:val="single" w:sz="6" w:space="0" w:color="auto"/>
              <w:left w:val="nil"/>
              <w:right w:val="nil"/>
            </w:tcBorders>
            <w:shd w:val="clear" w:color="000000" w:fill="000000"/>
          </w:tcPr>
          <w:p w:rsidR="00336793" w:rsidRPr="0046470F" w:rsidRDefault="00336793" w:rsidP="00DF0B96">
            <w:pPr>
              <w:pStyle w:val="Tabletextheading"/>
              <w:rPr>
                <w:rFonts w:eastAsiaTheme="minorEastAsia"/>
                <w:color w:val="FFFFFF"/>
                <w:sz w:val="19"/>
                <w:lang w:eastAsia="en-AU"/>
              </w:rPr>
            </w:pPr>
          </w:p>
          <w:p w:rsidR="00336793" w:rsidRPr="0046470F" w:rsidRDefault="00336793" w:rsidP="00DF0B96">
            <w:pPr>
              <w:pStyle w:val="Tabletextheading"/>
              <w:rPr>
                <w:rFonts w:eastAsiaTheme="minorEastAsia"/>
                <w:color w:val="FFFFFF"/>
                <w:sz w:val="19"/>
                <w:lang w:eastAsia="en-AU"/>
              </w:rPr>
            </w:pPr>
            <w:r w:rsidRPr="0046470F">
              <w:rPr>
                <w:rFonts w:eastAsiaTheme="minorEastAsia"/>
                <w:color w:val="FFFFFF"/>
                <w:sz w:val="19"/>
                <w:lang w:eastAsia="en-AU"/>
              </w:rPr>
              <w:t>State of Victoria</w:t>
            </w:r>
          </w:p>
        </w:tc>
        <w:tc>
          <w:tcPr>
            <w:tcW w:w="1271" w:type="dxa"/>
            <w:tcBorders>
              <w:top w:val="single" w:sz="6" w:space="0" w:color="auto"/>
              <w:left w:val="nil"/>
              <w:right w:val="nil"/>
            </w:tcBorders>
            <w:shd w:val="clear" w:color="000000" w:fill="000000"/>
          </w:tcPr>
          <w:p w:rsidR="00336793" w:rsidRPr="0046470F" w:rsidRDefault="00336793" w:rsidP="00DF0B96">
            <w:pPr>
              <w:pStyle w:val="Tabletextheading"/>
              <w:rPr>
                <w:rFonts w:eastAsiaTheme="minorEastAsia"/>
                <w:color w:val="FFFFFF"/>
                <w:sz w:val="19"/>
                <w:lang w:eastAsia="en-AU"/>
              </w:rPr>
            </w:pPr>
            <w:r w:rsidRPr="0046470F">
              <w:rPr>
                <w:rFonts w:eastAsiaTheme="minorEastAsia"/>
                <w:color w:val="FFFFFF"/>
                <w:sz w:val="19"/>
                <w:lang w:eastAsia="en-AU"/>
              </w:rPr>
              <w:t>General government sector</w:t>
            </w:r>
          </w:p>
        </w:tc>
        <w:tc>
          <w:tcPr>
            <w:tcW w:w="1271" w:type="dxa"/>
            <w:tcBorders>
              <w:top w:val="single" w:sz="6" w:space="0" w:color="auto"/>
              <w:left w:val="nil"/>
              <w:right w:val="nil"/>
            </w:tcBorders>
            <w:shd w:val="clear" w:color="000000" w:fill="000000"/>
          </w:tcPr>
          <w:p w:rsidR="00336793" w:rsidRPr="0046470F" w:rsidRDefault="00336793" w:rsidP="00DF0B96">
            <w:pPr>
              <w:pStyle w:val="Tabletextheading"/>
              <w:rPr>
                <w:rFonts w:eastAsiaTheme="minorEastAsia"/>
                <w:color w:val="FFFFFF"/>
                <w:sz w:val="19"/>
                <w:lang w:eastAsia="en-AU"/>
              </w:rPr>
            </w:pPr>
          </w:p>
          <w:p w:rsidR="00336793" w:rsidRPr="0046470F" w:rsidRDefault="00336793" w:rsidP="00DF0B96">
            <w:pPr>
              <w:pStyle w:val="Tabletextheading"/>
              <w:rPr>
                <w:rFonts w:eastAsiaTheme="minorEastAsia"/>
                <w:color w:val="FFFFFF"/>
                <w:sz w:val="19"/>
                <w:lang w:eastAsia="en-AU"/>
              </w:rPr>
            </w:pPr>
            <w:r w:rsidRPr="0046470F">
              <w:rPr>
                <w:rFonts w:eastAsiaTheme="minorEastAsia"/>
                <w:color w:val="FFFFFF"/>
                <w:sz w:val="19"/>
                <w:lang w:eastAsia="en-AU"/>
              </w:rPr>
              <w:t>State of Victoria</w:t>
            </w:r>
          </w:p>
        </w:tc>
        <w:tc>
          <w:tcPr>
            <w:tcW w:w="1271" w:type="dxa"/>
            <w:tcBorders>
              <w:top w:val="single" w:sz="6" w:space="0" w:color="auto"/>
              <w:left w:val="nil"/>
              <w:right w:val="single" w:sz="6" w:space="0" w:color="auto"/>
            </w:tcBorders>
            <w:shd w:val="clear" w:color="000000" w:fill="000000"/>
          </w:tcPr>
          <w:p w:rsidR="00336793" w:rsidRPr="0046470F" w:rsidRDefault="00336793" w:rsidP="00DF0B96">
            <w:pPr>
              <w:pStyle w:val="Tabletextheading"/>
              <w:rPr>
                <w:rFonts w:eastAsiaTheme="minorEastAsia"/>
                <w:color w:val="FFFFFF"/>
                <w:sz w:val="19"/>
                <w:lang w:eastAsia="en-AU"/>
              </w:rPr>
            </w:pPr>
            <w:r w:rsidRPr="0046470F">
              <w:rPr>
                <w:rFonts w:eastAsiaTheme="minorEastAsia"/>
                <w:color w:val="FFFFFF"/>
                <w:sz w:val="19"/>
                <w:lang w:eastAsia="en-AU"/>
              </w:rPr>
              <w:t>General government sector</w:t>
            </w:r>
          </w:p>
        </w:tc>
      </w:tr>
      <w:tr w:rsidR="00336793" w:rsidRPr="0046470F" w:rsidTr="00DF0B96">
        <w:tc>
          <w:tcPr>
            <w:tcW w:w="4553" w:type="dxa"/>
            <w:tcBorders>
              <w:top w:val="nil"/>
              <w:left w:val="single" w:sz="6" w:space="0" w:color="auto"/>
              <w:bottom w:val="single" w:sz="6" w:space="0" w:color="auto"/>
              <w:right w:val="nil"/>
            </w:tcBorders>
            <w:shd w:val="clear" w:color="000000" w:fill="000000"/>
          </w:tcPr>
          <w:p w:rsidR="00336793" w:rsidRPr="0046470F" w:rsidRDefault="00336793" w:rsidP="00DF0B96">
            <w:pPr>
              <w:pStyle w:val="Tabletext"/>
              <w:rPr>
                <w:rFonts w:eastAsiaTheme="minorEastAsia"/>
                <w:i/>
                <w:sz w:val="19"/>
                <w:lang w:eastAsia="en-AU"/>
              </w:rPr>
            </w:pPr>
            <w:r w:rsidRPr="0046470F">
              <w:rPr>
                <w:rFonts w:eastAsiaTheme="minorEastAsia"/>
                <w:i/>
                <w:sz w:val="19"/>
                <w:lang w:eastAsia="en-AU"/>
              </w:rPr>
              <w:t>Nominal values</w:t>
            </w:r>
          </w:p>
        </w:tc>
        <w:tc>
          <w:tcPr>
            <w:tcW w:w="1271" w:type="dxa"/>
            <w:tcBorders>
              <w:top w:val="nil"/>
              <w:left w:val="nil"/>
              <w:bottom w:val="single" w:sz="6" w:space="0" w:color="auto"/>
              <w:right w:val="nil"/>
            </w:tcBorders>
            <w:shd w:val="clear" w:color="000000" w:fill="000000"/>
          </w:tcPr>
          <w:p w:rsidR="00336793" w:rsidRPr="0046470F" w:rsidRDefault="00336793" w:rsidP="00DF0B96">
            <w:pPr>
              <w:pStyle w:val="Tabletextheading"/>
              <w:rPr>
                <w:rFonts w:eastAsiaTheme="minorEastAsia"/>
                <w:color w:val="FFFFFF"/>
                <w:sz w:val="19"/>
                <w:lang w:eastAsia="en-AU"/>
              </w:rPr>
            </w:pPr>
            <w:r w:rsidRPr="0046470F">
              <w:rPr>
                <w:rFonts w:eastAsiaTheme="minorEastAsia"/>
                <w:color w:val="FFFFFF"/>
                <w:sz w:val="19"/>
                <w:lang w:eastAsia="en-AU"/>
              </w:rPr>
              <w:t>2015</w:t>
            </w:r>
          </w:p>
        </w:tc>
        <w:tc>
          <w:tcPr>
            <w:tcW w:w="1271" w:type="dxa"/>
            <w:tcBorders>
              <w:top w:val="nil"/>
              <w:left w:val="nil"/>
              <w:bottom w:val="single" w:sz="6" w:space="0" w:color="auto"/>
              <w:right w:val="nil"/>
            </w:tcBorders>
            <w:shd w:val="clear" w:color="000000" w:fill="000000"/>
          </w:tcPr>
          <w:p w:rsidR="00336793" w:rsidRPr="0046470F" w:rsidRDefault="00336793" w:rsidP="00DF0B96">
            <w:pPr>
              <w:pStyle w:val="Tabletextheading"/>
              <w:rPr>
                <w:rFonts w:eastAsiaTheme="minorEastAsia"/>
                <w:color w:val="FFFFFF"/>
                <w:sz w:val="19"/>
                <w:lang w:eastAsia="en-AU"/>
              </w:rPr>
            </w:pPr>
            <w:r w:rsidRPr="0046470F">
              <w:rPr>
                <w:rFonts w:eastAsiaTheme="minorEastAsia"/>
                <w:color w:val="FFFFFF"/>
                <w:sz w:val="19"/>
                <w:lang w:eastAsia="en-AU"/>
              </w:rPr>
              <w:t>2015</w:t>
            </w:r>
          </w:p>
        </w:tc>
        <w:tc>
          <w:tcPr>
            <w:tcW w:w="1271" w:type="dxa"/>
            <w:tcBorders>
              <w:top w:val="nil"/>
              <w:left w:val="nil"/>
              <w:bottom w:val="single" w:sz="6" w:space="0" w:color="auto"/>
              <w:right w:val="nil"/>
            </w:tcBorders>
            <w:shd w:val="clear" w:color="000000" w:fill="000000"/>
          </w:tcPr>
          <w:p w:rsidR="00336793" w:rsidRPr="0046470F" w:rsidRDefault="00336793" w:rsidP="00DF0B96">
            <w:pPr>
              <w:pStyle w:val="Tabletextheading"/>
              <w:rPr>
                <w:rFonts w:eastAsiaTheme="minorEastAsia"/>
                <w:color w:val="FFFFFF"/>
                <w:sz w:val="19"/>
                <w:lang w:eastAsia="en-AU"/>
              </w:rPr>
            </w:pPr>
            <w:r w:rsidRPr="0046470F">
              <w:rPr>
                <w:rFonts w:eastAsiaTheme="minorEastAsia"/>
                <w:color w:val="FFFFFF"/>
                <w:sz w:val="19"/>
                <w:lang w:eastAsia="en-AU"/>
              </w:rPr>
              <w:t>2014</w:t>
            </w:r>
          </w:p>
        </w:tc>
        <w:tc>
          <w:tcPr>
            <w:tcW w:w="1271" w:type="dxa"/>
            <w:tcBorders>
              <w:top w:val="nil"/>
              <w:left w:val="nil"/>
              <w:bottom w:val="single" w:sz="6" w:space="0" w:color="auto"/>
              <w:right w:val="single" w:sz="6" w:space="0" w:color="auto"/>
            </w:tcBorders>
            <w:shd w:val="clear" w:color="000000" w:fill="000000"/>
          </w:tcPr>
          <w:p w:rsidR="00336793" w:rsidRPr="0046470F" w:rsidRDefault="00336793" w:rsidP="00DF0B96">
            <w:pPr>
              <w:pStyle w:val="Tabletextheading"/>
              <w:rPr>
                <w:rFonts w:eastAsiaTheme="minorEastAsia"/>
                <w:color w:val="FFFFFF"/>
                <w:sz w:val="19"/>
                <w:lang w:eastAsia="en-AU"/>
              </w:rPr>
            </w:pPr>
            <w:r w:rsidRPr="0046470F">
              <w:rPr>
                <w:rFonts w:eastAsiaTheme="minorEastAsia"/>
                <w:color w:val="FFFFFF"/>
                <w:sz w:val="19"/>
                <w:lang w:eastAsia="en-AU"/>
              </w:rPr>
              <w:t>2014</w:t>
            </w:r>
          </w:p>
        </w:tc>
      </w:tr>
      <w:tr w:rsidR="00336793" w:rsidRPr="0046470F" w:rsidTr="00DF0B96">
        <w:tc>
          <w:tcPr>
            <w:tcW w:w="4553" w:type="dxa"/>
            <w:tcBorders>
              <w:top w:val="single" w:sz="6" w:space="0" w:color="auto"/>
              <w:left w:val="nil"/>
              <w:bottom w:val="nil"/>
              <w:right w:val="nil"/>
            </w:tcBorders>
          </w:tcPr>
          <w:p w:rsidR="00336793" w:rsidRPr="0046470F" w:rsidRDefault="00336793" w:rsidP="00DF0B96">
            <w:pPr>
              <w:pStyle w:val="Tabletext"/>
              <w:rPr>
                <w:rFonts w:eastAsiaTheme="minorEastAsia"/>
                <w:b/>
                <w:bCs/>
                <w:sz w:val="19"/>
                <w:lang w:eastAsia="en-AU"/>
              </w:rPr>
            </w:pPr>
            <w:r w:rsidRPr="0046470F">
              <w:rPr>
                <w:rFonts w:eastAsiaTheme="minorEastAsia"/>
                <w:b/>
                <w:bCs/>
                <w:sz w:val="19"/>
                <w:lang w:eastAsia="en-AU"/>
              </w:rPr>
              <w:t>Capital expenditure commitments payable</w:t>
            </w:r>
          </w:p>
        </w:tc>
        <w:tc>
          <w:tcPr>
            <w:tcW w:w="1271" w:type="dxa"/>
            <w:tcBorders>
              <w:top w:val="single" w:sz="6" w:space="0" w:color="auto"/>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 xml:space="preserve"> </w:t>
            </w:r>
          </w:p>
        </w:tc>
        <w:tc>
          <w:tcPr>
            <w:tcW w:w="1271" w:type="dxa"/>
            <w:tcBorders>
              <w:top w:val="single" w:sz="6" w:space="0" w:color="auto"/>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 xml:space="preserve"> </w:t>
            </w:r>
          </w:p>
        </w:tc>
        <w:tc>
          <w:tcPr>
            <w:tcW w:w="1271" w:type="dxa"/>
            <w:tcBorders>
              <w:top w:val="single" w:sz="6" w:space="0" w:color="auto"/>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 xml:space="preserve"> </w:t>
            </w:r>
          </w:p>
        </w:tc>
        <w:tc>
          <w:tcPr>
            <w:tcW w:w="1271" w:type="dxa"/>
            <w:tcBorders>
              <w:top w:val="single" w:sz="6" w:space="0" w:color="auto"/>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 xml:space="preserve"> </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Less than 1 year</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2 562.1</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1 861.7</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3 148.4</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2 313.2</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1 year but less than 5 years</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1 142.8</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1 184.2</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1 078.7</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829.9</w:t>
            </w:r>
          </w:p>
        </w:tc>
      </w:tr>
      <w:tr w:rsidR="00336793" w:rsidRPr="0046470F" w:rsidTr="00DF0B96">
        <w:tc>
          <w:tcPr>
            <w:tcW w:w="4553" w:type="dxa"/>
            <w:tcBorders>
              <w:top w:val="nil"/>
              <w:left w:val="nil"/>
              <w:bottom w:val="single" w:sz="6" w:space="0" w:color="auto"/>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5 years or more</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2.3</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2.3</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1.5</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1.4</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b/>
                <w:bCs/>
                <w:sz w:val="19"/>
                <w:lang w:eastAsia="en-AU"/>
              </w:rPr>
            </w:pPr>
            <w:r w:rsidRPr="0046470F">
              <w:rPr>
                <w:rFonts w:eastAsiaTheme="minorEastAsia"/>
                <w:b/>
                <w:bCs/>
                <w:sz w:val="19"/>
                <w:lang w:eastAsia="en-AU"/>
              </w:rPr>
              <w:t>Total capital expenditure commitments</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3 707.2</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3 048.1</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4 228.6</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3 144.5</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b/>
                <w:bCs/>
                <w:sz w:val="19"/>
                <w:lang w:eastAsia="en-AU"/>
              </w:rPr>
            </w:pPr>
            <w:r w:rsidRPr="0046470F">
              <w:rPr>
                <w:rFonts w:eastAsiaTheme="minorEastAsia"/>
                <w:b/>
                <w:bCs/>
                <w:sz w:val="19"/>
                <w:lang w:eastAsia="en-AU"/>
              </w:rPr>
              <w:t>Operating and lease commitments payable</w:t>
            </w:r>
          </w:p>
        </w:tc>
        <w:tc>
          <w:tcPr>
            <w:tcW w:w="1271" w:type="dxa"/>
            <w:tcBorders>
              <w:top w:val="nil"/>
              <w:left w:val="nil"/>
              <w:bottom w:val="nil"/>
              <w:right w:val="nil"/>
            </w:tcBorders>
          </w:tcPr>
          <w:p w:rsidR="00336793" w:rsidRPr="0046470F" w:rsidRDefault="00336793" w:rsidP="00DF0B96">
            <w:pPr>
              <w:pStyle w:val="TableofFigures"/>
              <w:rPr>
                <w:rFonts w:eastAsiaTheme="minorEastAsia"/>
                <w:b/>
                <w:sz w:val="19"/>
                <w:lang w:eastAsia="en-AU"/>
              </w:rPr>
            </w:pPr>
            <w:r w:rsidRPr="0046470F">
              <w:rPr>
                <w:rFonts w:eastAsiaTheme="minorEastAsia"/>
                <w:b/>
                <w:sz w:val="19"/>
                <w:lang w:eastAsia="en-AU"/>
              </w:rPr>
              <w:t xml:space="preserve"> </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 xml:space="preserve"> </w:t>
            </w:r>
          </w:p>
        </w:tc>
        <w:tc>
          <w:tcPr>
            <w:tcW w:w="1271" w:type="dxa"/>
            <w:tcBorders>
              <w:top w:val="nil"/>
              <w:left w:val="nil"/>
              <w:bottom w:val="nil"/>
              <w:right w:val="nil"/>
            </w:tcBorders>
          </w:tcPr>
          <w:p w:rsidR="00336793" w:rsidRPr="0046470F" w:rsidRDefault="00336793" w:rsidP="00DF0B96">
            <w:pPr>
              <w:pStyle w:val="TableofFigures"/>
              <w:rPr>
                <w:rFonts w:eastAsiaTheme="minorEastAsia"/>
                <w:b/>
                <w:sz w:val="19"/>
                <w:lang w:eastAsia="en-AU"/>
              </w:rPr>
            </w:pPr>
            <w:r w:rsidRPr="0046470F">
              <w:rPr>
                <w:rFonts w:eastAsiaTheme="minorEastAsia"/>
                <w:b/>
                <w:sz w:val="19"/>
                <w:lang w:eastAsia="en-AU"/>
              </w:rPr>
              <w:t xml:space="preserve"> </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 xml:space="preserve"> </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Less than 1 year</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3 331.9</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3 224.0</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3 060.0</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2 918.5</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1 year but less than 5 years</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5 850.9</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5 604.9</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6 171.7</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5 830.5</w:t>
            </w:r>
          </w:p>
        </w:tc>
      </w:tr>
      <w:tr w:rsidR="00336793" w:rsidRPr="0046470F" w:rsidTr="00DF0B96">
        <w:tc>
          <w:tcPr>
            <w:tcW w:w="4553" w:type="dxa"/>
            <w:tcBorders>
              <w:top w:val="nil"/>
              <w:left w:val="nil"/>
              <w:bottom w:val="single" w:sz="6" w:space="0" w:color="auto"/>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5 years or more</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684.6</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360.2</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1 350.8</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917.0</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b/>
                <w:bCs/>
                <w:sz w:val="19"/>
                <w:lang w:eastAsia="en-AU"/>
              </w:rPr>
            </w:pPr>
            <w:r w:rsidRPr="0046470F">
              <w:rPr>
                <w:rFonts w:eastAsiaTheme="minorEastAsia"/>
                <w:b/>
                <w:bCs/>
                <w:sz w:val="19"/>
                <w:lang w:eastAsia="en-AU"/>
              </w:rPr>
              <w:t>Total operating and lease commitments</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9 867.5</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9 189.1</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10 582.5</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9 665.9</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b/>
                <w:bCs/>
                <w:sz w:val="19"/>
                <w:lang w:eastAsia="en-AU"/>
              </w:rPr>
            </w:pPr>
            <w:r w:rsidRPr="0046470F">
              <w:rPr>
                <w:rFonts w:eastAsiaTheme="minorEastAsia"/>
                <w:b/>
                <w:bCs/>
                <w:sz w:val="19"/>
                <w:lang w:eastAsia="en-AU"/>
              </w:rPr>
              <w:t>Public Private Partnership commitments</w:t>
            </w:r>
          </w:p>
        </w:tc>
        <w:tc>
          <w:tcPr>
            <w:tcW w:w="1271" w:type="dxa"/>
            <w:tcBorders>
              <w:top w:val="nil"/>
              <w:left w:val="nil"/>
              <w:bottom w:val="nil"/>
              <w:right w:val="nil"/>
            </w:tcBorders>
          </w:tcPr>
          <w:p w:rsidR="00336793" w:rsidRPr="0046470F" w:rsidRDefault="00336793" w:rsidP="00DF0B96">
            <w:pPr>
              <w:pStyle w:val="TableofFigures"/>
              <w:rPr>
                <w:rFonts w:eastAsiaTheme="minorEastAsia"/>
                <w:b/>
                <w:sz w:val="19"/>
                <w:lang w:eastAsia="en-AU"/>
              </w:rPr>
            </w:pPr>
            <w:r w:rsidRPr="0046470F">
              <w:rPr>
                <w:rFonts w:eastAsiaTheme="minorEastAsia"/>
                <w:b/>
                <w:sz w:val="19"/>
                <w:lang w:eastAsia="en-AU"/>
              </w:rPr>
              <w:t xml:space="preserve"> </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 xml:space="preserve"> </w:t>
            </w:r>
          </w:p>
        </w:tc>
        <w:tc>
          <w:tcPr>
            <w:tcW w:w="1271" w:type="dxa"/>
            <w:tcBorders>
              <w:top w:val="nil"/>
              <w:left w:val="nil"/>
              <w:bottom w:val="nil"/>
              <w:right w:val="nil"/>
            </w:tcBorders>
          </w:tcPr>
          <w:p w:rsidR="00336793" w:rsidRPr="0046470F" w:rsidRDefault="00336793" w:rsidP="00DF0B96">
            <w:pPr>
              <w:pStyle w:val="TableofFigures"/>
              <w:rPr>
                <w:rFonts w:eastAsiaTheme="minorEastAsia"/>
                <w:b/>
                <w:sz w:val="19"/>
                <w:lang w:eastAsia="en-AU"/>
              </w:rPr>
            </w:pPr>
            <w:r w:rsidRPr="0046470F">
              <w:rPr>
                <w:rFonts w:eastAsiaTheme="minorEastAsia"/>
                <w:b/>
                <w:sz w:val="19"/>
                <w:lang w:eastAsia="en-AU"/>
              </w:rPr>
              <w:t xml:space="preserve"> </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 xml:space="preserve"> </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Less than 1 year</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483.7</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459.0</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426.8</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407.6</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1 year but less than 5 years</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4 081.4</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3 987.9</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2 771.5</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2 688.8</w:t>
            </w:r>
          </w:p>
        </w:tc>
      </w:tr>
      <w:tr w:rsidR="00336793" w:rsidRPr="0046470F" w:rsidTr="00DF0B96">
        <w:tc>
          <w:tcPr>
            <w:tcW w:w="4553" w:type="dxa"/>
            <w:tcBorders>
              <w:top w:val="nil"/>
              <w:left w:val="nil"/>
              <w:bottom w:val="single" w:sz="6" w:space="0" w:color="auto"/>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5 years or more</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19 937.2</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19 715.0</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12 709.2</w:t>
            </w:r>
          </w:p>
        </w:tc>
        <w:tc>
          <w:tcPr>
            <w:tcW w:w="1271" w:type="dxa"/>
            <w:tcBorders>
              <w:top w:val="nil"/>
              <w:left w:val="nil"/>
              <w:bottom w:val="single" w:sz="6" w:space="0" w:color="auto"/>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12 486.3</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b/>
                <w:bCs/>
                <w:sz w:val="19"/>
                <w:lang w:eastAsia="en-AU"/>
              </w:rPr>
            </w:pPr>
            <w:r w:rsidRPr="0046470F">
              <w:rPr>
                <w:rFonts w:eastAsiaTheme="minorEastAsia"/>
                <w:b/>
                <w:bCs/>
                <w:sz w:val="19"/>
                <w:lang w:eastAsia="en-AU"/>
              </w:rPr>
              <w:t xml:space="preserve">Total Public Private Partnership commitments </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24 502.2</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24 161.8</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15 907.5</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15 582.7</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b/>
                <w:bCs/>
                <w:sz w:val="19"/>
                <w:lang w:eastAsia="en-AU"/>
              </w:rPr>
            </w:pPr>
            <w:r w:rsidRPr="0046470F">
              <w:rPr>
                <w:rFonts w:eastAsiaTheme="minorEastAsia"/>
                <w:b/>
                <w:bCs/>
                <w:sz w:val="19"/>
                <w:lang w:eastAsia="en-AU"/>
              </w:rPr>
              <w:t>Total other commitments payable</w:t>
            </w:r>
          </w:p>
        </w:tc>
        <w:tc>
          <w:tcPr>
            <w:tcW w:w="1271" w:type="dxa"/>
            <w:tcBorders>
              <w:top w:val="nil"/>
              <w:left w:val="nil"/>
              <w:bottom w:val="nil"/>
              <w:right w:val="nil"/>
            </w:tcBorders>
          </w:tcPr>
          <w:p w:rsidR="00336793" w:rsidRPr="0046470F" w:rsidRDefault="00336793" w:rsidP="00DF0B96">
            <w:pPr>
              <w:pStyle w:val="TableofFigures"/>
              <w:rPr>
                <w:rFonts w:eastAsiaTheme="minorEastAsia"/>
                <w:b/>
                <w:sz w:val="19"/>
                <w:lang w:eastAsia="en-AU"/>
              </w:rPr>
            </w:pPr>
            <w:r w:rsidRPr="0046470F">
              <w:rPr>
                <w:rFonts w:eastAsiaTheme="minorEastAsia"/>
                <w:b/>
                <w:sz w:val="19"/>
                <w:lang w:eastAsia="en-AU"/>
              </w:rPr>
              <w:t xml:space="preserve"> </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 xml:space="preserve"> </w:t>
            </w:r>
          </w:p>
        </w:tc>
        <w:tc>
          <w:tcPr>
            <w:tcW w:w="1271" w:type="dxa"/>
            <w:tcBorders>
              <w:top w:val="nil"/>
              <w:left w:val="nil"/>
              <w:bottom w:val="nil"/>
              <w:right w:val="nil"/>
            </w:tcBorders>
          </w:tcPr>
          <w:p w:rsidR="00336793" w:rsidRPr="0046470F" w:rsidRDefault="00336793" w:rsidP="00DF0B96">
            <w:pPr>
              <w:pStyle w:val="TableofFigures"/>
              <w:rPr>
                <w:rFonts w:eastAsiaTheme="minorEastAsia"/>
                <w:b/>
                <w:sz w:val="19"/>
                <w:lang w:eastAsia="en-AU"/>
              </w:rPr>
            </w:pPr>
            <w:r w:rsidRPr="0046470F">
              <w:rPr>
                <w:rFonts w:eastAsiaTheme="minorEastAsia"/>
                <w:b/>
                <w:sz w:val="19"/>
                <w:lang w:eastAsia="en-AU"/>
              </w:rPr>
              <w:t xml:space="preserve"> </w:t>
            </w:r>
          </w:p>
        </w:tc>
        <w:tc>
          <w:tcPr>
            <w:tcW w:w="1271" w:type="dxa"/>
            <w:tcBorders>
              <w:top w:val="nil"/>
              <w:left w:val="nil"/>
              <w:bottom w:val="nil"/>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 xml:space="preserve"> </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Less than 1 year</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1 873.2</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1 856.9</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1 488.1</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1 602.5</w:t>
            </w:r>
          </w:p>
        </w:tc>
      </w:tr>
      <w:tr w:rsidR="00336793" w:rsidRPr="0046470F" w:rsidTr="00DF0B96">
        <w:tc>
          <w:tcPr>
            <w:tcW w:w="4553" w:type="dxa"/>
            <w:tcBorders>
              <w:top w:val="nil"/>
              <w:left w:val="nil"/>
              <w:bottom w:val="nil"/>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1 year but less than 5 years</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1 917.1</w:t>
            </w:r>
          </w:p>
        </w:tc>
        <w:tc>
          <w:tcPr>
            <w:tcW w:w="1271" w:type="dxa"/>
            <w:tcBorders>
              <w:top w:val="nil"/>
              <w:left w:val="nil"/>
              <w:bottom w:val="nil"/>
              <w:right w:val="nil"/>
            </w:tcBorders>
          </w:tcPr>
          <w:p w:rsidR="00336793" w:rsidRPr="0046470F" w:rsidRDefault="00336793" w:rsidP="00DF0B96">
            <w:pPr>
              <w:pStyle w:val="TableofFigures"/>
              <w:rPr>
                <w:rFonts w:eastAsiaTheme="minorEastAsia" w:cs="Calibri"/>
                <w:color w:val="000000"/>
                <w:sz w:val="19"/>
                <w:szCs w:val="22"/>
                <w:lang w:eastAsia="en-AU"/>
              </w:rPr>
            </w:pPr>
            <w:r w:rsidRPr="0046470F">
              <w:rPr>
                <w:rFonts w:eastAsiaTheme="minorEastAsia"/>
                <w:sz w:val="19"/>
                <w:lang w:eastAsia="en-AU"/>
              </w:rPr>
              <w:t>1 883.0</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1 531.9</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2 008.9</w:t>
            </w:r>
          </w:p>
        </w:tc>
      </w:tr>
      <w:tr w:rsidR="00336793" w:rsidRPr="0046470F" w:rsidTr="00DF0B96">
        <w:tc>
          <w:tcPr>
            <w:tcW w:w="4553" w:type="dxa"/>
            <w:tcBorders>
              <w:top w:val="nil"/>
              <w:left w:val="nil"/>
              <w:bottom w:val="single" w:sz="6" w:space="0" w:color="auto"/>
              <w:right w:val="nil"/>
            </w:tcBorders>
          </w:tcPr>
          <w:p w:rsidR="00336793" w:rsidRPr="0046470F" w:rsidRDefault="00336793" w:rsidP="00DF0B96">
            <w:pPr>
              <w:pStyle w:val="Tabletext"/>
              <w:rPr>
                <w:rFonts w:eastAsiaTheme="minorEastAsia"/>
                <w:sz w:val="19"/>
                <w:lang w:eastAsia="en-AU"/>
              </w:rPr>
            </w:pPr>
            <w:r w:rsidRPr="0046470F">
              <w:rPr>
                <w:rFonts w:eastAsiaTheme="minorEastAsia"/>
                <w:sz w:val="19"/>
                <w:lang w:eastAsia="en-AU"/>
              </w:rPr>
              <w:t>5 years or more</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706.1</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614.0</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633.4</w:t>
            </w:r>
          </w:p>
        </w:tc>
        <w:tc>
          <w:tcPr>
            <w:tcW w:w="1271" w:type="dxa"/>
            <w:tcBorders>
              <w:top w:val="nil"/>
              <w:left w:val="nil"/>
              <w:bottom w:val="nil"/>
              <w:right w:val="nil"/>
            </w:tcBorders>
          </w:tcPr>
          <w:p w:rsidR="00336793" w:rsidRPr="0046470F" w:rsidRDefault="00336793" w:rsidP="00DF0B96">
            <w:pPr>
              <w:pStyle w:val="TableofFigures"/>
              <w:rPr>
                <w:rFonts w:eastAsiaTheme="minorEastAsia"/>
                <w:sz w:val="19"/>
                <w:lang w:eastAsia="en-AU"/>
              </w:rPr>
            </w:pPr>
            <w:r w:rsidRPr="0046470F">
              <w:rPr>
                <w:rFonts w:eastAsiaTheme="minorEastAsia"/>
                <w:sz w:val="19"/>
                <w:lang w:eastAsia="en-AU"/>
              </w:rPr>
              <w:t xml:space="preserve"> 664.0</w:t>
            </w:r>
          </w:p>
        </w:tc>
      </w:tr>
      <w:tr w:rsidR="00336793" w:rsidRPr="0046470F" w:rsidTr="00DF0B96">
        <w:tc>
          <w:tcPr>
            <w:tcW w:w="4553" w:type="dxa"/>
            <w:tcBorders>
              <w:top w:val="single" w:sz="6" w:space="0" w:color="auto"/>
              <w:left w:val="nil"/>
              <w:bottom w:val="single" w:sz="6" w:space="0" w:color="auto"/>
              <w:right w:val="nil"/>
            </w:tcBorders>
          </w:tcPr>
          <w:p w:rsidR="00336793" w:rsidRPr="0046470F" w:rsidRDefault="00336793" w:rsidP="00DF0B96">
            <w:pPr>
              <w:pStyle w:val="Tabletext"/>
              <w:rPr>
                <w:rFonts w:eastAsiaTheme="minorEastAsia"/>
                <w:b/>
                <w:bCs/>
                <w:sz w:val="19"/>
                <w:lang w:eastAsia="en-AU"/>
              </w:rPr>
            </w:pPr>
            <w:r w:rsidRPr="0046470F">
              <w:rPr>
                <w:rFonts w:eastAsiaTheme="minorEastAsia"/>
                <w:b/>
                <w:bCs/>
                <w:sz w:val="19"/>
                <w:lang w:eastAsia="en-AU"/>
              </w:rPr>
              <w:t xml:space="preserve">Total other commitments </w:t>
            </w:r>
          </w:p>
        </w:tc>
        <w:tc>
          <w:tcPr>
            <w:tcW w:w="1271" w:type="dxa"/>
            <w:tcBorders>
              <w:top w:val="single" w:sz="6" w:space="0" w:color="auto"/>
              <w:left w:val="nil"/>
              <w:bottom w:val="single" w:sz="6" w:space="0" w:color="auto"/>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4 496.4</w:t>
            </w:r>
          </w:p>
        </w:tc>
        <w:tc>
          <w:tcPr>
            <w:tcW w:w="1271" w:type="dxa"/>
            <w:tcBorders>
              <w:top w:val="single" w:sz="6" w:space="0" w:color="auto"/>
              <w:left w:val="nil"/>
              <w:bottom w:val="single" w:sz="6" w:space="0" w:color="auto"/>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4 353.9</w:t>
            </w:r>
          </w:p>
        </w:tc>
        <w:tc>
          <w:tcPr>
            <w:tcW w:w="1271" w:type="dxa"/>
            <w:tcBorders>
              <w:top w:val="single" w:sz="6" w:space="0" w:color="auto"/>
              <w:left w:val="nil"/>
              <w:bottom w:val="single" w:sz="6" w:space="0" w:color="auto"/>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3 653.5</w:t>
            </w:r>
          </w:p>
        </w:tc>
        <w:tc>
          <w:tcPr>
            <w:tcW w:w="1271" w:type="dxa"/>
            <w:tcBorders>
              <w:top w:val="single" w:sz="6" w:space="0" w:color="auto"/>
              <w:left w:val="nil"/>
              <w:bottom w:val="single" w:sz="6" w:space="0" w:color="auto"/>
              <w:right w:val="nil"/>
            </w:tcBorders>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4 275.3</w:t>
            </w:r>
          </w:p>
        </w:tc>
      </w:tr>
      <w:tr w:rsidR="00336793" w:rsidRPr="0046470F" w:rsidTr="00DF0B96">
        <w:tc>
          <w:tcPr>
            <w:tcW w:w="4553" w:type="dxa"/>
            <w:tcBorders>
              <w:top w:val="single" w:sz="6" w:space="0" w:color="auto"/>
              <w:left w:val="nil"/>
              <w:bottom w:val="single" w:sz="12" w:space="0" w:color="000000"/>
              <w:right w:val="nil"/>
            </w:tcBorders>
            <w:shd w:val="clear" w:color="auto" w:fill="auto"/>
          </w:tcPr>
          <w:p w:rsidR="00336793" w:rsidRPr="0046470F" w:rsidRDefault="00336793" w:rsidP="00DF0B96">
            <w:pPr>
              <w:pStyle w:val="Tabletext"/>
              <w:rPr>
                <w:rFonts w:eastAsiaTheme="minorEastAsia"/>
                <w:b/>
                <w:bCs/>
                <w:sz w:val="19"/>
                <w:lang w:eastAsia="en-AU"/>
              </w:rPr>
            </w:pPr>
            <w:r w:rsidRPr="0046470F">
              <w:rPr>
                <w:rFonts w:eastAsiaTheme="minorEastAsia"/>
                <w:b/>
                <w:bCs/>
                <w:sz w:val="19"/>
                <w:lang w:eastAsia="en-AU"/>
              </w:rPr>
              <w:t>Total commitments (inclusive of GST)</w:t>
            </w:r>
          </w:p>
        </w:tc>
        <w:tc>
          <w:tcPr>
            <w:tcW w:w="1271" w:type="dxa"/>
            <w:tcBorders>
              <w:top w:val="single" w:sz="6" w:space="0" w:color="auto"/>
              <w:left w:val="nil"/>
              <w:bottom w:val="single" w:sz="12" w:space="0" w:color="000000"/>
              <w:right w:val="nil"/>
            </w:tcBorders>
            <w:shd w:val="clear" w:color="auto" w:fill="auto"/>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42 573.3</w:t>
            </w:r>
          </w:p>
        </w:tc>
        <w:tc>
          <w:tcPr>
            <w:tcW w:w="1271" w:type="dxa"/>
            <w:tcBorders>
              <w:top w:val="single" w:sz="6" w:space="0" w:color="auto"/>
              <w:left w:val="nil"/>
              <w:bottom w:val="single" w:sz="12" w:space="0" w:color="000000"/>
              <w:right w:val="nil"/>
            </w:tcBorders>
            <w:shd w:val="clear" w:color="auto" w:fill="auto"/>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40 752.9</w:t>
            </w:r>
          </w:p>
        </w:tc>
        <w:tc>
          <w:tcPr>
            <w:tcW w:w="1271" w:type="dxa"/>
            <w:tcBorders>
              <w:top w:val="single" w:sz="6" w:space="0" w:color="auto"/>
              <w:left w:val="nil"/>
              <w:bottom w:val="single" w:sz="12" w:space="0" w:color="000000"/>
              <w:right w:val="nil"/>
            </w:tcBorders>
            <w:shd w:val="clear" w:color="auto" w:fill="auto"/>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34 372.0</w:t>
            </w:r>
          </w:p>
        </w:tc>
        <w:tc>
          <w:tcPr>
            <w:tcW w:w="1271" w:type="dxa"/>
            <w:tcBorders>
              <w:top w:val="single" w:sz="6" w:space="0" w:color="auto"/>
              <w:left w:val="nil"/>
              <w:bottom w:val="single" w:sz="12" w:space="0" w:color="000000"/>
              <w:right w:val="nil"/>
            </w:tcBorders>
            <w:shd w:val="clear" w:color="auto" w:fill="auto"/>
          </w:tcPr>
          <w:p w:rsidR="00336793" w:rsidRPr="0046470F" w:rsidRDefault="00336793" w:rsidP="00DF0B96">
            <w:pPr>
              <w:pStyle w:val="TableofFigures"/>
              <w:rPr>
                <w:rFonts w:eastAsiaTheme="minorEastAsia"/>
                <w:b/>
                <w:bCs/>
                <w:sz w:val="19"/>
                <w:lang w:eastAsia="en-AU"/>
              </w:rPr>
            </w:pPr>
            <w:r w:rsidRPr="0046470F">
              <w:rPr>
                <w:rFonts w:eastAsiaTheme="minorEastAsia"/>
                <w:b/>
                <w:bCs/>
                <w:sz w:val="19"/>
                <w:lang w:eastAsia="en-AU"/>
              </w:rPr>
              <w:t>32 668.4</w:t>
            </w:r>
          </w:p>
        </w:tc>
      </w:tr>
    </w:tbl>
    <w:p w:rsidR="00336793" w:rsidRPr="006A75A2" w:rsidRDefault="00336793" w:rsidP="00DF0B96">
      <w:pPr>
        <w:pStyle w:val="Notes"/>
      </w:pPr>
      <w:r>
        <w:t>Note</w:t>
      </w:r>
      <w:r w:rsidRPr="006A75A2">
        <w:t>:</w:t>
      </w:r>
    </w:p>
    <w:p w:rsidR="00336793" w:rsidRPr="006A75A2" w:rsidRDefault="00336793" w:rsidP="00DF0B96">
      <w:pPr>
        <w:pStyle w:val="Notes"/>
      </w:pPr>
      <w:r>
        <w:t>(a</w:t>
      </w:r>
      <w:r w:rsidRPr="006A75A2">
        <w:t>)</w:t>
      </w:r>
      <w:r w:rsidRPr="006A75A2">
        <w:tab/>
        <w:t>The figures presented above are inclusive of GST.</w:t>
      </w:r>
    </w:p>
    <w:p w:rsidR="00336793" w:rsidRPr="006A75A2" w:rsidRDefault="00336793" w:rsidP="00DF0B96"/>
    <w:p w:rsidR="00336793" w:rsidRPr="006A75A2" w:rsidRDefault="00336793" w:rsidP="00DF0B96">
      <w:pPr>
        <w:spacing w:after="0"/>
        <w:rPr>
          <w:rFonts w:ascii="Calibri" w:hAnsi="Calibri"/>
          <w:b/>
          <w:sz w:val="28"/>
          <w:szCs w:val="22"/>
        </w:rPr>
      </w:pPr>
      <w:r w:rsidRPr="006A75A2">
        <w:br w:type="page"/>
      </w:r>
    </w:p>
    <w:p w:rsidR="00336793" w:rsidRPr="006A75A2" w:rsidRDefault="00336793" w:rsidP="00DF0B96">
      <w:pPr>
        <w:pStyle w:val="Heading2Notes"/>
        <w:rPr>
          <w:kern w:val="0"/>
        </w:rPr>
      </w:pPr>
      <w:bookmarkStart w:id="111" w:name="_Toc400040282"/>
      <w:bookmarkStart w:id="112" w:name="_Toc433984518"/>
      <w:r w:rsidRPr="006A75A2">
        <w:rPr>
          <w:kern w:val="0"/>
        </w:rPr>
        <w:lastRenderedPageBreak/>
        <w:t>Note 35:</w:t>
      </w:r>
      <w:r w:rsidRPr="006A75A2">
        <w:rPr>
          <w:kern w:val="0"/>
        </w:rPr>
        <w:tab/>
        <w:t>Contingent assets and contingent liabilities (State of Victoria)</w:t>
      </w:r>
      <w:bookmarkEnd w:id="111"/>
      <w:bookmarkEnd w:id="112"/>
    </w:p>
    <w:p w:rsidR="00336793" w:rsidRPr="006A75A2" w:rsidRDefault="00336793" w:rsidP="00DF0B96">
      <w:pPr>
        <w:pStyle w:val="Heading3"/>
      </w:pPr>
      <w:r w:rsidRPr="006A75A2">
        <w:t>Contingent assets</w:t>
      </w:r>
    </w:p>
    <w:p w:rsidR="00336793" w:rsidRPr="006A75A2" w:rsidRDefault="00336793" w:rsidP="00DF0B96">
      <w:r w:rsidRPr="006A75A2">
        <w:t>Contingent assets are possible assets that arise from past events, whose existence will be confirmed only by the occurrence or non</w:t>
      </w:r>
      <w:r>
        <w:noBreakHyphen/>
      </w:r>
      <w:r w:rsidRPr="006A75A2">
        <w:t>occurrence of one or more uncertain future events not wholly within the control of the entity.</w:t>
      </w:r>
    </w:p>
    <w:p w:rsidR="00336793" w:rsidRPr="006A75A2" w:rsidRDefault="00336793" w:rsidP="00DF0B96">
      <w:r w:rsidRPr="006A75A2">
        <w:t>These are classified as either quantifiable, where the potential economic benefit is known, or non</w:t>
      </w:r>
      <w:r>
        <w:noBreakHyphen/>
      </w:r>
      <w:r w:rsidRPr="006A75A2">
        <w:t>quantifiable. The table below contains quantifiable cont</w:t>
      </w:r>
      <w:r>
        <w:t>ingent assets as at 30 June 2015</w:t>
      </w:r>
      <w:r w:rsidRPr="006A75A2">
        <w:t>.</w:t>
      </w:r>
    </w:p>
    <w:p w:rsidR="00336793" w:rsidRPr="006A75A2" w:rsidRDefault="00336793" w:rsidP="00DF0B96">
      <w:pPr>
        <w:pStyle w:val="Tableheading"/>
      </w:pPr>
      <w:r w:rsidRPr="006A75A2">
        <w:t>Quantifiable contingent assets</w:t>
      </w:r>
      <w:r w:rsidRPr="006A75A2">
        <w:rPr>
          <w:vertAlign w:val="superscript"/>
        </w:rPr>
        <w:t xml:space="preserve"> (a)</w:t>
      </w:r>
    </w:p>
    <w:p w:rsidR="00336793" w:rsidRPr="00646DED"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950"/>
        <w:gridCol w:w="170"/>
      </w:tblGrid>
      <w:tr w:rsidR="00336793" w:rsidRPr="00646DED" w:rsidTr="00DF0B96">
        <w:tc>
          <w:tcPr>
            <w:tcW w:w="7397" w:type="dxa"/>
            <w:tcBorders>
              <w:top w:val="single" w:sz="6" w:space="0" w:color="auto"/>
              <w:left w:val="single" w:sz="6" w:space="0" w:color="auto"/>
              <w:bottom w:val="nil"/>
              <w:right w:val="nil"/>
            </w:tcBorders>
            <w:shd w:val="clear" w:color="000000" w:fill="000000"/>
          </w:tcPr>
          <w:p w:rsidR="00336793" w:rsidRPr="00646DED" w:rsidRDefault="00336793" w:rsidP="00DF0B96">
            <w:pPr>
              <w:pStyle w:val="Tabletext"/>
              <w:rPr>
                <w:rFonts w:eastAsiaTheme="minorEastAsia"/>
                <w:lang w:eastAsia="en-AU"/>
              </w:rPr>
            </w:pPr>
            <w:r w:rsidRPr="00646DED">
              <w:rPr>
                <w:rFonts w:eastAsiaTheme="minorEastAsia"/>
                <w:lang w:eastAsia="en-AU"/>
              </w:rPr>
              <w:t xml:space="preserve"> </w:t>
            </w:r>
          </w:p>
        </w:tc>
        <w:tc>
          <w:tcPr>
            <w:tcW w:w="2070" w:type="dxa"/>
            <w:gridSpan w:val="2"/>
            <w:tcBorders>
              <w:top w:val="single" w:sz="6" w:space="0" w:color="auto"/>
              <w:left w:val="nil"/>
              <w:bottom w:val="nil"/>
              <w:right w:val="nil"/>
            </w:tcBorders>
            <w:shd w:val="clear" w:color="000000" w:fill="000000"/>
          </w:tcPr>
          <w:p w:rsidR="00336793" w:rsidRPr="00646DED" w:rsidRDefault="00336793" w:rsidP="00DF0B96">
            <w:pPr>
              <w:pStyle w:val="Tabletextheading"/>
              <w:rPr>
                <w:rFonts w:eastAsiaTheme="minorEastAsia"/>
                <w:color w:val="FFFFFF"/>
                <w:lang w:eastAsia="en-AU"/>
              </w:rPr>
            </w:pPr>
            <w:r w:rsidRPr="00646DED">
              <w:rPr>
                <w:rFonts w:eastAsiaTheme="minorEastAsia"/>
                <w:color w:val="FFFFFF"/>
                <w:lang w:eastAsia="en-AU"/>
              </w:rPr>
              <w:t>State of Victoria</w:t>
            </w:r>
          </w:p>
        </w:tc>
        <w:tc>
          <w:tcPr>
            <w:tcW w:w="170" w:type="dxa"/>
            <w:tcBorders>
              <w:top w:val="single" w:sz="6" w:space="0" w:color="auto"/>
              <w:left w:val="nil"/>
              <w:bottom w:val="nil"/>
              <w:right w:val="single" w:sz="6" w:space="0" w:color="auto"/>
            </w:tcBorders>
            <w:shd w:val="clear" w:color="000000" w:fill="000000"/>
          </w:tcPr>
          <w:p w:rsidR="00336793" w:rsidRPr="00646DED" w:rsidRDefault="00336793" w:rsidP="00DF0B96">
            <w:pPr>
              <w:pStyle w:val="Tabletextheading"/>
              <w:jc w:val="center"/>
              <w:rPr>
                <w:rFonts w:eastAsiaTheme="minorEastAsia" w:cs="Calibri"/>
                <w:color w:val="FFFFFF"/>
                <w:szCs w:val="22"/>
                <w:lang w:eastAsia="en-AU"/>
              </w:rPr>
            </w:pPr>
            <w:r w:rsidRPr="00646DED">
              <w:rPr>
                <w:rFonts w:eastAsiaTheme="minorEastAsia"/>
                <w:color w:val="FFFFFF"/>
                <w:lang w:eastAsia="en-AU"/>
              </w:rPr>
              <w:t xml:space="preserve"> </w:t>
            </w:r>
          </w:p>
        </w:tc>
      </w:tr>
      <w:tr w:rsidR="00336793" w:rsidRPr="00646DED" w:rsidTr="00DF0B96">
        <w:tc>
          <w:tcPr>
            <w:tcW w:w="7397" w:type="dxa"/>
            <w:tcBorders>
              <w:top w:val="nil"/>
              <w:left w:val="single" w:sz="6" w:space="0" w:color="auto"/>
              <w:bottom w:val="single" w:sz="6" w:space="0" w:color="auto"/>
              <w:right w:val="nil"/>
            </w:tcBorders>
            <w:shd w:val="clear" w:color="000000" w:fill="000000"/>
          </w:tcPr>
          <w:p w:rsidR="00336793" w:rsidRPr="00646DED" w:rsidRDefault="00336793" w:rsidP="00DF0B96">
            <w:pPr>
              <w:pStyle w:val="Tabletext"/>
              <w:rPr>
                <w:rFonts w:eastAsiaTheme="minorEastAsia"/>
                <w:lang w:eastAsia="en-AU"/>
              </w:rPr>
            </w:pPr>
            <w:r w:rsidRPr="00646DED">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336793" w:rsidRPr="00646DED" w:rsidRDefault="00336793" w:rsidP="00DF0B96">
            <w:pPr>
              <w:pStyle w:val="Tabletextheading"/>
              <w:rPr>
                <w:rFonts w:eastAsiaTheme="minorEastAsia"/>
                <w:color w:val="FFFFFF"/>
                <w:lang w:eastAsia="en-AU"/>
              </w:rPr>
            </w:pPr>
            <w:r w:rsidRPr="00646DED">
              <w:rPr>
                <w:rFonts w:eastAsiaTheme="minorEastAsia"/>
                <w:color w:val="FFFFFF"/>
                <w:lang w:eastAsia="en-AU"/>
              </w:rPr>
              <w:t>2015</w:t>
            </w:r>
          </w:p>
        </w:tc>
        <w:tc>
          <w:tcPr>
            <w:tcW w:w="1120" w:type="dxa"/>
            <w:gridSpan w:val="2"/>
            <w:tcBorders>
              <w:top w:val="nil"/>
              <w:left w:val="nil"/>
              <w:bottom w:val="single" w:sz="6" w:space="0" w:color="auto"/>
              <w:right w:val="single" w:sz="6" w:space="0" w:color="auto"/>
            </w:tcBorders>
            <w:shd w:val="clear" w:color="000000" w:fill="000000"/>
          </w:tcPr>
          <w:p w:rsidR="00336793" w:rsidRPr="00646DED" w:rsidRDefault="00336793" w:rsidP="00DF0B96">
            <w:pPr>
              <w:pStyle w:val="Tabletextheading"/>
              <w:rPr>
                <w:rFonts w:eastAsiaTheme="minorEastAsia"/>
                <w:color w:val="FFFFFF"/>
                <w:lang w:eastAsia="en-AU"/>
              </w:rPr>
            </w:pPr>
            <w:r w:rsidRPr="00646DED">
              <w:rPr>
                <w:rFonts w:eastAsiaTheme="minorEastAsia"/>
                <w:color w:val="FFFFFF"/>
                <w:lang w:eastAsia="en-AU"/>
              </w:rPr>
              <w:t>2014</w:t>
            </w:r>
          </w:p>
        </w:tc>
      </w:tr>
      <w:tr w:rsidR="00336793" w:rsidRPr="00646DED" w:rsidTr="00DF0B96">
        <w:tc>
          <w:tcPr>
            <w:tcW w:w="7397" w:type="dxa"/>
            <w:tcBorders>
              <w:top w:val="single" w:sz="6" w:space="0" w:color="auto"/>
              <w:left w:val="nil"/>
              <w:bottom w:val="nil"/>
              <w:right w:val="nil"/>
            </w:tcBorders>
          </w:tcPr>
          <w:p w:rsidR="00336793" w:rsidRPr="00646DED" w:rsidRDefault="00336793" w:rsidP="00DF0B96">
            <w:pPr>
              <w:pStyle w:val="Tabletext"/>
              <w:rPr>
                <w:rFonts w:eastAsiaTheme="minorEastAsia" w:cs="Calibri"/>
                <w:color w:val="000000"/>
                <w:szCs w:val="22"/>
                <w:vertAlign w:val="superscript"/>
                <w:lang w:eastAsia="en-AU"/>
              </w:rPr>
            </w:pPr>
            <w:r w:rsidRPr="00646DED">
              <w:rPr>
                <w:rFonts w:eastAsiaTheme="minorEastAsia"/>
                <w:lang w:eastAsia="en-AU"/>
              </w:rPr>
              <w:t>General government</w:t>
            </w:r>
            <w:r w:rsidRPr="00E96950">
              <w:rPr>
                <w:rFonts w:eastAsiaTheme="minorEastAsia"/>
                <w:vertAlign w:val="superscript"/>
                <w:lang w:eastAsia="en-AU"/>
              </w:rPr>
              <w:t xml:space="preserve"> </w:t>
            </w:r>
            <w:r w:rsidRPr="00646DED">
              <w:rPr>
                <w:rFonts w:eastAsiaTheme="minorEastAsia" w:cs="Calibri"/>
                <w:color w:val="000000"/>
                <w:szCs w:val="22"/>
                <w:vertAlign w:val="superscript"/>
                <w:lang w:eastAsia="en-AU"/>
              </w:rPr>
              <w:t>(b)</w:t>
            </w:r>
          </w:p>
        </w:tc>
        <w:tc>
          <w:tcPr>
            <w:tcW w:w="1120" w:type="dxa"/>
            <w:tcBorders>
              <w:top w:val="single" w:sz="6" w:space="0" w:color="auto"/>
              <w:left w:val="nil"/>
              <w:bottom w:val="nil"/>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 xml:space="preserve"> 113.2</w:t>
            </w:r>
          </w:p>
        </w:tc>
        <w:tc>
          <w:tcPr>
            <w:tcW w:w="1120" w:type="dxa"/>
            <w:gridSpan w:val="2"/>
            <w:tcBorders>
              <w:top w:val="single" w:sz="6" w:space="0" w:color="auto"/>
              <w:left w:val="nil"/>
              <w:bottom w:val="nil"/>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 xml:space="preserve"> 14.0</w:t>
            </w:r>
          </w:p>
        </w:tc>
      </w:tr>
      <w:tr w:rsidR="00336793" w:rsidRPr="00646DED" w:rsidTr="00DF0B96">
        <w:tc>
          <w:tcPr>
            <w:tcW w:w="7397" w:type="dxa"/>
            <w:tcBorders>
              <w:top w:val="nil"/>
              <w:left w:val="nil"/>
              <w:bottom w:val="nil"/>
              <w:right w:val="nil"/>
            </w:tcBorders>
          </w:tcPr>
          <w:p w:rsidR="00336793" w:rsidRPr="00646DED" w:rsidRDefault="00336793" w:rsidP="00DF0B96">
            <w:pPr>
              <w:pStyle w:val="Tabletext"/>
              <w:rPr>
                <w:rFonts w:eastAsiaTheme="minorEastAsia"/>
                <w:lang w:eastAsia="en-AU"/>
              </w:rPr>
            </w:pPr>
            <w:r w:rsidRPr="00646DED">
              <w:rPr>
                <w:rFonts w:eastAsiaTheme="minorEastAsia"/>
                <w:lang w:eastAsia="en-AU"/>
              </w:rPr>
              <w:t>Public non</w:t>
            </w:r>
            <w:r>
              <w:rPr>
                <w:rFonts w:eastAsiaTheme="minorEastAsia"/>
                <w:lang w:eastAsia="en-AU"/>
              </w:rPr>
              <w:noBreakHyphen/>
            </w:r>
            <w:r w:rsidRPr="00646DED">
              <w:rPr>
                <w:rFonts w:eastAsiaTheme="minorEastAsia"/>
                <w:lang w:eastAsia="en-AU"/>
              </w:rPr>
              <w:t>financial corporations</w:t>
            </w:r>
          </w:p>
        </w:tc>
        <w:tc>
          <w:tcPr>
            <w:tcW w:w="1120" w:type="dxa"/>
            <w:tcBorders>
              <w:top w:val="nil"/>
              <w:left w:val="nil"/>
              <w:bottom w:val="nil"/>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 xml:space="preserve"> 191.5</w:t>
            </w:r>
          </w:p>
        </w:tc>
        <w:tc>
          <w:tcPr>
            <w:tcW w:w="1120" w:type="dxa"/>
            <w:gridSpan w:val="2"/>
            <w:tcBorders>
              <w:top w:val="nil"/>
              <w:left w:val="nil"/>
              <w:bottom w:val="nil"/>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 xml:space="preserve"> 146.6</w:t>
            </w:r>
          </w:p>
        </w:tc>
      </w:tr>
      <w:tr w:rsidR="00336793" w:rsidRPr="00646DED" w:rsidTr="00DF0B96">
        <w:tc>
          <w:tcPr>
            <w:tcW w:w="7397" w:type="dxa"/>
            <w:tcBorders>
              <w:top w:val="nil"/>
              <w:left w:val="nil"/>
              <w:bottom w:val="nil"/>
              <w:right w:val="nil"/>
            </w:tcBorders>
          </w:tcPr>
          <w:p w:rsidR="00336793" w:rsidRPr="00646DED" w:rsidRDefault="00336793" w:rsidP="00DF0B96">
            <w:pPr>
              <w:pStyle w:val="Tabletext"/>
              <w:rPr>
                <w:rFonts w:eastAsiaTheme="minorEastAsia"/>
                <w:lang w:eastAsia="en-AU"/>
              </w:rPr>
            </w:pPr>
            <w:r w:rsidRPr="00646DED">
              <w:rPr>
                <w:rFonts w:eastAsiaTheme="minorEastAsia"/>
                <w:lang w:eastAsia="en-AU"/>
              </w:rPr>
              <w:t>Public financial corporations</w:t>
            </w:r>
          </w:p>
        </w:tc>
        <w:tc>
          <w:tcPr>
            <w:tcW w:w="1120" w:type="dxa"/>
            <w:tcBorders>
              <w:top w:val="nil"/>
              <w:left w:val="nil"/>
              <w:bottom w:val="nil"/>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w:t>
            </w:r>
          </w:p>
        </w:tc>
        <w:tc>
          <w:tcPr>
            <w:tcW w:w="1120" w:type="dxa"/>
            <w:gridSpan w:val="2"/>
            <w:tcBorders>
              <w:top w:val="nil"/>
              <w:left w:val="nil"/>
              <w:bottom w:val="nil"/>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w:t>
            </w:r>
          </w:p>
        </w:tc>
      </w:tr>
      <w:tr w:rsidR="00336793" w:rsidRPr="00646DED" w:rsidTr="00DF0B96">
        <w:tc>
          <w:tcPr>
            <w:tcW w:w="7397" w:type="dxa"/>
            <w:tcBorders>
              <w:top w:val="single" w:sz="6" w:space="0" w:color="auto"/>
              <w:left w:val="nil"/>
              <w:bottom w:val="single" w:sz="12" w:space="0" w:color="auto"/>
              <w:right w:val="nil"/>
            </w:tcBorders>
          </w:tcPr>
          <w:p w:rsidR="00336793" w:rsidRPr="00646DED" w:rsidRDefault="00336793" w:rsidP="00DF0B96">
            <w:pPr>
              <w:pStyle w:val="Tabletext"/>
              <w:rPr>
                <w:rFonts w:eastAsiaTheme="minorEastAsia"/>
                <w:b/>
                <w:bCs/>
                <w:lang w:eastAsia="en-AU"/>
              </w:rPr>
            </w:pPr>
            <w:r w:rsidRPr="00646DED">
              <w:rPr>
                <w:rFonts w:eastAsiaTheme="minorEastAsia"/>
                <w:b/>
                <w:bCs/>
                <w:lang w:eastAsia="en-AU"/>
              </w:rPr>
              <w:t>Total contingent assets – State of Victoria</w:t>
            </w:r>
          </w:p>
        </w:tc>
        <w:tc>
          <w:tcPr>
            <w:tcW w:w="1120" w:type="dxa"/>
            <w:tcBorders>
              <w:top w:val="single" w:sz="6" w:space="0" w:color="auto"/>
              <w:left w:val="nil"/>
              <w:bottom w:val="single" w:sz="12" w:space="0" w:color="auto"/>
              <w:right w:val="nil"/>
            </w:tcBorders>
            <w:shd w:val="clear" w:color="auto" w:fill="auto"/>
          </w:tcPr>
          <w:p w:rsidR="00336793" w:rsidRPr="00646DED" w:rsidRDefault="00336793" w:rsidP="00DF0B96">
            <w:pPr>
              <w:pStyle w:val="TableofFigures"/>
              <w:rPr>
                <w:rFonts w:eastAsiaTheme="minorEastAsia"/>
                <w:b/>
                <w:bCs/>
                <w:lang w:eastAsia="en-AU"/>
              </w:rPr>
            </w:pPr>
            <w:r w:rsidRPr="00646DED">
              <w:rPr>
                <w:rFonts w:eastAsiaTheme="minorEastAsia"/>
                <w:b/>
                <w:bCs/>
                <w:lang w:eastAsia="en-AU"/>
              </w:rPr>
              <w:t xml:space="preserve"> 304.7</w:t>
            </w:r>
          </w:p>
        </w:tc>
        <w:tc>
          <w:tcPr>
            <w:tcW w:w="1120" w:type="dxa"/>
            <w:gridSpan w:val="2"/>
            <w:tcBorders>
              <w:top w:val="single" w:sz="6" w:space="0" w:color="auto"/>
              <w:left w:val="nil"/>
              <w:bottom w:val="single" w:sz="12" w:space="0" w:color="auto"/>
              <w:right w:val="nil"/>
            </w:tcBorders>
            <w:shd w:val="clear" w:color="auto" w:fill="auto"/>
          </w:tcPr>
          <w:p w:rsidR="00336793" w:rsidRPr="00646DED" w:rsidRDefault="00336793" w:rsidP="00DF0B96">
            <w:pPr>
              <w:pStyle w:val="TableofFigures"/>
              <w:rPr>
                <w:rFonts w:eastAsiaTheme="minorEastAsia"/>
                <w:b/>
                <w:bCs/>
                <w:lang w:eastAsia="en-AU"/>
              </w:rPr>
            </w:pPr>
            <w:r w:rsidRPr="00646DED">
              <w:rPr>
                <w:rFonts w:eastAsiaTheme="minorEastAsia"/>
                <w:b/>
                <w:bCs/>
                <w:lang w:eastAsia="en-AU"/>
              </w:rPr>
              <w:t xml:space="preserve"> 160.5</w:t>
            </w:r>
          </w:p>
        </w:tc>
      </w:tr>
      <w:tr w:rsidR="00336793" w:rsidRPr="00646DED" w:rsidTr="00DF0B96">
        <w:trPr>
          <w:trHeight w:hRule="exact" w:val="120"/>
        </w:trPr>
        <w:tc>
          <w:tcPr>
            <w:tcW w:w="7397" w:type="dxa"/>
            <w:tcBorders>
              <w:top w:val="nil"/>
              <w:left w:val="nil"/>
              <w:bottom w:val="nil"/>
              <w:right w:val="nil"/>
            </w:tcBorders>
          </w:tcPr>
          <w:p w:rsidR="00336793" w:rsidRPr="00646DED" w:rsidRDefault="00336793" w:rsidP="00DF0B96">
            <w:pPr>
              <w:pStyle w:val="Tabletext"/>
              <w:rPr>
                <w:rFonts w:eastAsiaTheme="minorEastAsia"/>
                <w:lang w:eastAsia="en-AU"/>
              </w:rPr>
            </w:pPr>
            <w:r w:rsidRPr="00646DED">
              <w:rPr>
                <w:rFonts w:eastAsiaTheme="minorEastAsia"/>
                <w:lang w:eastAsia="en-AU"/>
              </w:rPr>
              <w:t xml:space="preserve"> </w:t>
            </w:r>
          </w:p>
        </w:tc>
        <w:tc>
          <w:tcPr>
            <w:tcW w:w="1120" w:type="dxa"/>
            <w:tcBorders>
              <w:top w:val="nil"/>
              <w:left w:val="nil"/>
              <w:bottom w:val="nil"/>
              <w:right w:val="nil"/>
            </w:tcBorders>
            <w:shd w:val="clear" w:color="auto" w:fill="auto"/>
          </w:tcPr>
          <w:p w:rsidR="00336793" w:rsidRPr="00646DED" w:rsidRDefault="00336793" w:rsidP="00DF0B96">
            <w:pPr>
              <w:pStyle w:val="TableofFigures"/>
              <w:rPr>
                <w:rFonts w:eastAsiaTheme="minorEastAsia"/>
                <w:lang w:eastAsia="en-AU"/>
              </w:rPr>
            </w:pPr>
          </w:p>
        </w:tc>
        <w:tc>
          <w:tcPr>
            <w:tcW w:w="1120" w:type="dxa"/>
            <w:gridSpan w:val="2"/>
            <w:tcBorders>
              <w:top w:val="nil"/>
              <w:left w:val="nil"/>
              <w:bottom w:val="nil"/>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 xml:space="preserve"> </w:t>
            </w:r>
          </w:p>
        </w:tc>
      </w:tr>
      <w:tr w:rsidR="00336793" w:rsidRPr="00646DED" w:rsidTr="00DF0B96">
        <w:tc>
          <w:tcPr>
            <w:tcW w:w="7397" w:type="dxa"/>
            <w:tcBorders>
              <w:top w:val="nil"/>
              <w:left w:val="nil"/>
              <w:bottom w:val="nil"/>
              <w:right w:val="nil"/>
            </w:tcBorders>
          </w:tcPr>
          <w:p w:rsidR="00336793" w:rsidRPr="00646DED" w:rsidRDefault="00336793" w:rsidP="00DF0B96">
            <w:pPr>
              <w:pStyle w:val="Tabletext"/>
              <w:rPr>
                <w:rFonts w:eastAsiaTheme="minorEastAsia"/>
                <w:lang w:eastAsia="en-AU"/>
              </w:rPr>
            </w:pPr>
            <w:r w:rsidRPr="00646DED">
              <w:rPr>
                <w:rFonts w:eastAsiaTheme="minorEastAsia"/>
                <w:lang w:eastAsia="en-AU"/>
              </w:rPr>
              <w:t>Guarantees, indemnities and warranties</w:t>
            </w:r>
          </w:p>
        </w:tc>
        <w:tc>
          <w:tcPr>
            <w:tcW w:w="1120" w:type="dxa"/>
            <w:tcBorders>
              <w:top w:val="nil"/>
              <w:left w:val="nil"/>
              <w:bottom w:val="nil"/>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 xml:space="preserve"> 93.3</w:t>
            </w:r>
          </w:p>
        </w:tc>
        <w:tc>
          <w:tcPr>
            <w:tcW w:w="1120" w:type="dxa"/>
            <w:gridSpan w:val="2"/>
            <w:tcBorders>
              <w:top w:val="nil"/>
              <w:left w:val="nil"/>
              <w:bottom w:val="nil"/>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 xml:space="preserve"> 49.3</w:t>
            </w:r>
          </w:p>
        </w:tc>
      </w:tr>
      <w:tr w:rsidR="00336793" w:rsidRPr="00646DED" w:rsidTr="00DF0B96">
        <w:tc>
          <w:tcPr>
            <w:tcW w:w="7397" w:type="dxa"/>
            <w:tcBorders>
              <w:top w:val="nil"/>
              <w:left w:val="nil"/>
              <w:bottom w:val="nil"/>
              <w:right w:val="nil"/>
            </w:tcBorders>
          </w:tcPr>
          <w:p w:rsidR="00336793" w:rsidRPr="00646DED" w:rsidRDefault="00336793" w:rsidP="00DF0B96">
            <w:pPr>
              <w:pStyle w:val="Tabletext"/>
              <w:rPr>
                <w:rFonts w:eastAsiaTheme="minorEastAsia"/>
                <w:lang w:eastAsia="en-AU"/>
              </w:rPr>
            </w:pPr>
            <w:r w:rsidRPr="00646DED">
              <w:rPr>
                <w:rFonts w:eastAsiaTheme="minorEastAsia"/>
                <w:lang w:eastAsia="en-AU"/>
              </w:rPr>
              <w:t>Legal proceedings and disputes</w:t>
            </w:r>
          </w:p>
        </w:tc>
        <w:tc>
          <w:tcPr>
            <w:tcW w:w="1120" w:type="dxa"/>
            <w:tcBorders>
              <w:top w:val="nil"/>
              <w:left w:val="nil"/>
              <w:bottom w:val="nil"/>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 xml:space="preserve"> 10.8</w:t>
            </w:r>
          </w:p>
        </w:tc>
        <w:tc>
          <w:tcPr>
            <w:tcW w:w="1120" w:type="dxa"/>
            <w:gridSpan w:val="2"/>
            <w:tcBorders>
              <w:top w:val="nil"/>
              <w:left w:val="nil"/>
              <w:bottom w:val="nil"/>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 xml:space="preserve"> 43.7</w:t>
            </w:r>
          </w:p>
        </w:tc>
      </w:tr>
      <w:tr w:rsidR="00336793" w:rsidRPr="00646DED" w:rsidTr="00DF0B96">
        <w:tc>
          <w:tcPr>
            <w:tcW w:w="7397" w:type="dxa"/>
            <w:tcBorders>
              <w:top w:val="nil"/>
              <w:left w:val="nil"/>
              <w:bottom w:val="single" w:sz="6" w:space="0" w:color="auto"/>
              <w:right w:val="nil"/>
            </w:tcBorders>
          </w:tcPr>
          <w:p w:rsidR="00336793" w:rsidRPr="00646DED" w:rsidRDefault="00336793" w:rsidP="00DF0B96">
            <w:pPr>
              <w:pStyle w:val="Tabletext"/>
              <w:rPr>
                <w:rFonts w:eastAsiaTheme="minorEastAsia" w:cs="Calibri"/>
                <w:color w:val="000000"/>
                <w:szCs w:val="22"/>
                <w:vertAlign w:val="superscript"/>
                <w:lang w:eastAsia="en-AU"/>
              </w:rPr>
            </w:pPr>
            <w:r w:rsidRPr="00646DED">
              <w:rPr>
                <w:rFonts w:eastAsiaTheme="minorEastAsia"/>
                <w:lang w:eastAsia="en-AU"/>
              </w:rPr>
              <w:t>Other</w:t>
            </w:r>
            <w:r w:rsidRPr="00E96950">
              <w:rPr>
                <w:rFonts w:eastAsiaTheme="minorEastAsia"/>
                <w:vertAlign w:val="superscript"/>
                <w:lang w:eastAsia="en-AU"/>
              </w:rPr>
              <w:t xml:space="preserve"> </w:t>
            </w:r>
            <w:r w:rsidRPr="00646DED">
              <w:rPr>
                <w:rFonts w:eastAsiaTheme="minorEastAsia" w:cs="Calibri"/>
                <w:color w:val="000000"/>
                <w:szCs w:val="22"/>
                <w:vertAlign w:val="superscript"/>
                <w:lang w:eastAsia="en-AU"/>
              </w:rPr>
              <w:t>(b)</w:t>
            </w:r>
          </w:p>
        </w:tc>
        <w:tc>
          <w:tcPr>
            <w:tcW w:w="1120" w:type="dxa"/>
            <w:tcBorders>
              <w:top w:val="nil"/>
              <w:left w:val="nil"/>
              <w:bottom w:val="single" w:sz="6" w:space="0" w:color="auto"/>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 xml:space="preserve"> 200.6</w:t>
            </w:r>
          </w:p>
        </w:tc>
        <w:tc>
          <w:tcPr>
            <w:tcW w:w="1120" w:type="dxa"/>
            <w:gridSpan w:val="2"/>
            <w:tcBorders>
              <w:top w:val="nil"/>
              <w:left w:val="nil"/>
              <w:bottom w:val="single" w:sz="6" w:space="0" w:color="auto"/>
              <w:right w:val="nil"/>
            </w:tcBorders>
            <w:shd w:val="clear" w:color="auto" w:fill="auto"/>
          </w:tcPr>
          <w:p w:rsidR="00336793" w:rsidRPr="00646DED" w:rsidRDefault="00336793" w:rsidP="00DF0B96">
            <w:pPr>
              <w:pStyle w:val="TableofFigures"/>
              <w:rPr>
                <w:rFonts w:eastAsiaTheme="minorEastAsia"/>
                <w:lang w:eastAsia="en-AU"/>
              </w:rPr>
            </w:pPr>
            <w:r w:rsidRPr="00646DED">
              <w:rPr>
                <w:rFonts w:eastAsiaTheme="minorEastAsia"/>
                <w:lang w:eastAsia="en-AU"/>
              </w:rPr>
              <w:t xml:space="preserve"> 67.6</w:t>
            </w:r>
          </w:p>
        </w:tc>
      </w:tr>
      <w:tr w:rsidR="00336793" w:rsidRPr="00646DED" w:rsidTr="00DF0B96">
        <w:tc>
          <w:tcPr>
            <w:tcW w:w="7397" w:type="dxa"/>
            <w:tcBorders>
              <w:top w:val="single" w:sz="6" w:space="0" w:color="auto"/>
              <w:left w:val="nil"/>
              <w:bottom w:val="single" w:sz="12" w:space="0" w:color="000000"/>
              <w:right w:val="nil"/>
            </w:tcBorders>
          </w:tcPr>
          <w:p w:rsidR="00336793" w:rsidRPr="00646DED" w:rsidRDefault="00336793" w:rsidP="00DF0B96">
            <w:pPr>
              <w:pStyle w:val="Tabletext"/>
              <w:rPr>
                <w:rFonts w:eastAsiaTheme="minorEastAsia"/>
                <w:b/>
                <w:bCs/>
                <w:lang w:eastAsia="en-AU"/>
              </w:rPr>
            </w:pPr>
            <w:r w:rsidRPr="00646DED">
              <w:rPr>
                <w:rFonts w:eastAsiaTheme="minorEastAsia"/>
                <w:b/>
                <w:bCs/>
                <w:lang w:eastAsia="en-AU"/>
              </w:rPr>
              <w:t>Total contingent assets – State of Victoria</w:t>
            </w:r>
          </w:p>
        </w:tc>
        <w:tc>
          <w:tcPr>
            <w:tcW w:w="1120" w:type="dxa"/>
            <w:tcBorders>
              <w:top w:val="single" w:sz="6" w:space="0" w:color="auto"/>
              <w:left w:val="nil"/>
              <w:bottom w:val="single" w:sz="12" w:space="0" w:color="000000"/>
              <w:right w:val="nil"/>
            </w:tcBorders>
            <w:shd w:val="clear" w:color="auto" w:fill="auto"/>
          </w:tcPr>
          <w:p w:rsidR="00336793" w:rsidRPr="00646DED" w:rsidRDefault="00336793" w:rsidP="00DF0B96">
            <w:pPr>
              <w:pStyle w:val="TableofFigures"/>
              <w:rPr>
                <w:rFonts w:eastAsiaTheme="minorEastAsia"/>
                <w:b/>
                <w:bCs/>
                <w:lang w:eastAsia="en-AU"/>
              </w:rPr>
            </w:pPr>
            <w:r w:rsidRPr="00646DED">
              <w:rPr>
                <w:rFonts w:eastAsiaTheme="minorEastAsia"/>
                <w:b/>
                <w:bCs/>
                <w:lang w:eastAsia="en-AU"/>
              </w:rPr>
              <w:t xml:space="preserve"> 304.7</w:t>
            </w:r>
          </w:p>
        </w:tc>
        <w:tc>
          <w:tcPr>
            <w:tcW w:w="1120" w:type="dxa"/>
            <w:gridSpan w:val="2"/>
            <w:tcBorders>
              <w:top w:val="single" w:sz="6" w:space="0" w:color="auto"/>
              <w:left w:val="nil"/>
              <w:bottom w:val="single" w:sz="12" w:space="0" w:color="000000"/>
              <w:right w:val="nil"/>
            </w:tcBorders>
            <w:shd w:val="clear" w:color="auto" w:fill="auto"/>
          </w:tcPr>
          <w:p w:rsidR="00336793" w:rsidRPr="00646DED" w:rsidRDefault="00336793" w:rsidP="00DF0B96">
            <w:pPr>
              <w:pStyle w:val="TableofFigures"/>
              <w:rPr>
                <w:rFonts w:eastAsiaTheme="minorEastAsia"/>
                <w:b/>
                <w:bCs/>
                <w:lang w:eastAsia="en-AU"/>
              </w:rPr>
            </w:pPr>
            <w:r w:rsidRPr="00646DED">
              <w:rPr>
                <w:rFonts w:eastAsiaTheme="minorEastAsia"/>
                <w:b/>
                <w:bCs/>
                <w:lang w:eastAsia="en-AU"/>
              </w:rPr>
              <w:t xml:space="preserve"> 160.5</w:t>
            </w:r>
          </w:p>
        </w:tc>
      </w:tr>
    </w:tbl>
    <w:p w:rsidR="00336793" w:rsidRPr="006A75A2" w:rsidRDefault="00336793" w:rsidP="00DF0B96">
      <w:pPr>
        <w:pStyle w:val="Notes"/>
      </w:pPr>
      <w:r w:rsidRPr="006A75A2">
        <w:t>Note</w:t>
      </w:r>
      <w:r>
        <w:t>s</w:t>
      </w:r>
      <w:r w:rsidRPr="006A75A2">
        <w:t>:</w:t>
      </w:r>
    </w:p>
    <w:p w:rsidR="00336793" w:rsidRDefault="00336793" w:rsidP="00DF0B96">
      <w:pPr>
        <w:pStyle w:val="Notes"/>
      </w:pPr>
      <w:r>
        <w:t>(a)</w:t>
      </w:r>
      <w:r w:rsidRPr="006A75A2">
        <w:tab/>
        <w:t>Figures reflect contingent assets that arise from outside of government.</w:t>
      </w:r>
    </w:p>
    <w:p w:rsidR="00336793" w:rsidRDefault="00336793" w:rsidP="00DF0B96">
      <w:pPr>
        <w:pStyle w:val="Notes"/>
      </w:pPr>
      <w:r>
        <w:t>(b)</w:t>
      </w:r>
      <w:r>
        <w:tab/>
      </w:r>
      <w:r w:rsidRPr="005F597D">
        <w:t>Other contingent assets in the general government sector mainly consists of $100</w:t>
      </w:r>
      <w:r>
        <w:t> million</w:t>
      </w:r>
      <w:r w:rsidRPr="005F597D">
        <w:t xml:space="preserve"> relating to a contingent payment for Crown Melbourne licence ame</w:t>
      </w:r>
      <w:r>
        <w:t>ndments that may be payable in c</w:t>
      </w:r>
      <w:r w:rsidRPr="005F597D">
        <w:t>a</w:t>
      </w:r>
      <w:r>
        <w:t>l</w:t>
      </w:r>
      <w:r w:rsidRPr="005F597D">
        <w:t>endar year 2022.</w:t>
      </w:r>
    </w:p>
    <w:p w:rsidR="00336793" w:rsidRPr="006A75A2" w:rsidRDefault="00336793" w:rsidP="00DF0B96">
      <w:pPr>
        <w:pStyle w:val="Notes"/>
      </w:pPr>
    </w:p>
    <w:p w:rsidR="00336793" w:rsidRPr="006A75A2" w:rsidRDefault="00336793" w:rsidP="00DF0B96"/>
    <w:p w:rsidR="00336793" w:rsidRDefault="00336793" w:rsidP="00DF0B96">
      <w:pPr>
        <w:pStyle w:val="Heading3"/>
      </w:pPr>
      <w:r w:rsidRPr="006A75A2">
        <w:t>Non</w:t>
      </w:r>
      <w:r>
        <w:noBreakHyphen/>
      </w:r>
      <w:r w:rsidRPr="006A75A2">
        <w:t>quantifiable contingent assets</w:t>
      </w:r>
    </w:p>
    <w:p w:rsidR="00336793" w:rsidRPr="00C07D53" w:rsidRDefault="00336793" w:rsidP="00DF0B96">
      <w:pPr>
        <w:pStyle w:val="Heading4"/>
      </w:pPr>
      <w:r w:rsidRPr="00C07D53">
        <w:t xml:space="preserve">CityLink </w:t>
      </w:r>
      <w:r w:rsidRPr="006D380A">
        <w:t>compensable</w:t>
      </w:r>
      <w:r w:rsidRPr="00C07D53">
        <w:t xml:space="preserve"> </w:t>
      </w:r>
      <w:r w:rsidRPr="00F544EF">
        <w:t>enhancement</w:t>
      </w:r>
      <w:r w:rsidRPr="00C07D53">
        <w:t xml:space="preserve"> claims </w:t>
      </w:r>
    </w:p>
    <w:p w:rsidR="00336793" w:rsidRPr="00C07D53" w:rsidRDefault="00336793" w:rsidP="00DF0B96">
      <w:r w:rsidRPr="00C07D53">
        <w:t>The Melbourne CityLink Concession Deed contains compensable enhancement provisions that enable the State to claim 50</w:t>
      </w:r>
      <w:r>
        <w:t> per cent</w:t>
      </w:r>
      <w:r w:rsidRPr="00C07D53">
        <w:t xml:space="preserve"> of additional revenue derived by CityLink Melbourne Limited (CML) as a result of certain events that particularly benefit CityLink, including changes to the adjoining road network. </w:t>
      </w:r>
    </w:p>
    <w:p w:rsidR="00336793" w:rsidRDefault="00336793" w:rsidP="00DF0B96">
      <w:r w:rsidRPr="00547C1E">
        <w:t xml:space="preserve">Compensable enhancement claims have previously been lodged in respect </w:t>
      </w:r>
      <w:r>
        <w:t xml:space="preserve">to </w:t>
      </w:r>
      <w:r w:rsidRPr="00547C1E">
        <w:t>works for improving traffic flows on the West Gate Freeway (between Lorimer and Montague streets), and in the vicinity of the intersection of the Bulla Road and the Tullamarine Freeway. The claims were lodged on 20 May 2005 and 29 September 2006 respectively, and are still outstanding.</w:t>
      </w:r>
      <w:r w:rsidRPr="00C07D53">
        <w:t xml:space="preserve"> </w:t>
      </w:r>
    </w:p>
    <w:p w:rsidR="00336793" w:rsidRPr="001339A5" w:rsidRDefault="00336793" w:rsidP="00DF0B96">
      <w:pPr>
        <w:pStyle w:val="Heading4"/>
      </w:pPr>
      <w:r w:rsidRPr="001339A5">
        <w:t>Peninsula Link compensable enhancement claim</w:t>
      </w:r>
    </w:p>
    <w:p w:rsidR="00336793" w:rsidRPr="001339A5" w:rsidRDefault="00336793" w:rsidP="00DF0B96">
      <w:r w:rsidRPr="001339A5">
        <w:t>The EastLink Concession Deed contains compensable enhancement provisions that enable the State to claim 50</w:t>
      </w:r>
      <w:r>
        <w:t> per cent</w:t>
      </w:r>
      <w:r w:rsidRPr="001339A5">
        <w:t xml:space="preserve"> of any additional revenue derived by ConnectEast Pty Ltd (ConnectEast) as a result of certain events that particularly benefit EastLink, including changes to the adjoining road network.</w:t>
      </w:r>
    </w:p>
    <w:p w:rsidR="00336793" w:rsidRDefault="00336793" w:rsidP="00DF0B96">
      <w:r w:rsidRPr="001339A5">
        <w:t>On 2</w:t>
      </w:r>
      <w:r>
        <w:t> </w:t>
      </w:r>
      <w:r w:rsidRPr="001339A5">
        <w:t>January 2014, the State lodged a compensable enha</w:t>
      </w:r>
      <w:r>
        <w:t>ncement claim as a result of opening</w:t>
      </w:r>
      <w:r w:rsidRPr="001339A5">
        <w:t xml:space="preserve"> Peninsula Link. The claim remains outstanding.</w:t>
      </w:r>
    </w:p>
    <w:p w:rsidR="00336793" w:rsidRDefault="00336793" w:rsidP="00DF0B96">
      <w:r>
        <w:br w:type="page"/>
      </w:r>
    </w:p>
    <w:p w:rsidR="00336793" w:rsidRDefault="00336793" w:rsidP="00DF0B96">
      <w:pPr>
        <w:pStyle w:val="Heading2NotesContd"/>
      </w:pPr>
      <w:r w:rsidRPr="006A75A2">
        <w:lastRenderedPageBreak/>
        <w:t>Note 35:</w:t>
      </w:r>
      <w:r w:rsidRPr="006A75A2">
        <w:tab/>
        <w:t>Contingent assets and contingent liabilities (State of Victoria)</w:t>
      </w:r>
      <w:r>
        <w:t xml:space="preserve"> </w:t>
      </w:r>
      <w:r w:rsidRPr="00AE6C8A">
        <w:rPr>
          <w:i/>
        </w:rPr>
        <w:t>(continued)</w:t>
      </w:r>
    </w:p>
    <w:p w:rsidR="00336793" w:rsidRPr="008744D8" w:rsidRDefault="00336793" w:rsidP="00DF0B96">
      <w:pPr>
        <w:pStyle w:val="Heading4"/>
        <w:spacing w:after="60"/>
      </w:pPr>
      <w:r w:rsidRPr="008744D8">
        <w:t>Gambling licences</w:t>
      </w:r>
    </w:p>
    <w:p w:rsidR="00336793" w:rsidRPr="00D95E98" w:rsidRDefault="00336793" w:rsidP="00DF0B96">
      <w:pPr>
        <w:spacing w:after="80"/>
      </w:pPr>
      <w:r w:rsidRPr="00D95E98">
        <w:t>In 1992, a gaming operator</w:t>
      </w:r>
      <w:r>
        <w:t>’</w:t>
      </w:r>
      <w:r w:rsidRPr="00D95E98">
        <w:t>s licence was issued to the Trustees of the Will and Estate of the late George Adams, later succeeded by Tatts Group Limited (Tatts). In 1994, the State issued a coupled wagering licence and gaming licence to Tabcorp Holdings Limited (Tabcorp). These licences expired in August</w:t>
      </w:r>
      <w:r>
        <w:t> </w:t>
      </w:r>
      <w:r w:rsidRPr="00D95E98">
        <w:t xml:space="preserve">2012. </w:t>
      </w:r>
    </w:p>
    <w:p w:rsidR="00336793" w:rsidRPr="00D95E98" w:rsidRDefault="00336793" w:rsidP="00DF0B96">
      <w:pPr>
        <w:spacing w:after="80"/>
      </w:pPr>
      <w:r w:rsidRPr="00D95E98">
        <w:t xml:space="preserve">The </w:t>
      </w:r>
      <w:r w:rsidRPr="00B74921">
        <w:rPr>
          <w:i/>
        </w:rPr>
        <w:t>Gambling Regulation Act 2003</w:t>
      </w:r>
      <w:r w:rsidRPr="00D95E98">
        <w:t xml:space="preserve"> specified end of licence arrangements, which included compensation provisions for the licensees predicated on the previous licensing arrangements being rolled over beyond their scheduled expiry date. On 10 April 2008, the State announced that a new regulatory and licencing regime would be implemented post August 2012. </w:t>
      </w:r>
    </w:p>
    <w:p w:rsidR="00336793" w:rsidRPr="00D95E98" w:rsidRDefault="00336793" w:rsidP="00DF0B96">
      <w:pPr>
        <w:spacing w:after="80"/>
      </w:pPr>
      <w:r w:rsidRPr="00D95E98">
        <w:t xml:space="preserve">This included separating the wagering and gaming licence to instead license wagering on a standalone basis; and transitioning from the gaming operator duopoly to a system where venue operators are licensed to own and operate gaming machines in their own right. After considering the end of licence arrangements in the </w:t>
      </w:r>
      <w:r w:rsidRPr="00B74921">
        <w:rPr>
          <w:i/>
        </w:rPr>
        <w:t>Gambling Regulation Act 2003</w:t>
      </w:r>
      <w:r w:rsidRPr="00D95E98">
        <w:t xml:space="preserve">, the State formed the view that neither Tatts nor Tabcorp were entitled to compensation after the expiration of their licences. </w:t>
      </w:r>
    </w:p>
    <w:p w:rsidR="00336793" w:rsidRPr="00D95E98" w:rsidRDefault="00336793" w:rsidP="00DF0B96">
      <w:pPr>
        <w:spacing w:after="60"/>
      </w:pPr>
      <w:r w:rsidRPr="00D95E98">
        <w:t>In August 2012 Tatts and Tabcorp commenced legal proceedings against the State. The State defended both claims and was successful in relation to the Tabcorp claim but unsuccessful in relation to the Tatts claim. On 27 June 2014, the State paid Tatts its claimed amount including interest, amounting to $540.5</w:t>
      </w:r>
      <w:r>
        <w:t> million</w:t>
      </w:r>
      <w:r w:rsidRPr="00D95E98">
        <w:t xml:space="preserve">. The decision was appealed to the </w:t>
      </w:r>
      <w:r>
        <w:t>Court of Appeal and upheld on 4 </w:t>
      </w:r>
      <w:r w:rsidRPr="00D95E98">
        <w:t>December 2014. The State then sought special leave to appeal to the High Court of Aus</w:t>
      </w:r>
      <w:r>
        <w:t>tralia, which was granted on 15 </w:t>
      </w:r>
      <w:r w:rsidRPr="00D95E98">
        <w:t>May</w:t>
      </w:r>
      <w:r>
        <w:t xml:space="preserve"> 2015. The appeal has been listed for hearing on 10 and 11 November 2015.</w:t>
      </w:r>
    </w:p>
    <w:p w:rsidR="00336793" w:rsidRPr="006A75A2" w:rsidRDefault="00336793" w:rsidP="00DF0B96">
      <w:pPr>
        <w:pStyle w:val="Heading3"/>
        <w:spacing w:before="180"/>
      </w:pPr>
      <w:r w:rsidRPr="006A75A2">
        <w:t>Contingent liabilities</w:t>
      </w:r>
    </w:p>
    <w:p w:rsidR="00336793" w:rsidRPr="006A75A2" w:rsidRDefault="00336793" w:rsidP="00DF0B96">
      <w:pPr>
        <w:spacing w:after="80"/>
      </w:pPr>
      <w:r w:rsidRPr="006A75A2">
        <w:t>Contingent liabilities are:</w:t>
      </w:r>
    </w:p>
    <w:p w:rsidR="00336793" w:rsidRPr="006A75A2" w:rsidRDefault="00336793" w:rsidP="00DF0B96">
      <w:pPr>
        <w:pStyle w:val="BulletText"/>
        <w:spacing w:after="60"/>
      </w:pPr>
      <w:r w:rsidRPr="006A75A2">
        <w:t>possible obligations that arise from past events, whose existence will be confirmed only by the occurrence or non</w:t>
      </w:r>
      <w:r>
        <w:noBreakHyphen/>
      </w:r>
      <w:r w:rsidRPr="006A75A2">
        <w:t>occurrence of one or more uncertain future events not wholly within the control of the entity; or</w:t>
      </w:r>
    </w:p>
    <w:p w:rsidR="00336793" w:rsidRPr="006A75A2" w:rsidRDefault="00336793" w:rsidP="00DF0B96">
      <w:pPr>
        <w:pStyle w:val="BulletText"/>
        <w:spacing w:after="60"/>
      </w:pPr>
      <w:r w:rsidRPr="006A75A2">
        <w:t>present obligations that arise from past events but are not recognised because:</w:t>
      </w:r>
    </w:p>
    <w:p w:rsidR="00336793" w:rsidRPr="006A75A2" w:rsidRDefault="00336793" w:rsidP="00DF0B96">
      <w:pPr>
        <w:pStyle w:val="DashText"/>
        <w:spacing w:after="40"/>
      </w:pPr>
      <w:r w:rsidRPr="006A75A2">
        <w:t>it is not probable that an outflow of resources embodying economic benefits will be required to settle the obligations; or</w:t>
      </w:r>
    </w:p>
    <w:p w:rsidR="00336793" w:rsidRPr="006A75A2" w:rsidRDefault="00336793" w:rsidP="00DF0B96">
      <w:pPr>
        <w:pStyle w:val="DashText"/>
        <w:spacing w:after="40"/>
      </w:pPr>
      <w:r w:rsidRPr="006A75A2">
        <w:t>the amount of the obligations cannot be measured with sufficient reliability.</w:t>
      </w:r>
    </w:p>
    <w:p w:rsidR="00336793" w:rsidRPr="006A75A2" w:rsidRDefault="00336793" w:rsidP="00DF0B96">
      <w:r w:rsidRPr="006A75A2">
        <w:t>As with contingent assets, contingent liabilities are also classified as either quantifiable or non</w:t>
      </w:r>
      <w:r>
        <w:noBreakHyphen/>
      </w:r>
      <w:r w:rsidRPr="006A75A2">
        <w:t>quantifiable. The table below contains quantifiable contingen</w:t>
      </w:r>
      <w:r>
        <w:t>t liabilities as at 30 June 2015</w:t>
      </w:r>
      <w:r w:rsidRPr="006A75A2">
        <w:t>.</w:t>
      </w:r>
    </w:p>
    <w:p w:rsidR="00336793" w:rsidRPr="006A75A2" w:rsidRDefault="00336793" w:rsidP="00DF0B96">
      <w:pPr>
        <w:pStyle w:val="Tableheading"/>
        <w:spacing w:before="120" w:after="0"/>
        <w:rPr>
          <w:vertAlign w:val="superscript"/>
        </w:rPr>
      </w:pPr>
      <w:r w:rsidRPr="006A75A2">
        <w:t>Quantifiable contingent liabilities</w:t>
      </w:r>
    </w:p>
    <w:p w:rsidR="00336793" w:rsidRPr="00646DED"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914"/>
        <w:gridCol w:w="206"/>
      </w:tblGrid>
      <w:tr w:rsidR="00336793" w:rsidRPr="00646DED" w:rsidTr="00D96F49">
        <w:tc>
          <w:tcPr>
            <w:tcW w:w="7397" w:type="dxa"/>
            <w:tcBorders>
              <w:top w:val="single" w:sz="6" w:space="0" w:color="auto"/>
              <w:left w:val="single" w:sz="6" w:space="0" w:color="auto"/>
              <w:bottom w:val="nil"/>
              <w:right w:val="nil"/>
            </w:tcBorders>
            <w:shd w:val="clear" w:color="000000" w:fill="000000"/>
          </w:tcPr>
          <w:p w:rsidR="00336793" w:rsidRPr="00646DED" w:rsidRDefault="00336793" w:rsidP="00DF0B96">
            <w:pPr>
              <w:pStyle w:val="Tabletextheading"/>
              <w:jc w:val="left"/>
              <w:rPr>
                <w:rFonts w:eastAsiaTheme="minorEastAsia"/>
                <w:color w:val="FFFFFF"/>
                <w:sz w:val="21"/>
                <w:lang w:eastAsia="en-AU"/>
              </w:rPr>
            </w:pPr>
            <w:r w:rsidRPr="00646DED">
              <w:rPr>
                <w:rFonts w:eastAsiaTheme="minorEastAsia"/>
                <w:color w:val="FFFFFF"/>
                <w:sz w:val="21"/>
                <w:lang w:eastAsia="en-AU"/>
              </w:rPr>
              <w:t xml:space="preserve"> </w:t>
            </w:r>
          </w:p>
        </w:tc>
        <w:tc>
          <w:tcPr>
            <w:tcW w:w="2034" w:type="dxa"/>
            <w:gridSpan w:val="2"/>
            <w:tcBorders>
              <w:top w:val="single" w:sz="6" w:space="0" w:color="auto"/>
              <w:left w:val="nil"/>
              <w:bottom w:val="nil"/>
              <w:right w:val="nil"/>
            </w:tcBorders>
            <w:shd w:val="clear" w:color="000000" w:fill="000000"/>
          </w:tcPr>
          <w:p w:rsidR="00336793" w:rsidRPr="00646DED" w:rsidRDefault="00336793" w:rsidP="00DF0B96">
            <w:pPr>
              <w:pStyle w:val="Tabletextheading"/>
              <w:rPr>
                <w:rFonts w:eastAsiaTheme="minorEastAsia"/>
                <w:color w:val="FFFFFF"/>
                <w:sz w:val="21"/>
                <w:lang w:eastAsia="en-AU"/>
              </w:rPr>
            </w:pPr>
            <w:r w:rsidRPr="00646DED">
              <w:rPr>
                <w:rFonts w:eastAsiaTheme="minorEastAsia"/>
                <w:color w:val="FFFFFF"/>
                <w:sz w:val="21"/>
                <w:lang w:eastAsia="en-AU"/>
              </w:rPr>
              <w:t>State of Victoria</w:t>
            </w:r>
          </w:p>
        </w:tc>
        <w:tc>
          <w:tcPr>
            <w:tcW w:w="206" w:type="dxa"/>
            <w:tcBorders>
              <w:top w:val="single" w:sz="6" w:space="0" w:color="auto"/>
              <w:left w:val="nil"/>
              <w:bottom w:val="nil"/>
              <w:right w:val="single" w:sz="6" w:space="0" w:color="auto"/>
            </w:tcBorders>
            <w:shd w:val="clear" w:color="000000" w:fill="000000"/>
          </w:tcPr>
          <w:p w:rsidR="00336793" w:rsidRPr="00646DED" w:rsidRDefault="00336793" w:rsidP="00DF0B96">
            <w:pPr>
              <w:pStyle w:val="Tabletextheading"/>
              <w:rPr>
                <w:rFonts w:eastAsiaTheme="minorEastAsia"/>
                <w:color w:val="FFFFFF"/>
                <w:sz w:val="21"/>
                <w:lang w:eastAsia="en-AU"/>
              </w:rPr>
            </w:pPr>
            <w:r w:rsidRPr="00646DED">
              <w:rPr>
                <w:rFonts w:eastAsiaTheme="minorEastAsia"/>
                <w:color w:val="FFFFFF"/>
                <w:sz w:val="21"/>
                <w:lang w:eastAsia="en-AU"/>
              </w:rPr>
              <w:t xml:space="preserve"> </w:t>
            </w:r>
          </w:p>
        </w:tc>
      </w:tr>
      <w:tr w:rsidR="00336793" w:rsidRPr="00646DED" w:rsidTr="00DF0B96">
        <w:tc>
          <w:tcPr>
            <w:tcW w:w="7397" w:type="dxa"/>
            <w:tcBorders>
              <w:left w:val="single" w:sz="6" w:space="0" w:color="auto"/>
              <w:bottom w:val="single" w:sz="6" w:space="0" w:color="auto"/>
              <w:right w:val="nil"/>
            </w:tcBorders>
            <w:shd w:val="clear" w:color="000000" w:fill="000000"/>
          </w:tcPr>
          <w:p w:rsidR="00336793" w:rsidRPr="00646DED" w:rsidRDefault="00336793" w:rsidP="00DF0B96">
            <w:pPr>
              <w:pStyle w:val="Tabletextheading"/>
              <w:jc w:val="left"/>
              <w:rPr>
                <w:rFonts w:eastAsiaTheme="minorEastAsia"/>
                <w:color w:val="FFFFFF"/>
                <w:sz w:val="21"/>
                <w:lang w:eastAsia="en-AU"/>
              </w:rPr>
            </w:pPr>
            <w:r w:rsidRPr="00646DED">
              <w:rPr>
                <w:rFonts w:eastAsiaTheme="minorEastAsia"/>
                <w:color w:val="FFFFFF"/>
                <w:sz w:val="21"/>
                <w:lang w:eastAsia="en-AU"/>
              </w:rPr>
              <w:t xml:space="preserve"> </w:t>
            </w:r>
          </w:p>
        </w:tc>
        <w:tc>
          <w:tcPr>
            <w:tcW w:w="1120" w:type="dxa"/>
            <w:tcBorders>
              <w:left w:val="nil"/>
              <w:bottom w:val="single" w:sz="6" w:space="0" w:color="auto"/>
              <w:right w:val="nil"/>
            </w:tcBorders>
            <w:shd w:val="clear" w:color="000000" w:fill="000000"/>
          </w:tcPr>
          <w:p w:rsidR="00336793" w:rsidRPr="00646DED" w:rsidRDefault="00336793" w:rsidP="00DF0B96">
            <w:pPr>
              <w:pStyle w:val="Tabletextheading"/>
              <w:rPr>
                <w:rFonts w:eastAsiaTheme="minorEastAsia"/>
                <w:color w:val="FFFFFF"/>
                <w:sz w:val="21"/>
                <w:lang w:eastAsia="en-AU"/>
              </w:rPr>
            </w:pPr>
            <w:r w:rsidRPr="00646DED">
              <w:rPr>
                <w:rFonts w:eastAsiaTheme="minorEastAsia"/>
                <w:color w:val="FFFFFF"/>
                <w:sz w:val="21"/>
                <w:lang w:eastAsia="en-AU"/>
              </w:rPr>
              <w:t>2015</w:t>
            </w:r>
          </w:p>
        </w:tc>
        <w:tc>
          <w:tcPr>
            <w:tcW w:w="1120" w:type="dxa"/>
            <w:gridSpan w:val="2"/>
            <w:tcBorders>
              <w:left w:val="nil"/>
              <w:bottom w:val="single" w:sz="6" w:space="0" w:color="auto"/>
              <w:right w:val="single" w:sz="6" w:space="0" w:color="auto"/>
            </w:tcBorders>
            <w:shd w:val="clear" w:color="000000" w:fill="000000"/>
          </w:tcPr>
          <w:p w:rsidR="00336793" w:rsidRPr="00646DED" w:rsidRDefault="00336793" w:rsidP="00DF0B96">
            <w:pPr>
              <w:pStyle w:val="Tabletextheading"/>
              <w:rPr>
                <w:rFonts w:eastAsiaTheme="minorEastAsia"/>
                <w:color w:val="FFFFFF"/>
                <w:sz w:val="21"/>
                <w:lang w:eastAsia="en-AU"/>
              </w:rPr>
            </w:pPr>
            <w:r w:rsidRPr="00646DED">
              <w:rPr>
                <w:rFonts w:eastAsiaTheme="minorEastAsia"/>
                <w:color w:val="FFFFFF"/>
                <w:sz w:val="21"/>
                <w:lang w:eastAsia="en-AU"/>
              </w:rPr>
              <w:t>2014</w:t>
            </w:r>
          </w:p>
        </w:tc>
      </w:tr>
      <w:tr w:rsidR="00336793" w:rsidRPr="00646DED" w:rsidTr="00DF0B96">
        <w:tc>
          <w:tcPr>
            <w:tcW w:w="7397" w:type="dxa"/>
            <w:tcBorders>
              <w:top w:val="single" w:sz="6" w:space="0" w:color="auto"/>
              <w:left w:val="nil"/>
              <w:bottom w:val="nil"/>
              <w:right w:val="nil"/>
            </w:tcBorders>
          </w:tcPr>
          <w:p w:rsidR="00336793" w:rsidRPr="00646DED" w:rsidRDefault="00336793" w:rsidP="00DF0B96">
            <w:pPr>
              <w:autoSpaceDE w:val="0"/>
              <w:autoSpaceDN w:val="0"/>
              <w:adjustRightInd w:val="0"/>
              <w:spacing w:after="0"/>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General government</w:t>
            </w:r>
          </w:p>
        </w:tc>
        <w:tc>
          <w:tcPr>
            <w:tcW w:w="1120" w:type="dxa"/>
            <w:tcBorders>
              <w:top w:val="single" w:sz="6" w:space="0" w:color="auto"/>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11 551.2</w:t>
            </w:r>
          </w:p>
        </w:tc>
        <w:tc>
          <w:tcPr>
            <w:tcW w:w="1120" w:type="dxa"/>
            <w:gridSpan w:val="2"/>
            <w:tcBorders>
              <w:top w:val="single" w:sz="6" w:space="0" w:color="auto"/>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13 131.1</w:t>
            </w:r>
          </w:p>
        </w:tc>
      </w:tr>
      <w:tr w:rsidR="00336793" w:rsidRPr="00646DED" w:rsidTr="00DF0B96">
        <w:tc>
          <w:tcPr>
            <w:tcW w:w="7397" w:type="dxa"/>
            <w:tcBorders>
              <w:top w:val="nil"/>
              <w:left w:val="nil"/>
              <w:bottom w:val="nil"/>
              <w:right w:val="nil"/>
            </w:tcBorders>
          </w:tcPr>
          <w:p w:rsidR="00336793" w:rsidRPr="00646DED" w:rsidRDefault="00336793" w:rsidP="00DF0B96">
            <w:pPr>
              <w:autoSpaceDE w:val="0"/>
              <w:autoSpaceDN w:val="0"/>
              <w:adjustRightInd w:val="0"/>
              <w:spacing w:after="0"/>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Public non</w:t>
            </w:r>
            <w:r>
              <w:rPr>
                <w:rFonts w:ascii="Calibri" w:eastAsiaTheme="minorEastAsia" w:hAnsi="Calibri" w:cs="Calibri"/>
                <w:sz w:val="21"/>
                <w:szCs w:val="22"/>
                <w:lang w:eastAsia="en-AU"/>
              </w:rPr>
              <w:noBreakHyphen/>
            </w:r>
            <w:r w:rsidRPr="00646DED">
              <w:rPr>
                <w:rFonts w:ascii="Calibri" w:eastAsiaTheme="minorEastAsia" w:hAnsi="Calibri" w:cs="Calibri"/>
                <w:sz w:val="21"/>
                <w:szCs w:val="22"/>
                <w:lang w:eastAsia="en-AU"/>
              </w:rPr>
              <w:t>financial corporations</w:t>
            </w:r>
          </w:p>
        </w:tc>
        <w:tc>
          <w:tcPr>
            <w:tcW w:w="1120" w:type="dxa"/>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 xml:space="preserve"> 217.5</w:t>
            </w:r>
          </w:p>
        </w:tc>
        <w:tc>
          <w:tcPr>
            <w:tcW w:w="1120" w:type="dxa"/>
            <w:gridSpan w:val="2"/>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 xml:space="preserve"> 226.6</w:t>
            </w:r>
          </w:p>
        </w:tc>
      </w:tr>
      <w:tr w:rsidR="00336793" w:rsidRPr="00646DED" w:rsidTr="00DF0B96">
        <w:tc>
          <w:tcPr>
            <w:tcW w:w="7397" w:type="dxa"/>
            <w:tcBorders>
              <w:top w:val="nil"/>
              <w:left w:val="nil"/>
              <w:bottom w:val="nil"/>
              <w:right w:val="nil"/>
            </w:tcBorders>
          </w:tcPr>
          <w:p w:rsidR="00336793" w:rsidRPr="00646DED" w:rsidRDefault="00336793" w:rsidP="00DF0B96">
            <w:pPr>
              <w:autoSpaceDE w:val="0"/>
              <w:autoSpaceDN w:val="0"/>
              <w:adjustRightInd w:val="0"/>
              <w:spacing w:after="0"/>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Public financial corporations</w:t>
            </w:r>
          </w:p>
        </w:tc>
        <w:tc>
          <w:tcPr>
            <w:tcW w:w="1120" w:type="dxa"/>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w:t>
            </w:r>
          </w:p>
        </w:tc>
        <w:tc>
          <w:tcPr>
            <w:tcW w:w="1120" w:type="dxa"/>
            <w:gridSpan w:val="2"/>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w:t>
            </w:r>
          </w:p>
        </w:tc>
      </w:tr>
      <w:tr w:rsidR="00336793" w:rsidRPr="00646DED" w:rsidTr="00DF0B96">
        <w:tc>
          <w:tcPr>
            <w:tcW w:w="7397" w:type="dxa"/>
            <w:tcBorders>
              <w:top w:val="nil"/>
              <w:left w:val="nil"/>
              <w:bottom w:val="nil"/>
              <w:right w:val="nil"/>
            </w:tcBorders>
          </w:tcPr>
          <w:p w:rsidR="00336793" w:rsidRPr="00646DED" w:rsidRDefault="00336793" w:rsidP="00DF0B96">
            <w:pPr>
              <w:autoSpaceDE w:val="0"/>
              <w:autoSpaceDN w:val="0"/>
              <w:adjustRightInd w:val="0"/>
              <w:spacing w:after="0"/>
              <w:rPr>
                <w:rFonts w:ascii="Calibri" w:eastAsiaTheme="minorEastAsia" w:hAnsi="Calibri" w:cs="Calibri"/>
                <w:i/>
                <w:iCs/>
                <w:sz w:val="21"/>
                <w:szCs w:val="22"/>
                <w:vertAlign w:val="superscript"/>
                <w:lang w:eastAsia="en-AU"/>
              </w:rPr>
            </w:pPr>
            <w:r w:rsidRPr="00646DED">
              <w:rPr>
                <w:rFonts w:ascii="Calibri" w:eastAsiaTheme="minorEastAsia" w:hAnsi="Calibri" w:cs="Calibri"/>
                <w:i/>
                <w:iCs/>
                <w:sz w:val="21"/>
                <w:szCs w:val="22"/>
                <w:lang w:eastAsia="en-AU"/>
              </w:rPr>
              <w:t xml:space="preserve">Eliminations </w:t>
            </w:r>
            <w:r w:rsidRPr="00646DED">
              <w:rPr>
                <w:rFonts w:ascii="Calibri" w:eastAsiaTheme="minorEastAsia" w:hAnsi="Calibri" w:cs="Calibri"/>
                <w:i/>
                <w:iCs/>
                <w:sz w:val="21"/>
                <w:szCs w:val="22"/>
                <w:vertAlign w:val="superscript"/>
                <w:lang w:eastAsia="en-AU"/>
              </w:rPr>
              <w:t>(a)</w:t>
            </w:r>
          </w:p>
        </w:tc>
        <w:tc>
          <w:tcPr>
            <w:tcW w:w="1120" w:type="dxa"/>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(10 869.0)</w:t>
            </w:r>
          </w:p>
        </w:tc>
        <w:tc>
          <w:tcPr>
            <w:tcW w:w="1120" w:type="dxa"/>
            <w:gridSpan w:val="2"/>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(12 319.4)</w:t>
            </w:r>
          </w:p>
        </w:tc>
      </w:tr>
      <w:tr w:rsidR="00336793" w:rsidRPr="00646DED" w:rsidTr="00DF0B96">
        <w:tc>
          <w:tcPr>
            <w:tcW w:w="7397" w:type="dxa"/>
            <w:tcBorders>
              <w:top w:val="single" w:sz="6" w:space="0" w:color="auto"/>
              <w:left w:val="nil"/>
              <w:bottom w:val="single" w:sz="12" w:space="0" w:color="auto"/>
              <w:right w:val="nil"/>
            </w:tcBorders>
          </w:tcPr>
          <w:p w:rsidR="00336793" w:rsidRPr="00646DED" w:rsidRDefault="00336793" w:rsidP="00DF0B96">
            <w:pPr>
              <w:autoSpaceDE w:val="0"/>
              <w:autoSpaceDN w:val="0"/>
              <w:adjustRightInd w:val="0"/>
              <w:spacing w:after="0"/>
              <w:rPr>
                <w:rFonts w:ascii="Calibri" w:eastAsiaTheme="minorEastAsia" w:hAnsi="Calibri" w:cs="Calibri"/>
                <w:b/>
                <w:bCs/>
                <w:sz w:val="21"/>
                <w:szCs w:val="22"/>
                <w:lang w:eastAsia="en-AU"/>
              </w:rPr>
            </w:pPr>
            <w:r w:rsidRPr="00646DED">
              <w:rPr>
                <w:rFonts w:ascii="Calibri" w:eastAsiaTheme="minorEastAsia" w:hAnsi="Calibri" w:cs="Calibri"/>
                <w:b/>
                <w:bCs/>
                <w:sz w:val="21"/>
                <w:szCs w:val="22"/>
                <w:lang w:eastAsia="en-AU"/>
              </w:rPr>
              <w:t>Total contingent liabilities – State of Victoria</w:t>
            </w:r>
          </w:p>
        </w:tc>
        <w:tc>
          <w:tcPr>
            <w:tcW w:w="1120" w:type="dxa"/>
            <w:tcBorders>
              <w:top w:val="single" w:sz="6" w:space="0" w:color="auto"/>
              <w:left w:val="nil"/>
              <w:bottom w:val="single" w:sz="12" w:space="0" w:color="auto"/>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646DED">
              <w:rPr>
                <w:rFonts w:ascii="Calibri" w:eastAsiaTheme="minorEastAsia" w:hAnsi="Calibri" w:cs="Calibri"/>
                <w:b/>
                <w:bCs/>
                <w:sz w:val="21"/>
                <w:szCs w:val="22"/>
                <w:lang w:eastAsia="en-AU"/>
              </w:rPr>
              <w:t xml:space="preserve"> 899.6</w:t>
            </w:r>
          </w:p>
        </w:tc>
        <w:tc>
          <w:tcPr>
            <w:tcW w:w="1120" w:type="dxa"/>
            <w:gridSpan w:val="2"/>
            <w:tcBorders>
              <w:top w:val="single" w:sz="6" w:space="0" w:color="auto"/>
              <w:left w:val="nil"/>
              <w:bottom w:val="single" w:sz="12" w:space="0" w:color="auto"/>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646DED">
              <w:rPr>
                <w:rFonts w:ascii="Calibri" w:eastAsiaTheme="minorEastAsia" w:hAnsi="Calibri" w:cs="Calibri"/>
                <w:b/>
                <w:bCs/>
                <w:sz w:val="21"/>
                <w:szCs w:val="22"/>
                <w:lang w:eastAsia="en-AU"/>
              </w:rPr>
              <w:t>1 038.3</w:t>
            </w:r>
          </w:p>
        </w:tc>
      </w:tr>
      <w:tr w:rsidR="00336793" w:rsidRPr="00646DED" w:rsidTr="00DF0B96">
        <w:trPr>
          <w:trHeight w:hRule="exact" w:val="120"/>
        </w:trPr>
        <w:tc>
          <w:tcPr>
            <w:tcW w:w="7397" w:type="dxa"/>
            <w:tcBorders>
              <w:top w:val="nil"/>
              <w:left w:val="nil"/>
              <w:bottom w:val="nil"/>
              <w:right w:val="nil"/>
            </w:tcBorders>
          </w:tcPr>
          <w:p w:rsidR="00336793" w:rsidRPr="00646DED" w:rsidRDefault="00336793" w:rsidP="00DF0B96">
            <w:pPr>
              <w:autoSpaceDE w:val="0"/>
              <w:autoSpaceDN w:val="0"/>
              <w:adjustRightInd w:val="0"/>
              <w:spacing w:after="0"/>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p>
        </w:tc>
        <w:tc>
          <w:tcPr>
            <w:tcW w:w="1120" w:type="dxa"/>
            <w:gridSpan w:val="2"/>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 xml:space="preserve"> </w:t>
            </w:r>
          </w:p>
        </w:tc>
      </w:tr>
      <w:tr w:rsidR="00336793" w:rsidRPr="00646DED" w:rsidTr="00DF0B96">
        <w:tc>
          <w:tcPr>
            <w:tcW w:w="7397" w:type="dxa"/>
            <w:tcBorders>
              <w:top w:val="nil"/>
              <w:left w:val="nil"/>
              <w:bottom w:val="nil"/>
              <w:right w:val="nil"/>
            </w:tcBorders>
          </w:tcPr>
          <w:p w:rsidR="00336793" w:rsidRPr="00646DED" w:rsidRDefault="00336793" w:rsidP="00DF0B96">
            <w:pPr>
              <w:autoSpaceDE w:val="0"/>
              <w:autoSpaceDN w:val="0"/>
              <w:adjustRightInd w:val="0"/>
              <w:spacing w:after="0"/>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Guarantees, indemnities and warranties</w:t>
            </w:r>
          </w:p>
        </w:tc>
        <w:tc>
          <w:tcPr>
            <w:tcW w:w="1120" w:type="dxa"/>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 xml:space="preserve"> 347.3</w:t>
            </w:r>
          </w:p>
        </w:tc>
        <w:tc>
          <w:tcPr>
            <w:tcW w:w="1120" w:type="dxa"/>
            <w:gridSpan w:val="2"/>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 xml:space="preserve"> 341.5</w:t>
            </w:r>
          </w:p>
        </w:tc>
      </w:tr>
      <w:tr w:rsidR="00336793" w:rsidRPr="00646DED" w:rsidTr="00DF0B96">
        <w:tc>
          <w:tcPr>
            <w:tcW w:w="7397" w:type="dxa"/>
            <w:tcBorders>
              <w:top w:val="nil"/>
              <w:left w:val="nil"/>
              <w:bottom w:val="nil"/>
              <w:right w:val="nil"/>
            </w:tcBorders>
          </w:tcPr>
          <w:p w:rsidR="00336793" w:rsidRPr="00646DED" w:rsidRDefault="00336793" w:rsidP="00DF0B96">
            <w:pPr>
              <w:autoSpaceDE w:val="0"/>
              <w:autoSpaceDN w:val="0"/>
              <w:adjustRightInd w:val="0"/>
              <w:spacing w:after="0"/>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Legal proceedings and disputes</w:t>
            </w:r>
          </w:p>
        </w:tc>
        <w:tc>
          <w:tcPr>
            <w:tcW w:w="1120" w:type="dxa"/>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 xml:space="preserve"> 264.3</w:t>
            </w:r>
          </w:p>
        </w:tc>
        <w:tc>
          <w:tcPr>
            <w:tcW w:w="1120" w:type="dxa"/>
            <w:gridSpan w:val="2"/>
            <w:tcBorders>
              <w:top w:val="nil"/>
              <w:left w:val="nil"/>
              <w:bottom w:val="nil"/>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 xml:space="preserve"> 410.4</w:t>
            </w:r>
          </w:p>
        </w:tc>
      </w:tr>
      <w:tr w:rsidR="00336793" w:rsidRPr="00646DED" w:rsidTr="00DF0B96">
        <w:tc>
          <w:tcPr>
            <w:tcW w:w="7397" w:type="dxa"/>
            <w:tcBorders>
              <w:top w:val="nil"/>
              <w:left w:val="nil"/>
              <w:bottom w:val="single" w:sz="6" w:space="0" w:color="auto"/>
              <w:right w:val="nil"/>
            </w:tcBorders>
          </w:tcPr>
          <w:p w:rsidR="00336793" w:rsidRPr="00646DED" w:rsidRDefault="00336793" w:rsidP="00DF0B96">
            <w:pPr>
              <w:autoSpaceDE w:val="0"/>
              <w:autoSpaceDN w:val="0"/>
              <w:adjustRightInd w:val="0"/>
              <w:spacing w:after="0"/>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Other</w:t>
            </w:r>
          </w:p>
        </w:tc>
        <w:tc>
          <w:tcPr>
            <w:tcW w:w="1120" w:type="dxa"/>
            <w:tcBorders>
              <w:top w:val="nil"/>
              <w:left w:val="nil"/>
              <w:bottom w:val="single" w:sz="6" w:space="0" w:color="auto"/>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 xml:space="preserve"> 288.0</w:t>
            </w:r>
          </w:p>
        </w:tc>
        <w:tc>
          <w:tcPr>
            <w:tcW w:w="1120" w:type="dxa"/>
            <w:gridSpan w:val="2"/>
            <w:tcBorders>
              <w:top w:val="nil"/>
              <w:left w:val="nil"/>
              <w:bottom w:val="single" w:sz="6" w:space="0" w:color="auto"/>
              <w:right w:val="nil"/>
            </w:tcBorders>
          </w:tcPr>
          <w:p w:rsidR="00336793" w:rsidRPr="00646DED"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646DED">
              <w:rPr>
                <w:rFonts w:ascii="Calibri" w:eastAsiaTheme="minorEastAsia" w:hAnsi="Calibri" w:cs="Calibri"/>
                <w:sz w:val="21"/>
                <w:szCs w:val="22"/>
                <w:lang w:eastAsia="en-AU"/>
              </w:rPr>
              <w:t xml:space="preserve"> 286.4</w:t>
            </w:r>
          </w:p>
        </w:tc>
      </w:tr>
      <w:tr w:rsidR="00336793" w:rsidRPr="00646DED" w:rsidTr="00DF0B96">
        <w:tc>
          <w:tcPr>
            <w:tcW w:w="7397" w:type="dxa"/>
            <w:tcBorders>
              <w:top w:val="single" w:sz="6" w:space="0" w:color="auto"/>
              <w:left w:val="nil"/>
              <w:bottom w:val="single" w:sz="12" w:space="0" w:color="000000"/>
              <w:right w:val="nil"/>
            </w:tcBorders>
            <w:shd w:val="clear" w:color="auto" w:fill="auto"/>
          </w:tcPr>
          <w:p w:rsidR="00336793" w:rsidRPr="00646DED" w:rsidRDefault="00336793" w:rsidP="00DF0B96">
            <w:pPr>
              <w:autoSpaceDE w:val="0"/>
              <w:autoSpaceDN w:val="0"/>
              <w:adjustRightInd w:val="0"/>
              <w:spacing w:after="0"/>
              <w:rPr>
                <w:rFonts w:ascii="Calibri" w:eastAsiaTheme="minorEastAsia" w:hAnsi="Calibri" w:cs="Calibri"/>
                <w:b/>
                <w:bCs/>
                <w:sz w:val="21"/>
                <w:szCs w:val="22"/>
                <w:lang w:eastAsia="en-AU"/>
              </w:rPr>
            </w:pPr>
            <w:r w:rsidRPr="00646DED">
              <w:rPr>
                <w:rFonts w:ascii="Calibri" w:eastAsiaTheme="minorEastAsia" w:hAnsi="Calibri" w:cs="Calibri"/>
                <w:b/>
                <w:bCs/>
                <w:sz w:val="21"/>
                <w:szCs w:val="22"/>
                <w:lang w:eastAsia="en-AU"/>
              </w:rPr>
              <w:t>Total contingent liabilities – State of Victoria</w:t>
            </w:r>
          </w:p>
        </w:tc>
        <w:tc>
          <w:tcPr>
            <w:tcW w:w="1120" w:type="dxa"/>
            <w:tcBorders>
              <w:top w:val="single" w:sz="6" w:space="0" w:color="auto"/>
              <w:left w:val="nil"/>
              <w:bottom w:val="single" w:sz="12" w:space="0" w:color="000000"/>
              <w:right w:val="nil"/>
            </w:tcBorders>
            <w:shd w:val="clear" w:color="auto" w:fill="auto"/>
          </w:tcPr>
          <w:p w:rsidR="00336793" w:rsidRPr="00646DED"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646DED">
              <w:rPr>
                <w:rFonts w:ascii="Calibri" w:eastAsiaTheme="minorEastAsia" w:hAnsi="Calibri" w:cs="Calibri"/>
                <w:b/>
                <w:bCs/>
                <w:sz w:val="21"/>
                <w:szCs w:val="22"/>
                <w:lang w:eastAsia="en-AU"/>
              </w:rPr>
              <w:t xml:space="preserve"> 899.6</w:t>
            </w:r>
          </w:p>
        </w:tc>
        <w:tc>
          <w:tcPr>
            <w:tcW w:w="1120" w:type="dxa"/>
            <w:gridSpan w:val="2"/>
            <w:tcBorders>
              <w:top w:val="single" w:sz="6" w:space="0" w:color="auto"/>
              <w:left w:val="nil"/>
              <w:bottom w:val="single" w:sz="12" w:space="0" w:color="000000"/>
              <w:right w:val="nil"/>
            </w:tcBorders>
            <w:shd w:val="clear" w:color="auto" w:fill="auto"/>
          </w:tcPr>
          <w:p w:rsidR="00336793" w:rsidRPr="00646DED"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646DED">
              <w:rPr>
                <w:rFonts w:ascii="Calibri" w:eastAsiaTheme="minorEastAsia" w:hAnsi="Calibri" w:cs="Calibri"/>
                <w:b/>
                <w:bCs/>
                <w:sz w:val="21"/>
                <w:szCs w:val="22"/>
                <w:lang w:eastAsia="en-AU"/>
              </w:rPr>
              <w:t>1 038.3</w:t>
            </w:r>
          </w:p>
        </w:tc>
      </w:tr>
    </w:tbl>
    <w:p w:rsidR="00336793" w:rsidRPr="006A75A2" w:rsidRDefault="00336793" w:rsidP="00DF0B96">
      <w:pPr>
        <w:pStyle w:val="Notes"/>
      </w:pPr>
      <w:r>
        <w:t>Note:</w:t>
      </w:r>
    </w:p>
    <w:p w:rsidR="00336793" w:rsidRDefault="00336793" w:rsidP="00DF0B96">
      <w:pPr>
        <w:pStyle w:val="Notes"/>
      </w:pPr>
      <w:r>
        <w:t>(a</w:t>
      </w:r>
      <w:r w:rsidRPr="006A75A2">
        <w:t xml:space="preserve">) </w:t>
      </w:r>
      <w:r w:rsidRPr="006A75A2">
        <w:tab/>
        <w:t>Mainly represents the guarantee of borrowings provided by the Treasurer for the public sector borrowings portfolio.</w:t>
      </w:r>
      <w:r>
        <w:t xml:space="preserve"> </w:t>
      </w:r>
    </w:p>
    <w:p w:rsidR="00336793" w:rsidRDefault="00336793" w:rsidP="00DF0B96">
      <w:pPr>
        <w:pStyle w:val="Heading2NotesContd"/>
      </w:pPr>
      <w:r w:rsidRPr="006A75A2">
        <w:lastRenderedPageBreak/>
        <w:t>Note 35:</w:t>
      </w:r>
      <w:r w:rsidRPr="006A75A2">
        <w:tab/>
        <w:t>Contingent assets and contingent liabilities (State of Victoria)</w:t>
      </w:r>
      <w:r>
        <w:t xml:space="preserve"> </w:t>
      </w:r>
      <w:r w:rsidRPr="00AE6C8A">
        <w:rPr>
          <w:i/>
        </w:rPr>
        <w:t>(continued)</w:t>
      </w:r>
    </w:p>
    <w:p w:rsidR="00336793" w:rsidRPr="006A75A2" w:rsidRDefault="00336793" w:rsidP="00DF0B96">
      <w:pPr>
        <w:pStyle w:val="Heading3"/>
      </w:pPr>
      <w:r w:rsidRPr="006A75A2">
        <w:t>Non</w:t>
      </w:r>
      <w:r>
        <w:noBreakHyphen/>
      </w:r>
      <w:r w:rsidRPr="006A75A2">
        <w:t>quantifiable contingent liabilities</w:t>
      </w:r>
    </w:p>
    <w:p w:rsidR="00336793" w:rsidRPr="006A75A2" w:rsidRDefault="00336793" w:rsidP="00DF0B96">
      <w:r w:rsidRPr="006A75A2">
        <w:t>A number of potential obligations are non</w:t>
      </w:r>
      <w:r>
        <w:noBreakHyphen/>
      </w:r>
      <w:r w:rsidRPr="006A75A2">
        <w:t>quantifiable at this time arising from:</w:t>
      </w:r>
    </w:p>
    <w:p w:rsidR="00336793" w:rsidRPr="006A75A2" w:rsidRDefault="00336793" w:rsidP="00DF0B96">
      <w:pPr>
        <w:pStyle w:val="BulletText"/>
      </w:pPr>
      <w:r w:rsidRPr="006A75A2">
        <w:t>indemnities provided in relation to transactions, including financial arrangements and consultancy services, as well as for directors and administrators;</w:t>
      </w:r>
    </w:p>
    <w:p w:rsidR="00336793" w:rsidRPr="006A75A2" w:rsidRDefault="00336793" w:rsidP="00DF0B96">
      <w:pPr>
        <w:pStyle w:val="BulletText"/>
      </w:pPr>
      <w:r w:rsidRPr="006A75A2">
        <w:t>performance guarantees, warranties, letters of comfort and the like;</w:t>
      </w:r>
    </w:p>
    <w:p w:rsidR="00336793" w:rsidRPr="006A75A2" w:rsidRDefault="00336793" w:rsidP="00DF0B96">
      <w:pPr>
        <w:pStyle w:val="BulletText"/>
      </w:pPr>
      <w:r w:rsidRPr="006A75A2">
        <w:t>deeds in respect of certain obligations; and</w:t>
      </w:r>
    </w:p>
    <w:p w:rsidR="00336793" w:rsidRDefault="00336793" w:rsidP="00DF0B96">
      <w:pPr>
        <w:pStyle w:val="BulletText"/>
      </w:pPr>
      <w:r w:rsidRPr="006A75A2">
        <w:t xml:space="preserve">unclaimed monies, which may be </w:t>
      </w:r>
      <w:r w:rsidRPr="003F5846">
        <w:t>subject</w:t>
      </w:r>
      <w:r w:rsidRPr="006A75A2">
        <w:t xml:space="preserve"> to future claims by the general public against the State.</w:t>
      </w:r>
    </w:p>
    <w:p w:rsidR="00336793" w:rsidRPr="006A75A2" w:rsidRDefault="00336793" w:rsidP="00DF0B96">
      <w:r>
        <w:t>An overview of the more significant non</w:t>
      </w:r>
      <w:r>
        <w:noBreakHyphen/>
        <w:t>quantifiable liabilities follows:</w:t>
      </w:r>
    </w:p>
    <w:p w:rsidR="00336793" w:rsidRPr="001339A5" w:rsidRDefault="00336793" w:rsidP="00DF0B96">
      <w:pPr>
        <w:pStyle w:val="Heading4"/>
      </w:pPr>
      <w:bookmarkStart w:id="113" w:name="_Toc400040283"/>
      <w:r w:rsidRPr="001339A5">
        <w:t xml:space="preserve">AgriBio </w:t>
      </w:r>
      <w:r w:rsidRPr="001339A5">
        <w:rPr>
          <w:lang w:val="en"/>
        </w:rPr>
        <w:t xml:space="preserve">Centre for </w:t>
      </w:r>
      <w:r w:rsidRPr="00F544EF">
        <w:t>AgriBioscience</w:t>
      </w:r>
      <w:r w:rsidRPr="001339A5">
        <w:t xml:space="preserve"> (formerly known as The Biosciences Research Centre)</w:t>
      </w:r>
    </w:p>
    <w:p w:rsidR="00336793" w:rsidRDefault="00336793" w:rsidP="00DF0B96">
      <w:r w:rsidRPr="001339A5">
        <w:t>The quarterly service fee payment obligations of the AgriBio Centre for AgriBioscience on behalf of the joint venture participants</w:t>
      </w:r>
      <w:r>
        <w:t xml:space="preserve"> (Department of Economic Development, Jobs, Transport and Resources, and La Trobe University)</w:t>
      </w:r>
      <w:r w:rsidRPr="001339A5">
        <w:t xml:space="preserve"> are supported by the State of Victoria via a State Support Deed. Under this Deed, the State ensures that the joint venture participants have severally the financial capacity to meet their payment obligations to Biosciences Research Centre Pty Ltd (BRC), thereby enabling BRC to meet its obligations to pay the service fee to the concessionaire pursuant to the project agreement. The State underwrites the risk of any default by BRC.</w:t>
      </w:r>
    </w:p>
    <w:p w:rsidR="00336793" w:rsidRPr="00C8654F" w:rsidRDefault="00336793" w:rsidP="00DF0B96">
      <w:pPr>
        <w:pStyle w:val="Heading4"/>
      </w:pPr>
      <w:r w:rsidRPr="001339A5">
        <w:t>D</w:t>
      </w:r>
      <w:r>
        <w:t>epartment of Education and Training</w:t>
      </w:r>
    </w:p>
    <w:p w:rsidR="00336793" w:rsidRPr="001339A5" w:rsidRDefault="00336793" w:rsidP="00DF0B96">
      <w:r w:rsidRPr="001339A5">
        <w:t>The Department has a number of unquantifiable contingent liabilities, arising from indemnities provided by it, as follows:</w:t>
      </w:r>
    </w:p>
    <w:p w:rsidR="00336793" w:rsidRDefault="00336793" w:rsidP="00DF0B96">
      <w:pPr>
        <w:pStyle w:val="BulletText"/>
      </w:pPr>
      <w:r w:rsidRPr="004436BC">
        <w:t xml:space="preserve">Volunteer school workers and volunteer student workers: The </w:t>
      </w:r>
      <w:r w:rsidRPr="004436BC">
        <w:rPr>
          <w:i/>
        </w:rPr>
        <w:t>Ed</w:t>
      </w:r>
      <w:r>
        <w:rPr>
          <w:i/>
        </w:rPr>
        <w:t>ucation and Training Reform Act </w:t>
      </w:r>
      <w:r w:rsidRPr="004436BC">
        <w:rPr>
          <w:i/>
        </w:rPr>
        <w:t>2006</w:t>
      </w:r>
      <w:r w:rsidRPr="004436BC">
        <w:t xml:space="preserve"> </w:t>
      </w:r>
      <w:r w:rsidRPr="00540C56">
        <w:t>provides a specific indemnity for personal injuries suffered by volunteer school workers and volunteer student workers arising out of or in the course of engaging in school work or community work respectively</w:t>
      </w:r>
      <w:r>
        <w:t xml:space="preserve">. </w:t>
      </w:r>
    </w:p>
    <w:p w:rsidR="00336793" w:rsidRDefault="00336793" w:rsidP="00DF0B96">
      <w:pPr>
        <w:pStyle w:val="BulletText"/>
      </w:pPr>
      <w:r>
        <w:t>M</w:t>
      </w:r>
      <w:r w:rsidRPr="001339A5">
        <w:t xml:space="preserve">embers of school councils: </w:t>
      </w:r>
      <w:r w:rsidRPr="00540C56">
        <w:t xml:space="preserve">The </w:t>
      </w:r>
      <w:r w:rsidRPr="00540C56">
        <w:rPr>
          <w:i/>
        </w:rPr>
        <w:t>Ed</w:t>
      </w:r>
      <w:r>
        <w:rPr>
          <w:i/>
        </w:rPr>
        <w:t>ucation and Training Reform Act </w:t>
      </w:r>
      <w:r w:rsidRPr="00540C56">
        <w:rPr>
          <w:i/>
        </w:rPr>
        <w:t>2006</w:t>
      </w:r>
      <w:r w:rsidRPr="00540C56">
        <w:t xml:space="preserve"> provides an indemnity to members of school councils for any legal liability, whether in contract, negligence or defamation.</w:t>
      </w:r>
    </w:p>
    <w:p w:rsidR="00336793" w:rsidRDefault="00336793" w:rsidP="00DF0B96">
      <w:pPr>
        <w:pStyle w:val="BulletText"/>
      </w:pPr>
      <w:r>
        <w:t>T</w:t>
      </w:r>
      <w:r w:rsidRPr="001339A5">
        <w:t>eachers</w:t>
      </w:r>
      <w:r>
        <w:t xml:space="preserve">: </w:t>
      </w:r>
      <w:r w:rsidRPr="00540C56">
        <w:t>If a teacher is named as a defendant in a student personal injury claim, any costs and damages will generally be paid by the Department provided the teacher was not drunk, under the influence of illicit drugs or engaging in a criminal offence and the behaviour was not outrageous and was related to their employment.</w:t>
      </w:r>
    </w:p>
    <w:p w:rsidR="00336793" w:rsidRDefault="00336793" w:rsidP="00DF0B96">
      <w:pPr>
        <w:pStyle w:val="BulletText"/>
      </w:pPr>
      <w:r w:rsidRPr="006535CD">
        <w:t>School councils: The Department will usually indemnify school councils in claims of common law negligence, and will often indemnify in relation to employment disputes, for the cost of settlement and legal representation. The Department will take into account the impact of payment upon the school</w:t>
      </w:r>
      <w:r>
        <w:t>’</w:t>
      </w:r>
      <w:r w:rsidRPr="006535CD">
        <w:t>s educational program and any insurance cover for the school council, and will likely indemnify if the Department is satisfied that:</w:t>
      </w:r>
    </w:p>
    <w:p w:rsidR="00336793" w:rsidRDefault="00336793" w:rsidP="00DF0B96">
      <w:pPr>
        <w:pStyle w:val="DashText"/>
      </w:pPr>
      <w:r w:rsidRPr="006535CD">
        <w:t>the school council acted in good faith and according to issued guidelines and directions; and</w:t>
      </w:r>
    </w:p>
    <w:p w:rsidR="00336793" w:rsidRDefault="00336793" w:rsidP="00DF0B96">
      <w:pPr>
        <w:pStyle w:val="DashText"/>
      </w:pPr>
      <w:r w:rsidRPr="006535CD">
        <w:t>the school council has insufficient funds to pay the claim.</w:t>
      </w:r>
    </w:p>
    <w:p w:rsidR="00336793" w:rsidRDefault="00336793">
      <w:pPr>
        <w:spacing w:after="0"/>
        <w:rPr>
          <w:rFonts w:ascii="Calibri" w:hAnsi="Calibri"/>
          <w:i/>
          <w:sz w:val="26"/>
          <w:szCs w:val="22"/>
        </w:rPr>
      </w:pPr>
      <w:r>
        <w:br w:type="page"/>
      </w:r>
    </w:p>
    <w:p w:rsidR="00336793" w:rsidRDefault="00336793" w:rsidP="00DF0B96">
      <w:pPr>
        <w:pStyle w:val="Heading2NotesContd"/>
      </w:pPr>
      <w:r w:rsidRPr="006A75A2">
        <w:lastRenderedPageBreak/>
        <w:t>Note 35:</w:t>
      </w:r>
      <w:r w:rsidRPr="006A75A2">
        <w:tab/>
        <w:t>Contingent assets and contingent liabilities (State of Victoria)</w:t>
      </w:r>
      <w:r>
        <w:t xml:space="preserve"> </w:t>
      </w:r>
      <w:r w:rsidRPr="00AE6C8A">
        <w:rPr>
          <w:i/>
        </w:rPr>
        <w:t>(continued)</w:t>
      </w:r>
    </w:p>
    <w:p w:rsidR="00336793" w:rsidRPr="00C8654F" w:rsidRDefault="00336793" w:rsidP="00DF0B96">
      <w:pPr>
        <w:pStyle w:val="Heading4"/>
      </w:pPr>
      <w:r w:rsidRPr="001339A5">
        <w:t xml:space="preserve">Public acquisition overlays for the future development of rail and road infrastructure </w:t>
      </w:r>
    </w:p>
    <w:p w:rsidR="00336793" w:rsidRPr="001339A5" w:rsidRDefault="00336793" w:rsidP="00DF0B96">
      <w:pPr>
        <w:spacing w:after="100"/>
      </w:pPr>
      <w:r w:rsidRPr="001339A5">
        <w:t>Public acquisition overlays are in place in order to reserve certain areas of land for future development of rail and roa</w:t>
      </w:r>
      <w:r>
        <w:t>d infrastructure. Under Section </w:t>
      </w:r>
      <w:r w:rsidRPr="001339A5">
        <w:t xml:space="preserve">98 of the </w:t>
      </w:r>
      <w:r w:rsidRPr="001339A5">
        <w:rPr>
          <w:i/>
        </w:rPr>
        <w:t>Planning and Environment Act</w:t>
      </w:r>
      <w:r>
        <w:t> </w:t>
      </w:r>
      <w:r w:rsidRPr="001339A5">
        <w:rPr>
          <w:i/>
        </w:rPr>
        <w:t>1987</w:t>
      </w:r>
      <w:r w:rsidRPr="001339A5">
        <w:t xml:space="preserve">, the State has a legislative responsibility to </w:t>
      </w:r>
      <w:r>
        <w:t>compensate</w:t>
      </w:r>
      <w:r w:rsidRPr="001339A5">
        <w:t xml:space="preserve"> eligible land and property owners who face either:</w:t>
      </w:r>
    </w:p>
    <w:p w:rsidR="00336793" w:rsidRPr="001339A5" w:rsidRDefault="00336793" w:rsidP="00DF0B96">
      <w:pPr>
        <w:pStyle w:val="BulletText"/>
        <w:spacing w:after="100"/>
        <w:ind w:left="357" w:hanging="357"/>
      </w:pPr>
      <w:r w:rsidRPr="001339A5">
        <w:t xml:space="preserve">loss on sale – an eligible landowner is entitled to compensation for the incremental loss on sale when a property affected by a public acquisition overlay is sold for less than its </w:t>
      </w:r>
      <w:r w:rsidRPr="000F4038">
        <w:t>market</w:t>
      </w:r>
      <w:r w:rsidRPr="001339A5">
        <w:t xml:space="preserve"> value; or</w:t>
      </w:r>
    </w:p>
    <w:p w:rsidR="00336793" w:rsidRPr="001339A5" w:rsidRDefault="00336793" w:rsidP="00DF0B96">
      <w:pPr>
        <w:pStyle w:val="BulletText"/>
        <w:spacing w:after="100"/>
        <w:ind w:left="357" w:hanging="357"/>
      </w:pPr>
      <w:r w:rsidRPr="001339A5">
        <w:t xml:space="preserve">financial loss – the entitlement to financial loss compensation is triggered when a development </w:t>
      </w:r>
      <w:r w:rsidRPr="000F4038">
        <w:t>permit</w:t>
      </w:r>
      <w:r w:rsidRPr="001339A5">
        <w:t xml:space="preserve"> is refused because the property is required for a public purpose.</w:t>
      </w:r>
    </w:p>
    <w:p w:rsidR="00336793" w:rsidRPr="001339A5" w:rsidRDefault="00336793" w:rsidP="00DF0B96">
      <w:pPr>
        <w:spacing w:after="100"/>
      </w:pPr>
      <w:r w:rsidRPr="001339A5">
        <w:t>Compensation and purchase claims occur as a result of claims by</w:t>
      </w:r>
      <w:r>
        <w:t xml:space="preserve"> land owners. The</w:t>
      </w:r>
      <w:r w:rsidRPr="001339A5">
        <w:t xml:space="preserve"> future liability depends on factors including the number of claims received and the prevailing value of land at the time the claim is made, which cannot be reliably quantified.</w:t>
      </w:r>
      <w:r>
        <w:t xml:space="preserve"> </w:t>
      </w:r>
    </w:p>
    <w:p w:rsidR="00336793" w:rsidRPr="003E32B6" w:rsidRDefault="00336793" w:rsidP="00DF0B96">
      <w:pPr>
        <w:pStyle w:val="Heading4"/>
      </w:pPr>
      <w:r w:rsidRPr="001339A5">
        <w:t xml:space="preserve">Public transport rail </w:t>
      </w:r>
      <w:r w:rsidRPr="003D7C9E">
        <w:t>partnership</w:t>
      </w:r>
      <w:r w:rsidRPr="001339A5">
        <w:t xml:space="preserve"> agreements</w:t>
      </w:r>
    </w:p>
    <w:p w:rsidR="00336793" w:rsidRPr="001339A5" w:rsidRDefault="00336793" w:rsidP="00DF0B96">
      <w:pPr>
        <w:spacing w:after="100"/>
      </w:pPr>
      <w:r w:rsidRPr="001339A5">
        <w:t xml:space="preserve">Public Transport Victoria (PTV) is party to partnership contractual arrangements with franchisees to operate metropolitan rail transport </w:t>
      </w:r>
      <w:r>
        <w:t>services in the State,</w:t>
      </w:r>
      <w:r w:rsidRPr="001339A5">
        <w:t xml:space="preserve"> from 30 November 2009 until 30 November 2017. The major con</w:t>
      </w:r>
      <w:r>
        <w:t xml:space="preserve">tingent liabilities arising </w:t>
      </w:r>
      <w:r w:rsidRPr="001339A5">
        <w:t>in the event of early te</w:t>
      </w:r>
      <w:r>
        <w:t>rmination or expiry of the contract are</w:t>
      </w:r>
      <w:r w:rsidRPr="001339A5">
        <w:t>:</w:t>
      </w:r>
    </w:p>
    <w:p w:rsidR="00336793" w:rsidRPr="001339A5" w:rsidRDefault="00336793" w:rsidP="00DF0B96">
      <w:pPr>
        <w:pStyle w:val="BulletText"/>
        <w:spacing w:after="100"/>
        <w:ind w:left="357" w:hanging="357"/>
      </w:pPr>
      <w:r>
        <w:t>partnership assets –</w:t>
      </w:r>
      <w:r w:rsidRPr="001339A5">
        <w:t xml:space="preserve"> to maintain continuity of services, at early termination or expiry of the franchise contract, assets will revert to PTV or a successor. In the case of some assets, a reversion back to PTV would entail those assets being purchased; and</w:t>
      </w:r>
    </w:p>
    <w:p w:rsidR="00336793" w:rsidRPr="000655FC" w:rsidRDefault="00336793" w:rsidP="00DF0B96">
      <w:pPr>
        <w:pStyle w:val="BulletText"/>
        <w:spacing w:after="100"/>
        <w:ind w:left="357" w:hanging="357"/>
      </w:pPr>
      <w:r w:rsidRPr="000655FC">
        <w:t>unfunded superannuation – at the early termination or expiry of the contract, PTV will assume any unfunded superannuation amounts (apart from contributions the operator is required to pay over the contract term) to the extent that the State becomes the successor operator.</w:t>
      </w:r>
    </w:p>
    <w:p w:rsidR="00336793" w:rsidRPr="000971B6" w:rsidRDefault="00336793" w:rsidP="00DF0B96">
      <w:pPr>
        <w:pStyle w:val="Heading4"/>
      </w:pPr>
      <w:r>
        <w:t>Fiskville</w:t>
      </w:r>
      <w:r w:rsidRPr="000971B6">
        <w:t xml:space="preserve"> independent investigation</w:t>
      </w:r>
      <w:r>
        <w:t xml:space="preserve"> and closure of training college</w:t>
      </w:r>
    </w:p>
    <w:p w:rsidR="00336793" w:rsidRPr="00F82797" w:rsidRDefault="00336793" w:rsidP="00DF0B96">
      <w:pPr>
        <w:spacing w:after="100"/>
      </w:pPr>
      <w:r w:rsidRPr="00F82797">
        <w:t xml:space="preserve">An independent investigation was undertaken into the historical use of </w:t>
      </w:r>
      <w:r>
        <w:t xml:space="preserve">chemicals for live firefighting </w:t>
      </w:r>
      <w:r w:rsidRPr="00F82797">
        <w:t>training at Fiskville between 1971 and 1999. The report of the ind</w:t>
      </w:r>
      <w:r>
        <w:t xml:space="preserve">ependent investigation has been </w:t>
      </w:r>
      <w:r w:rsidRPr="00F82797">
        <w:t>released and the Country Fire Authority (CFA) has accepted all of</w:t>
      </w:r>
      <w:r>
        <w:t xml:space="preserve"> the facts, recommendations and </w:t>
      </w:r>
      <w:r w:rsidRPr="00F82797">
        <w:t>conclusions and is committed to implementing all recommendations.</w:t>
      </w:r>
      <w:r>
        <w:t xml:space="preserve"> </w:t>
      </w:r>
    </w:p>
    <w:p w:rsidR="00336793" w:rsidRDefault="00336793" w:rsidP="00DF0B96">
      <w:pPr>
        <w:spacing w:after="100"/>
      </w:pPr>
      <w:r w:rsidRPr="00E306AB">
        <w:t>In August 2012, the CFA established a program office to manage the implementation of the report</w:t>
      </w:r>
      <w:r>
        <w:t>’</w:t>
      </w:r>
      <w:r w:rsidRPr="00E306AB">
        <w:t xml:space="preserve">s recommendations and an additional 11 management initiatives to which the CFA Board committed in its response to the report. </w:t>
      </w:r>
    </w:p>
    <w:p w:rsidR="00336793" w:rsidRDefault="00336793" w:rsidP="00DF0B96">
      <w:pPr>
        <w:spacing w:after="100"/>
      </w:pPr>
      <w:r w:rsidRPr="00E306AB">
        <w:t xml:space="preserve">On 26 March 2015, the Government announced the permanent closure of the Fiskville training facility. The permanent closure of </w:t>
      </w:r>
      <w:r>
        <w:t xml:space="preserve">Fiskville requires the CFA to </w:t>
      </w:r>
      <w:r w:rsidRPr="00E306AB">
        <w:t xml:space="preserve">assess the direction and approach to remediation and rehabilitation of </w:t>
      </w:r>
      <w:r>
        <w:t xml:space="preserve">the </w:t>
      </w:r>
      <w:r w:rsidRPr="00E306AB">
        <w:t>Fiskville</w:t>
      </w:r>
      <w:r>
        <w:t xml:space="preserve"> site. CFA</w:t>
      </w:r>
      <w:r w:rsidRPr="00E306AB">
        <w:t xml:space="preserve"> </w:t>
      </w:r>
      <w:r>
        <w:t xml:space="preserve">will also need to take into </w:t>
      </w:r>
      <w:r w:rsidRPr="00E306AB">
        <w:t>consideration the finding</w:t>
      </w:r>
      <w:r>
        <w:t>s</w:t>
      </w:r>
      <w:r w:rsidRPr="00E306AB">
        <w:t xml:space="preserve"> and recommendations of the Victorian Parliamentary Inquiry into the CFA Training College at Fiskville which is due to present its final report by no later than 1 December 2015. </w:t>
      </w:r>
    </w:p>
    <w:p w:rsidR="00336793" w:rsidRPr="00F82797" w:rsidRDefault="00336793" w:rsidP="00DF0B96">
      <w:pPr>
        <w:spacing w:after="100"/>
      </w:pPr>
      <w:r>
        <w:t>At this stage it is impractical to quantify the financial</w:t>
      </w:r>
      <w:r w:rsidRPr="00A86988">
        <w:t xml:space="preserve"> </w:t>
      </w:r>
      <w:r w:rsidRPr="00E306AB">
        <w:t>effects as a result of the closure of Fiskville and its effect on the implementation of recommendations received from the independent investigation.</w:t>
      </w:r>
    </w:p>
    <w:p w:rsidR="00336793" w:rsidRDefault="00336793">
      <w:pPr>
        <w:spacing w:after="0"/>
        <w:rPr>
          <w:rFonts w:ascii="Calibri" w:hAnsi="Calibri"/>
          <w:i/>
          <w:sz w:val="26"/>
          <w:szCs w:val="22"/>
        </w:rPr>
      </w:pPr>
      <w:r>
        <w:br w:type="page"/>
      </w:r>
    </w:p>
    <w:p w:rsidR="00336793" w:rsidRDefault="00336793" w:rsidP="00DF0B96">
      <w:pPr>
        <w:pStyle w:val="Heading2NotesContd"/>
      </w:pPr>
      <w:r w:rsidRPr="006A75A2">
        <w:lastRenderedPageBreak/>
        <w:t>Note 35:</w:t>
      </w:r>
      <w:r w:rsidRPr="006A75A2">
        <w:tab/>
        <w:t>Contingent assets and contingent liabilities (State of Victoria)</w:t>
      </w:r>
      <w:r>
        <w:t xml:space="preserve"> </w:t>
      </w:r>
      <w:r w:rsidRPr="00AE6C8A">
        <w:rPr>
          <w:i/>
        </w:rPr>
        <w:t>(continued)</w:t>
      </w:r>
    </w:p>
    <w:p w:rsidR="00336793" w:rsidRPr="008744D8" w:rsidRDefault="00336793" w:rsidP="00DF0B96">
      <w:pPr>
        <w:pStyle w:val="Heading4"/>
      </w:pPr>
      <w:r w:rsidRPr="008744D8">
        <w:t>Gambling licences</w:t>
      </w:r>
    </w:p>
    <w:p w:rsidR="00336793" w:rsidRDefault="00336793" w:rsidP="00DF0B96">
      <w:r w:rsidRPr="00E9610C">
        <w:t xml:space="preserve">In relation to the </w:t>
      </w:r>
      <w:r>
        <w:t>‘</w:t>
      </w:r>
      <w:r w:rsidRPr="00E9610C">
        <w:t>Gambling licenses</w:t>
      </w:r>
      <w:r>
        <w:t>’</w:t>
      </w:r>
      <w:r w:rsidRPr="00E9610C">
        <w:t xml:space="preserve"> item within non</w:t>
      </w:r>
      <w:r>
        <w:noBreakHyphen/>
      </w:r>
      <w:r w:rsidRPr="00E9610C">
        <w:t>quantifiable contingent assets, given that the State was successful in the Tabcorp proceeding, it did not need to pay Tabcorp its claimed amount of $686.8</w:t>
      </w:r>
      <w:r>
        <w:t> million</w:t>
      </w:r>
      <w:r w:rsidRPr="00E9610C">
        <w:t xml:space="preserve"> plus interest. The decision was appealed to the </w:t>
      </w:r>
      <w:r>
        <w:t>Court of Appeal and upheld on 4 </w:t>
      </w:r>
      <w:r w:rsidRPr="00E9610C">
        <w:t>December 2014. Tabcorp then sought special leave to appeal to the High Court of Aus</w:t>
      </w:r>
      <w:r>
        <w:t>tralia, which was granted on 15 </w:t>
      </w:r>
      <w:r w:rsidRPr="00E9610C">
        <w:t>May</w:t>
      </w:r>
      <w:r>
        <w:t xml:space="preserve"> 2015. The appeal has been listed for hearing on 10 and 11 November 2015. </w:t>
      </w:r>
    </w:p>
    <w:p w:rsidR="00336793" w:rsidRPr="00E9610C" w:rsidRDefault="00336793" w:rsidP="00DF0B96">
      <w:pPr>
        <w:pStyle w:val="Heading4"/>
        <w:rPr>
          <w:rFonts w:eastAsia="Calibri"/>
        </w:rPr>
      </w:pPr>
      <w:r w:rsidRPr="00E9610C">
        <w:rPr>
          <w:rFonts w:eastAsia="Calibri"/>
        </w:rPr>
        <w:t>Public Lottery Licence Litigation</w:t>
      </w:r>
    </w:p>
    <w:p w:rsidR="00336793" w:rsidRDefault="00336793" w:rsidP="00DF0B96">
      <w:r w:rsidRPr="001339A5">
        <w:t xml:space="preserve">On 27 August 2014, Intralot Australia Pty Ltd </w:t>
      </w:r>
      <w:r>
        <w:t xml:space="preserve">(Intralot) </w:t>
      </w:r>
      <w:r w:rsidRPr="001339A5">
        <w:t>served a writ and Statement of Claim on the State. Intralot</w:t>
      </w:r>
      <w:r>
        <w:t>’</w:t>
      </w:r>
      <w:r w:rsidRPr="001339A5">
        <w:t>s claim relates to allegations that Tattersall</w:t>
      </w:r>
      <w:r>
        <w:t>’</w:t>
      </w:r>
      <w:r w:rsidRPr="001339A5">
        <w:t>s Sweeps Pty Ltd was granted favourable treatment relating to the awarding of public lottery licences on 24 October 2007. Intralot claims its total costs to 30 June 2014 are $63.4</w:t>
      </w:r>
      <w:r>
        <w:t> million</w:t>
      </w:r>
      <w:r w:rsidRPr="001339A5">
        <w:t>. The State has lodged its defence and the matter will be heard in the Supreme Court.</w:t>
      </w:r>
    </w:p>
    <w:p w:rsidR="00336793" w:rsidRPr="001339A5" w:rsidRDefault="00336793" w:rsidP="00DF0B96">
      <w:pPr>
        <w:pStyle w:val="Heading4"/>
        <w:rPr>
          <w:rFonts w:eastAsia="Calibri"/>
        </w:rPr>
      </w:pPr>
      <w:r w:rsidRPr="001339A5">
        <w:rPr>
          <w:rFonts w:eastAsia="Calibri"/>
        </w:rPr>
        <w:t>Compulsory property acquisitions</w:t>
      </w:r>
    </w:p>
    <w:p w:rsidR="00336793" w:rsidRDefault="00336793" w:rsidP="00DF0B96">
      <w:pPr>
        <w:rPr>
          <w:rFonts w:eastAsia="Calibri"/>
        </w:rPr>
      </w:pPr>
      <w:r w:rsidRPr="001339A5">
        <w:rPr>
          <w:rFonts w:eastAsia="Calibri"/>
        </w:rPr>
        <w:t xml:space="preserve">The State has compulsorily acquired a number of properties (residential and commercial) through the </w:t>
      </w:r>
      <w:r w:rsidRPr="001339A5">
        <w:rPr>
          <w:rFonts w:eastAsia="Calibri"/>
          <w:i/>
        </w:rPr>
        <w:t>Land Acquisition and Compensation Act 1986</w:t>
      </w:r>
      <w:r w:rsidRPr="001339A5">
        <w:rPr>
          <w:rFonts w:eastAsia="Calibri"/>
        </w:rPr>
        <w:t xml:space="preserve"> to facilitate delivery of various projects. Possible future claims for compensation arising from the compulsory acquisition of these properties cannot be quantified at this stage.</w:t>
      </w:r>
    </w:p>
    <w:p w:rsidR="00336793" w:rsidRPr="001339A5" w:rsidRDefault="00336793" w:rsidP="00DF0B96">
      <w:pPr>
        <w:pStyle w:val="Heading4"/>
      </w:pPr>
      <w:r w:rsidRPr="001339A5">
        <w:t>Land remediation – environmental concerns</w:t>
      </w:r>
    </w:p>
    <w:p w:rsidR="00336793" w:rsidRDefault="00336793" w:rsidP="00DF0B96">
      <w:r w:rsidRPr="001339A5">
        <w:t>In addition to properties for which remediation costs have been provided in the State</w:t>
      </w:r>
      <w:r>
        <w:t>’</w:t>
      </w:r>
      <w:r w:rsidRPr="001339A5">
        <w:t>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that a contamination risk is identified.</w:t>
      </w:r>
    </w:p>
    <w:p w:rsidR="00336793" w:rsidRPr="00716054" w:rsidRDefault="00336793" w:rsidP="00DF0B96">
      <w:pPr>
        <w:pStyle w:val="Heading4"/>
      </w:pPr>
      <w:r w:rsidRPr="000971B6">
        <w:t>Native Title</w:t>
      </w:r>
    </w:p>
    <w:p w:rsidR="00336793" w:rsidRDefault="00336793" w:rsidP="00DF0B96">
      <w:r w:rsidRPr="0049539B">
        <w:t xml:space="preserve">A number of claims have been filed with the Federal Court under the Commonwealth </w:t>
      </w:r>
      <w:r>
        <w:rPr>
          <w:i/>
        </w:rPr>
        <w:t>Native Title Act </w:t>
      </w:r>
      <w:r w:rsidRPr="00F352FF">
        <w:rPr>
          <w:i/>
        </w:rPr>
        <w:t>1993</w:t>
      </w:r>
      <w:r w:rsidRPr="0049539B">
        <w:t xml:space="preserve"> that affect Victoria. It is not feasible at this time to quantify any future liability</w:t>
      </w:r>
      <w:r>
        <w:t xml:space="preserve">. </w:t>
      </w:r>
    </w:p>
    <w:p w:rsidR="00336793" w:rsidRPr="001339A5" w:rsidRDefault="00336793" w:rsidP="00DF0B96">
      <w:pPr>
        <w:pStyle w:val="Heading4"/>
      </w:pPr>
      <w:r w:rsidRPr="001339A5">
        <w:t>Melbourne Park redevelopment</w:t>
      </w:r>
    </w:p>
    <w:p w:rsidR="00336793" w:rsidRDefault="00336793" w:rsidP="00DF0B96">
      <w:pPr>
        <w:rPr>
          <w:lang w:eastAsia="en-AU"/>
        </w:rPr>
      </w:pPr>
      <w:r w:rsidRPr="001339A5">
        <w:rPr>
          <w:lang w:eastAsia="en-AU"/>
        </w:rPr>
        <w:t xml:space="preserve">In 2010, the State entered into a capital works agreement with Tennis Australia and the Melbourne and Olympic Park Trust for the Australian Open to remain at Melbourne Park until 2036. The agreement contains a number of conditions including that the State will invest in further improvements to Melbourne Park in three stages or (if an agreed investment threshold is reached), pay a rights fee to retain the Australian Open at Melbourne Park until 2036. </w:t>
      </w:r>
    </w:p>
    <w:p w:rsidR="00336793" w:rsidRPr="000F6B0C" w:rsidRDefault="00336793" w:rsidP="00DF0B96">
      <w:pPr>
        <w:spacing w:after="0"/>
        <w:rPr>
          <w:lang w:eastAsia="en-AU"/>
        </w:rPr>
      </w:pPr>
      <w:r w:rsidRPr="001339A5">
        <w:rPr>
          <w:lang w:eastAsia="en-AU"/>
        </w:rPr>
        <w:t xml:space="preserve">In the </w:t>
      </w:r>
      <w:r w:rsidRPr="001339A5">
        <w:rPr>
          <w:i/>
          <w:iCs/>
          <w:lang w:eastAsia="en-AU"/>
        </w:rPr>
        <w:t>2010</w:t>
      </w:r>
      <w:r>
        <w:rPr>
          <w:i/>
          <w:iCs/>
          <w:lang w:eastAsia="en-AU"/>
        </w:rPr>
        <w:noBreakHyphen/>
      </w:r>
      <w:r w:rsidRPr="001339A5">
        <w:rPr>
          <w:i/>
          <w:iCs/>
          <w:lang w:eastAsia="en-AU"/>
        </w:rPr>
        <w:t>11 Budget</w:t>
      </w:r>
      <w:r>
        <w:rPr>
          <w:lang w:eastAsia="en-AU"/>
        </w:rPr>
        <w:t>, Stage </w:t>
      </w:r>
      <w:r w:rsidRPr="001339A5">
        <w:rPr>
          <w:lang w:eastAsia="en-AU"/>
        </w:rPr>
        <w:t>1 of the Melbourne Park redevelopment with a total estimated investment of $363</w:t>
      </w:r>
      <w:r>
        <w:rPr>
          <w:lang w:eastAsia="en-AU"/>
        </w:rPr>
        <w:t> million was announced. In January </w:t>
      </w:r>
      <w:r w:rsidRPr="001339A5">
        <w:rPr>
          <w:lang w:eastAsia="en-AU"/>
        </w:rPr>
        <w:t>2014, a further $338</w:t>
      </w:r>
      <w:r>
        <w:rPr>
          <w:lang w:eastAsia="en-AU"/>
        </w:rPr>
        <w:t> million of</w:t>
      </w:r>
      <w:r w:rsidRPr="001339A5">
        <w:rPr>
          <w:lang w:eastAsia="en-AU"/>
        </w:rPr>
        <w:t xml:space="preserve"> total estimated investment was announced by the State for Stage 2 of the redevelopment</w:t>
      </w:r>
      <w:r>
        <w:rPr>
          <w:lang w:eastAsia="en-AU"/>
        </w:rPr>
        <w:t xml:space="preserve">. </w:t>
      </w:r>
    </w:p>
    <w:p w:rsidR="00336793" w:rsidRDefault="00336793">
      <w:pPr>
        <w:spacing w:after="0"/>
        <w:rPr>
          <w:rFonts w:ascii="Calibri" w:hAnsi="Calibri"/>
          <w:i/>
          <w:sz w:val="26"/>
          <w:szCs w:val="22"/>
        </w:rPr>
      </w:pPr>
      <w:r>
        <w:br w:type="page"/>
      </w:r>
    </w:p>
    <w:p w:rsidR="00336793" w:rsidRDefault="00336793" w:rsidP="00DF0B96">
      <w:pPr>
        <w:pStyle w:val="Heading2NotesContd"/>
      </w:pPr>
      <w:r w:rsidRPr="006A75A2">
        <w:lastRenderedPageBreak/>
        <w:t>Note 35:</w:t>
      </w:r>
      <w:r w:rsidRPr="006A75A2">
        <w:tab/>
        <w:t>Contingent assets and contingent liabilities (State of Victoria)</w:t>
      </w:r>
      <w:r>
        <w:t xml:space="preserve"> </w:t>
      </w:r>
      <w:r w:rsidRPr="00AE6C8A">
        <w:rPr>
          <w:i/>
        </w:rPr>
        <w:t>(continued)</w:t>
      </w:r>
    </w:p>
    <w:p w:rsidR="00336793" w:rsidRPr="001339A5" w:rsidRDefault="00336793" w:rsidP="00DF0B96">
      <w:pPr>
        <w:pStyle w:val="Heading4"/>
      </w:pPr>
      <w:r w:rsidRPr="001339A5">
        <w:t>Royal Melbourne Showgrounds redevelopment</w:t>
      </w:r>
    </w:p>
    <w:p w:rsidR="00336793" w:rsidRDefault="00336793" w:rsidP="00DF0B96">
      <w:r w:rsidRPr="001339A5">
        <w:t>Under the State</w:t>
      </w:r>
      <w:r>
        <w:t>’</w:t>
      </w:r>
      <w:r w:rsidRPr="001339A5">
        <w:t>s commitment to the Royal Agriculture Society of Victoria (RASV), the State has agreed to support certain obligations of RASV which may arise out of the joint venture agreement. In accordance with the terms set out in the State</w:t>
      </w:r>
      <w:r>
        <w:t>’s</w:t>
      </w:r>
      <w:r w:rsidRPr="001339A5">
        <w:t xml:space="preserve"> commitment to RASV, the State will pay (in the form of a loan) the amount requested by RASV. If any outstanding loan amount remains </w:t>
      </w:r>
      <w:r>
        <w:t>unpaid at the date, which is 25 </w:t>
      </w:r>
      <w:r w:rsidRPr="001339A5">
        <w:t>years after the commencement of the operation term under the development and operation agreement, RASV will be obliged to satisfy and discharge each such outstanding loan amount. This may take the form of a transfer to the State, of the whole of the RASV participating interest in the joint venture.</w:t>
      </w:r>
    </w:p>
    <w:p w:rsidR="00336793" w:rsidRPr="001339A5" w:rsidRDefault="00336793" w:rsidP="00DF0B96">
      <w:r w:rsidRPr="00634A03">
        <w:t>Under the State Support Deed – Core Land, the State has undertaken to ensure the performance of the payment obligations in favour of the Concessionaire and the performance of the joint venture financial obligations in favour of the security trustee.</w:t>
      </w:r>
      <w:r>
        <w:t xml:space="preserve"> </w:t>
      </w:r>
    </w:p>
    <w:p w:rsidR="00336793" w:rsidRDefault="00336793">
      <w:pPr>
        <w:spacing w:after="0"/>
        <w:rPr>
          <w:rFonts w:ascii="Calibri" w:hAnsi="Calibri"/>
          <w:i/>
          <w:sz w:val="26"/>
          <w:szCs w:val="22"/>
        </w:rPr>
      </w:pPr>
      <w:r w:rsidRPr="001339A5">
        <w:t>The State has also entered into an agreement through the State Support Deed – Non</w:t>
      </w:r>
      <w:r>
        <w:noBreakHyphen/>
      </w:r>
      <w:r w:rsidRPr="001339A5">
        <w:t>Core Land with Showgrounds Retail Developments Pty Ltd and the RASV, whereby the State agrees to support certain payment obligations of the RASV that may arise under the non</w:t>
      </w:r>
      <w:r>
        <w:noBreakHyphen/>
      </w:r>
      <w:r w:rsidRPr="001339A5">
        <w:t>core development agreement.</w:t>
      </w:r>
      <w:r>
        <w:t xml:space="preserve"> </w:t>
      </w:r>
    </w:p>
    <w:p w:rsidR="00336793" w:rsidRPr="001339A5" w:rsidRDefault="00336793" w:rsidP="00DF0B96">
      <w:pPr>
        <w:pStyle w:val="Heading4"/>
      </w:pPr>
      <w:r w:rsidRPr="001339A5">
        <w:t xml:space="preserve">Victorian </w:t>
      </w:r>
      <w:r w:rsidRPr="00F544EF">
        <w:t>Managed</w:t>
      </w:r>
      <w:r w:rsidRPr="001339A5">
        <w:t xml:space="preserve"> Insurance Authority – insurance cover</w:t>
      </w:r>
    </w:p>
    <w:p w:rsidR="00336793" w:rsidRPr="001339A5" w:rsidRDefault="00336793" w:rsidP="00DF0B96">
      <w:r w:rsidRPr="001339A5">
        <w:t>The Victorian Managed Insurance Authority (VMIA) was establi</w:t>
      </w:r>
      <w:r>
        <w:t>shed in 1996 as an insurer for s</w:t>
      </w:r>
      <w:r w:rsidRPr="001339A5">
        <w:t xml:space="preserve">tate government departments, participating bodies and other entities as defined under the </w:t>
      </w:r>
      <w:r w:rsidRPr="001339A5">
        <w:rPr>
          <w:i/>
        </w:rPr>
        <w:t xml:space="preserve">Victorian </w:t>
      </w:r>
      <w:r>
        <w:rPr>
          <w:i/>
        </w:rPr>
        <w:t>Managed Insurance Authority Act </w:t>
      </w:r>
      <w:r w:rsidRPr="001339A5">
        <w:rPr>
          <w:i/>
        </w:rPr>
        <w:t>1996</w:t>
      </w:r>
      <w:r w:rsidRPr="001339A5">
        <w:t>.</w:t>
      </w:r>
      <w:r>
        <w:t xml:space="preserve"> The</w:t>
      </w:r>
      <w:r w:rsidRPr="001339A5">
        <w:t xml:space="preserve"> VMIA provides its clients with a range of insurance cover, including for property, public and products liability, professional indemnity and contract works. </w:t>
      </w:r>
      <w:r>
        <w:t xml:space="preserve">The </w:t>
      </w:r>
      <w:r w:rsidRPr="001339A5">
        <w:t>VMIA reinsures in the private market for losses above $50</w:t>
      </w:r>
      <w:r>
        <w:t> million</w:t>
      </w:r>
      <w:r w:rsidRPr="001339A5">
        <w:t xml:space="preserve"> arising out of any one occurrence, up to a maximum of $850</w:t>
      </w:r>
      <w:r>
        <w:t> million</w:t>
      </w:r>
      <w:r w:rsidRPr="001339A5">
        <w:t xml:space="preserve"> for public and products liability, and for losses above $50</w:t>
      </w:r>
      <w:r>
        <w:t> million</w:t>
      </w:r>
      <w:r w:rsidRPr="001339A5">
        <w:t xml:space="preserve"> arising out of any one event, up to a maximum of $3.05</w:t>
      </w:r>
      <w:r>
        <w:t> billion</w:t>
      </w:r>
      <w:r w:rsidRPr="001339A5">
        <w:t xml:space="preserve"> for property. The risk of losses above these reinsured levels is borne by the State.</w:t>
      </w:r>
    </w:p>
    <w:p w:rsidR="00336793" w:rsidRDefault="00336793" w:rsidP="00DF0B96">
      <w:r>
        <w:t xml:space="preserve">The </w:t>
      </w:r>
      <w:r w:rsidRPr="001339A5">
        <w:t>VMIA also insures the Department of Health</w:t>
      </w:r>
      <w:r>
        <w:t xml:space="preserve"> and Human Services</w:t>
      </w:r>
      <w:r w:rsidRPr="001339A5">
        <w:t xml:space="preserve"> for all public sector medical indemnity claims incurred in each policy year from 1 July 2003, regardless of when claims are finally settled. Under the indemnity deed to provide stop loss protection for</w:t>
      </w:r>
      <w:r>
        <w:t xml:space="preserve"> the</w:t>
      </w:r>
      <w:r w:rsidRPr="001339A5">
        <w:t xml:space="preserve"> VMIA, the Department of Treasury and Finance has agreed to reimburse</w:t>
      </w:r>
      <w:r>
        <w:t xml:space="preserve"> the</w:t>
      </w:r>
      <w:r w:rsidRPr="001339A5">
        <w:t xml:space="preserve"> VMIA if the ultimate claims payouts exceed by more than 20</w:t>
      </w:r>
      <w:r>
        <w:t> per cent</w:t>
      </w:r>
      <w:r w:rsidRPr="001339A5">
        <w:t xml:space="preserve"> of the initial estimate on which the risk premium was based.</w:t>
      </w:r>
    </w:p>
    <w:p w:rsidR="00336793" w:rsidRPr="006462BE" w:rsidRDefault="00336793" w:rsidP="00DF0B96"/>
    <w:p w:rsidR="00336793" w:rsidRDefault="00336793" w:rsidP="00DF0B96"/>
    <w:p w:rsidR="00336793" w:rsidRDefault="00336793">
      <w:pPr>
        <w:spacing w:after="0"/>
        <w:rPr>
          <w:rFonts w:ascii="Calibri" w:hAnsi="Calibri"/>
          <w:b/>
          <w:kern w:val="28"/>
          <w:sz w:val="28"/>
          <w:szCs w:val="22"/>
        </w:rPr>
      </w:pPr>
      <w:r>
        <w:br w:type="page"/>
      </w:r>
    </w:p>
    <w:p w:rsidR="00336793" w:rsidRPr="006A75A2" w:rsidRDefault="00336793" w:rsidP="00DF0B96">
      <w:pPr>
        <w:pStyle w:val="Heading2Notes"/>
      </w:pPr>
      <w:bookmarkStart w:id="114" w:name="_Toc433984519"/>
      <w:r w:rsidRPr="006A75A2">
        <w:lastRenderedPageBreak/>
        <w:t>Note 36:</w:t>
      </w:r>
      <w:r w:rsidRPr="006A75A2">
        <w:tab/>
        <w:t xml:space="preserve">Funds </w:t>
      </w:r>
      <w:r w:rsidRPr="00CB5415">
        <w:t>under</w:t>
      </w:r>
      <w:r w:rsidRPr="006A75A2">
        <w:t xml:space="preserve"> management</w:t>
      </w:r>
      <w:bookmarkEnd w:id="113"/>
      <w:bookmarkEnd w:id="114"/>
    </w:p>
    <w:p w:rsidR="00336793" w:rsidRPr="006A75A2" w:rsidRDefault="00336793" w:rsidP="00DF0B96">
      <w:pPr>
        <w:rPr>
          <w:rFonts w:cs="Garamond"/>
          <w:szCs w:val="24"/>
          <w:lang w:eastAsia="en-AU"/>
        </w:rPr>
      </w:pPr>
      <w:r w:rsidRPr="006A75A2">
        <w:rPr>
          <w:rFonts w:cs="Garamond"/>
          <w:szCs w:val="24"/>
          <w:lang w:eastAsia="en-AU"/>
        </w:rPr>
        <w:t>The State has responsibility for transactions and balances relating to trust funds held on behalf of third parties external to the State. The funds managed on behalf of third parties are not recognised in these financial statements as they are managed on a fiduciary and custodial basis, and therefore are not controlled by the State. Funds under management are reported in the table below.</w:t>
      </w:r>
    </w:p>
    <w:p w:rsidR="00336793" w:rsidRPr="00A10A3B" w:rsidRDefault="00336793" w:rsidP="00DF0B96">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5157"/>
        <w:gridCol w:w="247"/>
        <w:gridCol w:w="873"/>
        <w:gridCol w:w="1120"/>
        <w:gridCol w:w="275"/>
        <w:gridCol w:w="845"/>
        <w:gridCol w:w="1120"/>
      </w:tblGrid>
      <w:tr w:rsidR="00336793" w:rsidRPr="00A10A3B" w:rsidTr="00DF0B96">
        <w:trPr>
          <w:tblHeader/>
        </w:trPr>
        <w:tc>
          <w:tcPr>
            <w:tcW w:w="515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247"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 xml:space="preserve"> </w:t>
            </w:r>
          </w:p>
        </w:tc>
        <w:tc>
          <w:tcPr>
            <w:tcW w:w="1993" w:type="dxa"/>
            <w:gridSpan w:val="2"/>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iCs/>
                <w:color w:val="FFFFFF"/>
                <w:lang w:eastAsia="en-AU"/>
              </w:rPr>
            </w:pPr>
          </w:p>
          <w:p w:rsidR="00336793" w:rsidRPr="00A10A3B" w:rsidRDefault="00336793" w:rsidP="00DF0B96">
            <w:pPr>
              <w:pStyle w:val="Tabletextheading"/>
              <w:jc w:val="center"/>
              <w:rPr>
                <w:rFonts w:eastAsiaTheme="minorEastAsia"/>
                <w:iCs/>
                <w:color w:val="FFFFFF"/>
                <w:lang w:eastAsia="en-AU"/>
              </w:rPr>
            </w:pPr>
            <w:r w:rsidRPr="00A10A3B">
              <w:rPr>
                <w:rFonts w:eastAsiaTheme="minorEastAsia"/>
                <w:iCs/>
                <w:color w:val="FFFFFF"/>
                <w:lang w:eastAsia="en-AU"/>
              </w:rPr>
              <w:t>State of Victoria</w:t>
            </w:r>
          </w:p>
        </w:tc>
        <w:tc>
          <w:tcPr>
            <w:tcW w:w="275"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iCs/>
                <w:color w:val="FFFFFF"/>
                <w:lang w:eastAsia="en-AU"/>
              </w:rPr>
              <w:t xml:space="preserve"> </w:t>
            </w:r>
          </w:p>
        </w:tc>
        <w:tc>
          <w:tcPr>
            <w:tcW w:w="1965" w:type="dxa"/>
            <w:gridSpan w:val="2"/>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jc w:val="center"/>
              <w:rPr>
                <w:rFonts w:eastAsiaTheme="minorEastAsia" w:cs="Calibri"/>
                <w:iCs/>
                <w:color w:val="FFFFFF"/>
                <w:szCs w:val="22"/>
                <w:lang w:eastAsia="en-AU"/>
              </w:rPr>
            </w:pPr>
            <w:r w:rsidRPr="00A10A3B">
              <w:rPr>
                <w:rFonts w:eastAsiaTheme="minorEastAsia"/>
                <w:iCs/>
                <w:color w:val="FFFFFF"/>
                <w:lang w:eastAsia="en-AU"/>
              </w:rPr>
              <w:t xml:space="preserve">General </w:t>
            </w:r>
          </w:p>
          <w:p w:rsidR="00336793" w:rsidRPr="00A10A3B" w:rsidRDefault="00336793" w:rsidP="00DF0B96">
            <w:pPr>
              <w:pStyle w:val="Tabletextheading"/>
              <w:jc w:val="center"/>
              <w:rPr>
                <w:rFonts w:eastAsiaTheme="minorEastAsia"/>
                <w:iCs/>
                <w:color w:val="FFFFFF"/>
                <w:lang w:eastAsia="en-AU"/>
              </w:rPr>
            </w:pPr>
            <w:r w:rsidRPr="00A10A3B">
              <w:rPr>
                <w:rFonts w:eastAsiaTheme="minorEastAsia"/>
                <w:iCs/>
                <w:color w:val="FFFFFF"/>
                <w:lang w:eastAsia="en-AU"/>
              </w:rPr>
              <w:t>government sector</w:t>
            </w:r>
          </w:p>
        </w:tc>
      </w:tr>
      <w:tr w:rsidR="00336793" w:rsidRPr="00A10A3B" w:rsidTr="00DF0B96">
        <w:trPr>
          <w:tblHeader/>
        </w:trPr>
        <w:tc>
          <w:tcPr>
            <w:tcW w:w="515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iCs/>
                <w:lang w:eastAsia="en-AU"/>
              </w:rPr>
            </w:pPr>
            <w:r w:rsidRPr="00A10A3B">
              <w:rPr>
                <w:rFonts w:eastAsiaTheme="minorEastAsia"/>
                <w:i/>
                <w:iCs/>
                <w:lang w:eastAsia="en-AU"/>
              </w:rPr>
              <w:t xml:space="preserve"> </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c>
          <w:tcPr>
            <w:tcW w:w="1120" w:type="dxa"/>
            <w:gridSpan w:val="2"/>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r>
      <w:tr w:rsidR="00336793" w:rsidRPr="00A10A3B" w:rsidTr="00DF0B96">
        <w:tc>
          <w:tcPr>
            <w:tcW w:w="5157"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Investments, real estate, personal and other assets</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2 593.5</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2 338.5</w:t>
            </w:r>
          </w:p>
        </w:tc>
        <w:tc>
          <w:tcPr>
            <w:tcW w:w="1120" w:type="dxa"/>
            <w:gridSpan w:val="2"/>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Cash and investments in common and premium funds</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979.1</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991.7</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Residential tenancies bond money</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874.0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806.5</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874.0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806.5</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Funds under management by the Senior Master of the Supreme Court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1 607.9</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1 479.6</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1 607.9</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1 479.6</w:t>
            </w:r>
          </w:p>
        </w:tc>
      </w:tr>
      <w:tr w:rsidR="00336793" w:rsidRPr="00A10A3B" w:rsidTr="00DF0B96">
        <w:tc>
          <w:tcPr>
            <w:tcW w:w="515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Funds under management by Legal Services Board</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825.5</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637.0</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825.5</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637.0</w:t>
            </w:r>
          </w:p>
        </w:tc>
      </w:tr>
      <w:tr w:rsidR="00336793" w:rsidRPr="00A10A3B" w:rsidTr="00DF0B96">
        <w:tc>
          <w:tcPr>
            <w:tcW w:w="5157" w:type="dxa"/>
            <w:tcBorders>
              <w:top w:val="nil"/>
              <w:left w:val="nil"/>
              <w:bottom w:val="nil"/>
              <w:right w:val="nil"/>
            </w:tcBorders>
          </w:tcPr>
          <w:p w:rsidR="00336793" w:rsidRPr="00A10A3B" w:rsidRDefault="00336793" w:rsidP="00DF0B96">
            <w:pPr>
              <w:pStyle w:val="Tabletext"/>
              <w:rPr>
                <w:rFonts w:eastAsiaTheme="minorEastAsia"/>
                <w:vertAlign w:val="superscript"/>
                <w:lang w:eastAsia="en-AU"/>
              </w:rPr>
            </w:pPr>
            <w:r w:rsidRPr="00A10A3B">
              <w:rPr>
                <w:rFonts w:eastAsiaTheme="minorEastAsia"/>
                <w:lang w:eastAsia="en-AU"/>
              </w:rPr>
              <w:t>Funds under management for the Victorian Bushfire Appeal Fund</w:t>
            </w:r>
            <w:r w:rsidRPr="00E96950">
              <w:rPr>
                <w:rFonts w:eastAsiaTheme="minorEastAsia"/>
                <w:vertAlign w:val="superscript"/>
                <w:lang w:eastAsia="en-AU"/>
              </w:rPr>
              <w:t xml:space="preserve"> </w:t>
            </w:r>
            <w:r w:rsidRPr="00A10A3B">
              <w:rPr>
                <w:rFonts w:eastAsiaTheme="minorEastAsia"/>
                <w:vertAlign w:val="superscript"/>
                <w:lang w:eastAsia="en-AU"/>
              </w:rPr>
              <w:t>(a)</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14.7</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14.7</w:t>
            </w:r>
          </w:p>
        </w:tc>
      </w:tr>
      <w:tr w:rsidR="00336793" w:rsidRPr="00A10A3B" w:rsidTr="00DF0B96">
        <w:tc>
          <w:tcPr>
            <w:tcW w:w="515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Other funds held</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31.3</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36.6</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5.4</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9.6</w:t>
            </w:r>
          </w:p>
        </w:tc>
      </w:tr>
      <w:tr w:rsidR="00336793" w:rsidRPr="00A10A3B" w:rsidTr="00DF0B96">
        <w:tc>
          <w:tcPr>
            <w:tcW w:w="515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funds under management</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6 917.2</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6 304.5</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3 318.7</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2 947.3</w:t>
            </w:r>
          </w:p>
        </w:tc>
      </w:tr>
    </w:tbl>
    <w:p w:rsidR="00336793" w:rsidRPr="006A75A2" w:rsidRDefault="00336793" w:rsidP="00DF0B96">
      <w:pPr>
        <w:pStyle w:val="Notes"/>
      </w:pPr>
      <w:r w:rsidRPr="006A75A2">
        <w:t>N</w:t>
      </w:r>
      <w:r>
        <w:t>ote</w:t>
      </w:r>
      <w:r w:rsidRPr="006A75A2">
        <w:t>:</w:t>
      </w:r>
    </w:p>
    <w:p w:rsidR="00336793" w:rsidRPr="006A75A2" w:rsidRDefault="00336793" w:rsidP="00DF0B96">
      <w:pPr>
        <w:pStyle w:val="Notes"/>
      </w:pPr>
      <w:r>
        <w:t>(a</w:t>
      </w:r>
      <w:r w:rsidRPr="006A75A2">
        <w:t>)</w:t>
      </w:r>
      <w:r w:rsidRPr="006A75A2">
        <w:tab/>
        <w:t xml:space="preserve">The Victorian Government has collected appeal proceeds on behalf of the Red Cross Victorian Bushfire Appeal Fund. The purpose of the trust is for the receipt of donations and other contributions, and their disbursement for assistance to individuals and communities in towns, suburbs and rural areas affected by the 2009 Victorian bushfires. Contributions will, inter alia, include funds provided by the Victorian, Commonwealth and other jurisdictions, as well as the general public, for the above purpose. </w:t>
      </w:r>
    </w:p>
    <w:p w:rsidR="00336793" w:rsidRPr="006A75A2" w:rsidRDefault="00336793" w:rsidP="00D96F49">
      <w:pPr>
        <w:pStyle w:val="Notes"/>
      </w:pPr>
    </w:p>
    <w:p w:rsidR="00336793" w:rsidRPr="006A75A2" w:rsidRDefault="00336793" w:rsidP="00DF0B96"/>
    <w:p w:rsidR="00336793" w:rsidRPr="006A75A2" w:rsidRDefault="00336793" w:rsidP="00DF0B96">
      <w:pPr>
        <w:spacing w:after="0"/>
        <w:rPr>
          <w:rFonts w:ascii="Calibri" w:hAnsi="Calibri"/>
          <w:b/>
          <w:sz w:val="28"/>
          <w:szCs w:val="22"/>
        </w:rPr>
      </w:pPr>
      <w:r w:rsidRPr="006A75A2">
        <w:br w:type="page"/>
      </w:r>
    </w:p>
    <w:p w:rsidR="00336793" w:rsidRPr="00EA5B9F" w:rsidRDefault="00336793" w:rsidP="00DF0B96">
      <w:pPr>
        <w:pStyle w:val="Heading2Notes"/>
      </w:pPr>
      <w:bookmarkStart w:id="115" w:name="_Toc433984520"/>
      <w:bookmarkStart w:id="116" w:name="_Toc400040284"/>
      <w:bookmarkStart w:id="117" w:name="_Toc427241308"/>
      <w:r w:rsidRPr="00EA5B9F">
        <w:lastRenderedPageBreak/>
        <w:t>Note 37:</w:t>
      </w:r>
      <w:r w:rsidRPr="00EA5B9F">
        <w:tab/>
        <w:t>Restatement of 2013</w:t>
      </w:r>
      <w:r>
        <w:noBreakHyphen/>
      </w:r>
      <w:r w:rsidRPr="00EA5B9F">
        <w:t>14 balances and impact on 2014</w:t>
      </w:r>
      <w:r>
        <w:noBreakHyphen/>
      </w:r>
      <w:r w:rsidRPr="00EA5B9F">
        <w:t>15 balances</w:t>
      </w:r>
      <w:bookmarkEnd w:id="115"/>
      <w:r w:rsidRPr="00EA5B9F">
        <w:t xml:space="preserve"> </w:t>
      </w:r>
      <w:bookmarkEnd w:id="116"/>
      <w:bookmarkEnd w:id="117"/>
    </w:p>
    <w:p w:rsidR="00336793" w:rsidRPr="006A75A2" w:rsidRDefault="00336793" w:rsidP="00DF0B96">
      <w:r w:rsidRPr="006A75A2">
        <w:t>The</w:t>
      </w:r>
      <w:r>
        <w:t xml:space="preserve"> State restated certain 2013</w:t>
      </w:r>
      <w:r>
        <w:noBreakHyphen/>
        <w:t xml:space="preserve">14 previously published balances resulting from changes in its accounting policy per below, and updated information for the reporting period ended 30 June 2015. Refer to the accounting policy changes as disclosed in </w:t>
      </w:r>
      <w:r w:rsidRPr="00953891">
        <w:t>Note 1(F)</w:t>
      </w:r>
      <w:r w:rsidRPr="00953891">
        <w:rPr>
          <w:i/>
        </w:rPr>
        <w:t xml:space="preserve"> </w:t>
      </w:r>
      <w:r>
        <w:rPr>
          <w:i/>
        </w:rPr>
        <w:t xml:space="preserve">Changes in accounting policy. </w:t>
      </w:r>
      <w:r>
        <w:t>This note presents the restatements of relevant 2013</w:t>
      </w:r>
      <w:r>
        <w:noBreakHyphen/>
        <w:t>14</w:t>
      </w:r>
      <w:r w:rsidRPr="006A75A2">
        <w:t xml:space="preserve"> previously published</w:t>
      </w:r>
      <w:r>
        <w:t xml:space="preserve"> balances, including the financial</w:t>
      </w:r>
      <w:r w:rsidRPr="00EE08B4">
        <w:t xml:space="preserve"> </w:t>
      </w:r>
      <w:r>
        <w:t>impact of these</w:t>
      </w:r>
      <w:r w:rsidRPr="00EE08B4">
        <w:t xml:space="preserve"> change</w:t>
      </w:r>
      <w:r>
        <w:t>s for the 2014</w:t>
      </w:r>
      <w:r>
        <w:noBreakHyphen/>
        <w:t>15 reporting period</w:t>
      </w:r>
      <w:r w:rsidRPr="00EE08B4">
        <w:t>.</w:t>
      </w:r>
    </w:p>
    <w:p w:rsidR="00336793" w:rsidRPr="00606098" w:rsidRDefault="00336793" w:rsidP="00DF0B96">
      <w:pPr>
        <w:pStyle w:val="Heading3"/>
      </w:pPr>
      <w:r w:rsidRPr="0089485C">
        <w:t>Superannuation</w:t>
      </w:r>
    </w:p>
    <w:p w:rsidR="00336793" w:rsidRDefault="00336793" w:rsidP="00DF0B96">
      <w:r>
        <w:t>The State previously used a net tax approach in estimating the net defined benefit superannuation liability with the expected tax payable on contributions being offset by the tax credits expected to be generated from superannuation plan assets. The State has changed its accounting policy such that the calculation of the tax liability no longer allows for the fact that taxes payable will ultimately be offset by franking credits</w:t>
      </w:r>
      <w:r w:rsidRPr="00FE072A">
        <w:t xml:space="preserve">. </w:t>
      </w:r>
      <w:r>
        <w:t>Future franking credits and other tax offsets will be incorporated as part of the return on assets each year and recognised accordingly as they arise.</w:t>
      </w:r>
    </w:p>
    <w:p w:rsidR="00336793" w:rsidRPr="004A5FF4" w:rsidRDefault="00336793" w:rsidP="00DF0B96">
      <w:r w:rsidRPr="00276BA2">
        <w:t>This change in accounting policy has been applied retrospectively. For the 2013</w:t>
      </w:r>
      <w:r>
        <w:noBreakHyphen/>
      </w:r>
      <w:r w:rsidRPr="00276BA2">
        <w:t xml:space="preserve">14 comparative period, the change has increased the net defined benefit </w:t>
      </w:r>
      <w:r w:rsidRPr="0017140D">
        <w:t>superannuation liability by $572.2</w:t>
      </w:r>
      <w:r>
        <w:t> million</w:t>
      </w:r>
      <w:r w:rsidRPr="0017140D">
        <w:t xml:space="preserve"> as at 30 June 2014, with net superannuation interest expense having increased by $22.6</w:t>
      </w:r>
      <w:r>
        <w:t> million</w:t>
      </w:r>
      <w:r w:rsidRPr="0017140D">
        <w:t xml:space="preserve"> and associated superannuation service cost having reduced by $33.3</w:t>
      </w:r>
      <w:r>
        <w:t> million</w:t>
      </w:r>
      <w:r w:rsidRPr="0017140D">
        <w:t xml:space="preserve">. The </w:t>
      </w:r>
      <w:r>
        <w:t>loss</w:t>
      </w:r>
      <w:r w:rsidRPr="0017140D">
        <w:t xml:space="preserve"> on the remeasurement of superannuation defined benefit plans reported in 2013</w:t>
      </w:r>
      <w:r>
        <w:noBreakHyphen/>
      </w:r>
      <w:r w:rsidRPr="0017140D">
        <w:t xml:space="preserve">14, </w:t>
      </w:r>
      <w:r>
        <w:t>in</w:t>
      </w:r>
      <w:r w:rsidRPr="0017140D">
        <w:t>creased by $4.2</w:t>
      </w:r>
      <w:r>
        <w:t> million</w:t>
      </w:r>
      <w:r w:rsidRPr="0017140D">
        <w:t>.</w:t>
      </w:r>
    </w:p>
    <w:p w:rsidR="00336793" w:rsidRPr="0017140D" w:rsidRDefault="00336793" w:rsidP="00DF0B96">
      <w:pPr>
        <w:pStyle w:val="Heading3"/>
      </w:pPr>
      <w:r>
        <w:t>Valuation of school building</w:t>
      </w:r>
      <w:r w:rsidRPr="0017140D">
        <w:t xml:space="preserve"> assets</w:t>
      </w:r>
    </w:p>
    <w:p w:rsidR="00336793" w:rsidRPr="0017140D" w:rsidRDefault="00336793" w:rsidP="00DF0B96">
      <w:r w:rsidRPr="0017140D">
        <w:t xml:space="preserve">For the reporting period ended 30 June 2015, the State made a change in its accounting policy for the valuation of school building assets. The State no longer includes an adjustment for economic obsolescence in measuring the fair value of its school assets that are still in use. This records school building assets at current replacement cost. </w:t>
      </w:r>
    </w:p>
    <w:p w:rsidR="00336793" w:rsidRPr="00412BA6" w:rsidRDefault="00336793" w:rsidP="00DF0B96">
      <w:pPr>
        <w:rPr>
          <w:b/>
        </w:rPr>
      </w:pPr>
      <w:r w:rsidRPr="0017140D">
        <w:t>This change in accounting policy has been applied retrospectively. For the 2013</w:t>
      </w:r>
      <w:r>
        <w:noBreakHyphen/>
      </w:r>
      <w:r w:rsidRPr="0017140D">
        <w:t>14 comparative period, the change has increased depreciation expense for the general government sector by $42.6</w:t>
      </w:r>
      <w:r>
        <w:t> million</w:t>
      </w:r>
      <w:r w:rsidRPr="0017140D">
        <w:t xml:space="preserve"> as a result of the increase to the valuation of school building assets of $1.5</w:t>
      </w:r>
      <w:r>
        <w:t> billion</w:t>
      </w:r>
      <w:r w:rsidRPr="00D179B2">
        <w:t>.</w:t>
      </w:r>
      <w:r>
        <w:t xml:space="preserve"> </w:t>
      </w:r>
    </w:p>
    <w:p w:rsidR="00336793" w:rsidRDefault="00336793" w:rsidP="00DF0B96">
      <w:pPr>
        <w:pStyle w:val="Heading3"/>
      </w:pPr>
      <w:r>
        <w:t>Other restatements</w:t>
      </w:r>
    </w:p>
    <w:p w:rsidR="00336793" w:rsidRPr="00065B99" w:rsidRDefault="00336793" w:rsidP="00DF0B96">
      <w:r>
        <w:t>The State reclassified certain non</w:t>
      </w:r>
      <w:r>
        <w:noBreakHyphen/>
        <w:t>financial assets and investment income balances as at 30 June 2014 for comparative purposes in the</w:t>
      </w:r>
      <w:r>
        <w:rPr>
          <w:i/>
        </w:rPr>
        <w:t xml:space="preserve"> </w:t>
      </w:r>
      <w:r w:rsidRPr="00D77B86">
        <w:t>2014</w:t>
      </w:r>
      <w:r>
        <w:noBreakHyphen/>
      </w:r>
      <w:r w:rsidRPr="00D77B86">
        <w:t>15 financial statements</w:t>
      </w:r>
      <w:r>
        <w:rPr>
          <w:i/>
        </w:rPr>
        <w:t xml:space="preserve"> </w:t>
      </w:r>
      <w:r>
        <w:t>to reflect more current information.</w:t>
      </w:r>
    </w:p>
    <w:p w:rsidR="00336793" w:rsidRDefault="00336793" w:rsidP="00DF0B96">
      <w:r>
        <w:t>Other restatements also include the correction of prior year balances as part of the ongoing state Crown land reconciliation which was due to a number of Crown land parcels have been identified that were recorded both by a department and another government entity and mainly driving the $106.4 million impact on the overall net worth of the State of Victoria.</w:t>
      </w:r>
    </w:p>
    <w:p w:rsidR="00336793" w:rsidRDefault="00336793" w:rsidP="00DF0B96"/>
    <w:p w:rsidR="00336793" w:rsidRDefault="00336793" w:rsidP="00DF0B96"/>
    <w:p w:rsidR="00336793" w:rsidRDefault="00336793" w:rsidP="00DF0B96">
      <w:pPr>
        <w:sectPr w:rsidR="00336793" w:rsidSect="00DF0B96">
          <w:headerReference w:type="even" r:id="rId124"/>
          <w:headerReference w:type="default" r:id="rId125"/>
          <w:footerReference w:type="even" r:id="rId126"/>
          <w:footerReference w:type="default" r:id="rId127"/>
          <w:headerReference w:type="first" r:id="rId128"/>
          <w:footerReference w:type="first" r:id="rId129"/>
          <w:pgSz w:w="11906" w:h="16838" w:code="9"/>
          <w:pgMar w:top="1152" w:right="1152" w:bottom="1152" w:left="1152" w:header="720" w:footer="720" w:gutter="0"/>
          <w:cols w:space="708"/>
          <w:docGrid w:linePitch="360"/>
        </w:sectPr>
      </w:pPr>
    </w:p>
    <w:p w:rsidR="00336793" w:rsidRPr="006A75A2" w:rsidRDefault="00336793" w:rsidP="00243E39">
      <w:pPr>
        <w:pStyle w:val="Heading2NotesContd"/>
        <w:spacing w:before="120" w:after="240"/>
      </w:pPr>
      <w:r w:rsidRPr="006A75A2">
        <w:lastRenderedPageBreak/>
        <w:t>Note 37:</w:t>
      </w:r>
      <w:r w:rsidRPr="006A75A2">
        <w:tab/>
      </w:r>
      <w:r w:rsidRPr="00243E39">
        <w:t>Restatement</w:t>
      </w:r>
      <w:r w:rsidRPr="006A75A2">
        <w:t xml:space="preserve"> of 201</w:t>
      </w:r>
      <w:r>
        <w:t>3</w:t>
      </w:r>
      <w:r>
        <w:noBreakHyphen/>
        <w:t>14</w:t>
      </w:r>
      <w:r w:rsidRPr="006A75A2">
        <w:t xml:space="preserve"> </w:t>
      </w:r>
      <w:r w:rsidRPr="00AA0209">
        <w:t>balances</w:t>
      </w:r>
      <w:r w:rsidRPr="006A75A2">
        <w:t xml:space="preserve"> </w:t>
      </w:r>
      <w:r>
        <w:t>and impact on 2014</w:t>
      </w:r>
      <w:r>
        <w:noBreakHyphen/>
      </w:r>
      <w:r w:rsidRPr="00EA5B9F">
        <w:t>15</w:t>
      </w:r>
      <w:r>
        <w:t xml:space="preserve"> balances </w:t>
      </w:r>
      <w:r w:rsidRPr="0058775D">
        <w:rPr>
          <w:i/>
        </w:rPr>
        <w:t>(continued)</w:t>
      </w:r>
    </w:p>
    <w:p w:rsidR="00336793" w:rsidRDefault="00336793" w:rsidP="00DF0B96">
      <w:pPr>
        <w:rPr>
          <w:rFonts w:ascii="Calibri" w:hAnsi="Calibri"/>
          <w:b/>
          <w:sz w:val="25"/>
        </w:rPr>
      </w:pPr>
      <w:r w:rsidRPr="00A636CA">
        <w:rPr>
          <w:rFonts w:ascii="Calibri" w:hAnsi="Calibri"/>
          <w:b/>
          <w:sz w:val="25"/>
        </w:rPr>
        <w:t xml:space="preserve">Restated balance sheet </w:t>
      </w:r>
      <w:r>
        <w:rPr>
          <w:rFonts w:ascii="Calibri" w:hAnsi="Calibri"/>
          <w:b/>
          <w:sz w:val="25"/>
        </w:rPr>
        <w:t>as at 1 July 2013 (Extract)</w:t>
      </w:r>
    </w:p>
    <w:p w:rsidR="00336793" w:rsidRPr="00DC4FF3"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4427"/>
        <w:gridCol w:w="72"/>
        <w:gridCol w:w="378"/>
        <w:gridCol w:w="630"/>
        <w:gridCol w:w="1440"/>
        <w:gridCol w:w="1287"/>
        <w:gridCol w:w="783"/>
        <w:gridCol w:w="241"/>
        <w:gridCol w:w="236"/>
        <w:gridCol w:w="423"/>
        <w:gridCol w:w="648"/>
        <w:gridCol w:w="1485"/>
        <w:gridCol w:w="1260"/>
        <w:gridCol w:w="747"/>
        <w:gridCol w:w="270"/>
        <w:gridCol w:w="243"/>
      </w:tblGrid>
      <w:tr w:rsidR="00336793" w:rsidRPr="00836A31" w:rsidTr="00DF0B96">
        <w:tc>
          <w:tcPr>
            <w:tcW w:w="4499" w:type="dxa"/>
            <w:gridSpan w:val="2"/>
            <w:tcBorders>
              <w:top w:val="single" w:sz="6" w:space="0" w:color="auto"/>
              <w:left w:val="single" w:sz="6" w:space="0" w:color="auto"/>
              <w:bottom w:val="nil"/>
              <w:right w:val="nil"/>
            </w:tcBorders>
            <w:shd w:val="clear" w:color="000000" w:fill="000000"/>
          </w:tcPr>
          <w:p w:rsidR="00336793" w:rsidRPr="00836A31" w:rsidRDefault="00336793" w:rsidP="00DF0B96">
            <w:pPr>
              <w:pStyle w:val="Tabletextheading"/>
              <w:jc w:val="left"/>
              <w:rPr>
                <w:rFonts w:eastAsiaTheme="minorEastAsia"/>
                <w:color w:val="FFFFFF"/>
                <w:sz w:val="20"/>
                <w:lang w:eastAsia="en-AU"/>
              </w:rPr>
            </w:pPr>
            <w:r w:rsidRPr="00836A31">
              <w:rPr>
                <w:rFonts w:eastAsiaTheme="minorEastAsia"/>
                <w:color w:val="FFFFFF"/>
                <w:sz w:val="20"/>
                <w:lang w:eastAsia="en-AU"/>
              </w:rPr>
              <w:t xml:space="preserve">  </w:t>
            </w:r>
          </w:p>
        </w:tc>
        <w:tc>
          <w:tcPr>
            <w:tcW w:w="378" w:type="dxa"/>
            <w:tcBorders>
              <w:top w:val="single" w:sz="6" w:space="0" w:color="auto"/>
              <w:left w:val="nil"/>
              <w:bottom w:val="single" w:sz="6" w:space="0" w:color="FFFFFF" w:themeColor="background1"/>
              <w:right w:val="nil"/>
            </w:tcBorders>
            <w:shd w:val="clear" w:color="000000" w:fill="000000"/>
          </w:tcPr>
          <w:p w:rsidR="00336793" w:rsidRPr="00836A31" w:rsidRDefault="00336793" w:rsidP="00DF0B96">
            <w:pPr>
              <w:pStyle w:val="Tabletextheading"/>
              <w:rPr>
                <w:rFonts w:eastAsiaTheme="minorEastAsia" w:cs="Calibri"/>
                <w:iCs/>
                <w:color w:val="FFFFFF"/>
                <w:sz w:val="20"/>
                <w:lang w:eastAsia="en-AU"/>
              </w:rPr>
            </w:pPr>
            <w:r w:rsidRPr="00836A31">
              <w:rPr>
                <w:rFonts w:eastAsiaTheme="minorEastAsia"/>
                <w:color w:val="FFFFFF"/>
                <w:sz w:val="20"/>
                <w:lang w:eastAsia="en-AU"/>
              </w:rPr>
              <w:t xml:space="preserve"> </w:t>
            </w:r>
          </w:p>
        </w:tc>
        <w:tc>
          <w:tcPr>
            <w:tcW w:w="4140" w:type="dxa"/>
            <w:gridSpan w:val="4"/>
            <w:tcBorders>
              <w:top w:val="single" w:sz="6" w:space="0" w:color="auto"/>
              <w:left w:val="nil"/>
              <w:bottom w:val="single" w:sz="6" w:space="0" w:color="FFFFFF" w:themeColor="background1"/>
              <w:right w:val="nil"/>
            </w:tcBorders>
            <w:shd w:val="clear" w:color="000000" w:fill="000000"/>
          </w:tcPr>
          <w:p w:rsidR="00336793" w:rsidRPr="00836A31" w:rsidRDefault="00336793" w:rsidP="00DF0B96">
            <w:pPr>
              <w:pStyle w:val="Tabletextheading"/>
              <w:jc w:val="center"/>
              <w:rPr>
                <w:rFonts w:eastAsiaTheme="minorEastAsia" w:cs="Calibri"/>
                <w:iCs/>
                <w:color w:val="FFFFFF"/>
                <w:sz w:val="20"/>
                <w:lang w:eastAsia="en-AU"/>
              </w:rPr>
            </w:pPr>
            <w:r w:rsidRPr="00836A31">
              <w:rPr>
                <w:rFonts w:eastAsiaTheme="minorEastAsia"/>
                <w:color w:val="FFFFFF"/>
                <w:sz w:val="20"/>
                <w:lang w:eastAsia="en-AU"/>
              </w:rPr>
              <w:t>State of Victoria</w:t>
            </w:r>
          </w:p>
        </w:tc>
        <w:tc>
          <w:tcPr>
            <w:tcW w:w="241" w:type="dxa"/>
            <w:tcBorders>
              <w:top w:val="single" w:sz="6" w:space="0" w:color="auto"/>
              <w:left w:val="nil"/>
              <w:bottom w:val="single" w:sz="6" w:space="0" w:color="FFFFFF" w:themeColor="background1"/>
              <w:right w:val="nil"/>
            </w:tcBorders>
            <w:shd w:val="clear" w:color="000000" w:fill="000000"/>
          </w:tcPr>
          <w:p w:rsidR="00336793" w:rsidRPr="00836A31" w:rsidRDefault="00336793" w:rsidP="00DF0B96">
            <w:pPr>
              <w:pStyle w:val="Tabletextheading"/>
              <w:jc w:val="center"/>
              <w:rPr>
                <w:rFonts w:eastAsiaTheme="minorEastAsia" w:cs="Calibri"/>
                <w:iCs/>
                <w:color w:val="FFFFFF"/>
                <w:sz w:val="20"/>
                <w:lang w:eastAsia="en-AU"/>
              </w:rPr>
            </w:pPr>
          </w:p>
        </w:tc>
        <w:tc>
          <w:tcPr>
            <w:tcW w:w="236" w:type="dxa"/>
            <w:tcBorders>
              <w:top w:val="single" w:sz="6" w:space="0" w:color="auto"/>
              <w:left w:val="nil"/>
              <w:bottom w:val="single" w:sz="6" w:space="0" w:color="FFFFFF" w:themeColor="background1"/>
              <w:right w:val="nil"/>
            </w:tcBorders>
            <w:shd w:val="clear" w:color="000000" w:fill="000000"/>
          </w:tcPr>
          <w:p w:rsidR="00336793" w:rsidRPr="00836A31" w:rsidRDefault="00336793" w:rsidP="00DF0B96">
            <w:pPr>
              <w:pStyle w:val="Tabletextheading"/>
              <w:jc w:val="center"/>
              <w:rPr>
                <w:rFonts w:eastAsiaTheme="minorEastAsia" w:cs="Calibri"/>
                <w:iCs/>
                <w:color w:val="FFFFFF"/>
                <w:sz w:val="20"/>
                <w:lang w:eastAsia="en-AU"/>
              </w:rPr>
            </w:pPr>
          </w:p>
        </w:tc>
        <w:tc>
          <w:tcPr>
            <w:tcW w:w="423" w:type="dxa"/>
            <w:tcBorders>
              <w:top w:val="single" w:sz="6" w:space="0" w:color="auto"/>
              <w:left w:val="nil"/>
              <w:bottom w:val="nil"/>
              <w:right w:val="nil"/>
            </w:tcBorders>
            <w:shd w:val="clear" w:color="000000" w:fill="000000"/>
          </w:tcPr>
          <w:p w:rsidR="00336793" w:rsidRPr="00836A31" w:rsidRDefault="00336793" w:rsidP="00DF0B96">
            <w:pPr>
              <w:pStyle w:val="Tabletextheading"/>
              <w:jc w:val="center"/>
              <w:rPr>
                <w:rFonts w:eastAsiaTheme="minorEastAsia" w:cs="Calibri"/>
                <w:iCs/>
                <w:color w:val="FFFFFF"/>
                <w:sz w:val="20"/>
                <w:lang w:eastAsia="en-AU"/>
              </w:rPr>
            </w:pPr>
          </w:p>
        </w:tc>
        <w:tc>
          <w:tcPr>
            <w:tcW w:w="4140" w:type="dxa"/>
            <w:gridSpan w:val="4"/>
            <w:tcBorders>
              <w:top w:val="single" w:sz="6" w:space="0" w:color="auto"/>
              <w:left w:val="nil"/>
              <w:bottom w:val="nil"/>
              <w:right w:val="nil"/>
            </w:tcBorders>
            <w:shd w:val="clear" w:color="000000" w:fill="000000"/>
          </w:tcPr>
          <w:p w:rsidR="00336793" w:rsidRPr="00836A31" w:rsidRDefault="00336793" w:rsidP="00DF0B96">
            <w:pPr>
              <w:pStyle w:val="Tabletextheading"/>
              <w:jc w:val="center"/>
              <w:rPr>
                <w:rFonts w:eastAsiaTheme="minorEastAsia" w:cs="Calibri"/>
                <w:iCs/>
                <w:color w:val="FFFFFF"/>
                <w:sz w:val="20"/>
                <w:lang w:eastAsia="en-AU"/>
              </w:rPr>
            </w:pPr>
            <w:r w:rsidRPr="00836A31">
              <w:rPr>
                <w:rFonts w:eastAsiaTheme="minorEastAsia"/>
                <w:color w:val="FFFFFF"/>
                <w:sz w:val="20"/>
                <w:lang w:eastAsia="en-AU"/>
              </w:rPr>
              <w:t>General government sector</w:t>
            </w:r>
          </w:p>
        </w:tc>
        <w:tc>
          <w:tcPr>
            <w:tcW w:w="270" w:type="dxa"/>
            <w:tcBorders>
              <w:top w:val="single" w:sz="6" w:space="0" w:color="auto"/>
              <w:left w:val="nil"/>
              <w:bottom w:val="nil"/>
              <w:right w:val="nil"/>
            </w:tcBorders>
            <w:shd w:val="clear" w:color="000000" w:fill="000000"/>
          </w:tcPr>
          <w:p w:rsidR="00336793" w:rsidRPr="00836A31" w:rsidRDefault="00336793" w:rsidP="00DF0B96">
            <w:pPr>
              <w:pStyle w:val="Tabletextheading"/>
              <w:rPr>
                <w:rFonts w:eastAsiaTheme="minorEastAsia" w:cs="Calibri"/>
                <w:iCs/>
                <w:color w:val="FFFFFF"/>
                <w:sz w:val="20"/>
                <w:lang w:eastAsia="en-AU"/>
              </w:rPr>
            </w:pPr>
            <w:r w:rsidRPr="00836A31">
              <w:rPr>
                <w:rFonts w:eastAsiaTheme="minorEastAsia"/>
                <w:color w:val="FFFFFF"/>
                <w:sz w:val="20"/>
                <w:lang w:eastAsia="en-AU"/>
              </w:rPr>
              <w:t xml:space="preserve"> </w:t>
            </w:r>
          </w:p>
        </w:tc>
        <w:tc>
          <w:tcPr>
            <w:tcW w:w="243" w:type="dxa"/>
            <w:tcBorders>
              <w:top w:val="single" w:sz="6" w:space="0" w:color="auto"/>
              <w:left w:val="nil"/>
              <w:bottom w:val="nil"/>
              <w:right w:val="single" w:sz="6" w:space="0" w:color="auto"/>
            </w:tcBorders>
            <w:shd w:val="clear" w:color="000000" w:fill="000000"/>
          </w:tcPr>
          <w:p w:rsidR="00336793" w:rsidRPr="00836A31" w:rsidRDefault="00336793" w:rsidP="00DF0B96">
            <w:pPr>
              <w:pStyle w:val="Tabletextheading"/>
              <w:rPr>
                <w:rFonts w:eastAsiaTheme="minorEastAsia" w:cs="Calibri"/>
                <w:iCs/>
                <w:color w:val="FFFFFF"/>
                <w:sz w:val="20"/>
                <w:lang w:eastAsia="en-AU"/>
              </w:rPr>
            </w:pPr>
            <w:r w:rsidRPr="00836A31">
              <w:rPr>
                <w:rFonts w:eastAsiaTheme="minorEastAsia"/>
                <w:color w:val="FFFFFF"/>
                <w:sz w:val="20"/>
                <w:lang w:eastAsia="en-AU"/>
              </w:rPr>
              <w:t xml:space="preserve"> </w:t>
            </w:r>
          </w:p>
        </w:tc>
      </w:tr>
      <w:tr w:rsidR="00336793" w:rsidRPr="00836A31" w:rsidTr="00DF0B96">
        <w:tc>
          <w:tcPr>
            <w:tcW w:w="4427" w:type="dxa"/>
            <w:tcBorders>
              <w:top w:val="nil"/>
              <w:left w:val="single" w:sz="6" w:space="0" w:color="auto"/>
              <w:bottom w:val="single" w:sz="6" w:space="0" w:color="auto"/>
              <w:right w:val="nil"/>
            </w:tcBorders>
            <w:shd w:val="clear" w:color="000000" w:fill="000000"/>
            <w:vAlign w:val="bottom"/>
          </w:tcPr>
          <w:p w:rsidR="00336793" w:rsidRPr="00836A31" w:rsidRDefault="00336793" w:rsidP="00DF0B96">
            <w:pPr>
              <w:pStyle w:val="Tabletextheading"/>
              <w:jc w:val="left"/>
              <w:rPr>
                <w:rFonts w:eastAsiaTheme="minorEastAsia"/>
                <w:color w:val="FFFFFF"/>
                <w:sz w:val="20"/>
                <w:lang w:eastAsia="en-AU"/>
              </w:rPr>
            </w:pPr>
            <w:r w:rsidRPr="00836A31">
              <w:rPr>
                <w:rFonts w:eastAsiaTheme="minorEastAsia"/>
                <w:color w:val="FFFFFF"/>
                <w:sz w:val="20"/>
                <w:lang w:eastAsia="en-AU"/>
              </w:rPr>
              <w:t>1 July 2013</w:t>
            </w:r>
          </w:p>
        </w:tc>
        <w:tc>
          <w:tcPr>
            <w:tcW w:w="1080" w:type="dxa"/>
            <w:gridSpan w:val="3"/>
            <w:tcBorders>
              <w:top w:val="nil"/>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color w:val="FFFFFF"/>
                <w:sz w:val="20"/>
                <w:lang w:eastAsia="en-AU"/>
              </w:rPr>
            </w:pPr>
            <w:r w:rsidRPr="00836A31">
              <w:rPr>
                <w:rFonts w:eastAsiaTheme="minorEastAsia"/>
                <w:color w:val="FFFFFF"/>
                <w:sz w:val="20"/>
                <w:lang w:eastAsia="en-AU"/>
              </w:rPr>
              <w:t>Published</w:t>
            </w:r>
          </w:p>
        </w:tc>
        <w:tc>
          <w:tcPr>
            <w:tcW w:w="1440" w:type="dxa"/>
            <w:tcBorders>
              <w:top w:val="nil"/>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color w:val="FFFFFF"/>
                <w:sz w:val="20"/>
                <w:lang w:eastAsia="en-AU"/>
              </w:rPr>
            </w:pPr>
            <w:r w:rsidRPr="00836A31">
              <w:rPr>
                <w:rFonts w:eastAsiaTheme="minorEastAsia"/>
                <w:color w:val="FFFFFF"/>
                <w:sz w:val="20"/>
                <w:lang w:eastAsia="en-AU"/>
              </w:rPr>
              <w:t>Effect of change in accounting policy</w:t>
            </w:r>
          </w:p>
        </w:tc>
        <w:tc>
          <w:tcPr>
            <w:tcW w:w="1287" w:type="dxa"/>
            <w:tcBorders>
              <w:top w:val="nil"/>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color w:val="FFFFFF"/>
                <w:sz w:val="20"/>
                <w:lang w:eastAsia="en-AU"/>
              </w:rPr>
            </w:pPr>
            <w:r w:rsidRPr="00836A31">
              <w:rPr>
                <w:rFonts w:eastAsiaTheme="minorEastAsia"/>
                <w:color w:val="FFFFFF"/>
                <w:sz w:val="20"/>
                <w:lang w:eastAsia="en-AU"/>
              </w:rPr>
              <w:t>Other restatements</w:t>
            </w:r>
          </w:p>
        </w:tc>
        <w:tc>
          <w:tcPr>
            <w:tcW w:w="1260" w:type="dxa"/>
            <w:gridSpan w:val="3"/>
            <w:tcBorders>
              <w:top w:val="nil"/>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color w:val="FFFFFF"/>
                <w:sz w:val="20"/>
                <w:lang w:eastAsia="en-AU"/>
              </w:rPr>
            </w:pPr>
            <w:r w:rsidRPr="00836A31">
              <w:rPr>
                <w:rFonts w:eastAsiaTheme="minorEastAsia"/>
                <w:color w:val="FFFFFF"/>
                <w:sz w:val="20"/>
                <w:lang w:eastAsia="en-AU"/>
              </w:rPr>
              <w:t>Restated</w:t>
            </w:r>
          </w:p>
        </w:tc>
        <w:tc>
          <w:tcPr>
            <w:tcW w:w="1071" w:type="dxa"/>
            <w:gridSpan w:val="2"/>
            <w:tcBorders>
              <w:top w:val="nil"/>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color w:val="FFFFFF"/>
                <w:sz w:val="20"/>
                <w:lang w:eastAsia="en-AU"/>
              </w:rPr>
            </w:pPr>
            <w:r w:rsidRPr="00836A31">
              <w:rPr>
                <w:rFonts w:eastAsiaTheme="minorEastAsia"/>
                <w:color w:val="FFFFFF"/>
                <w:sz w:val="20"/>
                <w:lang w:eastAsia="en-AU"/>
              </w:rPr>
              <w:t>Published</w:t>
            </w:r>
          </w:p>
        </w:tc>
        <w:tc>
          <w:tcPr>
            <w:tcW w:w="1485" w:type="dxa"/>
            <w:tcBorders>
              <w:top w:val="nil"/>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color w:val="FFFFFF"/>
                <w:sz w:val="20"/>
                <w:lang w:eastAsia="en-AU"/>
              </w:rPr>
            </w:pPr>
            <w:r w:rsidRPr="00836A31">
              <w:rPr>
                <w:rFonts w:eastAsiaTheme="minorEastAsia"/>
                <w:color w:val="FFFFFF"/>
                <w:sz w:val="20"/>
                <w:lang w:eastAsia="en-AU"/>
              </w:rPr>
              <w:t>Effect of change in accounting policy</w:t>
            </w:r>
          </w:p>
        </w:tc>
        <w:tc>
          <w:tcPr>
            <w:tcW w:w="1260" w:type="dxa"/>
            <w:tcBorders>
              <w:top w:val="nil"/>
              <w:left w:val="nil"/>
              <w:bottom w:val="single" w:sz="6" w:space="0" w:color="auto"/>
              <w:right w:val="nil"/>
            </w:tcBorders>
            <w:shd w:val="clear" w:color="000000" w:fill="000000"/>
            <w:vAlign w:val="bottom"/>
          </w:tcPr>
          <w:p w:rsidR="00336793" w:rsidRPr="00836A31" w:rsidRDefault="00336793" w:rsidP="00DF0B96">
            <w:pPr>
              <w:pStyle w:val="Tabletextheading"/>
              <w:rPr>
                <w:rFonts w:eastAsiaTheme="minorEastAsia"/>
                <w:color w:val="FFFFFF"/>
                <w:sz w:val="20"/>
                <w:lang w:eastAsia="en-AU"/>
              </w:rPr>
            </w:pPr>
            <w:r w:rsidRPr="00836A31">
              <w:rPr>
                <w:rFonts w:eastAsiaTheme="minorEastAsia"/>
                <w:color w:val="FFFFFF"/>
                <w:sz w:val="20"/>
                <w:lang w:eastAsia="en-AU"/>
              </w:rPr>
              <w:t>Other restatements</w:t>
            </w:r>
          </w:p>
        </w:tc>
        <w:tc>
          <w:tcPr>
            <w:tcW w:w="1260" w:type="dxa"/>
            <w:gridSpan w:val="3"/>
            <w:tcBorders>
              <w:top w:val="nil"/>
              <w:left w:val="nil"/>
              <w:bottom w:val="single" w:sz="6" w:space="0" w:color="auto"/>
              <w:right w:val="single" w:sz="6" w:space="0" w:color="auto"/>
            </w:tcBorders>
            <w:shd w:val="clear" w:color="000000" w:fill="000000"/>
            <w:vAlign w:val="bottom"/>
          </w:tcPr>
          <w:p w:rsidR="00336793" w:rsidRPr="00836A31" w:rsidRDefault="00336793" w:rsidP="00DF0B96">
            <w:pPr>
              <w:pStyle w:val="Tabletextheading"/>
              <w:rPr>
                <w:rFonts w:eastAsiaTheme="minorEastAsia"/>
                <w:color w:val="FFFFFF"/>
                <w:sz w:val="20"/>
                <w:lang w:eastAsia="en-AU"/>
              </w:rPr>
            </w:pPr>
            <w:r w:rsidRPr="00836A31">
              <w:rPr>
                <w:rFonts w:eastAsiaTheme="minorEastAsia"/>
                <w:color w:val="FFFFFF"/>
                <w:sz w:val="20"/>
                <w:lang w:eastAsia="en-AU"/>
              </w:rPr>
              <w:t>Restated</w:t>
            </w:r>
          </w:p>
        </w:tc>
      </w:tr>
      <w:tr w:rsidR="00336793" w:rsidRPr="00836A31" w:rsidTr="00DF0B96">
        <w:tc>
          <w:tcPr>
            <w:tcW w:w="4427" w:type="dxa"/>
            <w:tcBorders>
              <w:top w:val="single" w:sz="6" w:space="0" w:color="auto"/>
              <w:left w:val="nil"/>
              <w:bottom w:val="nil"/>
              <w:right w:val="nil"/>
            </w:tcBorders>
          </w:tcPr>
          <w:p w:rsidR="00336793" w:rsidRPr="00836A31" w:rsidRDefault="00336793" w:rsidP="00DF0B96">
            <w:pPr>
              <w:autoSpaceDE w:val="0"/>
              <w:autoSpaceDN w:val="0"/>
              <w:adjustRightInd w:val="0"/>
              <w:spacing w:after="0"/>
              <w:rPr>
                <w:rFonts w:ascii="Calibri" w:eastAsiaTheme="minorEastAsia" w:hAnsi="Calibri" w:cs="Calibri"/>
                <w:b/>
                <w:bCs/>
                <w:sz w:val="20"/>
                <w:lang w:eastAsia="en-AU"/>
              </w:rPr>
            </w:pPr>
            <w:r w:rsidRPr="00836A31">
              <w:rPr>
                <w:rFonts w:ascii="Calibri" w:eastAsiaTheme="minorEastAsia" w:hAnsi="Calibri" w:cs="Calibri"/>
                <w:b/>
                <w:bCs/>
                <w:sz w:val="20"/>
                <w:lang w:eastAsia="en-AU"/>
              </w:rPr>
              <w:t>Assets</w:t>
            </w:r>
          </w:p>
        </w:tc>
        <w:tc>
          <w:tcPr>
            <w:tcW w:w="1080" w:type="dxa"/>
            <w:gridSpan w:val="3"/>
            <w:tcBorders>
              <w:top w:val="single" w:sz="6" w:space="0" w:color="auto"/>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440" w:type="dxa"/>
            <w:tcBorders>
              <w:top w:val="single" w:sz="6" w:space="0" w:color="auto"/>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287" w:type="dxa"/>
            <w:tcBorders>
              <w:top w:val="single" w:sz="6" w:space="0" w:color="auto"/>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260" w:type="dxa"/>
            <w:gridSpan w:val="3"/>
            <w:tcBorders>
              <w:top w:val="single" w:sz="6" w:space="0" w:color="auto"/>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071" w:type="dxa"/>
            <w:gridSpan w:val="2"/>
            <w:tcBorders>
              <w:top w:val="single" w:sz="6" w:space="0" w:color="auto"/>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485" w:type="dxa"/>
            <w:tcBorders>
              <w:top w:val="single" w:sz="6" w:space="0" w:color="auto"/>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260" w:type="dxa"/>
            <w:tcBorders>
              <w:top w:val="single" w:sz="6" w:space="0" w:color="auto"/>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260" w:type="dxa"/>
            <w:gridSpan w:val="3"/>
            <w:tcBorders>
              <w:top w:val="single" w:sz="6" w:space="0" w:color="auto"/>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r>
      <w:tr w:rsidR="00336793" w:rsidRPr="00836A31" w:rsidTr="00DF0B96">
        <w:tc>
          <w:tcPr>
            <w:tcW w:w="4427" w:type="dxa"/>
            <w:tcBorders>
              <w:top w:val="nil"/>
              <w:left w:val="nil"/>
              <w:bottom w:val="nil"/>
              <w:right w:val="nil"/>
            </w:tcBorders>
          </w:tcPr>
          <w:p w:rsidR="00336793" w:rsidRPr="00836A31" w:rsidRDefault="00336793" w:rsidP="00DF0B96">
            <w:pPr>
              <w:autoSpaceDE w:val="0"/>
              <w:autoSpaceDN w:val="0"/>
              <w:adjustRightInd w:val="0"/>
              <w:spacing w:after="0"/>
              <w:rPr>
                <w:rFonts w:ascii="Calibri" w:eastAsiaTheme="minorEastAsia" w:hAnsi="Calibri" w:cs="Calibri"/>
                <w:b/>
                <w:bCs/>
                <w:sz w:val="20"/>
                <w:lang w:eastAsia="en-AU"/>
              </w:rPr>
            </w:pPr>
            <w:r w:rsidRPr="00836A31">
              <w:rPr>
                <w:rFonts w:ascii="Calibri" w:eastAsiaTheme="minorEastAsia" w:hAnsi="Calibri" w:cs="Calibri"/>
                <w:b/>
                <w:bCs/>
                <w:sz w:val="20"/>
                <w:lang w:eastAsia="en-AU"/>
              </w:rPr>
              <w:t>Non</w:t>
            </w:r>
            <w:r>
              <w:rPr>
                <w:rFonts w:ascii="Calibri" w:eastAsiaTheme="minorEastAsia" w:hAnsi="Calibri" w:cs="Calibri"/>
                <w:b/>
                <w:bCs/>
                <w:sz w:val="20"/>
                <w:lang w:eastAsia="en-AU"/>
              </w:rPr>
              <w:noBreakHyphen/>
            </w:r>
            <w:r w:rsidRPr="00836A31">
              <w:rPr>
                <w:rFonts w:ascii="Calibri" w:eastAsiaTheme="minorEastAsia" w:hAnsi="Calibri" w:cs="Calibri"/>
                <w:b/>
                <w:bCs/>
                <w:sz w:val="20"/>
                <w:lang w:eastAsia="en-AU"/>
              </w:rPr>
              <w:t>financial assets</w:t>
            </w:r>
          </w:p>
        </w:tc>
        <w:tc>
          <w:tcPr>
            <w:tcW w:w="1080" w:type="dxa"/>
            <w:gridSpan w:val="3"/>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440" w:type="dxa"/>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287" w:type="dxa"/>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071" w:type="dxa"/>
            <w:gridSpan w:val="2"/>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485" w:type="dxa"/>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260" w:type="dxa"/>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r>
      <w:tr w:rsidR="00336793" w:rsidRPr="00836A31" w:rsidTr="00DF0B96">
        <w:tc>
          <w:tcPr>
            <w:tcW w:w="4427" w:type="dxa"/>
            <w:tcBorders>
              <w:top w:val="nil"/>
              <w:left w:val="nil"/>
              <w:bottom w:val="nil"/>
              <w:right w:val="nil"/>
            </w:tcBorders>
          </w:tcPr>
          <w:p w:rsidR="00336793" w:rsidRPr="00836A31" w:rsidRDefault="00336793" w:rsidP="00DF0B96">
            <w:pPr>
              <w:autoSpaceDE w:val="0"/>
              <w:autoSpaceDN w:val="0"/>
              <w:adjustRightInd w:val="0"/>
              <w:spacing w:after="0"/>
              <w:rPr>
                <w:rFonts w:ascii="Calibri" w:eastAsiaTheme="minorEastAsia" w:hAnsi="Calibri" w:cs="Calibri"/>
                <w:sz w:val="20"/>
                <w:lang w:eastAsia="en-AU"/>
              </w:rPr>
            </w:pPr>
            <w:r w:rsidRPr="00836A31">
              <w:rPr>
                <w:rFonts w:ascii="Calibri" w:eastAsiaTheme="minorEastAsia" w:hAnsi="Calibri" w:cs="Calibri"/>
                <w:sz w:val="20"/>
                <w:lang w:eastAsia="en-AU"/>
              </w:rPr>
              <w:t xml:space="preserve">Land, buildings, infrastructure, plant and equipment </w:t>
            </w:r>
          </w:p>
        </w:tc>
        <w:tc>
          <w:tcPr>
            <w:tcW w:w="108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189 473.0</w:t>
            </w:r>
          </w:p>
        </w:tc>
        <w:tc>
          <w:tcPr>
            <w:tcW w:w="144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2 050.8</w:t>
            </w:r>
          </w:p>
        </w:tc>
        <w:tc>
          <w:tcPr>
            <w:tcW w:w="1287"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color w:val="000000"/>
                <w:sz w:val="20"/>
                <w:lang w:eastAsia="en-AU"/>
              </w:rPr>
            </w:pPr>
            <w:r w:rsidRPr="00836A31">
              <w:rPr>
                <w:rFonts w:ascii="Calibri" w:eastAsiaTheme="minorEastAsia" w:hAnsi="Calibri" w:cs="Calibri"/>
                <w:sz w:val="20"/>
                <w:lang w:eastAsia="en-AU"/>
              </w:rPr>
              <w:t>(114.1)</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191 409.7</w:t>
            </w:r>
          </w:p>
        </w:tc>
        <w:tc>
          <w:tcPr>
            <w:tcW w:w="1071" w:type="dxa"/>
            <w:gridSpan w:val="2"/>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100 804.0</w:t>
            </w:r>
          </w:p>
        </w:tc>
        <w:tc>
          <w:tcPr>
            <w:tcW w:w="1485"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2 050.8</w:t>
            </w:r>
          </w:p>
        </w:tc>
        <w:tc>
          <w:tcPr>
            <w:tcW w:w="126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color w:val="000000"/>
                <w:sz w:val="20"/>
                <w:lang w:eastAsia="en-AU"/>
              </w:rPr>
            </w:pPr>
            <w:r w:rsidRPr="00836A31">
              <w:rPr>
                <w:rFonts w:ascii="Calibri" w:eastAsiaTheme="minorEastAsia" w:hAnsi="Calibri" w:cs="Calibri"/>
                <w:sz w:val="20"/>
                <w:lang w:eastAsia="en-AU"/>
              </w:rPr>
              <w:t>(114.1)</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102 740.8</w:t>
            </w:r>
          </w:p>
        </w:tc>
      </w:tr>
      <w:tr w:rsidR="00336793" w:rsidRPr="00836A31" w:rsidTr="00DF0B96">
        <w:tc>
          <w:tcPr>
            <w:tcW w:w="4427" w:type="dxa"/>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rPr>
                <w:rFonts w:ascii="Calibri" w:eastAsiaTheme="minorEastAsia" w:hAnsi="Calibri" w:cs="Calibri"/>
                <w:b/>
                <w:bCs/>
                <w:sz w:val="20"/>
                <w:lang w:eastAsia="en-AU"/>
              </w:rPr>
            </w:pPr>
            <w:r w:rsidRPr="00836A31">
              <w:rPr>
                <w:rFonts w:ascii="Calibri" w:eastAsiaTheme="minorEastAsia" w:hAnsi="Calibri" w:cs="Calibri"/>
                <w:b/>
                <w:bCs/>
                <w:sz w:val="20"/>
                <w:lang w:eastAsia="en-AU"/>
              </w:rPr>
              <w:t>Total non</w:t>
            </w:r>
            <w:r>
              <w:rPr>
                <w:rFonts w:ascii="Calibri" w:eastAsiaTheme="minorEastAsia" w:hAnsi="Calibri" w:cs="Calibri"/>
                <w:b/>
                <w:bCs/>
                <w:sz w:val="20"/>
                <w:lang w:eastAsia="en-AU"/>
              </w:rPr>
              <w:noBreakHyphen/>
            </w:r>
            <w:r w:rsidRPr="00836A31">
              <w:rPr>
                <w:rFonts w:ascii="Calibri" w:eastAsiaTheme="minorEastAsia" w:hAnsi="Calibri" w:cs="Calibri"/>
                <w:b/>
                <w:bCs/>
                <w:sz w:val="20"/>
                <w:lang w:eastAsia="en-AU"/>
              </w:rPr>
              <w:t xml:space="preserve">financial assets </w:t>
            </w:r>
          </w:p>
        </w:tc>
        <w:tc>
          <w:tcPr>
            <w:tcW w:w="1080" w:type="dxa"/>
            <w:gridSpan w:val="3"/>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192 570.0</w:t>
            </w:r>
          </w:p>
        </w:tc>
        <w:tc>
          <w:tcPr>
            <w:tcW w:w="1440" w:type="dxa"/>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2 050.8</w:t>
            </w:r>
          </w:p>
        </w:tc>
        <w:tc>
          <w:tcPr>
            <w:tcW w:w="1287" w:type="dxa"/>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sidRPr="00836A31">
              <w:rPr>
                <w:rFonts w:ascii="Calibri" w:eastAsiaTheme="minorEastAsia" w:hAnsi="Calibri" w:cs="Calibri"/>
                <w:b/>
                <w:bCs/>
                <w:sz w:val="20"/>
                <w:lang w:eastAsia="en-AU"/>
              </w:rPr>
              <w:t>(114.1)</w:t>
            </w:r>
          </w:p>
        </w:tc>
        <w:tc>
          <w:tcPr>
            <w:tcW w:w="1260" w:type="dxa"/>
            <w:gridSpan w:val="3"/>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194 506.8</w:t>
            </w:r>
          </w:p>
        </w:tc>
        <w:tc>
          <w:tcPr>
            <w:tcW w:w="1071" w:type="dxa"/>
            <w:gridSpan w:val="2"/>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102 092.5</w:t>
            </w:r>
          </w:p>
        </w:tc>
        <w:tc>
          <w:tcPr>
            <w:tcW w:w="1485" w:type="dxa"/>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2 050.8</w:t>
            </w:r>
          </w:p>
        </w:tc>
        <w:tc>
          <w:tcPr>
            <w:tcW w:w="1260" w:type="dxa"/>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sidRPr="00836A31">
              <w:rPr>
                <w:rFonts w:ascii="Calibri" w:eastAsiaTheme="minorEastAsia" w:hAnsi="Calibri" w:cs="Calibri"/>
                <w:b/>
                <w:bCs/>
                <w:sz w:val="20"/>
                <w:lang w:eastAsia="en-AU"/>
              </w:rPr>
              <w:t>(114.1)</w:t>
            </w:r>
          </w:p>
        </w:tc>
        <w:tc>
          <w:tcPr>
            <w:tcW w:w="1260" w:type="dxa"/>
            <w:gridSpan w:val="3"/>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104 029.2</w:t>
            </w:r>
          </w:p>
        </w:tc>
      </w:tr>
      <w:tr w:rsidR="00336793" w:rsidRPr="00836A31" w:rsidTr="00DF0B96">
        <w:trPr>
          <w:trHeight w:val="147"/>
        </w:trPr>
        <w:tc>
          <w:tcPr>
            <w:tcW w:w="4427" w:type="dxa"/>
            <w:tcBorders>
              <w:top w:val="nil"/>
              <w:left w:val="nil"/>
              <w:bottom w:val="nil"/>
              <w:right w:val="nil"/>
            </w:tcBorders>
          </w:tcPr>
          <w:p w:rsidR="00336793" w:rsidRPr="00836A31" w:rsidRDefault="00336793" w:rsidP="00DF0B96">
            <w:pPr>
              <w:autoSpaceDE w:val="0"/>
              <w:autoSpaceDN w:val="0"/>
              <w:adjustRightInd w:val="0"/>
              <w:spacing w:after="0"/>
              <w:rPr>
                <w:rFonts w:ascii="Calibri" w:eastAsiaTheme="minorEastAsia" w:hAnsi="Calibri" w:cs="Calibri"/>
                <w:b/>
                <w:bCs/>
                <w:sz w:val="20"/>
                <w:lang w:eastAsia="en-AU"/>
              </w:rPr>
            </w:pPr>
            <w:r w:rsidRPr="00836A31">
              <w:rPr>
                <w:rFonts w:ascii="Calibri" w:eastAsiaTheme="minorEastAsia" w:hAnsi="Calibri" w:cs="Calibri"/>
                <w:b/>
                <w:bCs/>
                <w:sz w:val="20"/>
                <w:lang w:eastAsia="en-AU"/>
              </w:rPr>
              <w:t xml:space="preserve">Total assets </w:t>
            </w:r>
          </w:p>
        </w:tc>
        <w:tc>
          <w:tcPr>
            <w:tcW w:w="108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235 747.8</w:t>
            </w:r>
          </w:p>
        </w:tc>
        <w:tc>
          <w:tcPr>
            <w:tcW w:w="144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2 050.8</w:t>
            </w:r>
          </w:p>
        </w:tc>
        <w:tc>
          <w:tcPr>
            <w:tcW w:w="1287"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sidRPr="00836A31">
              <w:rPr>
                <w:rFonts w:ascii="Calibri" w:eastAsiaTheme="minorEastAsia" w:hAnsi="Calibri" w:cs="Calibri"/>
                <w:b/>
                <w:bCs/>
                <w:sz w:val="20"/>
                <w:lang w:eastAsia="en-AU"/>
              </w:rPr>
              <w:t>(114.1)</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237 684.5</w:t>
            </w:r>
          </w:p>
        </w:tc>
        <w:tc>
          <w:tcPr>
            <w:tcW w:w="1071" w:type="dxa"/>
            <w:gridSpan w:val="2"/>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188 889.9</w:t>
            </w:r>
          </w:p>
        </w:tc>
        <w:tc>
          <w:tcPr>
            <w:tcW w:w="1485"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2 050.8</w:t>
            </w:r>
          </w:p>
        </w:tc>
        <w:tc>
          <w:tcPr>
            <w:tcW w:w="126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sidRPr="00836A31">
              <w:rPr>
                <w:rFonts w:ascii="Calibri" w:eastAsiaTheme="minorEastAsia" w:hAnsi="Calibri" w:cs="Calibri"/>
                <w:b/>
                <w:bCs/>
                <w:sz w:val="20"/>
                <w:lang w:eastAsia="en-AU"/>
              </w:rPr>
              <w:t>(114.1)</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190 826.7</w:t>
            </w:r>
          </w:p>
        </w:tc>
      </w:tr>
      <w:tr w:rsidR="00336793" w:rsidRPr="00836A31" w:rsidTr="00DF0B96">
        <w:tc>
          <w:tcPr>
            <w:tcW w:w="4427" w:type="dxa"/>
            <w:tcBorders>
              <w:top w:val="nil"/>
              <w:left w:val="nil"/>
              <w:bottom w:val="nil"/>
              <w:right w:val="nil"/>
            </w:tcBorders>
          </w:tcPr>
          <w:p w:rsidR="00336793" w:rsidRPr="00836A31" w:rsidRDefault="00336793" w:rsidP="00DF0B96">
            <w:pPr>
              <w:autoSpaceDE w:val="0"/>
              <w:autoSpaceDN w:val="0"/>
              <w:adjustRightInd w:val="0"/>
              <w:spacing w:after="0"/>
              <w:rPr>
                <w:rFonts w:ascii="Calibri" w:eastAsiaTheme="minorEastAsia" w:hAnsi="Calibri" w:cs="Calibri"/>
                <w:b/>
                <w:bCs/>
                <w:sz w:val="20"/>
                <w:lang w:eastAsia="en-AU"/>
              </w:rPr>
            </w:pPr>
            <w:r w:rsidRPr="00836A31">
              <w:rPr>
                <w:rFonts w:ascii="Calibri" w:eastAsiaTheme="minorEastAsia" w:hAnsi="Calibri" w:cs="Calibri"/>
                <w:b/>
                <w:bCs/>
                <w:sz w:val="20"/>
                <w:lang w:eastAsia="en-AU"/>
              </w:rPr>
              <w:t>Liabilities</w:t>
            </w:r>
          </w:p>
        </w:tc>
        <w:tc>
          <w:tcPr>
            <w:tcW w:w="1080" w:type="dxa"/>
            <w:gridSpan w:val="3"/>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440" w:type="dxa"/>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c>
          <w:tcPr>
            <w:tcW w:w="1287" w:type="dxa"/>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color w:val="000000"/>
                <w:sz w:val="20"/>
                <w:lang w:eastAsia="en-AU"/>
              </w:rPr>
            </w:pP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p>
        </w:tc>
        <w:tc>
          <w:tcPr>
            <w:tcW w:w="1071" w:type="dxa"/>
            <w:gridSpan w:val="2"/>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p>
        </w:tc>
        <w:tc>
          <w:tcPr>
            <w:tcW w:w="1485" w:type="dxa"/>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p>
        </w:tc>
        <w:tc>
          <w:tcPr>
            <w:tcW w:w="1260" w:type="dxa"/>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color w:val="000000"/>
                <w:sz w:val="20"/>
                <w:lang w:eastAsia="en-AU"/>
              </w:rPr>
            </w:pP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center"/>
              <w:rPr>
                <w:rFonts w:ascii="Calibri" w:eastAsiaTheme="minorEastAsia" w:hAnsi="Calibri" w:cs="Calibri"/>
                <w:i/>
                <w:iCs/>
                <w:sz w:val="20"/>
                <w:lang w:eastAsia="en-AU"/>
              </w:rPr>
            </w:pPr>
            <w:r w:rsidRPr="00836A31">
              <w:rPr>
                <w:rFonts w:ascii="Calibri" w:eastAsiaTheme="minorEastAsia" w:hAnsi="Calibri" w:cs="Calibri"/>
                <w:i/>
                <w:iCs/>
                <w:sz w:val="20"/>
                <w:lang w:eastAsia="en-AU"/>
              </w:rPr>
              <w:t xml:space="preserve"> </w:t>
            </w:r>
          </w:p>
        </w:tc>
      </w:tr>
      <w:tr w:rsidR="00336793" w:rsidRPr="00836A31" w:rsidTr="00DF0B96">
        <w:tc>
          <w:tcPr>
            <w:tcW w:w="4427" w:type="dxa"/>
            <w:tcBorders>
              <w:top w:val="nil"/>
              <w:left w:val="nil"/>
              <w:bottom w:val="nil"/>
              <w:right w:val="nil"/>
            </w:tcBorders>
          </w:tcPr>
          <w:p w:rsidR="00336793" w:rsidRPr="00836A31" w:rsidRDefault="00336793" w:rsidP="00DF0B96">
            <w:pPr>
              <w:autoSpaceDE w:val="0"/>
              <w:autoSpaceDN w:val="0"/>
              <w:adjustRightInd w:val="0"/>
              <w:spacing w:after="0"/>
              <w:rPr>
                <w:rFonts w:ascii="Calibri" w:eastAsiaTheme="minorEastAsia" w:hAnsi="Calibri" w:cs="Calibri"/>
                <w:sz w:val="20"/>
                <w:lang w:eastAsia="en-AU"/>
              </w:rPr>
            </w:pPr>
            <w:r w:rsidRPr="00836A31">
              <w:rPr>
                <w:rFonts w:ascii="Calibri" w:eastAsiaTheme="minorEastAsia" w:hAnsi="Calibri" w:cs="Calibri"/>
                <w:sz w:val="20"/>
                <w:lang w:eastAsia="en-AU"/>
              </w:rPr>
              <w:t>Payables</w:t>
            </w:r>
          </w:p>
        </w:tc>
        <w:tc>
          <w:tcPr>
            <w:tcW w:w="108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8 197.2</w:t>
            </w:r>
          </w:p>
        </w:tc>
        <w:tc>
          <w:tcPr>
            <w:tcW w:w="144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w:t>
            </w:r>
          </w:p>
        </w:tc>
        <w:tc>
          <w:tcPr>
            <w:tcW w:w="1287"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color w:val="000000"/>
                <w:sz w:val="20"/>
                <w:lang w:eastAsia="en-AU"/>
              </w:rPr>
            </w:pPr>
            <w:r w:rsidRPr="00836A31">
              <w:rPr>
                <w:rFonts w:ascii="Calibri" w:eastAsiaTheme="minorEastAsia" w:hAnsi="Calibri" w:cs="Calibri"/>
                <w:sz w:val="20"/>
                <w:lang w:eastAsia="en-AU"/>
              </w:rPr>
              <w:t>(166.7)</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8 030.5</w:t>
            </w:r>
          </w:p>
        </w:tc>
        <w:tc>
          <w:tcPr>
            <w:tcW w:w="1071" w:type="dxa"/>
            <w:gridSpan w:val="2"/>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5 958.4</w:t>
            </w:r>
          </w:p>
        </w:tc>
        <w:tc>
          <w:tcPr>
            <w:tcW w:w="1485"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w:t>
            </w:r>
          </w:p>
        </w:tc>
        <w:tc>
          <w:tcPr>
            <w:tcW w:w="126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color w:val="000000"/>
                <w:sz w:val="20"/>
                <w:lang w:eastAsia="en-AU"/>
              </w:rPr>
            </w:pPr>
            <w:r w:rsidRPr="00836A31">
              <w:rPr>
                <w:rFonts w:ascii="Calibri" w:eastAsiaTheme="minorEastAsia" w:hAnsi="Calibri" w:cs="Calibri"/>
                <w:sz w:val="20"/>
                <w:lang w:eastAsia="en-AU"/>
              </w:rPr>
              <w:t>(166.7)</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5 791.7</w:t>
            </w:r>
          </w:p>
        </w:tc>
      </w:tr>
      <w:tr w:rsidR="00336793" w:rsidRPr="00836A31" w:rsidTr="00DF0B96">
        <w:tc>
          <w:tcPr>
            <w:tcW w:w="4427" w:type="dxa"/>
            <w:tcBorders>
              <w:top w:val="nil"/>
              <w:left w:val="nil"/>
              <w:bottom w:val="nil"/>
              <w:right w:val="nil"/>
            </w:tcBorders>
          </w:tcPr>
          <w:p w:rsidR="00336793" w:rsidRPr="00836A31" w:rsidRDefault="00336793" w:rsidP="00DF0B96">
            <w:pPr>
              <w:autoSpaceDE w:val="0"/>
              <w:autoSpaceDN w:val="0"/>
              <w:adjustRightInd w:val="0"/>
              <w:spacing w:after="0"/>
              <w:rPr>
                <w:rFonts w:ascii="Calibri" w:eastAsiaTheme="minorEastAsia" w:hAnsi="Calibri" w:cs="Calibri"/>
                <w:sz w:val="20"/>
                <w:lang w:eastAsia="en-AU"/>
              </w:rPr>
            </w:pPr>
            <w:r w:rsidRPr="00836A31">
              <w:rPr>
                <w:rFonts w:ascii="Calibri" w:eastAsiaTheme="minorEastAsia" w:hAnsi="Calibri" w:cs="Calibri"/>
                <w:sz w:val="20"/>
                <w:lang w:eastAsia="en-AU"/>
              </w:rPr>
              <w:t>Employee benefits</w:t>
            </w:r>
          </w:p>
        </w:tc>
        <w:tc>
          <w:tcPr>
            <w:tcW w:w="108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5 624.7</w:t>
            </w:r>
          </w:p>
        </w:tc>
        <w:tc>
          <w:tcPr>
            <w:tcW w:w="144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w:t>
            </w:r>
          </w:p>
        </w:tc>
        <w:tc>
          <w:tcPr>
            <w:tcW w:w="1287"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color w:val="000000"/>
                <w:sz w:val="20"/>
                <w:lang w:eastAsia="en-AU"/>
              </w:rPr>
            </w:pPr>
            <w:r w:rsidRPr="00836A31">
              <w:rPr>
                <w:rFonts w:ascii="Calibri" w:eastAsiaTheme="minorEastAsia" w:hAnsi="Calibri" w:cs="Calibri"/>
                <w:sz w:val="20"/>
                <w:lang w:eastAsia="en-AU"/>
              </w:rPr>
              <w:t>(28.9)</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5 595.8</w:t>
            </w:r>
          </w:p>
        </w:tc>
        <w:tc>
          <w:tcPr>
            <w:tcW w:w="1071" w:type="dxa"/>
            <w:gridSpan w:val="2"/>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5 208.8</w:t>
            </w:r>
          </w:p>
        </w:tc>
        <w:tc>
          <w:tcPr>
            <w:tcW w:w="1485"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w:t>
            </w:r>
          </w:p>
        </w:tc>
        <w:tc>
          <w:tcPr>
            <w:tcW w:w="126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color w:val="000000"/>
                <w:sz w:val="20"/>
                <w:lang w:eastAsia="en-AU"/>
              </w:rPr>
            </w:pPr>
            <w:r w:rsidRPr="00836A31">
              <w:rPr>
                <w:rFonts w:ascii="Calibri" w:eastAsiaTheme="minorEastAsia" w:hAnsi="Calibri" w:cs="Calibri"/>
                <w:sz w:val="20"/>
                <w:lang w:eastAsia="en-AU"/>
              </w:rPr>
              <w:t>(28.9)</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5 180.0</w:t>
            </w:r>
          </w:p>
        </w:tc>
      </w:tr>
      <w:tr w:rsidR="00336793" w:rsidRPr="00836A31" w:rsidTr="00DF0B96">
        <w:tc>
          <w:tcPr>
            <w:tcW w:w="4427" w:type="dxa"/>
            <w:tcBorders>
              <w:top w:val="nil"/>
              <w:left w:val="nil"/>
              <w:bottom w:val="nil"/>
              <w:right w:val="nil"/>
            </w:tcBorders>
          </w:tcPr>
          <w:p w:rsidR="00336793" w:rsidRPr="00836A31" w:rsidRDefault="00336793" w:rsidP="00DF0B96">
            <w:pPr>
              <w:autoSpaceDE w:val="0"/>
              <w:autoSpaceDN w:val="0"/>
              <w:adjustRightInd w:val="0"/>
              <w:spacing w:after="0"/>
              <w:rPr>
                <w:rFonts w:ascii="Calibri" w:eastAsiaTheme="minorEastAsia" w:hAnsi="Calibri" w:cs="Calibri"/>
                <w:sz w:val="20"/>
                <w:lang w:eastAsia="en-AU"/>
              </w:rPr>
            </w:pPr>
            <w:r w:rsidRPr="00836A31">
              <w:rPr>
                <w:rFonts w:ascii="Calibri" w:eastAsiaTheme="minorEastAsia" w:hAnsi="Calibri" w:cs="Calibri"/>
                <w:sz w:val="20"/>
                <w:lang w:eastAsia="en-AU"/>
              </w:rPr>
              <w:t xml:space="preserve">Superannuation </w:t>
            </w:r>
          </w:p>
        </w:tc>
        <w:tc>
          <w:tcPr>
            <w:tcW w:w="108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25 225.4</w:t>
            </w:r>
          </w:p>
        </w:tc>
        <w:tc>
          <w:tcPr>
            <w:tcW w:w="144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 xml:space="preserve"> 578.7</w:t>
            </w:r>
          </w:p>
        </w:tc>
        <w:tc>
          <w:tcPr>
            <w:tcW w:w="1287"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25 804.1</w:t>
            </w:r>
          </w:p>
        </w:tc>
        <w:tc>
          <w:tcPr>
            <w:tcW w:w="1071" w:type="dxa"/>
            <w:gridSpan w:val="2"/>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25 142.5</w:t>
            </w:r>
          </w:p>
        </w:tc>
        <w:tc>
          <w:tcPr>
            <w:tcW w:w="1485"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 xml:space="preserve"> 578.7</w:t>
            </w:r>
          </w:p>
        </w:tc>
        <w:tc>
          <w:tcPr>
            <w:tcW w:w="126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25 721.2</w:t>
            </w:r>
          </w:p>
        </w:tc>
      </w:tr>
      <w:tr w:rsidR="00336793" w:rsidRPr="00836A31" w:rsidTr="00DF0B96">
        <w:tc>
          <w:tcPr>
            <w:tcW w:w="4427" w:type="dxa"/>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rPr>
                <w:rFonts w:ascii="Calibri" w:eastAsiaTheme="minorEastAsia" w:hAnsi="Calibri" w:cs="Calibri"/>
                <w:b/>
                <w:bCs/>
                <w:sz w:val="20"/>
                <w:lang w:eastAsia="en-AU"/>
              </w:rPr>
            </w:pPr>
            <w:r w:rsidRPr="00836A31">
              <w:rPr>
                <w:rFonts w:ascii="Calibri" w:eastAsiaTheme="minorEastAsia" w:hAnsi="Calibri" w:cs="Calibri"/>
                <w:b/>
                <w:bCs/>
                <w:sz w:val="20"/>
                <w:lang w:eastAsia="en-AU"/>
              </w:rPr>
              <w:t>Total liabilities</w:t>
            </w:r>
          </w:p>
        </w:tc>
        <w:tc>
          <w:tcPr>
            <w:tcW w:w="1080" w:type="dxa"/>
            <w:gridSpan w:val="3"/>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112 115.7</w:t>
            </w:r>
          </w:p>
        </w:tc>
        <w:tc>
          <w:tcPr>
            <w:tcW w:w="1440" w:type="dxa"/>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 xml:space="preserve"> 578.7</w:t>
            </w:r>
          </w:p>
        </w:tc>
        <w:tc>
          <w:tcPr>
            <w:tcW w:w="1287" w:type="dxa"/>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sidRPr="00836A31">
              <w:rPr>
                <w:rFonts w:ascii="Calibri" w:eastAsiaTheme="minorEastAsia" w:hAnsi="Calibri" w:cs="Calibri"/>
                <w:b/>
                <w:bCs/>
                <w:sz w:val="20"/>
                <w:lang w:eastAsia="en-AU"/>
              </w:rPr>
              <w:t>(195.6)</w:t>
            </w:r>
          </w:p>
        </w:tc>
        <w:tc>
          <w:tcPr>
            <w:tcW w:w="1260" w:type="dxa"/>
            <w:gridSpan w:val="3"/>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112 498.8</w:t>
            </w:r>
          </w:p>
        </w:tc>
        <w:tc>
          <w:tcPr>
            <w:tcW w:w="1071" w:type="dxa"/>
            <w:gridSpan w:val="2"/>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68 707.4</w:t>
            </w:r>
          </w:p>
        </w:tc>
        <w:tc>
          <w:tcPr>
            <w:tcW w:w="1485" w:type="dxa"/>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 xml:space="preserve"> 578.7</w:t>
            </w:r>
          </w:p>
        </w:tc>
        <w:tc>
          <w:tcPr>
            <w:tcW w:w="1260" w:type="dxa"/>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sidRPr="00836A31">
              <w:rPr>
                <w:rFonts w:ascii="Calibri" w:eastAsiaTheme="minorEastAsia" w:hAnsi="Calibri" w:cs="Calibri"/>
                <w:b/>
                <w:bCs/>
                <w:sz w:val="20"/>
                <w:lang w:eastAsia="en-AU"/>
              </w:rPr>
              <w:t>(195.6)</w:t>
            </w:r>
          </w:p>
        </w:tc>
        <w:tc>
          <w:tcPr>
            <w:tcW w:w="1260" w:type="dxa"/>
            <w:gridSpan w:val="3"/>
            <w:tcBorders>
              <w:top w:val="single" w:sz="6" w:space="0" w:color="auto"/>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69 090.5</w:t>
            </w:r>
          </w:p>
        </w:tc>
      </w:tr>
      <w:tr w:rsidR="00336793" w:rsidRPr="00836A31" w:rsidTr="00DF0B96">
        <w:tc>
          <w:tcPr>
            <w:tcW w:w="4427" w:type="dxa"/>
            <w:tcBorders>
              <w:top w:val="single" w:sz="6" w:space="0" w:color="auto"/>
              <w:left w:val="nil"/>
              <w:bottom w:val="single" w:sz="12" w:space="0" w:color="auto"/>
              <w:right w:val="nil"/>
            </w:tcBorders>
          </w:tcPr>
          <w:p w:rsidR="00336793" w:rsidRPr="00836A31" w:rsidRDefault="00336793" w:rsidP="00DF0B96">
            <w:pPr>
              <w:autoSpaceDE w:val="0"/>
              <w:autoSpaceDN w:val="0"/>
              <w:adjustRightInd w:val="0"/>
              <w:spacing w:after="0"/>
              <w:rPr>
                <w:rFonts w:ascii="Calibri" w:eastAsiaTheme="minorEastAsia" w:hAnsi="Calibri" w:cs="Calibri"/>
                <w:b/>
                <w:bCs/>
                <w:sz w:val="20"/>
                <w:lang w:eastAsia="en-AU"/>
              </w:rPr>
            </w:pPr>
            <w:r w:rsidRPr="00836A31">
              <w:rPr>
                <w:rFonts w:ascii="Calibri" w:eastAsiaTheme="minorEastAsia" w:hAnsi="Calibri" w:cs="Calibri"/>
                <w:b/>
                <w:bCs/>
                <w:sz w:val="20"/>
                <w:lang w:eastAsia="en-AU"/>
              </w:rPr>
              <w:t>Net assets</w:t>
            </w:r>
          </w:p>
        </w:tc>
        <w:tc>
          <w:tcPr>
            <w:tcW w:w="1080" w:type="dxa"/>
            <w:gridSpan w:val="3"/>
            <w:tcBorders>
              <w:top w:val="single" w:sz="6" w:space="0" w:color="auto"/>
              <w:left w:val="nil"/>
              <w:bottom w:val="single" w:sz="12"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123 632.1</w:t>
            </w:r>
          </w:p>
        </w:tc>
        <w:tc>
          <w:tcPr>
            <w:tcW w:w="1440" w:type="dxa"/>
            <w:tcBorders>
              <w:top w:val="single" w:sz="6" w:space="0" w:color="auto"/>
              <w:left w:val="nil"/>
              <w:bottom w:val="single" w:sz="12"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1 472.1</w:t>
            </w:r>
          </w:p>
        </w:tc>
        <w:tc>
          <w:tcPr>
            <w:tcW w:w="1287" w:type="dxa"/>
            <w:tcBorders>
              <w:top w:val="single" w:sz="6" w:space="0" w:color="auto"/>
              <w:left w:val="nil"/>
              <w:bottom w:val="single" w:sz="12"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 xml:space="preserve"> 81.5</w:t>
            </w:r>
          </w:p>
        </w:tc>
        <w:tc>
          <w:tcPr>
            <w:tcW w:w="1260" w:type="dxa"/>
            <w:gridSpan w:val="3"/>
            <w:tcBorders>
              <w:top w:val="single" w:sz="6" w:space="0" w:color="auto"/>
              <w:left w:val="nil"/>
              <w:bottom w:val="single" w:sz="12"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125 185.7</w:t>
            </w:r>
          </w:p>
        </w:tc>
        <w:tc>
          <w:tcPr>
            <w:tcW w:w="1071" w:type="dxa"/>
            <w:gridSpan w:val="2"/>
            <w:tcBorders>
              <w:top w:val="single" w:sz="6" w:space="0" w:color="auto"/>
              <w:left w:val="nil"/>
              <w:bottom w:val="single" w:sz="12"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120 182.6</w:t>
            </w:r>
          </w:p>
        </w:tc>
        <w:tc>
          <w:tcPr>
            <w:tcW w:w="1485" w:type="dxa"/>
            <w:tcBorders>
              <w:top w:val="single" w:sz="6" w:space="0" w:color="auto"/>
              <w:left w:val="nil"/>
              <w:bottom w:val="single" w:sz="12"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1 472.1</w:t>
            </w:r>
          </w:p>
        </w:tc>
        <w:tc>
          <w:tcPr>
            <w:tcW w:w="1260" w:type="dxa"/>
            <w:tcBorders>
              <w:top w:val="single" w:sz="6" w:space="0" w:color="auto"/>
              <w:left w:val="nil"/>
              <w:bottom w:val="single" w:sz="12"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 xml:space="preserve"> 81.5</w:t>
            </w:r>
          </w:p>
        </w:tc>
        <w:tc>
          <w:tcPr>
            <w:tcW w:w="1260" w:type="dxa"/>
            <w:gridSpan w:val="3"/>
            <w:tcBorders>
              <w:top w:val="single" w:sz="6" w:space="0" w:color="auto"/>
              <w:left w:val="nil"/>
              <w:bottom w:val="single" w:sz="12"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121 736.2</w:t>
            </w:r>
          </w:p>
        </w:tc>
      </w:tr>
      <w:tr w:rsidR="00336793" w:rsidRPr="00836A31" w:rsidTr="00DF0B96">
        <w:tc>
          <w:tcPr>
            <w:tcW w:w="4427" w:type="dxa"/>
            <w:tcBorders>
              <w:top w:val="nil"/>
              <w:left w:val="nil"/>
              <w:bottom w:val="nil"/>
              <w:right w:val="nil"/>
            </w:tcBorders>
          </w:tcPr>
          <w:p w:rsidR="00336793" w:rsidRPr="00836A31" w:rsidRDefault="00336793" w:rsidP="00DF0B96">
            <w:pPr>
              <w:autoSpaceDE w:val="0"/>
              <w:autoSpaceDN w:val="0"/>
              <w:adjustRightInd w:val="0"/>
              <w:spacing w:after="0"/>
              <w:rPr>
                <w:rFonts w:ascii="Calibri" w:eastAsiaTheme="minorEastAsia" w:hAnsi="Calibri" w:cs="Calibri"/>
                <w:sz w:val="20"/>
                <w:lang w:eastAsia="en-AU"/>
              </w:rPr>
            </w:pPr>
            <w:r w:rsidRPr="00836A31">
              <w:rPr>
                <w:rFonts w:ascii="Calibri" w:eastAsiaTheme="minorEastAsia" w:hAnsi="Calibri" w:cs="Calibri"/>
                <w:sz w:val="20"/>
                <w:lang w:eastAsia="en-AU"/>
              </w:rPr>
              <w:t xml:space="preserve">Accumulated surplus/(deficit) </w:t>
            </w:r>
          </w:p>
        </w:tc>
        <w:tc>
          <w:tcPr>
            <w:tcW w:w="108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43 565.1</w:t>
            </w:r>
          </w:p>
        </w:tc>
        <w:tc>
          <w:tcPr>
            <w:tcW w:w="144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color w:val="000000"/>
                <w:sz w:val="20"/>
                <w:lang w:eastAsia="en-AU"/>
              </w:rPr>
            </w:pPr>
            <w:r w:rsidRPr="00836A31">
              <w:rPr>
                <w:rFonts w:ascii="Calibri" w:eastAsiaTheme="minorEastAsia" w:hAnsi="Calibri" w:cs="Calibri"/>
                <w:sz w:val="20"/>
                <w:lang w:eastAsia="en-AU"/>
              </w:rPr>
              <w:t>(844.4)</w:t>
            </w:r>
          </w:p>
        </w:tc>
        <w:tc>
          <w:tcPr>
            <w:tcW w:w="1287"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 xml:space="preserve"> 81.6</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42 802.2</w:t>
            </w:r>
          </w:p>
        </w:tc>
        <w:tc>
          <w:tcPr>
            <w:tcW w:w="1071" w:type="dxa"/>
            <w:gridSpan w:val="2"/>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43 174.7</w:t>
            </w:r>
          </w:p>
        </w:tc>
        <w:tc>
          <w:tcPr>
            <w:tcW w:w="1485"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color w:val="000000"/>
                <w:sz w:val="20"/>
                <w:lang w:eastAsia="en-AU"/>
              </w:rPr>
            </w:pPr>
            <w:r w:rsidRPr="00836A31">
              <w:rPr>
                <w:rFonts w:ascii="Calibri" w:eastAsiaTheme="minorEastAsia" w:hAnsi="Calibri" w:cs="Calibri"/>
                <w:sz w:val="20"/>
                <w:lang w:eastAsia="en-AU"/>
              </w:rPr>
              <w:t>(844.4)</w:t>
            </w:r>
          </w:p>
        </w:tc>
        <w:tc>
          <w:tcPr>
            <w:tcW w:w="1260" w:type="dxa"/>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 xml:space="preserve"> 81.6</w:t>
            </w:r>
          </w:p>
        </w:tc>
        <w:tc>
          <w:tcPr>
            <w:tcW w:w="1260" w:type="dxa"/>
            <w:gridSpan w:val="3"/>
            <w:tcBorders>
              <w:top w:val="nil"/>
              <w:left w:val="nil"/>
              <w:bottom w:val="nil"/>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42 411.9</w:t>
            </w:r>
          </w:p>
        </w:tc>
      </w:tr>
      <w:tr w:rsidR="00336793" w:rsidRPr="00836A31" w:rsidTr="00DF0B96">
        <w:tc>
          <w:tcPr>
            <w:tcW w:w="4427" w:type="dxa"/>
            <w:tcBorders>
              <w:top w:val="nil"/>
              <w:left w:val="nil"/>
              <w:bottom w:val="single" w:sz="6" w:space="0" w:color="auto"/>
              <w:right w:val="nil"/>
            </w:tcBorders>
          </w:tcPr>
          <w:p w:rsidR="00336793" w:rsidRPr="00836A31" w:rsidRDefault="00336793" w:rsidP="00DF0B96">
            <w:pPr>
              <w:autoSpaceDE w:val="0"/>
              <w:autoSpaceDN w:val="0"/>
              <w:adjustRightInd w:val="0"/>
              <w:spacing w:after="0"/>
              <w:rPr>
                <w:rFonts w:ascii="Calibri" w:eastAsiaTheme="minorEastAsia" w:hAnsi="Calibri" w:cs="Calibri"/>
                <w:sz w:val="20"/>
                <w:lang w:eastAsia="en-AU"/>
              </w:rPr>
            </w:pPr>
            <w:r w:rsidRPr="00836A31">
              <w:rPr>
                <w:rFonts w:ascii="Calibri" w:eastAsiaTheme="minorEastAsia" w:hAnsi="Calibri" w:cs="Calibri"/>
                <w:sz w:val="20"/>
                <w:lang w:eastAsia="en-AU"/>
              </w:rPr>
              <w:t xml:space="preserve">Reserves </w:t>
            </w:r>
          </w:p>
        </w:tc>
        <w:tc>
          <w:tcPr>
            <w:tcW w:w="1080" w:type="dxa"/>
            <w:gridSpan w:val="3"/>
            <w:tcBorders>
              <w:top w:val="nil"/>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80 017.0</w:t>
            </w:r>
          </w:p>
        </w:tc>
        <w:tc>
          <w:tcPr>
            <w:tcW w:w="1440" w:type="dxa"/>
            <w:tcBorders>
              <w:top w:val="nil"/>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2 316.5</w:t>
            </w:r>
          </w:p>
        </w:tc>
        <w:tc>
          <w:tcPr>
            <w:tcW w:w="1287" w:type="dxa"/>
            <w:tcBorders>
              <w:top w:val="nil"/>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w:t>
            </w:r>
          </w:p>
        </w:tc>
        <w:tc>
          <w:tcPr>
            <w:tcW w:w="1260" w:type="dxa"/>
            <w:gridSpan w:val="3"/>
            <w:tcBorders>
              <w:top w:val="nil"/>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82 333.5</w:t>
            </w:r>
          </w:p>
        </w:tc>
        <w:tc>
          <w:tcPr>
            <w:tcW w:w="1071" w:type="dxa"/>
            <w:gridSpan w:val="2"/>
            <w:tcBorders>
              <w:top w:val="nil"/>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76 957.9</w:t>
            </w:r>
          </w:p>
        </w:tc>
        <w:tc>
          <w:tcPr>
            <w:tcW w:w="1485" w:type="dxa"/>
            <w:tcBorders>
              <w:top w:val="nil"/>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2 316.5</w:t>
            </w:r>
          </w:p>
        </w:tc>
        <w:tc>
          <w:tcPr>
            <w:tcW w:w="1260" w:type="dxa"/>
            <w:tcBorders>
              <w:top w:val="nil"/>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w:t>
            </w:r>
          </w:p>
        </w:tc>
        <w:tc>
          <w:tcPr>
            <w:tcW w:w="1260" w:type="dxa"/>
            <w:gridSpan w:val="3"/>
            <w:tcBorders>
              <w:top w:val="nil"/>
              <w:left w:val="nil"/>
              <w:bottom w:val="single" w:sz="6" w:space="0" w:color="auto"/>
              <w:right w:val="nil"/>
            </w:tcBorders>
          </w:tcPr>
          <w:p w:rsidR="00336793" w:rsidRPr="00836A31" w:rsidRDefault="00336793" w:rsidP="00DF0B96">
            <w:pPr>
              <w:autoSpaceDE w:val="0"/>
              <w:autoSpaceDN w:val="0"/>
              <w:adjustRightInd w:val="0"/>
              <w:spacing w:after="0"/>
              <w:jc w:val="right"/>
              <w:rPr>
                <w:rFonts w:ascii="Calibri" w:eastAsiaTheme="minorEastAsia" w:hAnsi="Calibri" w:cs="Calibri"/>
                <w:sz w:val="20"/>
                <w:lang w:eastAsia="en-AU"/>
              </w:rPr>
            </w:pPr>
            <w:r w:rsidRPr="00836A31">
              <w:rPr>
                <w:rFonts w:ascii="Calibri" w:eastAsiaTheme="minorEastAsia" w:hAnsi="Calibri" w:cs="Calibri"/>
                <w:sz w:val="20"/>
                <w:lang w:eastAsia="en-AU"/>
              </w:rPr>
              <w:t>79 274.4</w:t>
            </w:r>
          </w:p>
        </w:tc>
      </w:tr>
      <w:tr w:rsidR="00336793" w:rsidRPr="00836A31" w:rsidTr="00DF0B96">
        <w:tc>
          <w:tcPr>
            <w:tcW w:w="4427" w:type="dxa"/>
            <w:tcBorders>
              <w:top w:val="single" w:sz="6" w:space="0" w:color="auto"/>
              <w:left w:val="nil"/>
              <w:bottom w:val="single" w:sz="12" w:space="0" w:color="000000"/>
              <w:right w:val="nil"/>
            </w:tcBorders>
            <w:shd w:val="clear" w:color="auto" w:fill="auto"/>
          </w:tcPr>
          <w:p w:rsidR="00336793" w:rsidRPr="00836A31" w:rsidRDefault="00336793" w:rsidP="00DF0B96">
            <w:pPr>
              <w:autoSpaceDE w:val="0"/>
              <w:autoSpaceDN w:val="0"/>
              <w:adjustRightInd w:val="0"/>
              <w:spacing w:after="0"/>
              <w:rPr>
                <w:rFonts w:ascii="Calibri" w:eastAsiaTheme="minorEastAsia" w:hAnsi="Calibri" w:cs="Calibri"/>
                <w:b/>
                <w:bCs/>
                <w:sz w:val="20"/>
                <w:lang w:eastAsia="en-AU"/>
              </w:rPr>
            </w:pPr>
            <w:r w:rsidRPr="00836A31">
              <w:rPr>
                <w:rFonts w:ascii="Calibri" w:eastAsiaTheme="minorEastAsia" w:hAnsi="Calibri" w:cs="Calibri"/>
                <w:b/>
                <w:bCs/>
                <w:sz w:val="20"/>
                <w:lang w:eastAsia="en-AU"/>
              </w:rPr>
              <w:t xml:space="preserve">Net worth </w:t>
            </w:r>
          </w:p>
        </w:tc>
        <w:tc>
          <w:tcPr>
            <w:tcW w:w="1080" w:type="dxa"/>
            <w:gridSpan w:val="3"/>
            <w:tcBorders>
              <w:top w:val="single" w:sz="6" w:space="0" w:color="auto"/>
              <w:left w:val="nil"/>
              <w:bottom w:val="single" w:sz="12" w:space="0" w:color="000000"/>
              <w:right w:val="nil"/>
            </w:tcBorders>
            <w:shd w:val="clear" w:color="auto" w:fill="auto"/>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123 632.1</w:t>
            </w:r>
          </w:p>
        </w:tc>
        <w:tc>
          <w:tcPr>
            <w:tcW w:w="1440" w:type="dxa"/>
            <w:tcBorders>
              <w:top w:val="single" w:sz="6" w:space="0" w:color="auto"/>
              <w:left w:val="nil"/>
              <w:bottom w:val="single" w:sz="12" w:space="0" w:color="000000"/>
              <w:right w:val="nil"/>
            </w:tcBorders>
            <w:shd w:val="clear" w:color="auto" w:fill="auto"/>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1 472.1</w:t>
            </w:r>
          </w:p>
        </w:tc>
        <w:tc>
          <w:tcPr>
            <w:tcW w:w="1287" w:type="dxa"/>
            <w:tcBorders>
              <w:top w:val="single" w:sz="6" w:space="0" w:color="auto"/>
              <w:left w:val="nil"/>
              <w:bottom w:val="single" w:sz="12" w:space="0" w:color="000000"/>
              <w:right w:val="nil"/>
            </w:tcBorders>
            <w:shd w:val="clear" w:color="auto" w:fill="auto"/>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 xml:space="preserve"> 81.6</w:t>
            </w:r>
          </w:p>
        </w:tc>
        <w:tc>
          <w:tcPr>
            <w:tcW w:w="1260" w:type="dxa"/>
            <w:gridSpan w:val="3"/>
            <w:tcBorders>
              <w:top w:val="single" w:sz="6" w:space="0" w:color="auto"/>
              <w:left w:val="nil"/>
              <w:bottom w:val="single" w:sz="12" w:space="0" w:color="000000"/>
              <w:right w:val="nil"/>
            </w:tcBorders>
            <w:shd w:val="clear" w:color="auto" w:fill="auto"/>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125 185.7</w:t>
            </w:r>
          </w:p>
        </w:tc>
        <w:tc>
          <w:tcPr>
            <w:tcW w:w="1071" w:type="dxa"/>
            <w:gridSpan w:val="2"/>
            <w:tcBorders>
              <w:top w:val="single" w:sz="6" w:space="0" w:color="auto"/>
              <w:left w:val="nil"/>
              <w:bottom w:val="single" w:sz="12" w:space="0" w:color="000000"/>
              <w:right w:val="nil"/>
            </w:tcBorders>
            <w:shd w:val="clear" w:color="auto" w:fill="auto"/>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120 182.6</w:t>
            </w:r>
          </w:p>
        </w:tc>
        <w:tc>
          <w:tcPr>
            <w:tcW w:w="1485" w:type="dxa"/>
            <w:tcBorders>
              <w:top w:val="single" w:sz="6" w:space="0" w:color="auto"/>
              <w:left w:val="nil"/>
              <w:bottom w:val="single" w:sz="12" w:space="0" w:color="000000"/>
              <w:right w:val="nil"/>
            </w:tcBorders>
            <w:shd w:val="clear" w:color="auto" w:fill="auto"/>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1 472.1</w:t>
            </w:r>
          </w:p>
        </w:tc>
        <w:tc>
          <w:tcPr>
            <w:tcW w:w="1260" w:type="dxa"/>
            <w:tcBorders>
              <w:top w:val="single" w:sz="6" w:space="0" w:color="auto"/>
              <w:left w:val="nil"/>
              <w:bottom w:val="single" w:sz="12" w:space="0" w:color="000000"/>
              <w:right w:val="nil"/>
            </w:tcBorders>
            <w:shd w:val="clear" w:color="auto" w:fill="auto"/>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 xml:space="preserve"> 81.6</w:t>
            </w:r>
          </w:p>
        </w:tc>
        <w:tc>
          <w:tcPr>
            <w:tcW w:w="1260" w:type="dxa"/>
            <w:gridSpan w:val="3"/>
            <w:tcBorders>
              <w:top w:val="single" w:sz="6" w:space="0" w:color="auto"/>
              <w:left w:val="nil"/>
              <w:bottom w:val="single" w:sz="12" w:space="0" w:color="000000"/>
              <w:right w:val="nil"/>
            </w:tcBorders>
            <w:shd w:val="clear" w:color="auto" w:fill="auto"/>
          </w:tcPr>
          <w:p w:rsidR="00336793" w:rsidRPr="00836A31" w:rsidRDefault="00336793" w:rsidP="00DF0B96">
            <w:pPr>
              <w:autoSpaceDE w:val="0"/>
              <w:autoSpaceDN w:val="0"/>
              <w:adjustRightInd w:val="0"/>
              <w:spacing w:after="0"/>
              <w:jc w:val="right"/>
              <w:rPr>
                <w:rFonts w:ascii="Calibri" w:eastAsiaTheme="minorEastAsia" w:hAnsi="Calibri" w:cs="Calibri"/>
                <w:b/>
                <w:bCs/>
                <w:sz w:val="20"/>
                <w:lang w:eastAsia="en-AU"/>
              </w:rPr>
            </w:pPr>
            <w:r w:rsidRPr="00836A31">
              <w:rPr>
                <w:rFonts w:ascii="Calibri" w:eastAsiaTheme="minorEastAsia" w:hAnsi="Calibri" w:cs="Calibri"/>
                <w:b/>
                <w:bCs/>
                <w:sz w:val="20"/>
                <w:lang w:eastAsia="en-AU"/>
              </w:rPr>
              <w:t>121 736.2</w:t>
            </w:r>
          </w:p>
        </w:tc>
      </w:tr>
    </w:tbl>
    <w:p w:rsidR="00336793" w:rsidRDefault="00336793" w:rsidP="00DF0B96">
      <w:pPr>
        <w:pStyle w:val="Notes"/>
      </w:pPr>
    </w:p>
    <w:p w:rsidR="00336793" w:rsidRDefault="00336793" w:rsidP="00DF0B96"/>
    <w:p w:rsidR="00336793" w:rsidRDefault="00336793" w:rsidP="00243E39">
      <w:r>
        <w:br w:type="page"/>
      </w:r>
    </w:p>
    <w:p w:rsidR="00336793" w:rsidRPr="006A75A2" w:rsidRDefault="00336793" w:rsidP="00243E39">
      <w:pPr>
        <w:pStyle w:val="Heading2NotesContd"/>
      </w:pPr>
      <w:r w:rsidRPr="006A75A2">
        <w:lastRenderedPageBreak/>
        <w:t>Note 37:</w:t>
      </w:r>
      <w:r w:rsidRPr="006A75A2">
        <w:tab/>
      </w:r>
      <w:r w:rsidRPr="00243E39">
        <w:t>Restatement</w:t>
      </w:r>
      <w:r w:rsidRPr="006A75A2">
        <w:t xml:space="preserve"> of 201</w:t>
      </w:r>
      <w:r>
        <w:t>3</w:t>
      </w:r>
      <w:r>
        <w:noBreakHyphen/>
        <w:t>14</w:t>
      </w:r>
      <w:r w:rsidRPr="006A75A2">
        <w:t xml:space="preserve"> </w:t>
      </w:r>
      <w:r w:rsidRPr="00243E39">
        <w:t>balances</w:t>
      </w:r>
      <w:r w:rsidRPr="006A75A2">
        <w:t xml:space="preserve"> </w:t>
      </w:r>
      <w:r>
        <w:t>and impact on 2014</w:t>
      </w:r>
      <w:r>
        <w:noBreakHyphen/>
        <w:t xml:space="preserve">15 balances </w:t>
      </w:r>
      <w:r w:rsidRPr="0058775D">
        <w:rPr>
          <w:i/>
        </w:rPr>
        <w:t>(continued)</w:t>
      </w:r>
    </w:p>
    <w:p w:rsidR="00336793" w:rsidRPr="006A75A2" w:rsidRDefault="00336793" w:rsidP="00DF0B96">
      <w:pPr>
        <w:pStyle w:val="Tableheading"/>
      </w:pPr>
      <w:r w:rsidRPr="00662F4A">
        <w:t xml:space="preserve">Restated balance sheet </w:t>
      </w:r>
      <w:r>
        <w:t>as at</w:t>
      </w:r>
      <w:r w:rsidRPr="00662F4A">
        <w:t xml:space="preserve"> 30 June</w:t>
      </w:r>
      <w:r>
        <w:t xml:space="preserve"> 2014 </w:t>
      </w:r>
      <w:r w:rsidRPr="00F137CE">
        <w:t>(Extract)</w:t>
      </w:r>
    </w:p>
    <w:p w:rsidR="00336793" w:rsidRPr="00DC4FF3" w:rsidRDefault="00336793" w:rsidP="00DF0B96">
      <w:pPr>
        <w:pStyle w:val="million"/>
        <w:rPr>
          <w:rFonts w:ascii="Times New Roman" w:hAnsi="Times New Roman"/>
          <w:i w:val="0"/>
          <w:szCs w:val="20"/>
          <w:lang w:eastAsia="en-AU"/>
        </w:rPr>
      </w:pPr>
      <w:r w:rsidRPr="006A75A2">
        <w:t>($</w:t>
      </w: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4427"/>
        <w:gridCol w:w="90"/>
        <w:gridCol w:w="360"/>
        <w:gridCol w:w="630"/>
        <w:gridCol w:w="1440"/>
        <w:gridCol w:w="1287"/>
        <w:gridCol w:w="783"/>
        <w:gridCol w:w="241"/>
        <w:gridCol w:w="236"/>
        <w:gridCol w:w="243"/>
        <w:gridCol w:w="810"/>
        <w:gridCol w:w="1467"/>
        <w:gridCol w:w="1296"/>
        <w:gridCol w:w="747"/>
        <w:gridCol w:w="270"/>
        <w:gridCol w:w="243"/>
      </w:tblGrid>
      <w:tr w:rsidR="00336793" w:rsidRPr="000E2555" w:rsidTr="00DF0B96">
        <w:tc>
          <w:tcPr>
            <w:tcW w:w="4517" w:type="dxa"/>
            <w:gridSpan w:val="2"/>
            <w:tcBorders>
              <w:top w:val="single" w:sz="6" w:space="0" w:color="auto"/>
              <w:left w:val="single" w:sz="6" w:space="0" w:color="auto"/>
              <w:bottom w:val="nil"/>
              <w:right w:val="nil"/>
            </w:tcBorders>
            <w:shd w:val="clear" w:color="000000" w:fill="000000"/>
          </w:tcPr>
          <w:p w:rsidR="00336793" w:rsidRPr="000E2555" w:rsidRDefault="00336793" w:rsidP="00DF0B96">
            <w:pPr>
              <w:pStyle w:val="Tabletextheading"/>
              <w:jc w:val="left"/>
              <w:rPr>
                <w:rFonts w:eastAsiaTheme="minorEastAsia"/>
                <w:color w:val="FFFFFF"/>
                <w:sz w:val="20"/>
                <w:lang w:eastAsia="en-AU"/>
              </w:rPr>
            </w:pPr>
            <w:r w:rsidRPr="000E2555">
              <w:rPr>
                <w:rFonts w:eastAsiaTheme="minorEastAsia"/>
                <w:color w:val="FFFFFF"/>
                <w:sz w:val="20"/>
                <w:lang w:eastAsia="en-AU"/>
              </w:rPr>
              <w:t xml:space="preserve"> </w:t>
            </w:r>
          </w:p>
        </w:tc>
        <w:tc>
          <w:tcPr>
            <w:tcW w:w="360" w:type="dxa"/>
            <w:tcBorders>
              <w:top w:val="single" w:sz="6" w:space="0" w:color="auto"/>
              <w:left w:val="nil"/>
              <w:bottom w:val="single" w:sz="6" w:space="0" w:color="FFFFFF" w:themeColor="background1"/>
              <w:right w:val="nil"/>
            </w:tcBorders>
            <w:shd w:val="clear" w:color="000000" w:fill="000000"/>
          </w:tcPr>
          <w:p w:rsidR="00336793" w:rsidRPr="000E2555" w:rsidRDefault="00336793" w:rsidP="00DF0B96">
            <w:pPr>
              <w:pStyle w:val="Tabletextheading"/>
              <w:jc w:val="center"/>
              <w:rPr>
                <w:rFonts w:eastAsiaTheme="minorEastAsia" w:cs="Calibri"/>
                <w:iCs/>
                <w:color w:val="FFFFFF"/>
                <w:sz w:val="20"/>
                <w:lang w:eastAsia="en-AU"/>
              </w:rPr>
            </w:pPr>
            <w:r w:rsidRPr="000E2555">
              <w:rPr>
                <w:rFonts w:eastAsiaTheme="minorEastAsia"/>
                <w:color w:val="FFFFFF"/>
                <w:sz w:val="20"/>
                <w:lang w:eastAsia="en-AU"/>
              </w:rPr>
              <w:t xml:space="preserve">  </w:t>
            </w:r>
          </w:p>
        </w:tc>
        <w:tc>
          <w:tcPr>
            <w:tcW w:w="4140" w:type="dxa"/>
            <w:gridSpan w:val="4"/>
            <w:tcBorders>
              <w:top w:val="single" w:sz="6" w:space="0" w:color="auto"/>
              <w:left w:val="nil"/>
              <w:bottom w:val="single" w:sz="6" w:space="0" w:color="FFFFFF" w:themeColor="background1"/>
              <w:right w:val="nil"/>
            </w:tcBorders>
            <w:shd w:val="clear" w:color="000000" w:fill="000000"/>
          </w:tcPr>
          <w:p w:rsidR="00336793" w:rsidRPr="000E2555" w:rsidRDefault="00336793" w:rsidP="00DF0B96">
            <w:pPr>
              <w:pStyle w:val="Tabletextheading"/>
              <w:jc w:val="center"/>
              <w:rPr>
                <w:rFonts w:eastAsiaTheme="minorEastAsia" w:cs="Calibri"/>
                <w:iCs/>
                <w:color w:val="FFFFFF"/>
                <w:sz w:val="20"/>
                <w:lang w:eastAsia="en-AU"/>
              </w:rPr>
            </w:pPr>
            <w:r w:rsidRPr="000E2555">
              <w:rPr>
                <w:rFonts w:eastAsiaTheme="minorEastAsia"/>
                <w:color w:val="FFFFFF"/>
                <w:sz w:val="20"/>
                <w:lang w:eastAsia="en-AU"/>
              </w:rPr>
              <w:t>State of Victoria</w:t>
            </w:r>
          </w:p>
        </w:tc>
        <w:tc>
          <w:tcPr>
            <w:tcW w:w="241" w:type="dxa"/>
            <w:tcBorders>
              <w:top w:val="single" w:sz="6" w:space="0" w:color="auto"/>
              <w:left w:val="nil"/>
              <w:bottom w:val="single" w:sz="6" w:space="0" w:color="FFFFFF" w:themeColor="background1"/>
              <w:right w:val="nil"/>
            </w:tcBorders>
            <w:shd w:val="clear" w:color="000000" w:fill="000000"/>
          </w:tcPr>
          <w:p w:rsidR="00336793" w:rsidRPr="000E2555" w:rsidRDefault="00336793" w:rsidP="00DF0B96">
            <w:pPr>
              <w:pStyle w:val="Tabletextheading"/>
              <w:jc w:val="center"/>
              <w:rPr>
                <w:rFonts w:eastAsiaTheme="minorEastAsia" w:cs="Calibri"/>
                <w:iCs/>
                <w:color w:val="FFFFFF"/>
                <w:sz w:val="20"/>
                <w:lang w:eastAsia="en-AU"/>
              </w:rPr>
            </w:pPr>
          </w:p>
        </w:tc>
        <w:tc>
          <w:tcPr>
            <w:tcW w:w="236" w:type="dxa"/>
            <w:tcBorders>
              <w:top w:val="single" w:sz="6" w:space="0" w:color="auto"/>
              <w:left w:val="nil"/>
              <w:bottom w:val="single" w:sz="6" w:space="0" w:color="FFFFFF" w:themeColor="background1"/>
              <w:right w:val="nil"/>
            </w:tcBorders>
            <w:shd w:val="clear" w:color="000000" w:fill="000000"/>
          </w:tcPr>
          <w:p w:rsidR="00336793" w:rsidRPr="000E2555" w:rsidRDefault="00336793" w:rsidP="00DF0B96">
            <w:pPr>
              <w:pStyle w:val="Tabletextheading"/>
              <w:jc w:val="center"/>
              <w:rPr>
                <w:rFonts w:eastAsiaTheme="minorEastAsia" w:cs="Calibri"/>
                <w:iCs/>
                <w:color w:val="FFFFFF"/>
                <w:sz w:val="20"/>
                <w:lang w:eastAsia="en-AU"/>
              </w:rPr>
            </w:pPr>
          </w:p>
        </w:tc>
        <w:tc>
          <w:tcPr>
            <w:tcW w:w="243" w:type="dxa"/>
            <w:tcBorders>
              <w:top w:val="single" w:sz="6" w:space="0" w:color="auto"/>
              <w:left w:val="nil"/>
              <w:bottom w:val="nil"/>
              <w:right w:val="nil"/>
            </w:tcBorders>
            <w:shd w:val="clear" w:color="000000" w:fill="000000"/>
          </w:tcPr>
          <w:p w:rsidR="00336793" w:rsidRPr="000E2555" w:rsidRDefault="00336793" w:rsidP="00DF0B96">
            <w:pPr>
              <w:pStyle w:val="Tabletextheading"/>
              <w:jc w:val="center"/>
              <w:rPr>
                <w:rFonts w:eastAsiaTheme="minorEastAsia" w:cs="Calibri"/>
                <w:iCs/>
                <w:color w:val="FFFFFF"/>
                <w:sz w:val="20"/>
                <w:lang w:eastAsia="en-AU"/>
              </w:rPr>
            </w:pPr>
          </w:p>
        </w:tc>
        <w:tc>
          <w:tcPr>
            <w:tcW w:w="4320" w:type="dxa"/>
            <w:gridSpan w:val="4"/>
            <w:tcBorders>
              <w:top w:val="single" w:sz="6" w:space="0" w:color="auto"/>
              <w:left w:val="nil"/>
              <w:bottom w:val="nil"/>
              <w:right w:val="nil"/>
            </w:tcBorders>
            <w:shd w:val="clear" w:color="000000" w:fill="000000"/>
          </w:tcPr>
          <w:p w:rsidR="00336793" w:rsidRPr="000E2555" w:rsidRDefault="00336793" w:rsidP="00DF0B96">
            <w:pPr>
              <w:pStyle w:val="Tabletextheading"/>
              <w:jc w:val="center"/>
              <w:rPr>
                <w:rFonts w:eastAsiaTheme="minorEastAsia" w:cs="Calibri"/>
                <w:iCs/>
                <w:color w:val="FFFFFF"/>
                <w:sz w:val="20"/>
                <w:lang w:eastAsia="en-AU"/>
              </w:rPr>
            </w:pPr>
            <w:r w:rsidRPr="000E2555">
              <w:rPr>
                <w:rFonts w:eastAsiaTheme="minorEastAsia"/>
                <w:color w:val="FFFFFF"/>
                <w:sz w:val="20"/>
                <w:lang w:eastAsia="en-AU"/>
              </w:rPr>
              <w:t>General government sector</w:t>
            </w:r>
          </w:p>
        </w:tc>
        <w:tc>
          <w:tcPr>
            <w:tcW w:w="270" w:type="dxa"/>
            <w:tcBorders>
              <w:top w:val="single" w:sz="6" w:space="0" w:color="auto"/>
              <w:left w:val="nil"/>
              <w:bottom w:val="nil"/>
              <w:right w:val="nil"/>
            </w:tcBorders>
            <w:shd w:val="clear" w:color="000000" w:fill="000000"/>
          </w:tcPr>
          <w:p w:rsidR="00336793" w:rsidRPr="000E2555" w:rsidRDefault="00336793" w:rsidP="00DF0B96">
            <w:pPr>
              <w:pStyle w:val="Tabletextheading"/>
              <w:rPr>
                <w:rFonts w:eastAsiaTheme="minorEastAsia" w:cs="Calibri"/>
                <w:iCs/>
                <w:color w:val="FFFFFF"/>
                <w:sz w:val="20"/>
                <w:lang w:eastAsia="en-AU"/>
              </w:rPr>
            </w:pPr>
            <w:r w:rsidRPr="000E2555">
              <w:rPr>
                <w:rFonts w:eastAsiaTheme="minorEastAsia"/>
                <w:color w:val="FFFFFF"/>
                <w:sz w:val="20"/>
                <w:lang w:eastAsia="en-AU"/>
              </w:rPr>
              <w:t xml:space="preserve"> </w:t>
            </w:r>
          </w:p>
        </w:tc>
        <w:tc>
          <w:tcPr>
            <w:tcW w:w="243" w:type="dxa"/>
            <w:tcBorders>
              <w:top w:val="single" w:sz="6" w:space="0" w:color="auto"/>
              <w:left w:val="nil"/>
              <w:bottom w:val="nil"/>
              <w:right w:val="single" w:sz="6" w:space="0" w:color="auto"/>
            </w:tcBorders>
            <w:shd w:val="clear" w:color="000000" w:fill="000000"/>
          </w:tcPr>
          <w:p w:rsidR="00336793" w:rsidRPr="000E2555" w:rsidRDefault="00336793" w:rsidP="00DF0B96">
            <w:pPr>
              <w:pStyle w:val="Tabletextheading"/>
              <w:rPr>
                <w:rFonts w:eastAsiaTheme="minorEastAsia" w:cs="Calibri"/>
                <w:iCs/>
                <w:color w:val="FFFFFF"/>
                <w:sz w:val="20"/>
                <w:lang w:eastAsia="en-AU"/>
              </w:rPr>
            </w:pPr>
            <w:r w:rsidRPr="000E2555">
              <w:rPr>
                <w:rFonts w:eastAsiaTheme="minorEastAsia"/>
                <w:color w:val="FFFFFF"/>
                <w:sz w:val="20"/>
                <w:lang w:eastAsia="en-AU"/>
              </w:rPr>
              <w:t xml:space="preserve"> </w:t>
            </w:r>
          </w:p>
        </w:tc>
      </w:tr>
      <w:tr w:rsidR="00336793" w:rsidRPr="000E2555" w:rsidTr="00DF0B96">
        <w:tc>
          <w:tcPr>
            <w:tcW w:w="4427" w:type="dxa"/>
            <w:tcBorders>
              <w:left w:val="single" w:sz="6" w:space="0" w:color="auto"/>
              <w:bottom w:val="single" w:sz="6" w:space="0" w:color="auto"/>
              <w:right w:val="nil"/>
            </w:tcBorders>
            <w:shd w:val="clear" w:color="000000" w:fill="000000"/>
            <w:vAlign w:val="bottom"/>
          </w:tcPr>
          <w:p w:rsidR="00336793" w:rsidRPr="000E2555" w:rsidRDefault="00336793" w:rsidP="00DF0B96">
            <w:pPr>
              <w:pStyle w:val="Tabletextheading"/>
              <w:jc w:val="left"/>
              <w:rPr>
                <w:rFonts w:eastAsiaTheme="minorEastAsia"/>
                <w:color w:val="FFFFFF"/>
                <w:sz w:val="20"/>
                <w:lang w:eastAsia="en-AU"/>
              </w:rPr>
            </w:pPr>
            <w:r w:rsidRPr="000E2555">
              <w:rPr>
                <w:rFonts w:eastAsiaTheme="minorEastAsia"/>
                <w:color w:val="FFFFFF"/>
                <w:sz w:val="20"/>
                <w:lang w:eastAsia="en-AU"/>
              </w:rPr>
              <w:t>30 June 2014</w:t>
            </w:r>
          </w:p>
        </w:tc>
        <w:tc>
          <w:tcPr>
            <w:tcW w:w="1080" w:type="dxa"/>
            <w:gridSpan w:val="3"/>
            <w:tcBorders>
              <w:left w:val="nil"/>
              <w:bottom w:val="single" w:sz="6" w:space="0" w:color="auto"/>
              <w:right w:val="nil"/>
            </w:tcBorders>
            <w:shd w:val="clear" w:color="000000" w:fill="000000"/>
            <w:vAlign w:val="bottom"/>
          </w:tcPr>
          <w:p w:rsidR="00336793" w:rsidRPr="000E2555" w:rsidRDefault="00336793" w:rsidP="00DF0B96">
            <w:pPr>
              <w:pStyle w:val="Tabletextheading"/>
              <w:rPr>
                <w:rFonts w:eastAsiaTheme="minorEastAsia"/>
                <w:color w:val="FFFFFF"/>
                <w:sz w:val="20"/>
                <w:lang w:eastAsia="en-AU"/>
              </w:rPr>
            </w:pPr>
            <w:r w:rsidRPr="000E2555">
              <w:rPr>
                <w:rFonts w:eastAsiaTheme="minorEastAsia"/>
                <w:color w:val="FFFFFF"/>
                <w:sz w:val="20"/>
                <w:lang w:eastAsia="en-AU"/>
              </w:rPr>
              <w:t>Published</w:t>
            </w:r>
          </w:p>
        </w:tc>
        <w:tc>
          <w:tcPr>
            <w:tcW w:w="1440" w:type="dxa"/>
            <w:tcBorders>
              <w:left w:val="nil"/>
              <w:bottom w:val="single" w:sz="6" w:space="0" w:color="auto"/>
              <w:right w:val="nil"/>
            </w:tcBorders>
            <w:shd w:val="clear" w:color="000000" w:fill="000000"/>
            <w:vAlign w:val="bottom"/>
          </w:tcPr>
          <w:p w:rsidR="00336793" w:rsidRPr="000E2555" w:rsidRDefault="00336793" w:rsidP="00DF0B96">
            <w:pPr>
              <w:pStyle w:val="Tabletextheading"/>
              <w:rPr>
                <w:rFonts w:eastAsiaTheme="minorEastAsia"/>
                <w:color w:val="FFFFFF"/>
                <w:sz w:val="20"/>
                <w:lang w:eastAsia="en-AU"/>
              </w:rPr>
            </w:pPr>
            <w:r w:rsidRPr="000E2555">
              <w:rPr>
                <w:rFonts w:eastAsiaTheme="minorEastAsia"/>
                <w:color w:val="FFFFFF"/>
                <w:sz w:val="20"/>
                <w:lang w:eastAsia="en-AU"/>
              </w:rPr>
              <w:t>Effect of change in accounting policy</w:t>
            </w:r>
          </w:p>
        </w:tc>
        <w:tc>
          <w:tcPr>
            <w:tcW w:w="1287" w:type="dxa"/>
            <w:tcBorders>
              <w:left w:val="nil"/>
              <w:bottom w:val="single" w:sz="6" w:space="0" w:color="auto"/>
              <w:right w:val="nil"/>
            </w:tcBorders>
            <w:shd w:val="clear" w:color="000000" w:fill="000000"/>
            <w:vAlign w:val="bottom"/>
          </w:tcPr>
          <w:p w:rsidR="00336793" w:rsidRPr="000E2555" w:rsidRDefault="00336793" w:rsidP="00DF0B96">
            <w:pPr>
              <w:pStyle w:val="Tabletextheading"/>
              <w:rPr>
                <w:rFonts w:eastAsiaTheme="minorEastAsia"/>
                <w:color w:val="FFFFFF"/>
                <w:sz w:val="20"/>
                <w:lang w:eastAsia="en-AU"/>
              </w:rPr>
            </w:pPr>
            <w:r w:rsidRPr="000E2555">
              <w:rPr>
                <w:rFonts w:eastAsiaTheme="minorEastAsia"/>
                <w:color w:val="FFFFFF"/>
                <w:sz w:val="20"/>
                <w:lang w:eastAsia="en-AU"/>
              </w:rPr>
              <w:t>Other restatements</w:t>
            </w:r>
          </w:p>
        </w:tc>
        <w:tc>
          <w:tcPr>
            <w:tcW w:w="1260" w:type="dxa"/>
            <w:gridSpan w:val="3"/>
            <w:tcBorders>
              <w:left w:val="nil"/>
              <w:bottom w:val="single" w:sz="6" w:space="0" w:color="auto"/>
              <w:right w:val="nil"/>
            </w:tcBorders>
            <w:shd w:val="clear" w:color="000000" w:fill="000000"/>
            <w:vAlign w:val="bottom"/>
          </w:tcPr>
          <w:p w:rsidR="00336793" w:rsidRPr="000E2555" w:rsidRDefault="00336793" w:rsidP="00DF0B96">
            <w:pPr>
              <w:pStyle w:val="Tabletextheading"/>
              <w:rPr>
                <w:rFonts w:eastAsiaTheme="minorEastAsia"/>
                <w:color w:val="FFFFFF"/>
                <w:sz w:val="20"/>
                <w:lang w:eastAsia="en-AU"/>
              </w:rPr>
            </w:pPr>
            <w:r w:rsidRPr="000E2555">
              <w:rPr>
                <w:rFonts w:eastAsiaTheme="minorEastAsia"/>
                <w:color w:val="FFFFFF"/>
                <w:sz w:val="20"/>
                <w:lang w:eastAsia="en-AU"/>
              </w:rPr>
              <w:t>Restated</w:t>
            </w:r>
          </w:p>
        </w:tc>
        <w:tc>
          <w:tcPr>
            <w:tcW w:w="1053" w:type="dxa"/>
            <w:gridSpan w:val="2"/>
            <w:tcBorders>
              <w:left w:val="nil"/>
              <w:bottom w:val="single" w:sz="6" w:space="0" w:color="auto"/>
              <w:right w:val="nil"/>
            </w:tcBorders>
            <w:shd w:val="clear" w:color="000000" w:fill="000000"/>
            <w:vAlign w:val="bottom"/>
          </w:tcPr>
          <w:p w:rsidR="00336793" w:rsidRPr="000E2555" w:rsidRDefault="00336793" w:rsidP="00DF0B96">
            <w:pPr>
              <w:pStyle w:val="Tabletextheading"/>
              <w:rPr>
                <w:rFonts w:eastAsiaTheme="minorEastAsia"/>
                <w:color w:val="FFFFFF"/>
                <w:sz w:val="20"/>
                <w:lang w:eastAsia="en-AU"/>
              </w:rPr>
            </w:pPr>
            <w:r w:rsidRPr="000E2555">
              <w:rPr>
                <w:rFonts w:eastAsiaTheme="minorEastAsia"/>
                <w:color w:val="FFFFFF"/>
                <w:sz w:val="20"/>
                <w:lang w:eastAsia="en-AU"/>
              </w:rPr>
              <w:t>Published</w:t>
            </w:r>
          </w:p>
        </w:tc>
        <w:tc>
          <w:tcPr>
            <w:tcW w:w="1467" w:type="dxa"/>
            <w:tcBorders>
              <w:left w:val="nil"/>
              <w:bottom w:val="single" w:sz="6" w:space="0" w:color="auto"/>
              <w:right w:val="nil"/>
            </w:tcBorders>
            <w:shd w:val="clear" w:color="000000" w:fill="000000"/>
            <w:vAlign w:val="bottom"/>
          </w:tcPr>
          <w:p w:rsidR="00336793" w:rsidRPr="000E2555" w:rsidRDefault="00336793" w:rsidP="00DF0B96">
            <w:pPr>
              <w:pStyle w:val="Tabletextheading"/>
              <w:rPr>
                <w:rFonts w:eastAsiaTheme="minorEastAsia"/>
                <w:color w:val="FFFFFF"/>
                <w:sz w:val="20"/>
                <w:lang w:eastAsia="en-AU"/>
              </w:rPr>
            </w:pPr>
            <w:r w:rsidRPr="000E2555">
              <w:rPr>
                <w:rFonts w:eastAsiaTheme="minorEastAsia"/>
                <w:color w:val="FFFFFF"/>
                <w:sz w:val="20"/>
                <w:lang w:eastAsia="en-AU"/>
              </w:rPr>
              <w:t>Effect of change in accounting policy</w:t>
            </w:r>
          </w:p>
        </w:tc>
        <w:tc>
          <w:tcPr>
            <w:tcW w:w="1296" w:type="dxa"/>
            <w:tcBorders>
              <w:left w:val="nil"/>
              <w:bottom w:val="single" w:sz="6" w:space="0" w:color="auto"/>
              <w:right w:val="nil"/>
            </w:tcBorders>
            <w:shd w:val="clear" w:color="000000" w:fill="000000"/>
            <w:vAlign w:val="bottom"/>
          </w:tcPr>
          <w:p w:rsidR="00336793" w:rsidRPr="000E2555" w:rsidRDefault="00336793" w:rsidP="00DF0B96">
            <w:pPr>
              <w:pStyle w:val="Tabletextheading"/>
              <w:rPr>
                <w:rFonts w:eastAsiaTheme="minorEastAsia"/>
                <w:color w:val="FFFFFF"/>
                <w:sz w:val="20"/>
                <w:lang w:eastAsia="en-AU"/>
              </w:rPr>
            </w:pPr>
            <w:r w:rsidRPr="000E2555">
              <w:rPr>
                <w:rFonts w:eastAsiaTheme="minorEastAsia"/>
                <w:color w:val="FFFFFF"/>
                <w:sz w:val="20"/>
                <w:lang w:eastAsia="en-AU"/>
              </w:rPr>
              <w:t>Other restatements</w:t>
            </w:r>
          </w:p>
        </w:tc>
        <w:tc>
          <w:tcPr>
            <w:tcW w:w="1260" w:type="dxa"/>
            <w:gridSpan w:val="3"/>
            <w:tcBorders>
              <w:left w:val="nil"/>
              <w:bottom w:val="single" w:sz="6" w:space="0" w:color="auto"/>
              <w:right w:val="single" w:sz="6" w:space="0" w:color="auto"/>
            </w:tcBorders>
            <w:shd w:val="clear" w:color="000000" w:fill="000000"/>
            <w:vAlign w:val="bottom"/>
          </w:tcPr>
          <w:p w:rsidR="00336793" w:rsidRPr="000E2555" w:rsidRDefault="00336793" w:rsidP="00DF0B96">
            <w:pPr>
              <w:pStyle w:val="Tabletextheading"/>
              <w:rPr>
                <w:rFonts w:eastAsiaTheme="minorEastAsia"/>
                <w:color w:val="FFFFFF"/>
                <w:sz w:val="20"/>
                <w:lang w:eastAsia="en-AU"/>
              </w:rPr>
            </w:pPr>
            <w:r w:rsidRPr="000E2555">
              <w:rPr>
                <w:rFonts w:eastAsiaTheme="minorEastAsia"/>
                <w:color w:val="FFFFFF"/>
                <w:sz w:val="20"/>
                <w:lang w:eastAsia="en-AU"/>
              </w:rPr>
              <w:t>Restated</w:t>
            </w:r>
          </w:p>
        </w:tc>
      </w:tr>
      <w:tr w:rsidR="00336793" w:rsidRPr="000E2555" w:rsidTr="00DF0B96">
        <w:tc>
          <w:tcPr>
            <w:tcW w:w="4427" w:type="dxa"/>
            <w:tcBorders>
              <w:top w:val="single" w:sz="6" w:space="0" w:color="auto"/>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0"/>
                <w:lang w:eastAsia="en-AU"/>
              </w:rPr>
            </w:pPr>
            <w:r w:rsidRPr="000E2555">
              <w:rPr>
                <w:rFonts w:ascii="Calibri" w:eastAsiaTheme="minorEastAsia" w:hAnsi="Calibri" w:cs="Calibri"/>
                <w:b/>
                <w:bCs/>
                <w:sz w:val="20"/>
                <w:lang w:eastAsia="en-AU"/>
              </w:rPr>
              <w:t>Assets</w:t>
            </w:r>
          </w:p>
        </w:tc>
        <w:tc>
          <w:tcPr>
            <w:tcW w:w="1080" w:type="dxa"/>
            <w:gridSpan w:val="3"/>
            <w:tcBorders>
              <w:top w:val="single" w:sz="6" w:space="0" w:color="auto"/>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440" w:type="dxa"/>
            <w:tcBorders>
              <w:top w:val="single" w:sz="6" w:space="0" w:color="auto"/>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87" w:type="dxa"/>
            <w:tcBorders>
              <w:top w:val="single" w:sz="6" w:space="0" w:color="auto"/>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60" w:type="dxa"/>
            <w:gridSpan w:val="3"/>
            <w:tcBorders>
              <w:top w:val="single" w:sz="6" w:space="0" w:color="auto"/>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053" w:type="dxa"/>
            <w:gridSpan w:val="2"/>
            <w:tcBorders>
              <w:top w:val="single" w:sz="6" w:space="0" w:color="auto"/>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467" w:type="dxa"/>
            <w:tcBorders>
              <w:top w:val="single" w:sz="6" w:space="0" w:color="auto"/>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96" w:type="dxa"/>
            <w:tcBorders>
              <w:top w:val="single" w:sz="6" w:space="0" w:color="auto"/>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60" w:type="dxa"/>
            <w:gridSpan w:val="3"/>
            <w:tcBorders>
              <w:top w:val="single" w:sz="6" w:space="0" w:color="auto"/>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0"/>
                <w:lang w:eastAsia="en-AU"/>
              </w:rPr>
            </w:pPr>
            <w:r w:rsidRPr="000E2555">
              <w:rPr>
                <w:rFonts w:ascii="Calibri" w:eastAsiaTheme="minorEastAsia" w:hAnsi="Calibri" w:cs="Calibri"/>
                <w:b/>
                <w:bCs/>
                <w:sz w:val="20"/>
                <w:lang w:eastAsia="en-AU"/>
              </w:rPr>
              <w:t>Financial assets</w:t>
            </w:r>
          </w:p>
        </w:tc>
        <w:tc>
          <w:tcPr>
            <w:tcW w:w="1080" w:type="dxa"/>
            <w:gridSpan w:val="3"/>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440" w:type="dxa"/>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87" w:type="dxa"/>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053" w:type="dxa"/>
            <w:gridSpan w:val="2"/>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467" w:type="dxa"/>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96" w:type="dxa"/>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Cash and deposits</w:t>
            </w:r>
          </w:p>
        </w:tc>
        <w:tc>
          <w:tcPr>
            <w:tcW w:w="108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8 200.7</w:t>
            </w:r>
          </w:p>
        </w:tc>
        <w:tc>
          <w:tcPr>
            <w:tcW w:w="1440"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87"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81.3</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8 282.0</w:t>
            </w:r>
          </w:p>
        </w:tc>
        <w:tc>
          <w:tcPr>
            <w:tcW w:w="1053"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4 500.9</w:t>
            </w:r>
          </w:p>
        </w:tc>
        <w:tc>
          <w:tcPr>
            <w:tcW w:w="1467"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96"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81.3</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4 582.2</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Investments, loans and placements</w:t>
            </w:r>
          </w:p>
        </w:tc>
        <w:tc>
          <w:tcPr>
            <w:tcW w:w="108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29 768.8</w:t>
            </w:r>
          </w:p>
        </w:tc>
        <w:tc>
          <w:tcPr>
            <w:tcW w:w="1440"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87"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13.5)</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29 755.3</w:t>
            </w:r>
          </w:p>
        </w:tc>
        <w:tc>
          <w:tcPr>
            <w:tcW w:w="1053"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3 117.6</w:t>
            </w:r>
          </w:p>
        </w:tc>
        <w:tc>
          <w:tcPr>
            <w:tcW w:w="1467"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96"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81.3)</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3 036.3</w:t>
            </w:r>
          </w:p>
        </w:tc>
      </w:tr>
      <w:tr w:rsidR="00336793" w:rsidRPr="000E2555" w:rsidTr="00DF0B96">
        <w:tc>
          <w:tcPr>
            <w:tcW w:w="4427" w:type="dxa"/>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0"/>
                <w:lang w:eastAsia="en-AU"/>
              </w:rPr>
            </w:pPr>
            <w:r w:rsidRPr="000E2555">
              <w:rPr>
                <w:rFonts w:ascii="Calibri" w:eastAsiaTheme="minorEastAsia" w:hAnsi="Calibri" w:cs="Calibri"/>
                <w:b/>
                <w:bCs/>
                <w:sz w:val="20"/>
                <w:lang w:eastAsia="en-AU"/>
              </w:rPr>
              <w:t>Total financial assets</w:t>
            </w:r>
          </w:p>
        </w:tc>
        <w:tc>
          <w:tcPr>
            <w:tcW w:w="1080" w:type="dxa"/>
            <w:gridSpan w:val="3"/>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47 716.2</w:t>
            </w:r>
          </w:p>
        </w:tc>
        <w:tc>
          <w:tcPr>
            <w:tcW w:w="1440" w:type="dxa"/>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w:t>
            </w:r>
          </w:p>
        </w:tc>
        <w:tc>
          <w:tcPr>
            <w:tcW w:w="1287" w:type="dxa"/>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 67.9</w:t>
            </w:r>
          </w:p>
        </w:tc>
        <w:tc>
          <w:tcPr>
            <w:tcW w:w="1260" w:type="dxa"/>
            <w:gridSpan w:val="3"/>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47 784.1</w:t>
            </w:r>
          </w:p>
        </w:tc>
        <w:tc>
          <w:tcPr>
            <w:tcW w:w="1053" w:type="dxa"/>
            <w:gridSpan w:val="2"/>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93 059.4</w:t>
            </w:r>
          </w:p>
        </w:tc>
        <w:tc>
          <w:tcPr>
            <w:tcW w:w="1467" w:type="dxa"/>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w:t>
            </w:r>
          </w:p>
        </w:tc>
        <w:tc>
          <w:tcPr>
            <w:tcW w:w="1296" w:type="dxa"/>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Pr>
                <w:rFonts w:ascii="Calibri" w:eastAsiaTheme="minorEastAsia" w:hAnsi="Calibri" w:cs="Calibri"/>
                <w:b/>
                <w:bCs/>
                <w:sz w:val="20"/>
                <w:lang w:eastAsia="en-AU"/>
              </w:rPr>
              <w:t>..</w:t>
            </w:r>
          </w:p>
        </w:tc>
        <w:tc>
          <w:tcPr>
            <w:tcW w:w="1260" w:type="dxa"/>
            <w:gridSpan w:val="3"/>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93 059.4</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0"/>
                <w:lang w:eastAsia="en-AU"/>
              </w:rPr>
            </w:pPr>
            <w:r w:rsidRPr="000E2555">
              <w:rPr>
                <w:rFonts w:ascii="Calibri" w:eastAsiaTheme="minorEastAsia" w:hAnsi="Calibri" w:cs="Calibri"/>
                <w:b/>
                <w:bCs/>
                <w:sz w:val="20"/>
                <w:lang w:eastAsia="en-AU"/>
              </w:rPr>
              <w:t>Non</w:t>
            </w:r>
            <w:r>
              <w:rPr>
                <w:rFonts w:ascii="Calibri" w:eastAsiaTheme="minorEastAsia" w:hAnsi="Calibri" w:cs="Calibri"/>
                <w:b/>
                <w:bCs/>
                <w:sz w:val="20"/>
                <w:lang w:eastAsia="en-AU"/>
              </w:rPr>
              <w:noBreakHyphen/>
            </w:r>
            <w:r w:rsidRPr="000E2555">
              <w:rPr>
                <w:rFonts w:ascii="Calibri" w:eastAsiaTheme="minorEastAsia" w:hAnsi="Calibri" w:cs="Calibri"/>
                <w:b/>
                <w:bCs/>
                <w:sz w:val="20"/>
                <w:lang w:eastAsia="en-AU"/>
              </w:rPr>
              <w:t>financial assets</w:t>
            </w:r>
          </w:p>
        </w:tc>
        <w:tc>
          <w:tcPr>
            <w:tcW w:w="1080" w:type="dxa"/>
            <w:gridSpan w:val="3"/>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440" w:type="dxa"/>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87" w:type="dxa"/>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053" w:type="dxa"/>
            <w:gridSpan w:val="2"/>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467" w:type="dxa"/>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96" w:type="dxa"/>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Inventories</w:t>
            </w:r>
          </w:p>
        </w:tc>
        <w:tc>
          <w:tcPr>
            <w:tcW w:w="108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802.2</w:t>
            </w:r>
          </w:p>
        </w:tc>
        <w:tc>
          <w:tcPr>
            <w:tcW w:w="1440"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87"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16.8)</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785.4</w:t>
            </w:r>
          </w:p>
        </w:tc>
        <w:tc>
          <w:tcPr>
            <w:tcW w:w="1053" w:type="dxa"/>
            <w:gridSpan w:val="2"/>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176.6</w:t>
            </w:r>
          </w:p>
        </w:tc>
        <w:tc>
          <w:tcPr>
            <w:tcW w:w="1467"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96" w:type="dxa"/>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16.8)</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159.8</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Non</w:t>
            </w:r>
            <w:r>
              <w:rPr>
                <w:rFonts w:ascii="Calibri" w:eastAsiaTheme="minorEastAsia" w:hAnsi="Calibri" w:cs="Calibri"/>
                <w:sz w:val="20"/>
                <w:lang w:eastAsia="en-AU"/>
              </w:rPr>
              <w:noBreakHyphen/>
            </w:r>
            <w:r w:rsidRPr="000E2555">
              <w:rPr>
                <w:rFonts w:ascii="Calibri" w:eastAsiaTheme="minorEastAsia" w:hAnsi="Calibri" w:cs="Calibri"/>
                <w:sz w:val="20"/>
                <w:lang w:eastAsia="en-AU"/>
              </w:rPr>
              <w:t>financial assets held for sale</w:t>
            </w:r>
          </w:p>
        </w:tc>
        <w:tc>
          <w:tcPr>
            <w:tcW w:w="108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166.6</w:t>
            </w:r>
          </w:p>
        </w:tc>
        <w:tc>
          <w:tcPr>
            <w:tcW w:w="1440"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8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4.7)</w:t>
            </w:r>
          </w:p>
        </w:tc>
        <w:tc>
          <w:tcPr>
            <w:tcW w:w="126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161.9</w:t>
            </w:r>
          </w:p>
        </w:tc>
        <w:tc>
          <w:tcPr>
            <w:tcW w:w="1053" w:type="dxa"/>
            <w:gridSpan w:val="2"/>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142.5</w:t>
            </w:r>
          </w:p>
        </w:tc>
        <w:tc>
          <w:tcPr>
            <w:tcW w:w="146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96"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4.7)</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137.8</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 xml:space="preserve">Land, buildings, infrastructure, plant and equipment </w:t>
            </w:r>
          </w:p>
        </w:tc>
        <w:tc>
          <w:tcPr>
            <w:tcW w:w="108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197 137.0</w:t>
            </w:r>
          </w:p>
        </w:tc>
        <w:tc>
          <w:tcPr>
            <w:tcW w:w="1440"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1 456.4</w:t>
            </w:r>
          </w:p>
        </w:tc>
        <w:tc>
          <w:tcPr>
            <w:tcW w:w="128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101.7)</w:t>
            </w:r>
          </w:p>
        </w:tc>
        <w:tc>
          <w:tcPr>
            <w:tcW w:w="126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198 491.7</w:t>
            </w:r>
          </w:p>
        </w:tc>
        <w:tc>
          <w:tcPr>
            <w:tcW w:w="1053" w:type="dxa"/>
            <w:gridSpan w:val="2"/>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103 644.2</w:t>
            </w:r>
          </w:p>
        </w:tc>
        <w:tc>
          <w:tcPr>
            <w:tcW w:w="146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1 456.4</w:t>
            </w:r>
          </w:p>
        </w:tc>
        <w:tc>
          <w:tcPr>
            <w:tcW w:w="1296"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101.7)</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104 998.8</w:t>
            </w:r>
          </w:p>
        </w:tc>
      </w:tr>
      <w:tr w:rsidR="00336793" w:rsidRPr="000E2555" w:rsidTr="00DF0B96">
        <w:tc>
          <w:tcPr>
            <w:tcW w:w="4427" w:type="dxa"/>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0"/>
                <w:lang w:eastAsia="en-AU"/>
              </w:rPr>
            </w:pPr>
            <w:r w:rsidRPr="000E2555">
              <w:rPr>
                <w:rFonts w:ascii="Calibri" w:eastAsiaTheme="minorEastAsia" w:hAnsi="Calibri" w:cs="Calibri"/>
                <w:b/>
                <w:bCs/>
                <w:sz w:val="20"/>
                <w:lang w:eastAsia="en-AU"/>
              </w:rPr>
              <w:t>Total non</w:t>
            </w:r>
            <w:r>
              <w:rPr>
                <w:rFonts w:ascii="Calibri" w:eastAsiaTheme="minorEastAsia" w:hAnsi="Calibri" w:cs="Calibri"/>
                <w:b/>
                <w:bCs/>
                <w:sz w:val="20"/>
                <w:lang w:eastAsia="en-AU"/>
              </w:rPr>
              <w:noBreakHyphen/>
            </w:r>
            <w:r w:rsidRPr="000E2555">
              <w:rPr>
                <w:rFonts w:ascii="Calibri" w:eastAsiaTheme="minorEastAsia" w:hAnsi="Calibri" w:cs="Calibri"/>
                <w:b/>
                <w:bCs/>
                <w:sz w:val="20"/>
                <w:lang w:eastAsia="en-AU"/>
              </w:rPr>
              <w:t xml:space="preserve">financial assets </w:t>
            </w:r>
          </w:p>
        </w:tc>
        <w:tc>
          <w:tcPr>
            <w:tcW w:w="1080" w:type="dxa"/>
            <w:gridSpan w:val="3"/>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200 563.9</w:t>
            </w:r>
          </w:p>
        </w:tc>
        <w:tc>
          <w:tcPr>
            <w:tcW w:w="1440" w:type="dxa"/>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1 456.4</w:t>
            </w:r>
          </w:p>
        </w:tc>
        <w:tc>
          <w:tcPr>
            <w:tcW w:w="1287" w:type="dxa"/>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20"/>
                <w:lang w:eastAsia="en-AU"/>
              </w:rPr>
              <w:t>(</w:t>
            </w:r>
            <w:r w:rsidRPr="000E2555">
              <w:rPr>
                <w:rFonts w:ascii="Calibri" w:eastAsiaTheme="minorEastAsia" w:hAnsi="Calibri" w:cs="Calibri"/>
                <w:b/>
                <w:bCs/>
                <w:sz w:val="20"/>
                <w:lang w:eastAsia="en-AU"/>
              </w:rPr>
              <w:t>123.2)</w:t>
            </w:r>
          </w:p>
        </w:tc>
        <w:tc>
          <w:tcPr>
            <w:tcW w:w="1260" w:type="dxa"/>
            <w:gridSpan w:val="3"/>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201 897.1</w:t>
            </w:r>
          </w:p>
        </w:tc>
        <w:tc>
          <w:tcPr>
            <w:tcW w:w="1053" w:type="dxa"/>
            <w:gridSpan w:val="2"/>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105 168.0</w:t>
            </w:r>
          </w:p>
        </w:tc>
        <w:tc>
          <w:tcPr>
            <w:tcW w:w="1467" w:type="dxa"/>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1 456.4</w:t>
            </w:r>
          </w:p>
        </w:tc>
        <w:tc>
          <w:tcPr>
            <w:tcW w:w="1296" w:type="dxa"/>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20"/>
                <w:lang w:eastAsia="en-AU"/>
              </w:rPr>
              <w:t>(</w:t>
            </w:r>
            <w:r w:rsidRPr="000E2555">
              <w:rPr>
                <w:rFonts w:ascii="Calibri" w:eastAsiaTheme="minorEastAsia" w:hAnsi="Calibri" w:cs="Calibri"/>
                <w:b/>
                <w:bCs/>
                <w:sz w:val="20"/>
                <w:lang w:eastAsia="en-AU"/>
              </w:rPr>
              <w:t>123.2)</w:t>
            </w:r>
          </w:p>
        </w:tc>
        <w:tc>
          <w:tcPr>
            <w:tcW w:w="1260" w:type="dxa"/>
            <w:gridSpan w:val="3"/>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106 501.3</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Total assets </w:t>
            </w:r>
          </w:p>
        </w:tc>
        <w:tc>
          <w:tcPr>
            <w:tcW w:w="108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248 280.1</w:t>
            </w:r>
          </w:p>
        </w:tc>
        <w:tc>
          <w:tcPr>
            <w:tcW w:w="1440"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1 456.4</w:t>
            </w:r>
          </w:p>
        </w:tc>
        <w:tc>
          <w:tcPr>
            <w:tcW w:w="128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20"/>
                <w:lang w:eastAsia="en-AU"/>
              </w:rPr>
              <w:t>(</w:t>
            </w:r>
            <w:r w:rsidRPr="000E2555">
              <w:rPr>
                <w:rFonts w:ascii="Calibri" w:eastAsiaTheme="minorEastAsia" w:hAnsi="Calibri" w:cs="Calibri"/>
                <w:b/>
                <w:bCs/>
                <w:sz w:val="20"/>
                <w:lang w:eastAsia="en-AU"/>
              </w:rPr>
              <w:t>55.3)</w:t>
            </w:r>
          </w:p>
        </w:tc>
        <w:tc>
          <w:tcPr>
            <w:tcW w:w="126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249 681.2</w:t>
            </w:r>
          </w:p>
        </w:tc>
        <w:tc>
          <w:tcPr>
            <w:tcW w:w="1053" w:type="dxa"/>
            <w:gridSpan w:val="2"/>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198 227.4</w:t>
            </w:r>
          </w:p>
        </w:tc>
        <w:tc>
          <w:tcPr>
            <w:tcW w:w="146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1 456.4</w:t>
            </w:r>
          </w:p>
        </w:tc>
        <w:tc>
          <w:tcPr>
            <w:tcW w:w="1296"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20"/>
                <w:lang w:eastAsia="en-AU"/>
              </w:rPr>
              <w:t>(</w:t>
            </w:r>
            <w:r w:rsidRPr="000E2555">
              <w:rPr>
                <w:rFonts w:ascii="Calibri" w:eastAsiaTheme="minorEastAsia" w:hAnsi="Calibri" w:cs="Calibri"/>
                <w:b/>
                <w:bCs/>
                <w:sz w:val="20"/>
                <w:lang w:eastAsia="en-AU"/>
              </w:rPr>
              <w:t>123.2)</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199 560.6</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0"/>
                <w:lang w:eastAsia="en-AU"/>
              </w:rPr>
            </w:pPr>
            <w:r w:rsidRPr="000E2555">
              <w:rPr>
                <w:rFonts w:ascii="Calibri" w:eastAsiaTheme="minorEastAsia" w:hAnsi="Calibri" w:cs="Calibri"/>
                <w:b/>
                <w:bCs/>
                <w:sz w:val="20"/>
                <w:lang w:eastAsia="en-AU"/>
              </w:rPr>
              <w:t>Liabilities</w:t>
            </w:r>
          </w:p>
        </w:tc>
        <w:tc>
          <w:tcPr>
            <w:tcW w:w="108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440"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8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6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053" w:type="dxa"/>
            <w:gridSpan w:val="2"/>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46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96"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center"/>
              <w:rPr>
                <w:rFonts w:ascii="Calibri" w:eastAsiaTheme="minorEastAsia" w:hAnsi="Calibri" w:cs="Calibri"/>
                <w:i/>
                <w:iCs/>
                <w:sz w:val="20"/>
                <w:lang w:eastAsia="en-AU"/>
              </w:rPr>
            </w:pPr>
            <w:r w:rsidRPr="000E2555">
              <w:rPr>
                <w:rFonts w:ascii="Calibri" w:eastAsiaTheme="minorEastAsia" w:hAnsi="Calibri" w:cs="Calibri"/>
                <w:i/>
                <w:iCs/>
                <w:sz w:val="20"/>
                <w:lang w:eastAsia="en-AU"/>
              </w:rPr>
              <w:t xml:space="preserve"> </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Payables</w:t>
            </w:r>
          </w:p>
        </w:tc>
        <w:tc>
          <w:tcPr>
            <w:tcW w:w="108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7 732.2</w:t>
            </w:r>
          </w:p>
        </w:tc>
        <w:tc>
          <w:tcPr>
            <w:tcW w:w="1440"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8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191.7)</w:t>
            </w:r>
          </w:p>
        </w:tc>
        <w:tc>
          <w:tcPr>
            <w:tcW w:w="126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7 540.5</w:t>
            </w:r>
          </w:p>
        </w:tc>
        <w:tc>
          <w:tcPr>
            <w:tcW w:w="1053" w:type="dxa"/>
            <w:gridSpan w:val="2"/>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5 746.5</w:t>
            </w:r>
          </w:p>
        </w:tc>
        <w:tc>
          <w:tcPr>
            <w:tcW w:w="146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96"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191.7)</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5 554.8</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Borrowings</w:t>
            </w:r>
          </w:p>
        </w:tc>
        <w:tc>
          <w:tcPr>
            <w:tcW w:w="108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51 277.4</w:t>
            </w:r>
          </w:p>
        </w:tc>
        <w:tc>
          <w:tcPr>
            <w:tcW w:w="1440"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8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67.9</w:t>
            </w:r>
          </w:p>
        </w:tc>
        <w:tc>
          <w:tcPr>
            <w:tcW w:w="126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51 345.3</w:t>
            </w:r>
          </w:p>
        </w:tc>
        <w:tc>
          <w:tcPr>
            <w:tcW w:w="1053" w:type="dxa"/>
            <w:gridSpan w:val="2"/>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32 953.6</w:t>
            </w:r>
          </w:p>
        </w:tc>
        <w:tc>
          <w:tcPr>
            <w:tcW w:w="146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96"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32 953.6</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Employee benefits</w:t>
            </w:r>
          </w:p>
        </w:tc>
        <w:tc>
          <w:tcPr>
            <w:tcW w:w="108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5 745.1</w:t>
            </w:r>
          </w:p>
        </w:tc>
        <w:tc>
          <w:tcPr>
            <w:tcW w:w="1440"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8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36.7)</w:t>
            </w:r>
          </w:p>
        </w:tc>
        <w:tc>
          <w:tcPr>
            <w:tcW w:w="126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5 708.4</w:t>
            </w:r>
          </w:p>
        </w:tc>
        <w:tc>
          <w:tcPr>
            <w:tcW w:w="1053" w:type="dxa"/>
            <w:gridSpan w:val="2"/>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5 302.7</w:t>
            </w:r>
          </w:p>
        </w:tc>
        <w:tc>
          <w:tcPr>
            <w:tcW w:w="146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96"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36.7)</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5 266.0</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 xml:space="preserve">Superannuation </w:t>
            </w:r>
          </w:p>
        </w:tc>
        <w:tc>
          <w:tcPr>
            <w:tcW w:w="108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25 729.0</w:t>
            </w:r>
          </w:p>
        </w:tc>
        <w:tc>
          <w:tcPr>
            <w:tcW w:w="1440"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572.2</w:t>
            </w:r>
          </w:p>
        </w:tc>
        <w:tc>
          <w:tcPr>
            <w:tcW w:w="128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6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26 301.2</w:t>
            </w:r>
          </w:p>
        </w:tc>
        <w:tc>
          <w:tcPr>
            <w:tcW w:w="1053" w:type="dxa"/>
            <w:gridSpan w:val="2"/>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25 680.7</w:t>
            </w:r>
          </w:p>
        </w:tc>
        <w:tc>
          <w:tcPr>
            <w:tcW w:w="146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572.2</w:t>
            </w:r>
          </w:p>
        </w:tc>
        <w:tc>
          <w:tcPr>
            <w:tcW w:w="1296"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26 252.9</w:t>
            </w:r>
          </w:p>
        </w:tc>
      </w:tr>
      <w:tr w:rsidR="00336793" w:rsidRPr="000E2555" w:rsidTr="00DF0B96">
        <w:tc>
          <w:tcPr>
            <w:tcW w:w="4427" w:type="dxa"/>
            <w:tcBorders>
              <w:top w:val="nil"/>
              <w:left w:val="nil"/>
              <w:bottom w:val="single" w:sz="6" w:space="0" w:color="auto"/>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Other provisions</w:t>
            </w:r>
          </w:p>
        </w:tc>
        <w:tc>
          <w:tcPr>
            <w:tcW w:w="108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24 632.9</w:t>
            </w:r>
          </w:p>
        </w:tc>
        <w:tc>
          <w:tcPr>
            <w:tcW w:w="1440"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8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1.1)</w:t>
            </w:r>
          </w:p>
        </w:tc>
        <w:tc>
          <w:tcPr>
            <w:tcW w:w="126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24 631.8</w:t>
            </w:r>
          </w:p>
        </w:tc>
        <w:tc>
          <w:tcPr>
            <w:tcW w:w="1053" w:type="dxa"/>
            <w:gridSpan w:val="2"/>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630.6</w:t>
            </w:r>
          </w:p>
        </w:tc>
        <w:tc>
          <w:tcPr>
            <w:tcW w:w="146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w:t>
            </w:r>
          </w:p>
        </w:tc>
        <w:tc>
          <w:tcPr>
            <w:tcW w:w="1296"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1.1)</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629.4</w:t>
            </w:r>
          </w:p>
        </w:tc>
      </w:tr>
      <w:tr w:rsidR="00336793" w:rsidRPr="000E2555" w:rsidTr="00DF0B96">
        <w:tc>
          <w:tcPr>
            <w:tcW w:w="4427" w:type="dxa"/>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0"/>
                <w:lang w:eastAsia="en-AU"/>
              </w:rPr>
            </w:pPr>
            <w:r w:rsidRPr="000E2555">
              <w:rPr>
                <w:rFonts w:ascii="Calibri" w:eastAsiaTheme="minorEastAsia" w:hAnsi="Calibri" w:cs="Calibri"/>
                <w:b/>
                <w:bCs/>
                <w:sz w:val="20"/>
                <w:lang w:eastAsia="en-AU"/>
              </w:rPr>
              <w:t>Total liabilities</w:t>
            </w:r>
          </w:p>
        </w:tc>
        <w:tc>
          <w:tcPr>
            <w:tcW w:w="1080" w:type="dxa"/>
            <w:gridSpan w:val="3"/>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117 187.4</w:t>
            </w:r>
          </w:p>
        </w:tc>
        <w:tc>
          <w:tcPr>
            <w:tcW w:w="1440" w:type="dxa"/>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 572.2</w:t>
            </w:r>
          </w:p>
        </w:tc>
        <w:tc>
          <w:tcPr>
            <w:tcW w:w="1287" w:type="dxa"/>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20"/>
                <w:lang w:eastAsia="en-AU"/>
              </w:rPr>
              <w:t>(</w:t>
            </w:r>
            <w:r w:rsidRPr="000E2555">
              <w:rPr>
                <w:rFonts w:ascii="Calibri" w:eastAsiaTheme="minorEastAsia" w:hAnsi="Calibri" w:cs="Calibri"/>
                <w:b/>
                <w:bCs/>
                <w:sz w:val="20"/>
                <w:lang w:eastAsia="en-AU"/>
              </w:rPr>
              <w:t>161.7)</w:t>
            </w:r>
          </w:p>
        </w:tc>
        <w:tc>
          <w:tcPr>
            <w:tcW w:w="1260" w:type="dxa"/>
            <w:gridSpan w:val="3"/>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117 597.9</w:t>
            </w:r>
          </w:p>
        </w:tc>
        <w:tc>
          <w:tcPr>
            <w:tcW w:w="1053" w:type="dxa"/>
            <w:gridSpan w:val="2"/>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70 740.6</w:t>
            </w:r>
          </w:p>
        </w:tc>
        <w:tc>
          <w:tcPr>
            <w:tcW w:w="1467" w:type="dxa"/>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 572.2</w:t>
            </w:r>
          </w:p>
        </w:tc>
        <w:tc>
          <w:tcPr>
            <w:tcW w:w="1296" w:type="dxa"/>
            <w:tcBorders>
              <w:top w:val="single" w:sz="6" w:space="0" w:color="auto"/>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20"/>
                <w:lang w:eastAsia="en-AU"/>
              </w:rPr>
              <w:t>(</w:t>
            </w:r>
            <w:r w:rsidRPr="000E2555">
              <w:rPr>
                <w:rFonts w:ascii="Calibri" w:eastAsiaTheme="minorEastAsia" w:hAnsi="Calibri" w:cs="Calibri"/>
                <w:b/>
                <w:bCs/>
                <w:sz w:val="20"/>
                <w:lang w:eastAsia="en-AU"/>
              </w:rPr>
              <w:t>229.5)</w:t>
            </w:r>
          </w:p>
        </w:tc>
        <w:tc>
          <w:tcPr>
            <w:tcW w:w="1260" w:type="dxa"/>
            <w:gridSpan w:val="3"/>
            <w:tcBorders>
              <w:top w:val="single" w:sz="6" w:space="0" w:color="auto"/>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71 083.2</w:t>
            </w:r>
          </w:p>
        </w:tc>
      </w:tr>
      <w:tr w:rsidR="00336793" w:rsidRPr="000E2555" w:rsidTr="00DF0B96">
        <w:tc>
          <w:tcPr>
            <w:tcW w:w="4427" w:type="dxa"/>
            <w:tcBorders>
              <w:top w:val="single" w:sz="6" w:space="0" w:color="auto"/>
              <w:left w:val="nil"/>
              <w:bottom w:val="single" w:sz="12" w:space="0" w:color="auto"/>
              <w:right w:val="nil"/>
            </w:tcBorders>
          </w:tcPr>
          <w:p w:rsidR="00336793" w:rsidRPr="000E2555" w:rsidRDefault="00336793" w:rsidP="00DF0B96">
            <w:pPr>
              <w:autoSpaceDE w:val="0"/>
              <w:autoSpaceDN w:val="0"/>
              <w:adjustRightInd w:val="0"/>
              <w:spacing w:after="0"/>
              <w:rPr>
                <w:rFonts w:ascii="Calibri" w:eastAsiaTheme="minorEastAsia" w:hAnsi="Calibri" w:cs="Calibri"/>
                <w:b/>
                <w:bCs/>
                <w:sz w:val="20"/>
                <w:lang w:eastAsia="en-AU"/>
              </w:rPr>
            </w:pPr>
            <w:r w:rsidRPr="000E2555">
              <w:rPr>
                <w:rFonts w:ascii="Calibri" w:eastAsiaTheme="minorEastAsia" w:hAnsi="Calibri" w:cs="Calibri"/>
                <w:b/>
                <w:bCs/>
                <w:sz w:val="20"/>
                <w:lang w:eastAsia="en-AU"/>
              </w:rPr>
              <w:t>Net assets</w:t>
            </w:r>
          </w:p>
        </w:tc>
        <w:tc>
          <w:tcPr>
            <w:tcW w:w="1080" w:type="dxa"/>
            <w:gridSpan w:val="3"/>
            <w:tcBorders>
              <w:top w:val="single" w:sz="6" w:space="0" w:color="auto"/>
              <w:left w:val="nil"/>
              <w:bottom w:val="single" w:sz="12"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131 092.7</w:t>
            </w:r>
          </w:p>
        </w:tc>
        <w:tc>
          <w:tcPr>
            <w:tcW w:w="1440" w:type="dxa"/>
            <w:tcBorders>
              <w:top w:val="single" w:sz="6" w:space="0" w:color="auto"/>
              <w:left w:val="nil"/>
              <w:bottom w:val="single" w:sz="12"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 884.2</w:t>
            </w:r>
          </w:p>
        </w:tc>
        <w:tc>
          <w:tcPr>
            <w:tcW w:w="1287" w:type="dxa"/>
            <w:tcBorders>
              <w:top w:val="single" w:sz="6" w:space="0" w:color="auto"/>
              <w:left w:val="nil"/>
              <w:bottom w:val="single" w:sz="12"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 106.4</w:t>
            </w:r>
          </w:p>
        </w:tc>
        <w:tc>
          <w:tcPr>
            <w:tcW w:w="1260" w:type="dxa"/>
            <w:gridSpan w:val="3"/>
            <w:tcBorders>
              <w:top w:val="single" w:sz="6" w:space="0" w:color="auto"/>
              <w:left w:val="nil"/>
              <w:bottom w:val="single" w:sz="12"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132 083.2</w:t>
            </w:r>
          </w:p>
        </w:tc>
        <w:tc>
          <w:tcPr>
            <w:tcW w:w="1053" w:type="dxa"/>
            <w:gridSpan w:val="2"/>
            <w:tcBorders>
              <w:top w:val="single" w:sz="6" w:space="0" w:color="auto"/>
              <w:left w:val="nil"/>
              <w:bottom w:val="single" w:sz="12"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127 486.9</w:t>
            </w:r>
          </w:p>
        </w:tc>
        <w:tc>
          <w:tcPr>
            <w:tcW w:w="1467" w:type="dxa"/>
            <w:tcBorders>
              <w:top w:val="single" w:sz="6" w:space="0" w:color="auto"/>
              <w:left w:val="nil"/>
              <w:bottom w:val="single" w:sz="12"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 884.2</w:t>
            </w:r>
          </w:p>
        </w:tc>
        <w:tc>
          <w:tcPr>
            <w:tcW w:w="1296" w:type="dxa"/>
            <w:tcBorders>
              <w:top w:val="single" w:sz="6" w:space="0" w:color="auto"/>
              <w:left w:val="nil"/>
              <w:bottom w:val="single" w:sz="12"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 106.4</w:t>
            </w:r>
          </w:p>
        </w:tc>
        <w:tc>
          <w:tcPr>
            <w:tcW w:w="1260" w:type="dxa"/>
            <w:gridSpan w:val="3"/>
            <w:tcBorders>
              <w:top w:val="single" w:sz="6" w:space="0" w:color="auto"/>
              <w:left w:val="nil"/>
              <w:bottom w:val="single" w:sz="12"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128 477.4</w:t>
            </w:r>
          </w:p>
        </w:tc>
      </w:tr>
      <w:tr w:rsidR="00336793" w:rsidRPr="000E2555" w:rsidTr="00DF0B96">
        <w:tc>
          <w:tcPr>
            <w:tcW w:w="4427" w:type="dxa"/>
            <w:tcBorders>
              <w:top w:val="nil"/>
              <w:left w:val="nil"/>
              <w:bottom w:val="nil"/>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 xml:space="preserve">Accumulated surplus/(deficit) </w:t>
            </w:r>
          </w:p>
        </w:tc>
        <w:tc>
          <w:tcPr>
            <w:tcW w:w="108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46 211.3</w:t>
            </w:r>
          </w:p>
        </w:tc>
        <w:tc>
          <w:tcPr>
            <w:tcW w:w="1440"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880.5)</w:t>
            </w:r>
          </w:p>
        </w:tc>
        <w:tc>
          <w:tcPr>
            <w:tcW w:w="128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105.1</w:t>
            </w:r>
          </w:p>
        </w:tc>
        <w:tc>
          <w:tcPr>
            <w:tcW w:w="1260" w:type="dxa"/>
            <w:gridSpan w:val="3"/>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45 435.9</w:t>
            </w:r>
          </w:p>
        </w:tc>
        <w:tc>
          <w:tcPr>
            <w:tcW w:w="1053" w:type="dxa"/>
            <w:gridSpan w:val="2"/>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44 410.0</w:t>
            </w:r>
          </w:p>
        </w:tc>
        <w:tc>
          <w:tcPr>
            <w:tcW w:w="1467"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r w:rsidRPr="000E2555">
              <w:rPr>
                <w:rFonts w:ascii="Calibri" w:eastAsiaTheme="minorEastAsia" w:hAnsi="Calibri" w:cs="Calibri"/>
                <w:sz w:val="20"/>
                <w:lang w:eastAsia="en-AU"/>
              </w:rPr>
              <w:t>880.5)</w:t>
            </w:r>
          </w:p>
        </w:tc>
        <w:tc>
          <w:tcPr>
            <w:tcW w:w="1296" w:type="dxa"/>
            <w:tcBorders>
              <w:top w:val="nil"/>
              <w:left w:val="nil"/>
              <w:bottom w:val="nil"/>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105.1</w:t>
            </w:r>
          </w:p>
        </w:tc>
        <w:tc>
          <w:tcPr>
            <w:tcW w:w="1260" w:type="dxa"/>
            <w:gridSpan w:val="3"/>
            <w:tcBorders>
              <w:top w:val="nil"/>
              <w:left w:val="nil"/>
              <w:bottom w:val="nil"/>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43 634.6</w:t>
            </w:r>
          </w:p>
        </w:tc>
      </w:tr>
      <w:tr w:rsidR="00336793" w:rsidRPr="000E2555" w:rsidTr="00DF0B96">
        <w:tc>
          <w:tcPr>
            <w:tcW w:w="4427" w:type="dxa"/>
            <w:tcBorders>
              <w:top w:val="nil"/>
              <w:left w:val="nil"/>
              <w:bottom w:val="single" w:sz="6" w:space="0" w:color="auto"/>
              <w:right w:val="nil"/>
            </w:tcBorders>
          </w:tcPr>
          <w:p w:rsidR="00336793" w:rsidRPr="000E2555" w:rsidRDefault="00336793" w:rsidP="00DF0B96">
            <w:pPr>
              <w:autoSpaceDE w:val="0"/>
              <w:autoSpaceDN w:val="0"/>
              <w:adjustRightInd w:val="0"/>
              <w:spacing w:after="0"/>
              <w:rPr>
                <w:rFonts w:ascii="Calibri" w:eastAsiaTheme="minorEastAsia" w:hAnsi="Calibri" w:cs="Calibri"/>
                <w:sz w:val="20"/>
                <w:lang w:eastAsia="en-AU"/>
              </w:rPr>
            </w:pPr>
            <w:r w:rsidRPr="000E2555">
              <w:rPr>
                <w:rFonts w:ascii="Calibri" w:eastAsiaTheme="minorEastAsia" w:hAnsi="Calibri" w:cs="Calibri"/>
                <w:sz w:val="20"/>
                <w:lang w:eastAsia="en-AU"/>
              </w:rPr>
              <w:t xml:space="preserve">Reserves </w:t>
            </w:r>
          </w:p>
        </w:tc>
        <w:tc>
          <w:tcPr>
            <w:tcW w:w="1080" w:type="dxa"/>
            <w:gridSpan w:val="3"/>
            <w:tcBorders>
              <w:top w:val="nil"/>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84 831.3</w:t>
            </w:r>
          </w:p>
        </w:tc>
        <w:tc>
          <w:tcPr>
            <w:tcW w:w="1440" w:type="dxa"/>
            <w:tcBorders>
              <w:top w:val="nil"/>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1 764.7</w:t>
            </w:r>
          </w:p>
        </w:tc>
        <w:tc>
          <w:tcPr>
            <w:tcW w:w="1287" w:type="dxa"/>
            <w:tcBorders>
              <w:top w:val="nil"/>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1.3</w:t>
            </w:r>
          </w:p>
        </w:tc>
        <w:tc>
          <w:tcPr>
            <w:tcW w:w="1260" w:type="dxa"/>
            <w:gridSpan w:val="3"/>
            <w:tcBorders>
              <w:top w:val="nil"/>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86 597.3</w:t>
            </w:r>
          </w:p>
        </w:tc>
        <w:tc>
          <w:tcPr>
            <w:tcW w:w="1053" w:type="dxa"/>
            <w:gridSpan w:val="2"/>
            <w:tcBorders>
              <w:top w:val="nil"/>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83 026.9</w:t>
            </w:r>
          </w:p>
        </w:tc>
        <w:tc>
          <w:tcPr>
            <w:tcW w:w="1467" w:type="dxa"/>
            <w:tcBorders>
              <w:top w:val="nil"/>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1 764.7</w:t>
            </w:r>
          </w:p>
        </w:tc>
        <w:tc>
          <w:tcPr>
            <w:tcW w:w="1296" w:type="dxa"/>
            <w:tcBorders>
              <w:top w:val="nil"/>
              <w:left w:val="nil"/>
              <w:bottom w:val="single" w:sz="6" w:space="0" w:color="auto"/>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 xml:space="preserve"> 1.3</w:t>
            </w:r>
          </w:p>
        </w:tc>
        <w:tc>
          <w:tcPr>
            <w:tcW w:w="1260" w:type="dxa"/>
            <w:gridSpan w:val="3"/>
            <w:tcBorders>
              <w:top w:val="nil"/>
              <w:left w:val="nil"/>
              <w:bottom w:val="single" w:sz="6" w:space="0" w:color="auto"/>
              <w:right w:val="nil"/>
            </w:tcBorders>
          </w:tcPr>
          <w:p w:rsidR="00336793" w:rsidRPr="000E2555" w:rsidRDefault="00336793" w:rsidP="00DF0B96">
            <w:pPr>
              <w:autoSpaceDE w:val="0"/>
              <w:autoSpaceDN w:val="0"/>
              <w:adjustRightInd w:val="0"/>
              <w:spacing w:after="0"/>
              <w:jc w:val="right"/>
              <w:rPr>
                <w:rFonts w:ascii="Calibri" w:eastAsiaTheme="minorEastAsia" w:hAnsi="Calibri" w:cs="Calibri"/>
                <w:sz w:val="20"/>
                <w:lang w:eastAsia="en-AU"/>
              </w:rPr>
            </w:pPr>
            <w:r w:rsidRPr="000E2555">
              <w:rPr>
                <w:rFonts w:ascii="Calibri" w:eastAsiaTheme="minorEastAsia" w:hAnsi="Calibri" w:cs="Calibri"/>
                <w:sz w:val="20"/>
                <w:lang w:eastAsia="en-AU"/>
              </w:rPr>
              <w:t>84 792.8</w:t>
            </w:r>
          </w:p>
        </w:tc>
      </w:tr>
      <w:tr w:rsidR="00336793" w:rsidRPr="000E2555" w:rsidTr="00DF0B96">
        <w:tc>
          <w:tcPr>
            <w:tcW w:w="4427" w:type="dxa"/>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Net worth </w:t>
            </w:r>
          </w:p>
        </w:tc>
        <w:tc>
          <w:tcPr>
            <w:tcW w:w="1080" w:type="dxa"/>
            <w:gridSpan w:val="3"/>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131 092.7</w:t>
            </w:r>
          </w:p>
        </w:tc>
        <w:tc>
          <w:tcPr>
            <w:tcW w:w="1440" w:type="dxa"/>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 884.2</w:t>
            </w:r>
          </w:p>
        </w:tc>
        <w:tc>
          <w:tcPr>
            <w:tcW w:w="1287" w:type="dxa"/>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 106.4</w:t>
            </w:r>
          </w:p>
        </w:tc>
        <w:tc>
          <w:tcPr>
            <w:tcW w:w="1260" w:type="dxa"/>
            <w:gridSpan w:val="3"/>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132 083.2</w:t>
            </w:r>
          </w:p>
        </w:tc>
        <w:tc>
          <w:tcPr>
            <w:tcW w:w="1053" w:type="dxa"/>
            <w:gridSpan w:val="2"/>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127 486.9</w:t>
            </w:r>
          </w:p>
        </w:tc>
        <w:tc>
          <w:tcPr>
            <w:tcW w:w="1467" w:type="dxa"/>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 884.2</w:t>
            </w:r>
          </w:p>
        </w:tc>
        <w:tc>
          <w:tcPr>
            <w:tcW w:w="1296" w:type="dxa"/>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 xml:space="preserve"> 106.4</w:t>
            </w:r>
          </w:p>
        </w:tc>
        <w:tc>
          <w:tcPr>
            <w:tcW w:w="1260" w:type="dxa"/>
            <w:gridSpan w:val="3"/>
            <w:tcBorders>
              <w:top w:val="single" w:sz="6" w:space="0" w:color="auto"/>
              <w:left w:val="nil"/>
              <w:bottom w:val="single" w:sz="12" w:space="0" w:color="000000"/>
              <w:right w:val="nil"/>
            </w:tcBorders>
            <w:shd w:val="clear" w:color="auto" w:fill="auto"/>
          </w:tcPr>
          <w:p w:rsidR="00336793" w:rsidRPr="000E2555" w:rsidRDefault="00336793" w:rsidP="00DF0B96">
            <w:pPr>
              <w:autoSpaceDE w:val="0"/>
              <w:autoSpaceDN w:val="0"/>
              <w:adjustRightInd w:val="0"/>
              <w:spacing w:after="0"/>
              <w:jc w:val="right"/>
              <w:rPr>
                <w:rFonts w:ascii="Calibri" w:eastAsiaTheme="minorEastAsia" w:hAnsi="Calibri" w:cs="Calibri"/>
                <w:b/>
                <w:bCs/>
                <w:sz w:val="20"/>
                <w:lang w:eastAsia="en-AU"/>
              </w:rPr>
            </w:pPr>
            <w:r w:rsidRPr="000E2555">
              <w:rPr>
                <w:rFonts w:ascii="Calibri" w:eastAsiaTheme="minorEastAsia" w:hAnsi="Calibri" w:cs="Calibri"/>
                <w:b/>
                <w:bCs/>
                <w:sz w:val="20"/>
                <w:lang w:eastAsia="en-AU"/>
              </w:rPr>
              <w:t>128 477.4</w:t>
            </w:r>
          </w:p>
        </w:tc>
      </w:tr>
    </w:tbl>
    <w:p w:rsidR="00336793" w:rsidRDefault="00336793" w:rsidP="00DF0B96">
      <w:pPr>
        <w:pStyle w:val="Notes"/>
      </w:pPr>
    </w:p>
    <w:p w:rsidR="00336793" w:rsidRDefault="00336793" w:rsidP="00DF0B96">
      <w:pPr>
        <w:spacing w:after="0"/>
      </w:pPr>
    </w:p>
    <w:p w:rsidR="00336793" w:rsidRDefault="00336793">
      <w:pPr>
        <w:spacing w:after="0"/>
      </w:pPr>
      <w:r>
        <w:br w:type="page"/>
      </w:r>
    </w:p>
    <w:p w:rsidR="00336793" w:rsidRPr="006A75A2" w:rsidRDefault="00336793" w:rsidP="00DF0B96">
      <w:pPr>
        <w:pStyle w:val="Heading2NotesContd"/>
      </w:pPr>
      <w:r w:rsidRPr="006A75A2">
        <w:lastRenderedPageBreak/>
        <w:t>Note 37:</w:t>
      </w:r>
      <w:r w:rsidRPr="006A75A2">
        <w:tab/>
      </w:r>
      <w:r w:rsidRPr="00CB5415">
        <w:t>Restatement</w:t>
      </w:r>
      <w:r w:rsidRPr="006A75A2">
        <w:t xml:space="preserve"> of 201</w:t>
      </w:r>
      <w:r>
        <w:t>3</w:t>
      </w:r>
      <w:r>
        <w:noBreakHyphen/>
        <w:t>14</w:t>
      </w:r>
      <w:r w:rsidRPr="006A75A2">
        <w:t xml:space="preserve"> </w:t>
      </w:r>
      <w:r w:rsidRPr="00AA0209">
        <w:t>balances</w:t>
      </w:r>
      <w:r w:rsidRPr="006A75A2">
        <w:t xml:space="preserve"> </w:t>
      </w:r>
      <w:r>
        <w:t>and impact on 2014</w:t>
      </w:r>
      <w:r>
        <w:noBreakHyphen/>
        <w:t xml:space="preserve">15 balances </w:t>
      </w:r>
      <w:r w:rsidRPr="0058775D">
        <w:rPr>
          <w:i/>
        </w:rPr>
        <w:t>(continued)</w:t>
      </w:r>
    </w:p>
    <w:p w:rsidR="00336793" w:rsidRDefault="00336793" w:rsidP="00DF0B96">
      <w:pPr>
        <w:pStyle w:val="Tableheading"/>
      </w:pPr>
      <w:r>
        <w:t>Impact on the balance sheet as at 30 June 2015 (Extract)</w:t>
      </w:r>
    </w:p>
    <w:p w:rsidR="00336793" w:rsidRPr="00DC4FF3" w:rsidRDefault="00336793" w:rsidP="00DF0B96">
      <w:pPr>
        <w:pStyle w:val="million"/>
        <w:rPr>
          <w:rFonts w:ascii="Times New Roman" w:hAnsi="Times New Roman"/>
          <w:i w:val="0"/>
          <w:szCs w:val="20"/>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4787"/>
        <w:gridCol w:w="110"/>
        <w:gridCol w:w="1600"/>
        <w:gridCol w:w="1800"/>
        <w:gridCol w:w="1260"/>
        <w:gridCol w:w="290"/>
        <w:gridCol w:w="340"/>
        <w:gridCol w:w="1350"/>
        <w:gridCol w:w="1710"/>
        <w:gridCol w:w="1170"/>
        <w:gridCol w:w="153"/>
      </w:tblGrid>
      <w:tr w:rsidR="00336793" w:rsidRPr="00D82CEB" w:rsidTr="00DF0B96">
        <w:tc>
          <w:tcPr>
            <w:tcW w:w="4787" w:type="dxa"/>
            <w:tcBorders>
              <w:top w:val="single" w:sz="6" w:space="0" w:color="auto"/>
              <w:left w:val="single" w:sz="6" w:space="0" w:color="auto"/>
              <w:bottom w:val="nil"/>
              <w:right w:val="nil"/>
            </w:tcBorders>
            <w:shd w:val="clear" w:color="000000" w:fill="000000"/>
          </w:tcPr>
          <w:p w:rsidR="00336793" w:rsidRPr="00D82CEB" w:rsidRDefault="00336793" w:rsidP="00DF0B96">
            <w:pPr>
              <w:pStyle w:val="Tabletext"/>
              <w:rPr>
                <w:rFonts w:eastAsiaTheme="minorEastAsia"/>
                <w:i/>
                <w:sz w:val="21"/>
                <w:lang w:eastAsia="en-AU"/>
              </w:rPr>
            </w:pPr>
            <w:r w:rsidRPr="00D82CEB">
              <w:rPr>
                <w:rFonts w:eastAsiaTheme="minorEastAsia"/>
                <w:i/>
                <w:sz w:val="21"/>
                <w:lang w:eastAsia="en-AU"/>
              </w:rPr>
              <w:t xml:space="preserve"> </w:t>
            </w:r>
          </w:p>
        </w:tc>
        <w:tc>
          <w:tcPr>
            <w:tcW w:w="110" w:type="dxa"/>
            <w:tcBorders>
              <w:top w:val="single" w:sz="6" w:space="0" w:color="auto"/>
              <w:left w:val="nil"/>
              <w:bottom w:val="nil"/>
              <w:right w:val="nil"/>
            </w:tcBorders>
            <w:shd w:val="clear" w:color="000000" w:fill="000000"/>
          </w:tcPr>
          <w:p w:rsidR="00336793" w:rsidRPr="00D82CEB" w:rsidRDefault="00336793" w:rsidP="00DF0B96">
            <w:pPr>
              <w:pStyle w:val="Tabletextheading"/>
              <w:rPr>
                <w:rFonts w:eastAsiaTheme="minorEastAsia"/>
                <w:color w:val="FFFFFF"/>
                <w:sz w:val="21"/>
                <w:lang w:eastAsia="en-AU"/>
              </w:rPr>
            </w:pPr>
            <w:r w:rsidRPr="00D82CEB">
              <w:rPr>
                <w:rFonts w:eastAsiaTheme="minorEastAsia"/>
                <w:color w:val="FFFFFF"/>
                <w:sz w:val="21"/>
                <w:lang w:eastAsia="en-AU"/>
              </w:rPr>
              <w:t xml:space="preserve"> </w:t>
            </w:r>
          </w:p>
        </w:tc>
        <w:tc>
          <w:tcPr>
            <w:tcW w:w="4660" w:type="dxa"/>
            <w:gridSpan w:val="3"/>
            <w:tcBorders>
              <w:top w:val="single" w:sz="6" w:space="0" w:color="auto"/>
              <w:left w:val="nil"/>
              <w:bottom w:val="single" w:sz="6" w:space="0" w:color="FFFFFF" w:themeColor="background1"/>
              <w:right w:val="nil"/>
            </w:tcBorders>
            <w:shd w:val="clear" w:color="000000" w:fill="000000"/>
          </w:tcPr>
          <w:p w:rsidR="00336793" w:rsidRPr="00D82CEB" w:rsidRDefault="00336793" w:rsidP="00DF0B96">
            <w:pPr>
              <w:pStyle w:val="TabletextheadingCentred"/>
              <w:rPr>
                <w:rFonts w:eastAsiaTheme="minorEastAsia" w:cs="Calibri"/>
                <w:iCs/>
                <w:color w:val="FFFFFF"/>
                <w:sz w:val="21"/>
                <w:lang w:eastAsia="en-AU"/>
              </w:rPr>
            </w:pPr>
            <w:r w:rsidRPr="00D82CEB">
              <w:rPr>
                <w:rFonts w:eastAsiaTheme="minorEastAsia"/>
                <w:sz w:val="21"/>
                <w:lang w:eastAsia="en-AU"/>
              </w:rPr>
              <w:t>State</w:t>
            </w:r>
            <w:r w:rsidRPr="00D82CEB">
              <w:rPr>
                <w:rFonts w:eastAsiaTheme="minorEastAsia" w:cs="Calibri"/>
                <w:iCs/>
                <w:color w:val="FFFFFF"/>
                <w:sz w:val="21"/>
                <w:lang w:eastAsia="en-AU"/>
              </w:rPr>
              <w:t xml:space="preserve"> of Victoria </w:t>
            </w:r>
          </w:p>
        </w:tc>
        <w:tc>
          <w:tcPr>
            <w:tcW w:w="290" w:type="dxa"/>
            <w:tcBorders>
              <w:top w:val="single" w:sz="6" w:space="0" w:color="auto"/>
              <w:left w:val="nil"/>
              <w:bottom w:val="nil"/>
              <w:right w:val="nil"/>
            </w:tcBorders>
            <w:shd w:val="clear" w:color="000000" w:fill="000000"/>
          </w:tcPr>
          <w:p w:rsidR="00336793" w:rsidRPr="00D82CEB" w:rsidRDefault="00336793" w:rsidP="00DF0B96">
            <w:pPr>
              <w:pStyle w:val="TabletextheadingCentred"/>
              <w:rPr>
                <w:rFonts w:eastAsiaTheme="minorEastAsia"/>
                <w:sz w:val="21"/>
                <w:lang w:eastAsia="en-AU"/>
              </w:rPr>
            </w:pPr>
            <w:r w:rsidRPr="00D82CEB">
              <w:rPr>
                <w:rFonts w:eastAsiaTheme="minorEastAsia"/>
                <w:sz w:val="21"/>
                <w:lang w:eastAsia="en-AU"/>
              </w:rPr>
              <w:t xml:space="preserve"> </w:t>
            </w:r>
          </w:p>
        </w:tc>
        <w:tc>
          <w:tcPr>
            <w:tcW w:w="340" w:type="dxa"/>
            <w:tcBorders>
              <w:top w:val="single" w:sz="6" w:space="0" w:color="auto"/>
              <w:left w:val="nil"/>
              <w:bottom w:val="nil"/>
              <w:right w:val="nil"/>
            </w:tcBorders>
            <w:shd w:val="clear" w:color="000000" w:fill="000000"/>
          </w:tcPr>
          <w:p w:rsidR="00336793" w:rsidRPr="00D82CEB" w:rsidRDefault="00336793" w:rsidP="00DF0B96">
            <w:pPr>
              <w:pStyle w:val="TabletextheadingCentred"/>
              <w:rPr>
                <w:rFonts w:eastAsiaTheme="minorEastAsia"/>
                <w:sz w:val="21"/>
                <w:lang w:eastAsia="en-AU"/>
              </w:rPr>
            </w:pPr>
            <w:r w:rsidRPr="00D82CEB">
              <w:rPr>
                <w:rFonts w:eastAsiaTheme="minorEastAsia"/>
                <w:sz w:val="21"/>
                <w:lang w:eastAsia="en-AU"/>
              </w:rPr>
              <w:t xml:space="preserve"> </w:t>
            </w:r>
          </w:p>
        </w:tc>
        <w:tc>
          <w:tcPr>
            <w:tcW w:w="4230" w:type="dxa"/>
            <w:gridSpan w:val="3"/>
            <w:tcBorders>
              <w:top w:val="single" w:sz="6" w:space="0" w:color="auto"/>
              <w:left w:val="nil"/>
              <w:bottom w:val="nil"/>
              <w:right w:val="nil"/>
            </w:tcBorders>
            <w:shd w:val="clear" w:color="000000" w:fill="000000"/>
          </w:tcPr>
          <w:p w:rsidR="00336793" w:rsidRPr="00D82CEB" w:rsidRDefault="00336793" w:rsidP="00DF0B96">
            <w:pPr>
              <w:pStyle w:val="TabletextheadingCentred"/>
              <w:rPr>
                <w:rFonts w:eastAsiaTheme="minorEastAsia" w:cs="Calibri"/>
                <w:iCs/>
                <w:color w:val="FFFFFF"/>
                <w:sz w:val="21"/>
                <w:lang w:eastAsia="en-AU"/>
              </w:rPr>
            </w:pPr>
            <w:r w:rsidRPr="00D82CEB">
              <w:rPr>
                <w:rFonts w:eastAsiaTheme="minorEastAsia"/>
                <w:sz w:val="21"/>
                <w:lang w:eastAsia="en-AU"/>
              </w:rPr>
              <w:t xml:space="preserve">General </w:t>
            </w:r>
            <w:r w:rsidRPr="00D82CEB">
              <w:rPr>
                <w:rFonts w:eastAsiaTheme="minorEastAsia" w:cs="Calibri"/>
                <w:iCs/>
                <w:color w:val="FFFFFF"/>
                <w:sz w:val="21"/>
                <w:lang w:eastAsia="en-AU"/>
              </w:rPr>
              <w:t xml:space="preserve">government sector </w:t>
            </w:r>
          </w:p>
        </w:tc>
        <w:tc>
          <w:tcPr>
            <w:tcW w:w="153" w:type="dxa"/>
            <w:tcBorders>
              <w:top w:val="single" w:sz="6" w:space="0" w:color="auto"/>
              <w:left w:val="nil"/>
              <w:bottom w:val="nil"/>
              <w:right w:val="single" w:sz="6" w:space="0" w:color="auto"/>
            </w:tcBorders>
            <w:shd w:val="clear" w:color="000000" w:fill="000000"/>
          </w:tcPr>
          <w:p w:rsidR="00336793" w:rsidRPr="00D82CEB" w:rsidRDefault="00336793" w:rsidP="00DF0B96">
            <w:pPr>
              <w:pStyle w:val="Tabletextheading"/>
              <w:rPr>
                <w:rFonts w:eastAsiaTheme="minorEastAsia"/>
                <w:color w:val="FFFFFF"/>
                <w:sz w:val="21"/>
                <w:lang w:eastAsia="en-AU"/>
              </w:rPr>
            </w:pPr>
            <w:r w:rsidRPr="00D82CEB">
              <w:rPr>
                <w:rFonts w:eastAsiaTheme="minorEastAsia"/>
                <w:color w:val="FFFFFF"/>
                <w:sz w:val="21"/>
                <w:lang w:eastAsia="en-AU"/>
              </w:rPr>
              <w:t xml:space="preserve"> </w:t>
            </w:r>
          </w:p>
        </w:tc>
      </w:tr>
      <w:tr w:rsidR="00336793" w:rsidRPr="00D82CEB" w:rsidTr="00DF0B96">
        <w:tc>
          <w:tcPr>
            <w:tcW w:w="4787" w:type="dxa"/>
            <w:tcBorders>
              <w:top w:val="nil"/>
              <w:left w:val="single" w:sz="6" w:space="0" w:color="auto"/>
              <w:bottom w:val="single" w:sz="6" w:space="0" w:color="auto"/>
              <w:right w:val="nil"/>
            </w:tcBorders>
            <w:shd w:val="clear" w:color="000000" w:fill="000000"/>
            <w:vAlign w:val="bottom"/>
          </w:tcPr>
          <w:p w:rsidR="00336793" w:rsidRPr="00D82CEB" w:rsidRDefault="00336793" w:rsidP="00DF0B96">
            <w:pPr>
              <w:pStyle w:val="Tabletext"/>
              <w:rPr>
                <w:rFonts w:eastAsiaTheme="minorEastAsia"/>
                <w:i/>
                <w:sz w:val="21"/>
                <w:lang w:eastAsia="en-AU"/>
              </w:rPr>
            </w:pPr>
            <w:r w:rsidRPr="00D82CEB">
              <w:rPr>
                <w:rFonts w:eastAsiaTheme="minorEastAsia"/>
                <w:i/>
                <w:sz w:val="21"/>
                <w:lang w:eastAsia="en-AU"/>
              </w:rPr>
              <w:t>30 June 2015</w:t>
            </w:r>
          </w:p>
        </w:tc>
        <w:tc>
          <w:tcPr>
            <w:tcW w:w="1710" w:type="dxa"/>
            <w:gridSpan w:val="2"/>
            <w:tcBorders>
              <w:top w:val="nil"/>
              <w:left w:val="nil"/>
              <w:bottom w:val="single" w:sz="6" w:space="0" w:color="auto"/>
              <w:right w:val="nil"/>
            </w:tcBorders>
            <w:shd w:val="clear" w:color="000000" w:fill="000000"/>
            <w:vAlign w:val="bottom"/>
          </w:tcPr>
          <w:p w:rsidR="00336793" w:rsidRPr="00D82CEB" w:rsidRDefault="00336793" w:rsidP="00DF0B96">
            <w:pPr>
              <w:pStyle w:val="Tabletextheading"/>
              <w:rPr>
                <w:rFonts w:eastAsiaTheme="minorEastAsia"/>
                <w:color w:val="FFFFFF"/>
                <w:sz w:val="21"/>
                <w:lang w:eastAsia="en-AU"/>
              </w:rPr>
            </w:pPr>
            <w:r w:rsidRPr="00D82CEB">
              <w:rPr>
                <w:rFonts w:eastAsiaTheme="minorEastAsia"/>
                <w:color w:val="FFFFFF"/>
                <w:sz w:val="21"/>
                <w:lang w:eastAsia="en-AU"/>
              </w:rPr>
              <w:t>Without change in accounting policy</w:t>
            </w:r>
          </w:p>
        </w:tc>
        <w:tc>
          <w:tcPr>
            <w:tcW w:w="1800" w:type="dxa"/>
            <w:tcBorders>
              <w:top w:val="nil"/>
              <w:left w:val="nil"/>
              <w:bottom w:val="single" w:sz="6" w:space="0" w:color="auto"/>
              <w:right w:val="nil"/>
            </w:tcBorders>
            <w:shd w:val="clear" w:color="000000" w:fill="000000"/>
            <w:vAlign w:val="bottom"/>
          </w:tcPr>
          <w:p w:rsidR="00336793" w:rsidRPr="00D82CEB" w:rsidRDefault="00336793" w:rsidP="00DF0B96">
            <w:pPr>
              <w:pStyle w:val="Tabletextheading"/>
              <w:rPr>
                <w:rFonts w:eastAsiaTheme="minorEastAsia"/>
                <w:color w:val="FFFFFF"/>
                <w:sz w:val="21"/>
                <w:lang w:eastAsia="en-AU"/>
              </w:rPr>
            </w:pPr>
            <w:r w:rsidRPr="00D82CEB">
              <w:rPr>
                <w:rFonts w:eastAsiaTheme="minorEastAsia"/>
                <w:color w:val="FFFFFF"/>
                <w:sz w:val="21"/>
                <w:lang w:eastAsia="en-AU"/>
              </w:rPr>
              <w:t>Effect of change in accounting policy</w:t>
            </w:r>
          </w:p>
        </w:tc>
        <w:tc>
          <w:tcPr>
            <w:tcW w:w="1260" w:type="dxa"/>
            <w:tcBorders>
              <w:top w:val="nil"/>
              <w:left w:val="nil"/>
              <w:bottom w:val="single" w:sz="6" w:space="0" w:color="auto"/>
              <w:right w:val="nil"/>
            </w:tcBorders>
            <w:shd w:val="clear" w:color="000000" w:fill="000000"/>
            <w:vAlign w:val="bottom"/>
          </w:tcPr>
          <w:p w:rsidR="00336793" w:rsidRPr="00D82CEB" w:rsidRDefault="00336793" w:rsidP="00DF0B96">
            <w:pPr>
              <w:pStyle w:val="Tabletextheading"/>
              <w:rPr>
                <w:rFonts w:eastAsiaTheme="minorEastAsia"/>
                <w:color w:val="FFFFFF"/>
                <w:sz w:val="21"/>
                <w:lang w:eastAsia="en-AU"/>
              </w:rPr>
            </w:pPr>
            <w:r w:rsidRPr="00D82CEB">
              <w:rPr>
                <w:rFonts w:eastAsiaTheme="minorEastAsia"/>
                <w:color w:val="FFFFFF"/>
                <w:sz w:val="21"/>
                <w:lang w:eastAsia="en-AU"/>
              </w:rPr>
              <w:t>Restated</w:t>
            </w:r>
          </w:p>
        </w:tc>
        <w:tc>
          <w:tcPr>
            <w:tcW w:w="1980" w:type="dxa"/>
            <w:gridSpan w:val="3"/>
            <w:tcBorders>
              <w:top w:val="nil"/>
              <w:left w:val="nil"/>
              <w:bottom w:val="single" w:sz="6" w:space="0" w:color="auto"/>
              <w:right w:val="nil"/>
            </w:tcBorders>
            <w:shd w:val="clear" w:color="000000" w:fill="000000"/>
            <w:vAlign w:val="bottom"/>
          </w:tcPr>
          <w:p w:rsidR="00336793" w:rsidRPr="00D82CEB" w:rsidRDefault="00336793" w:rsidP="00DF0B96">
            <w:pPr>
              <w:pStyle w:val="Tabletextheading"/>
              <w:rPr>
                <w:rFonts w:eastAsiaTheme="minorEastAsia"/>
                <w:color w:val="FFFFFF"/>
                <w:sz w:val="21"/>
                <w:lang w:eastAsia="en-AU"/>
              </w:rPr>
            </w:pPr>
            <w:r w:rsidRPr="00D82CEB">
              <w:rPr>
                <w:rFonts w:eastAsiaTheme="minorEastAsia"/>
                <w:color w:val="FFFFFF"/>
                <w:sz w:val="21"/>
                <w:lang w:eastAsia="en-AU"/>
              </w:rPr>
              <w:t>Without change in accounting policy</w:t>
            </w:r>
          </w:p>
        </w:tc>
        <w:tc>
          <w:tcPr>
            <w:tcW w:w="1710" w:type="dxa"/>
            <w:tcBorders>
              <w:top w:val="nil"/>
              <w:left w:val="nil"/>
              <w:bottom w:val="single" w:sz="6" w:space="0" w:color="auto"/>
              <w:right w:val="nil"/>
            </w:tcBorders>
            <w:shd w:val="clear" w:color="000000" w:fill="000000"/>
            <w:vAlign w:val="bottom"/>
          </w:tcPr>
          <w:p w:rsidR="00336793" w:rsidRPr="00D82CEB" w:rsidRDefault="00336793" w:rsidP="00DF0B96">
            <w:pPr>
              <w:pStyle w:val="Tabletextheading"/>
              <w:rPr>
                <w:rFonts w:eastAsiaTheme="minorEastAsia"/>
                <w:color w:val="FFFFFF"/>
                <w:sz w:val="21"/>
                <w:lang w:eastAsia="en-AU"/>
              </w:rPr>
            </w:pPr>
            <w:r w:rsidRPr="00D82CEB">
              <w:rPr>
                <w:rFonts w:eastAsiaTheme="minorEastAsia"/>
                <w:color w:val="FFFFFF"/>
                <w:sz w:val="21"/>
                <w:lang w:eastAsia="en-AU"/>
              </w:rPr>
              <w:t>Effect of change in accounting policy</w:t>
            </w:r>
          </w:p>
        </w:tc>
        <w:tc>
          <w:tcPr>
            <w:tcW w:w="1323" w:type="dxa"/>
            <w:gridSpan w:val="2"/>
            <w:tcBorders>
              <w:top w:val="nil"/>
              <w:left w:val="nil"/>
              <w:bottom w:val="single" w:sz="6" w:space="0" w:color="auto"/>
              <w:right w:val="single" w:sz="6" w:space="0" w:color="auto"/>
            </w:tcBorders>
            <w:shd w:val="clear" w:color="000000" w:fill="000000"/>
            <w:vAlign w:val="bottom"/>
          </w:tcPr>
          <w:p w:rsidR="00336793" w:rsidRPr="00D82CEB" w:rsidRDefault="00336793" w:rsidP="00DF0B96">
            <w:pPr>
              <w:pStyle w:val="Tabletextheading"/>
              <w:rPr>
                <w:rFonts w:eastAsiaTheme="minorEastAsia"/>
                <w:color w:val="FFFFFF"/>
                <w:sz w:val="21"/>
                <w:lang w:eastAsia="en-AU"/>
              </w:rPr>
            </w:pPr>
            <w:r w:rsidRPr="00D82CEB">
              <w:rPr>
                <w:rFonts w:eastAsiaTheme="minorEastAsia"/>
                <w:color w:val="FFFFFF"/>
                <w:sz w:val="21"/>
                <w:lang w:eastAsia="en-AU"/>
              </w:rPr>
              <w:t>Restated</w:t>
            </w:r>
          </w:p>
        </w:tc>
      </w:tr>
      <w:tr w:rsidR="00336793" w:rsidRPr="00D82CEB" w:rsidTr="00DF0B96">
        <w:tc>
          <w:tcPr>
            <w:tcW w:w="4787" w:type="dxa"/>
            <w:tcBorders>
              <w:top w:val="single" w:sz="6" w:space="0" w:color="auto"/>
              <w:left w:val="nil"/>
              <w:bottom w:val="nil"/>
              <w:right w:val="nil"/>
            </w:tcBorders>
          </w:tcPr>
          <w:p w:rsidR="00336793" w:rsidRPr="00D82CEB" w:rsidRDefault="00336793" w:rsidP="00DF0B96">
            <w:pPr>
              <w:pStyle w:val="Tabletext"/>
              <w:rPr>
                <w:rFonts w:eastAsiaTheme="minorEastAsia"/>
                <w:b/>
                <w:bCs/>
                <w:sz w:val="21"/>
                <w:lang w:eastAsia="en-AU"/>
              </w:rPr>
            </w:pPr>
            <w:r w:rsidRPr="00D82CEB">
              <w:rPr>
                <w:rFonts w:eastAsiaTheme="minorEastAsia"/>
                <w:b/>
                <w:bCs/>
                <w:sz w:val="21"/>
                <w:lang w:eastAsia="en-AU"/>
              </w:rPr>
              <w:t>Assets</w:t>
            </w:r>
          </w:p>
        </w:tc>
        <w:tc>
          <w:tcPr>
            <w:tcW w:w="1710" w:type="dxa"/>
            <w:gridSpan w:val="2"/>
            <w:tcBorders>
              <w:top w:val="single" w:sz="6" w:space="0" w:color="auto"/>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 xml:space="preserve"> </w:t>
            </w:r>
          </w:p>
        </w:tc>
        <w:tc>
          <w:tcPr>
            <w:tcW w:w="1800" w:type="dxa"/>
            <w:tcBorders>
              <w:top w:val="single" w:sz="6" w:space="0" w:color="auto"/>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 xml:space="preserve"> </w:t>
            </w:r>
          </w:p>
        </w:tc>
        <w:tc>
          <w:tcPr>
            <w:tcW w:w="1260" w:type="dxa"/>
            <w:tcBorders>
              <w:top w:val="single" w:sz="6" w:space="0" w:color="auto"/>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 xml:space="preserve"> </w:t>
            </w:r>
          </w:p>
        </w:tc>
        <w:tc>
          <w:tcPr>
            <w:tcW w:w="1980" w:type="dxa"/>
            <w:gridSpan w:val="3"/>
            <w:tcBorders>
              <w:top w:val="single" w:sz="6" w:space="0" w:color="auto"/>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 xml:space="preserve"> </w:t>
            </w:r>
          </w:p>
        </w:tc>
        <w:tc>
          <w:tcPr>
            <w:tcW w:w="1710" w:type="dxa"/>
            <w:tcBorders>
              <w:top w:val="single" w:sz="6" w:space="0" w:color="auto"/>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 xml:space="preserve"> </w:t>
            </w:r>
          </w:p>
        </w:tc>
        <w:tc>
          <w:tcPr>
            <w:tcW w:w="1323" w:type="dxa"/>
            <w:gridSpan w:val="2"/>
            <w:tcBorders>
              <w:top w:val="single" w:sz="6" w:space="0" w:color="auto"/>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 xml:space="preserve"> </w:t>
            </w:r>
          </w:p>
        </w:tc>
      </w:tr>
      <w:tr w:rsidR="00336793" w:rsidRPr="00D82CEB" w:rsidTr="00DF0B96">
        <w:tc>
          <w:tcPr>
            <w:tcW w:w="4787" w:type="dxa"/>
            <w:tcBorders>
              <w:top w:val="nil"/>
              <w:left w:val="nil"/>
              <w:bottom w:val="nil"/>
              <w:right w:val="nil"/>
            </w:tcBorders>
          </w:tcPr>
          <w:p w:rsidR="00336793" w:rsidRPr="00D82CEB" w:rsidRDefault="00336793" w:rsidP="00DF0B96">
            <w:pPr>
              <w:pStyle w:val="Tabletext"/>
              <w:rPr>
                <w:rFonts w:eastAsiaTheme="minorEastAsia"/>
                <w:b/>
                <w:bCs/>
                <w:sz w:val="21"/>
                <w:lang w:eastAsia="en-AU"/>
              </w:rPr>
            </w:pPr>
            <w:r w:rsidRPr="00D82CEB">
              <w:rPr>
                <w:rFonts w:eastAsiaTheme="minorEastAsia"/>
                <w:b/>
                <w:bCs/>
                <w:sz w:val="21"/>
                <w:lang w:eastAsia="en-AU"/>
              </w:rPr>
              <w:t>Non</w:t>
            </w:r>
            <w:r>
              <w:rPr>
                <w:rFonts w:eastAsiaTheme="minorEastAsia"/>
                <w:b/>
                <w:bCs/>
                <w:sz w:val="21"/>
                <w:lang w:eastAsia="en-AU"/>
              </w:rPr>
              <w:noBreakHyphen/>
            </w:r>
            <w:r w:rsidRPr="00D82CEB">
              <w:rPr>
                <w:rFonts w:eastAsiaTheme="minorEastAsia"/>
                <w:b/>
                <w:bCs/>
                <w:sz w:val="21"/>
                <w:lang w:eastAsia="en-AU"/>
              </w:rPr>
              <w:t>financial assets</w:t>
            </w:r>
          </w:p>
        </w:tc>
        <w:tc>
          <w:tcPr>
            <w:tcW w:w="1710" w:type="dxa"/>
            <w:gridSpan w:val="2"/>
            <w:tcBorders>
              <w:top w:val="nil"/>
              <w:left w:val="nil"/>
              <w:bottom w:val="nil"/>
              <w:right w:val="nil"/>
            </w:tcBorders>
          </w:tcPr>
          <w:p w:rsidR="00336793" w:rsidRPr="00D82CEB" w:rsidRDefault="00336793" w:rsidP="00DF0B96">
            <w:pPr>
              <w:pStyle w:val="TableofFigures"/>
              <w:rPr>
                <w:rFonts w:eastAsiaTheme="minorEastAsia"/>
                <w:b/>
                <w:sz w:val="21"/>
                <w:lang w:eastAsia="en-AU"/>
              </w:rPr>
            </w:pPr>
          </w:p>
        </w:tc>
        <w:tc>
          <w:tcPr>
            <w:tcW w:w="1800" w:type="dxa"/>
            <w:tcBorders>
              <w:top w:val="nil"/>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 xml:space="preserve"> </w:t>
            </w:r>
          </w:p>
        </w:tc>
        <w:tc>
          <w:tcPr>
            <w:tcW w:w="1260" w:type="dxa"/>
            <w:tcBorders>
              <w:top w:val="nil"/>
              <w:left w:val="nil"/>
              <w:bottom w:val="nil"/>
              <w:right w:val="nil"/>
            </w:tcBorders>
          </w:tcPr>
          <w:p w:rsidR="00336793" w:rsidRPr="00D82CEB" w:rsidRDefault="00336793" w:rsidP="00DF0B96">
            <w:pPr>
              <w:pStyle w:val="TableofFigures"/>
              <w:rPr>
                <w:rFonts w:eastAsiaTheme="minorEastAsia"/>
                <w:b/>
                <w:sz w:val="21"/>
                <w:lang w:eastAsia="en-AU"/>
              </w:rPr>
            </w:pPr>
          </w:p>
        </w:tc>
        <w:tc>
          <w:tcPr>
            <w:tcW w:w="1980" w:type="dxa"/>
            <w:gridSpan w:val="3"/>
            <w:tcBorders>
              <w:top w:val="nil"/>
              <w:left w:val="nil"/>
              <w:bottom w:val="nil"/>
              <w:right w:val="nil"/>
            </w:tcBorders>
          </w:tcPr>
          <w:p w:rsidR="00336793" w:rsidRPr="00D82CEB" w:rsidRDefault="00336793" w:rsidP="00DF0B96">
            <w:pPr>
              <w:pStyle w:val="TableofFigures"/>
              <w:rPr>
                <w:rFonts w:eastAsiaTheme="minorEastAsia"/>
                <w:b/>
                <w:sz w:val="21"/>
                <w:lang w:eastAsia="en-AU"/>
              </w:rPr>
            </w:pPr>
          </w:p>
        </w:tc>
        <w:tc>
          <w:tcPr>
            <w:tcW w:w="1710" w:type="dxa"/>
            <w:tcBorders>
              <w:top w:val="nil"/>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 xml:space="preserve"> </w:t>
            </w:r>
          </w:p>
        </w:tc>
        <w:tc>
          <w:tcPr>
            <w:tcW w:w="1323" w:type="dxa"/>
            <w:gridSpan w:val="2"/>
            <w:tcBorders>
              <w:top w:val="nil"/>
              <w:left w:val="nil"/>
              <w:bottom w:val="nil"/>
              <w:right w:val="nil"/>
            </w:tcBorders>
          </w:tcPr>
          <w:p w:rsidR="00336793" w:rsidRPr="00D82CEB" w:rsidRDefault="00336793" w:rsidP="00DF0B96">
            <w:pPr>
              <w:pStyle w:val="TableofFigures"/>
              <w:rPr>
                <w:rFonts w:eastAsiaTheme="minorEastAsia"/>
                <w:b/>
                <w:sz w:val="21"/>
                <w:lang w:eastAsia="en-AU"/>
              </w:rPr>
            </w:pPr>
          </w:p>
        </w:tc>
      </w:tr>
      <w:tr w:rsidR="00336793" w:rsidRPr="00D82CEB" w:rsidTr="00DF0B96">
        <w:tc>
          <w:tcPr>
            <w:tcW w:w="4787" w:type="dxa"/>
            <w:tcBorders>
              <w:top w:val="nil"/>
              <w:left w:val="nil"/>
              <w:bottom w:val="nil"/>
              <w:right w:val="nil"/>
            </w:tcBorders>
          </w:tcPr>
          <w:p w:rsidR="00336793" w:rsidRPr="00D82CEB" w:rsidRDefault="00336793" w:rsidP="00DF0B96">
            <w:pPr>
              <w:pStyle w:val="Tabletext"/>
              <w:rPr>
                <w:rFonts w:eastAsiaTheme="minorEastAsia"/>
                <w:sz w:val="21"/>
                <w:lang w:eastAsia="en-AU"/>
              </w:rPr>
            </w:pPr>
            <w:r w:rsidRPr="00D82CEB">
              <w:rPr>
                <w:rFonts w:eastAsiaTheme="minorEastAsia"/>
                <w:sz w:val="21"/>
                <w:lang w:eastAsia="en-AU"/>
              </w:rPr>
              <w:t xml:space="preserve">Land, buildings, infrastructure, plant and equipment </w:t>
            </w:r>
          </w:p>
        </w:tc>
        <w:tc>
          <w:tcPr>
            <w:tcW w:w="1710" w:type="dxa"/>
            <w:gridSpan w:val="2"/>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205 448.7</w:t>
            </w:r>
          </w:p>
        </w:tc>
        <w:tc>
          <w:tcPr>
            <w:tcW w:w="1800" w:type="dxa"/>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1 524.2</w:t>
            </w:r>
          </w:p>
        </w:tc>
        <w:tc>
          <w:tcPr>
            <w:tcW w:w="1260" w:type="dxa"/>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206 972.9</w:t>
            </w:r>
          </w:p>
        </w:tc>
        <w:tc>
          <w:tcPr>
            <w:tcW w:w="1980" w:type="dxa"/>
            <w:gridSpan w:val="3"/>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106 062.2</w:t>
            </w:r>
          </w:p>
        </w:tc>
        <w:tc>
          <w:tcPr>
            <w:tcW w:w="1710" w:type="dxa"/>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1 524.2</w:t>
            </w:r>
          </w:p>
        </w:tc>
        <w:tc>
          <w:tcPr>
            <w:tcW w:w="1323" w:type="dxa"/>
            <w:gridSpan w:val="2"/>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107 586.4</w:t>
            </w:r>
          </w:p>
        </w:tc>
      </w:tr>
      <w:tr w:rsidR="00336793" w:rsidRPr="00D82CEB" w:rsidTr="00DF0B96">
        <w:tc>
          <w:tcPr>
            <w:tcW w:w="4787" w:type="dxa"/>
            <w:tcBorders>
              <w:top w:val="single" w:sz="6" w:space="0" w:color="auto"/>
              <w:left w:val="nil"/>
              <w:bottom w:val="single" w:sz="6" w:space="0" w:color="auto"/>
              <w:right w:val="nil"/>
            </w:tcBorders>
          </w:tcPr>
          <w:p w:rsidR="00336793" w:rsidRPr="00D82CEB" w:rsidRDefault="00336793" w:rsidP="00DF0B96">
            <w:pPr>
              <w:pStyle w:val="Tabletext"/>
              <w:rPr>
                <w:rFonts w:eastAsiaTheme="minorEastAsia"/>
                <w:b/>
                <w:bCs/>
                <w:sz w:val="21"/>
                <w:lang w:eastAsia="en-AU"/>
              </w:rPr>
            </w:pPr>
            <w:r w:rsidRPr="00D82CEB">
              <w:rPr>
                <w:rFonts w:eastAsiaTheme="minorEastAsia"/>
                <w:b/>
                <w:bCs/>
                <w:sz w:val="21"/>
                <w:lang w:eastAsia="en-AU"/>
              </w:rPr>
              <w:t>Total non</w:t>
            </w:r>
            <w:r>
              <w:rPr>
                <w:rFonts w:eastAsiaTheme="minorEastAsia"/>
                <w:b/>
                <w:bCs/>
                <w:sz w:val="21"/>
                <w:lang w:eastAsia="en-AU"/>
              </w:rPr>
              <w:noBreakHyphen/>
            </w:r>
            <w:r w:rsidRPr="00D82CEB">
              <w:rPr>
                <w:rFonts w:eastAsiaTheme="minorEastAsia"/>
                <w:b/>
                <w:bCs/>
                <w:sz w:val="21"/>
                <w:lang w:eastAsia="en-AU"/>
              </w:rPr>
              <w:t xml:space="preserve">financial assets </w:t>
            </w:r>
          </w:p>
        </w:tc>
        <w:tc>
          <w:tcPr>
            <w:tcW w:w="1710" w:type="dxa"/>
            <w:gridSpan w:val="2"/>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208 491.1</w:t>
            </w:r>
          </w:p>
        </w:tc>
        <w:tc>
          <w:tcPr>
            <w:tcW w:w="1800" w:type="dxa"/>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1 524.2</w:t>
            </w:r>
          </w:p>
        </w:tc>
        <w:tc>
          <w:tcPr>
            <w:tcW w:w="1260" w:type="dxa"/>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210 015.3</w:t>
            </w:r>
          </w:p>
        </w:tc>
        <w:tc>
          <w:tcPr>
            <w:tcW w:w="1980" w:type="dxa"/>
            <w:gridSpan w:val="3"/>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107 420.3</w:t>
            </w:r>
          </w:p>
        </w:tc>
        <w:tc>
          <w:tcPr>
            <w:tcW w:w="1710" w:type="dxa"/>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1 524.2</w:t>
            </w:r>
          </w:p>
        </w:tc>
        <w:tc>
          <w:tcPr>
            <w:tcW w:w="1323" w:type="dxa"/>
            <w:gridSpan w:val="2"/>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108 944.5</w:t>
            </w:r>
          </w:p>
        </w:tc>
      </w:tr>
      <w:tr w:rsidR="00336793" w:rsidRPr="00D82CEB" w:rsidTr="00DF0B96">
        <w:tc>
          <w:tcPr>
            <w:tcW w:w="4787" w:type="dxa"/>
            <w:tcBorders>
              <w:top w:val="nil"/>
              <w:left w:val="nil"/>
              <w:bottom w:val="nil"/>
              <w:right w:val="nil"/>
            </w:tcBorders>
          </w:tcPr>
          <w:p w:rsidR="00336793" w:rsidRPr="00D82CEB" w:rsidRDefault="00336793" w:rsidP="00DF0B96">
            <w:pPr>
              <w:pStyle w:val="Tabletext"/>
              <w:rPr>
                <w:rFonts w:eastAsiaTheme="minorEastAsia"/>
                <w:b/>
                <w:bCs/>
                <w:sz w:val="21"/>
                <w:lang w:eastAsia="en-AU"/>
              </w:rPr>
            </w:pPr>
            <w:r w:rsidRPr="00D82CEB">
              <w:rPr>
                <w:rFonts w:eastAsiaTheme="minorEastAsia"/>
                <w:b/>
                <w:bCs/>
                <w:sz w:val="21"/>
                <w:lang w:eastAsia="en-AU"/>
              </w:rPr>
              <w:t xml:space="preserve">Total assets </w:t>
            </w:r>
          </w:p>
        </w:tc>
        <w:tc>
          <w:tcPr>
            <w:tcW w:w="1710" w:type="dxa"/>
            <w:gridSpan w:val="2"/>
            <w:tcBorders>
              <w:top w:val="nil"/>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258 260.7</w:t>
            </w:r>
          </w:p>
        </w:tc>
        <w:tc>
          <w:tcPr>
            <w:tcW w:w="1800" w:type="dxa"/>
            <w:tcBorders>
              <w:top w:val="nil"/>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1 524.2</w:t>
            </w:r>
          </w:p>
        </w:tc>
        <w:tc>
          <w:tcPr>
            <w:tcW w:w="1260" w:type="dxa"/>
            <w:tcBorders>
              <w:top w:val="nil"/>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259 784.9</w:t>
            </w:r>
          </w:p>
        </w:tc>
        <w:tc>
          <w:tcPr>
            <w:tcW w:w="1980" w:type="dxa"/>
            <w:gridSpan w:val="3"/>
            <w:tcBorders>
              <w:top w:val="nil"/>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207 460.5</w:t>
            </w:r>
          </w:p>
        </w:tc>
        <w:tc>
          <w:tcPr>
            <w:tcW w:w="1710" w:type="dxa"/>
            <w:tcBorders>
              <w:top w:val="nil"/>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1 524.2</w:t>
            </w:r>
          </w:p>
        </w:tc>
        <w:tc>
          <w:tcPr>
            <w:tcW w:w="1323" w:type="dxa"/>
            <w:gridSpan w:val="2"/>
            <w:tcBorders>
              <w:top w:val="nil"/>
              <w:left w:val="nil"/>
              <w:bottom w:val="nil"/>
              <w:right w:val="nil"/>
            </w:tcBorders>
          </w:tcPr>
          <w:p w:rsidR="00336793" w:rsidRPr="00D82CEB" w:rsidRDefault="00336793" w:rsidP="00DF0B96">
            <w:pPr>
              <w:pStyle w:val="TableofFigures"/>
              <w:rPr>
                <w:rFonts w:eastAsiaTheme="minorEastAsia"/>
                <w:b/>
                <w:sz w:val="21"/>
                <w:lang w:eastAsia="en-AU"/>
              </w:rPr>
            </w:pPr>
            <w:r w:rsidRPr="00D82CEB">
              <w:rPr>
                <w:rFonts w:eastAsiaTheme="minorEastAsia"/>
                <w:b/>
                <w:sz w:val="21"/>
                <w:lang w:eastAsia="en-AU"/>
              </w:rPr>
              <w:t>208 984.7</w:t>
            </w:r>
          </w:p>
        </w:tc>
      </w:tr>
      <w:tr w:rsidR="00336793" w:rsidRPr="00D82CEB" w:rsidTr="00DF0B96">
        <w:tc>
          <w:tcPr>
            <w:tcW w:w="4787" w:type="dxa"/>
            <w:tcBorders>
              <w:top w:val="nil"/>
              <w:left w:val="nil"/>
              <w:bottom w:val="nil"/>
              <w:right w:val="nil"/>
            </w:tcBorders>
          </w:tcPr>
          <w:p w:rsidR="00336793" w:rsidRPr="00D82CEB" w:rsidRDefault="00336793" w:rsidP="00DF0B96">
            <w:pPr>
              <w:pStyle w:val="Tabletext"/>
              <w:rPr>
                <w:rFonts w:eastAsiaTheme="minorEastAsia"/>
                <w:b/>
                <w:bCs/>
                <w:sz w:val="21"/>
                <w:lang w:eastAsia="en-AU"/>
              </w:rPr>
            </w:pPr>
            <w:r w:rsidRPr="00D82CEB">
              <w:rPr>
                <w:rFonts w:eastAsiaTheme="minorEastAsia"/>
                <w:b/>
                <w:bCs/>
                <w:sz w:val="21"/>
                <w:lang w:eastAsia="en-AU"/>
              </w:rPr>
              <w:t>Liabilities</w:t>
            </w:r>
          </w:p>
        </w:tc>
        <w:tc>
          <w:tcPr>
            <w:tcW w:w="1710" w:type="dxa"/>
            <w:gridSpan w:val="2"/>
            <w:tcBorders>
              <w:top w:val="nil"/>
              <w:left w:val="nil"/>
              <w:bottom w:val="nil"/>
              <w:right w:val="nil"/>
            </w:tcBorders>
          </w:tcPr>
          <w:p w:rsidR="00336793" w:rsidRPr="00D82CEB" w:rsidRDefault="00336793" w:rsidP="00DF0B96">
            <w:pPr>
              <w:pStyle w:val="TableofFigures"/>
              <w:rPr>
                <w:rFonts w:eastAsiaTheme="minorEastAsia"/>
                <w:b/>
                <w:sz w:val="21"/>
                <w:lang w:eastAsia="en-AU"/>
              </w:rPr>
            </w:pPr>
          </w:p>
        </w:tc>
        <w:tc>
          <w:tcPr>
            <w:tcW w:w="1800" w:type="dxa"/>
            <w:tcBorders>
              <w:top w:val="nil"/>
              <w:left w:val="nil"/>
              <w:bottom w:val="nil"/>
              <w:right w:val="nil"/>
            </w:tcBorders>
          </w:tcPr>
          <w:p w:rsidR="00336793" w:rsidRPr="00D82CEB" w:rsidRDefault="00336793" w:rsidP="00DF0B96">
            <w:pPr>
              <w:pStyle w:val="TableofFigures"/>
              <w:rPr>
                <w:rFonts w:eastAsiaTheme="minorEastAsia"/>
                <w:b/>
                <w:sz w:val="21"/>
                <w:lang w:eastAsia="en-AU"/>
              </w:rPr>
            </w:pPr>
          </w:p>
        </w:tc>
        <w:tc>
          <w:tcPr>
            <w:tcW w:w="1260" w:type="dxa"/>
            <w:tcBorders>
              <w:top w:val="nil"/>
              <w:left w:val="nil"/>
              <w:bottom w:val="nil"/>
              <w:right w:val="nil"/>
            </w:tcBorders>
          </w:tcPr>
          <w:p w:rsidR="00336793" w:rsidRPr="00D82CEB" w:rsidRDefault="00336793" w:rsidP="00DF0B96">
            <w:pPr>
              <w:pStyle w:val="TableofFigures"/>
              <w:rPr>
                <w:rFonts w:eastAsiaTheme="minorEastAsia"/>
                <w:b/>
                <w:sz w:val="21"/>
                <w:lang w:eastAsia="en-AU"/>
              </w:rPr>
            </w:pPr>
          </w:p>
        </w:tc>
        <w:tc>
          <w:tcPr>
            <w:tcW w:w="1980" w:type="dxa"/>
            <w:gridSpan w:val="3"/>
            <w:tcBorders>
              <w:top w:val="nil"/>
              <w:left w:val="nil"/>
              <w:bottom w:val="nil"/>
              <w:right w:val="nil"/>
            </w:tcBorders>
          </w:tcPr>
          <w:p w:rsidR="00336793" w:rsidRPr="00D82CEB" w:rsidRDefault="00336793" w:rsidP="00DF0B96">
            <w:pPr>
              <w:pStyle w:val="TableofFigures"/>
              <w:rPr>
                <w:rFonts w:eastAsiaTheme="minorEastAsia"/>
                <w:b/>
                <w:sz w:val="21"/>
                <w:lang w:eastAsia="en-AU"/>
              </w:rPr>
            </w:pPr>
          </w:p>
        </w:tc>
        <w:tc>
          <w:tcPr>
            <w:tcW w:w="1710" w:type="dxa"/>
            <w:tcBorders>
              <w:top w:val="nil"/>
              <w:left w:val="nil"/>
              <w:bottom w:val="nil"/>
              <w:right w:val="nil"/>
            </w:tcBorders>
          </w:tcPr>
          <w:p w:rsidR="00336793" w:rsidRPr="00D82CEB" w:rsidRDefault="00336793" w:rsidP="00DF0B96">
            <w:pPr>
              <w:pStyle w:val="TableofFigures"/>
              <w:rPr>
                <w:rFonts w:eastAsiaTheme="minorEastAsia"/>
                <w:b/>
                <w:sz w:val="21"/>
                <w:lang w:eastAsia="en-AU"/>
              </w:rPr>
            </w:pPr>
          </w:p>
        </w:tc>
        <w:tc>
          <w:tcPr>
            <w:tcW w:w="1323" w:type="dxa"/>
            <w:gridSpan w:val="2"/>
            <w:tcBorders>
              <w:top w:val="nil"/>
              <w:left w:val="nil"/>
              <w:bottom w:val="nil"/>
              <w:right w:val="nil"/>
            </w:tcBorders>
          </w:tcPr>
          <w:p w:rsidR="00336793" w:rsidRPr="00D82CEB" w:rsidRDefault="00336793" w:rsidP="00DF0B96">
            <w:pPr>
              <w:pStyle w:val="TableofFigures"/>
              <w:rPr>
                <w:rFonts w:eastAsiaTheme="minorEastAsia"/>
                <w:b/>
                <w:sz w:val="21"/>
                <w:lang w:eastAsia="en-AU"/>
              </w:rPr>
            </w:pPr>
          </w:p>
        </w:tc>
      </w:tr>
      <w:tr w:rsidR="00336793" w:rsidRPr="00D82CEB" w:rsidTr="00DF0B96">
        <w:tc>
          <w:tcPr>
            <w:tcW w:w="4787" w:type="dxa"/>
            <w:tcBorders>
              <w:top w:val="nil"/>
              <w:left w:val="nil"/>
              <w:bottom w:val="nil"/>
              <w:right w:val="nil"/>
            </w:tcBorders>
          </w:tcPr>
          <w:p w:rsidR="00336793" w:rsidRPr="00D82CEB" w:rsidRDefault="00336793" w:rsidP="00DF0B96">
            <w:pPr>
              <w:pStyle w:val="Tabletext"/>
              <w:rPr>
                <w:rFonts w:eastAsiaTheme="minorEastAsia"/>
                <w:sz w:val="21"/>
                <w:lang w:eastAsia="en-AU"/>
              </w:rPr>
            </w:pPr>
            <w:r w:rsidRPr="00D82CEB">
              <w:rPr>
                <w:rFonts w:eastAsiaTheme="minorEastAsia"/>
                <w:sz w:val="21"/>
                <w:lang w:eastAsia="en-AU"/>
              </w:rPr>
              <w:t xml:space="preserve">Superannuation </w:t>
            </w:r>
          </w:p>
        </w:tc>
        <w:tc>
          <w:tcPr>
            <w:tcW w:w="1710" w:type="dxa"/>
            <w:gridSpan w:val="2"/>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25 416.2</w:t>
            </w:r>
          </w:p>
        </w:tc>
        <w:tc>
          <w:tcPr>
            <w:tcW w:w="1800" w:type="dxa"/>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 xml:space="preserve"> 572.2</w:t>
            </w:r>
          </w:p>
        </w:tc>
        <w:tc>
          <w:tcPr>
            <w:tcW w:w="1260" w:type="dxa"/>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25 988.4</w:t>
            </w:r>
          </w:p>
        </w:tc>
        <w:tc>
          <w:tcPr>
            <w:tcW w:w="1980" w:type="dxa"/>
            <w:gridSpan w:val="3"/>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25 374.4</w:t>
            </w:r>
          </w:p>
        </w:tc>
        <w:tc>
          <w:tcPr>
            <w:tcW w:w="1710" w:type="dxa"/>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 xml:space="preserve"> 572.2</w:t>
            </w:r>
          </w:p>
        </w:tc>
        <w:tc>
          <w:tcPr>
            <w:tcW w:w="1323" w:type="dxa"/>
            <w:gridSpan w:val="2"/>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25 946.6</w:t>
            </w:r>
          </w:p>
        </w:tc>
      </w:tr>
      <w:tr w:rsidR="00336793" w:rsidRPr="00D82CEB" w:rsidTr="00DF0B96">
        <w:tc>
          <w:tcPr>
            <w:tcW w:w="4787" w:type="dxa"/>
            <w:tcBorders>
              <w:top w:val="single" w:sz="6" w:space="0" w:color="auto"/>
              <w:left w:val="nil"/>
              <w:bottom w:val="single" w:sz="6" w:space="0" w:color="auto"/>
              <w:right w:val="nil"/>
            </w:tcBorders>
          </w:tcPr>
          <w:p w:rsidR="00336793" w:rsidRPr="00D82CEB" w:rsidRDefault="00336793" w:rsidP="00DF0B96">
            <w:pPr>
              <w:pStyle w:val="Tabletext"/>
              <w:rPr>
                <w:rFonts w:eastAsiaTheme="minorEastAsia"/>
                <w:b/>
                <w:bCs/>
                <w:sz w:val="21"/>
                <w:lang w:eastAsia="en-AU"/>
              </w:rPr>
            </w:pPr>
            <w:r w:rsidRPr="00D82CEB">
              <w:rPr>
                <w:rFonts w:eastAsiaTheme="minorEastAsia"/>
                <w:b/>
                <w:bCs/>
                <w:sz w:val="21"/>
                <w:lang w:eastAsia="en-AU"/>
              </w:rPr>
              <w:t>Total liabilities</w:t>
            </w:r>
          </w:p>
        </w:tc>
        <w:tc>
          <w:tcPr>
            <w:tcW w:w="1710" w:type="dxa"/>
            <w:gridSpan w:val="2"/>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119 303.5</w:t>
            </w:r>
          </w:p>
        </w:tc>
        <w:tc>
          <w:tcPr>
            <w:tcW w:w="1800" w:type="dxa"/>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 xml:space="preserve"> 572.2</w:t>
            </w:r>
          </w:p>
        </w:tc>
        <w:tc>
          <w:tcPr>
            <w:tcW w:w="1260" w:type="dxa"/>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119 875.7</w:t>
            </w:r>
          </w:p>
        </w:tc>
        <w:tc>
          <w:tcPr>
            <w:tcW w:w="1980" w:type="dxa"/>
            <w:gridSpan w:val="3"/>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72 078.0</w:t>
            </w:r>
          </w:p>
        </w:tc>
        <w:tc>
          <w:tcPr>
            <w:tcW w:w="1710" w:type="dxa"/>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 xml:space="preserve"> 572.2</w:t>
            </w:r>
          </w:p>
        </w:tc>
        <w:tc>
          <w:tcPr>
            <w:tcW w:w="1323" w:type="dxa"/>
            <w:gridSpan w:val="2"/>
            <w:tcBorders>
              <w:top w:val="single" w:sz="6" w:space="0" w:color="auto"/>
              <w:left w:val="nil"/>
              <w:bottom w:val="single" w:sz="6"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72 650.2</w:t>
            </w:r>
          </w:p>
        </w:tc>
      </w:tr>
      <w:tr w:rsidR="00336793" w:rsidRPr="00D82CEB" w:rsidTr="00DF0B96">
        <w:tc>
          <w:tcPr>
            <w:tcW w:w="4787" w:type="dxa"/>
            <w:tcBorders>
              <w:top w:val="single" w:sz="6" w:space="0" w:color="auto"/>
              <w:left w:val="nil"/>
              <w:bottom w:val="single" w:sz="12" w:space="0" w:color="auto"/>
              <w:right w:val="nil"/>
            </w:tcBorders>
          </w:tcPr>
          <w:p w:rsidR="00336793" w:rsidRPr="00D82CEB" w:rsidRDefault="00336793" w:rsidP="00DF0B96">
            <w:pPr>
              <w:pStyle w:val="Tabletext"/>
              <w:rPr>
                <w:rFonts w:eastAsiaTheme="minorEastAsia"/>
                <w:b/>
                <w:bCs/>
                <w:sz w:val="21"/>
                <w:lang w:eastAsia="en-AU"/>
              </w:rPr>
            </w:pPr>
            <w:r w:rsidRPr="00D82CEB">
              <w:rPr>
                <w:rFonts w:eastAsiaTheme="minorEastAsia"/>
                <w:b/>
                <w:bCs/>
                <w:sz w:val="21"/>
                <w:lang w:eastAsia="en-AU"/>
              </w:rPr>
              <w:t>Net assets</w:t>
            </w:r>
          </w:p>
        </w:tc>
        <w:tc>
          <w:tcPr>
            <w:tcW w:w="1710" w:type="dxa"/>
            <w:gridSpan w:val="2"/>
            <w:tcBorders>
              <w:top w:val="single" w:sz="6" w:space="0" w:color="auto"/>
              <w:left w:val="nil"/>
              <w:bottom w:val="single" w:sz="12"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138 957.2</w:t>
            </w:r>
          </w:p>
        </w:tc>
        <w:tc>
          <w:tcPr>
            <w:tcW w:w="1800" w:type="dxa"/>
            <w:tcBorders>
              <w:top w:val="single" w:sz="6" w:space="0" w:color="auto"/>
              <w:left w:val="nil"/>
              <w:bottom w:val="single" w:sz="12"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 xml:space="preserve"> 952.0</w:t>
            </w:r>
          </w:p>
        </w:tc>
        <w:tc>
          <w:tcPr>
            <w:tcW w:w="1260" w:type="dxa"/>
            <w:tcBorders>
              <w:top w:val="single" w:sz="6" w:space="0" w:color="auto"/>
              <w:left w:val="nil"/>
              <w:bottom w:val="single" w:sz="12"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139 909.2</w:t>
            </w:r>
          </w:p>
        </w:tc>
        <w:tc>
          <w:tcPr>
            <w:tcW w:w="1980" w:type="dxa"/>
            <w:gridSpan w:val="3"/>
            <w:tcBorders>
              <w:top w:val="single" w:sz="6" w:space="0" w:color="auto"/>
              <w:left w:val="nil"/>
              <w:bottom w:val="single" w:sz="12"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135 382.5</w:t>
            </w:r>
          </w:p>
        </w:tc>
        <w:tc>
          <w:tcPr>
            <w:tcW w:w="1710" w:type="dxa"/>
            <w:tcBorders>
              <w:top w:val="single" w:sz="6" w:space="0" w:color="auto"/>
              <w:left w:val="nil"/>
              <w:bottom w:val="single" w:sz="12"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 xml:space="preserve"> 952.0</w:t>
            </w:r>
          </w:p>
        </w:tc>
        <w:tc>
          <w:tcPr>
            <w:tcW w:w="1323" w:type="dxa"/>
            <w:gridSpan w:val="2"/>
            <w:tcBorders>
              <w:top w:val="single" w:sz="6" w:space="0" w:color="auto"/>
              <w:left w:val="nil"/>
              <w:bottom w:val="single" w:sz="12" w:space="0" w:color="auto"/>
              <w:right w:val="nil"/>
            </w:tcBorders>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136 334.5</w:t>
            </w:r>
          </w:p>
        </w:tc>
      </w:tr>
      <w:tr w:rsidR="00336793" w:rsidRPr="00D82CEB" w:rsidTr="00DF0B96">
        <w:tc>
          <w:tcPr>
            <w:tcW w:w="4787" w:type="dxa"/>
            <w:tcBorders>
              <w:top w:val="nil"/>
              <w:left w:val="nil"/>
              <w:bottom w:val="nil"/>
              <w:right w:val="nil"/>
            </w:tcBorders>
          </w:tcPr>
          <w:p w:rsidR="00336793" w:rsidRPr="00D82CEB" w:rsidRDefault="00336793" w:rsidP="00DF0B96">
            <w:pPr>
              <w:pStyle w:val="Tabletext"/>
              <w:rPr>
                <w:rFonts w:eastAsiaTheme="minorEastAsia"/>
                <w:sz w:val="21"/>
                <w:lang w:eastAsia="en-AU"/>
              </w:rPr>
            </w:pPr>
            <w:r w:rsidRPr="00D82CEB">
              <w:rPr>
                <w:rFonts w:eastAsiaTheme="minorEastAsia"/>
                <w:sz w:val="21"/>
                <w:lang w:eastAsia="en-AU"/>
              </w:rPr>
              <w:t xml:space="preserve">Accumulated surplus/(deficit) </w:t>
            </w:r>
          </w:p>
        </w:tc>
        <w:tc>
          <w:tcPr>
            <w:tcW w:w="1710" w:type="dxa"/>
            <w:gridSpan w:val="2"/>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62 154.8</w:t>
            </w:r>
          </w:p>
        </w:tc>
        <w:tc>
          <w:tcPr>
            <w:tcW w:w="1800" w:type="dxa"/>
            <w:tcBorders>
              <w:top w:val="nil"/>
              <w:left w:val="nil"/>
              <w:bottom w:val="nil"/>
              <w:right w:val="nil"/>
            </w:tcBorders>
          </w:tcPr>
          <w:p w:rsidR="00336793" w:rsidRPr="00D82CEB" w:rsidRDefault="00336793" w:rsidP="00DF0B96">
            <w:pPr>
              <w:pStyle w:val="TableofFigures"/>
              <w:rPr>
                <w:rFonts w:eastAsiaTheme="minorEastAsia" w:cs="Calibri"/>
                <w:color w:val="000000"/>
                <w:sz w:val="21"/>
                <w:lang w:eastAsia="en-AU"/>
              </w:rPr>
            </w:pPr>
            <w:r w:rsidRPr="00D82CEB">
              <w:rPr>
                <w:rFonts w:eastAsiaTheme="minorEastAsia"/>
                <w:sz w:val="21"/>
                <w:lang w:eastAsia="en-AU"/>
              </w:rPr>
              <w:t>(</w:t>
            </w:r>
            <w:r w:rsidRPr="00D82CEB">
              <w:rPr>
                <w:rFonts w:eastAsiaTheme="minorEastAsia" w:cs="Calibri"/>
                <w:color w:val="000000"/>
                <w:sz w:val="21"/>
                <w:lang w:eastAsia="en-AU"/>
              </w:rPr>
              <w:t>926.0)</w:t>
            </w:r>
          </w:p>
        </w:tc>
        <w:tc>
          <w:tcPr>
            <w:tcW w:w="1260" w:type="dxa"/>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61 228.8</w:t>
            </w:r>
          </w:p>
        </w:tc>
        <w:tc>
          <w:tcPr>
            <w:tcW w:w="1980" w:type="dxa"/>
            <w:gridSpan w:val="3"/>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46 714.5</w:t>
            </w:r>
          </w:p>
        </w:tc>
        <w:tc>
          <w:tcPr>
            <w:tcW w:w="1710" w:type="dxa"/>
            <w:tcBorders>
              <w:top w:val="nil"/>
              <w:left w:val="nil"/>
              <w:bottom w:val="nil"/>
              <w:right w:val="nil"/>
            </w:tcBorders>
          </w:tcPr>
          <w:p w:rsidR="00336793" w:rsidRPr="00D82CEB" w:rsidRDefault="00336793" w:rsidP="00DF0B96">
            <w:pPr>
              <w:pStyle w:val="TableofFigures"/>
              <w:rPr>
                <w:rFonts w:eastAsiaTheme="minorEastAsia" w:cs="Calibri"/>
                <w:color w:val="000000"/>
                <w:sz w:val="21"/>
                <w:lang w:eastAsia="en-AU"/>
              </w:rPr>
            </w:pPr>
            <w:r w:rsidRPr="00D82CEB">
              <w:rPr>
                <w:rFonts w:eastAsiaTheme="minorEastAsia"/>
                <w:sz w:val="21"/>
                <w:lang w:eastAsia="en-AU"/>
              </w:rPr>
              <w:t>(</w:t>
            </w:r>
            <w:r w:rsidRPr="00D82CEB">
              <w:rPr>
                <w:rFonts w:eastAsiaTheme="minorEastAsia" w:cs="Calibri"/>
                <w:color w:val="000000"/>
                <w:sz w:val="21"/>
                <w:lang w:eastAsia="en-AU"/>
              </w:rPr>
              <w:t>926.0)</w:t>
            </w:r>
          </w:p>
        </w:tc>
        <w:tc>
          <w:tcPr>
            <w:tcW w:w="1323" w:type="dxa"/>
            <w:gridSpan w:val="2"/>
            <w:tcBorders>
              <w:top w:val="nil"/>
              <w:left w:val="nil"/>
              <w:bottom w:val="nil"/>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45 788.5</w:t>
            </w:r>
          </w:p>
        </w:tc>
      </w:tr>
      <w:tr w:rsidR="00336793" w:rsidRPr="00D82CEB" w:rsidTr="00DF0B96">
        <w:tc>
          <w:tcPr>
            <w:tcW w:w="4787" w:type="dxa"/>
            <w:tcBorders>
              <w:top w:val="nil"/>
              <w:left w:val="nil"/>
              <w:bottom w:val="single" w:sz="6" w:space="0" w:color="auto"/>
              <w:right w:val="nil"/>
            </w:tcBorders>
          </w:tcPr>
          <w:p w:rsidR="00336793" w:rsidRPr="00D82CEB" w:rsidRDefault="00336793" w:rsidP="00DF0B96">
            <w:pPr>
              <w:pStyle w:val="Tabletext"/>
              <w:rPr>
                <w:rFonts w:eastAsiaTheme="minorEastAsia"/>
                <w:sz w:val="21"/>
                <w:lang w:eastAsia="en-AU"/>
              </w:rPr>
            </w:pPr>
            <w:r w:rsidRPr="00D82CEB">
              <w:rPr>
                <w:rFonts w:eastAsiaTheme="minorEastAsia"/>
                <w:sz w:val="21"/>
                <w:lang w:eastAsia="en-AU"/>
              </w:rPr>
              <w:t xml:space="preserve">Reserves </w:t>
            </w:r>
          </w:p>
        </w:tc>
        <w:tc>
          <w:tcPr>
            <w:tcW w:w="1710" w:type="dxa"/>
            <w:gridSpan w:val="2"/>
            <w:tcBorders>
              <w:top w:val="nil"/>
              <w:left w:val="nil"/>
              <w:bottom w:val="single" w:sz="6" w:space="0" w:color="auto"/>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76 752.4</w:t>
            </w:r>
          </w:p>
        </w:tc>
        <w:tc>
          <w:tcPr>
            <w:tcW w:w="1800" w:type="dxa"/>
            <w:tcBorders>
              <w:top w:val="nil"/>
              <w:left w:val="nil"/>
              <w:bottom w:val="single" w:sz="6" w:space="0" w:color="auto"/>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1 878.0</w:t>
            </w:r>
          </w:p>
        </w:tc>
        <w:tc>
          <w:tcPr>
            <w:tcW w:w="1260" w:type="dxa"/>
            <w:tcBorders>
              <w:top w:val="nil"/>
              <w:left w:val="nil"/>
              <w:bottom w:val="single" w:sz="6" w:space="0" w:color="auto"/>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78 630.4</w:t>
            </w:r>
          </w:p>
        </w:tc>
        <w:tc>
          <w:tcPr>
            <w:tcW w:w="1980" w:type="dxa"/>
            <w:gridSpan w:val="3"/>
            <w:tcBorders>
              <w:top w:val="nil"/>
              <w:left w:val="nil"/>
              <w:bottom w:val="single" w:sz="6" w:space="0" w:color="auto"/>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88 618.0</w:t>
            </w:r>
          </w:p>
        </w:tc>
        <w:tc>
          <w:tcPr>
            <w:tcW w:w="1710" w:type="dxa"/>
            <w:tcBorders>
              <w:top w:val="nil"/>
              <w:left w:val="nil"/>
              <w:bottom w:val="single" w:sz="6" w:space="0" w:color="auto"/>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1 878.0</w:t>
            </w:r>
          </w:p>
        </w:tc>
        <w:tc>
          <w:tcPr>
            <w:tcW w:w="1323" w:type="dxa"/>
            <w:gridSpan w:val="2"/>
            <w:tcBorders>
              <w:top w:val="nil"/>
              <w:left w:val="nil"/>
              <w:bottom w:val="single" w:sz="6" w:space="0" w:color="auto"/>
              <w:right w:val="nil"/>
            </w:tcBorders>
          </w:tcPr>
          <w:p w:rsidR="00336793" w:rsidRPr="00D82CEB" w:rsidRDefault="00336793" w:rsidP="00DF0B96">
            <w:pPr>
              <w:pStyle w:val="TableofFigures"/>
              <w:rPr>
                <w:rFonts w:eastAsiaTheme="minorEastAsia"/>
                <w:sz w:val="21"/>
                <w:lang w:eastAsia="en-AU"/>
              </w:rPr>
            </w:pPr>
            <w:r w:rsidRPr="00D82CEB">
              <w:rPr>
                <w:rFonts w:eastAsiaTheme="minorEastAsia"/>
                <w:sz w:val="21"/>
                <w:lang w:eastAsia="en-AU"/>
              </w:rPr>
              <w:t>90 496.0</w:t>
            </w:r>
          </w:p>
        </w:tc>
      </w:tr>
      <w:tr w:rsidR="00336793" w:rsidRPr="00D82CEB" w:rsidTr="00DF0B96">
        <w:tc>
          <w:tcPr>
            <w:tcW w:w="4787" w:type="dxa"/>
            <w:tcBorders>
              <w:top w:val="single" w:sz="6" w:space="0" w:color="auto"/>
              <w:left w:val="nil"/>
              <w:bottom w:val="single" w:sz="12" w:space="0" w:color="000000"/>
              <w:right w:val="nil"/>
            </w:tcBorders>
            <w:shd w:val="clear" w:color="auto" w:fill="auto"/>
          </w:tcPr>
          <w:p w:rsidR="00336793" w:rsidRPr="00D82CEB" w:rsidRDefault="00336793" w:rsidP="00DF0B96">
            <w:pPr>
              <w:pStyle w:val="Tabletext"/>
              <w:rPr>
                <w:rFonts w:eastAsiaTheme="minorEastAsia"/>
                <w:b/>
                <w:bCs/>
                <w:sz w:val="21"/>
                <w:lang w:eastAsia="en-AU"/>
              </w:rPr>
            </w:pPr>
            <w:r w:rsidRPr="00D82CEB">
              <w:rPr>
                <w:rFonts w:eastAsiaTheme="minorEastAsia"/>
                <w:b/>
                <w:bCs/>
                <w:sz w:val="21"/>
                <w:lang w:eastAsia="en-AU"/>
              </w:rPr>
              <w:t xml:space="preserve">Net worth </w:t>
            </w:r>
          </w:p>
        </w:tc>
        <w:tc>
          <w:tcPr>
            <w:tcW w:w="1710" w:type="dxa"/>
            <w:gridSpan w:val="2"/>
            <w:tcBorders>
              <w:top w:val="single" w:sz="6" w:space="0" w:color="auto"/>
              <w:left w:val="nil"/>
              <w:bottom w:val="single" w:sz="12" w:space="0" w:color="000000"/>
              <w:right w:val="nil"/>
            </w:tcBorders>
            <w:shd w:val="clear" w:color="auto" w:fill="auto"/>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138 957.2</w:t>
            </w:r>
          </w:p>
        </w:tc>
        <w:tc>
          <w:tcPr>
            <w:tcW w:w="1800" w:type="dxa"/>
            <w:tcBorders>
              <w:top w:val="single" w:sz="6" w:space="0" w:color="auto"/>
              <w:left w:val="nil"/>
              <w:bottom w:val="single" w:sz="12" w:space="0" w:color="000000"/>
              <w:right w:val="nil"/>
            </w:tcBorders>
            <w:shd w:val="clear" w:color="auto" w:fill="auto"/>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 xml:space="preserve"> 952.0</w:t>
            </w:r>
          </w:p>
        </w:tc>
        <w:tc>
          <w:tcPr>
            <w:tcW w:w="1260" w:type="dxa"/>
            <w:tcBorders>
              <w:top w:val="single" w:sz="6" w:space="0" w:color="auto"/>
              <w:left w:val="nil"/>
              <w:bottom w:val="single" w:sz="12" w:space="0" w:color="000000"/>
              <w:right w:val="nil"/>
            </w:tcBorders>
            <w:shd w:val="clear" w:color="auto" w:fill="auto"/>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139 909.2</w:t>
            </w:r>
          </w:p>
        </w:tc>
        <w:tc>
          <w:tcPr>
            <w:tcW w:w="1980" w:type="dxa"/>
            <w:gridSpan w:val="3"/>
            <w:tcBorders>
              <w:top w:val="single" w:sz="6" w:space="0" w:color="auto"/>
              <w:left w:val="nil"/>
              <w:bottom w:val="single" w:sz="12" w:space="0" w:color="000000"/>
              <w:right w:val="nil"/>
            </w:tcBorders>
            <w:shd w:val="clear" w:color="auto" w:fill="auto"/>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135 382.5</w:t>
            </w:r>
          </w:p>
        </w:tc>
        <w:tc>
          <w:tcPr>
            <w:tcW w:w="1710" w:type="dxa"/>
            <w:tcBorders>
              <w:top w:val="single" w:sz="6" w:space="0" w:color="auto"/>
              <w:left w:val="nil"/>
              <w:bottom w:val="single" w:sz="12" w:space="0" w:color="000000"/>
              <w:right w:val="nil"/>
            </w:tcBorders>
            <w:shd w:val="clear" w:color="auto" w:fill="auto"/>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 xml:space="preserve"> 952.0</w:t>
            </w:r>
          </w:p>
        </w:tc>
        <w:tc>
          <w:tcPr>
            <w:tcW w:w="1323" w:type="dxa"/>
            <w:gridSpan w:val="2"/>
            <w:tcBorders>
              <w:top w:val="single" w:sz="6" w:space="0" w:color="auto"/>
              <w:left w:val="nil"/>
              <w:bottom w:val="single" w:sz="12" w:space="0" w:color="000000"/>
              <w:right w:val="nil"/>
            </w:tcBorders>
            <w:shd w:val="clear" w:color="auto" w:fill="auto"/>
          </w:tcPr>
          <w:p w:rsidR="00336793" w:rsidRPr="00D82CEB" w:rsidRDefault="00336793" w:rsidP="00DF0B96">
            <w:pPr>
              <w:pStyle w:val="TableofFigures"/>
              <w:rPr>
                <w:rFonts w:eastAsiaTheme="minorEastAsia"/>
                <w:b/>
                <w:bCs/>
                <w:sz w:val="21"/>
                <w:lang w:eastAsia="en-AU"/>
              </w:rPr>
            </w:pPr>
            <w:r w:rsidRPr="00D82CEB">
              <w:rPr>
                <w:rFonts w:eastAsiaTheme="minorEastAsia"/>
                <w:b/>
                <w:bCs/>
                <w:sz w:val="21"/>
                <w:lang w:eastAsia="en-AU"/>
              </w:rPr>
              <w:t>136 334.5</w:t>
            </w:r>
          </w:p>
        </w:tc>
      </w:tr>
    </w:tbl>
    <w:p w:rsidR="00336793" w:rsidRPr="000C4AD7" w:rsidRDefault="00336793" w:rsidP="00DF0B96">
      <w:pPr>
        <w:pStyle w:val="Notes"/>
      </w:pPr>
    </w:p>
    <w:p w:rsidR="00336793" w:rsidRPr="000C4AD7" w:rsidRDefault="00336793" w:rsidP="00DF0B96">
      <w:pPr>
        <w:pStyle w:val="Notes"/>
      </w:pPr>
    </w:p>
    <w:p w:rsidR="00336793" w:rsidRDefault="00336793">
      <w:pPr>
        <w:spacing w:after="0"/>
        <w:rPr>
          <w:rFonts w:ascii="Calibri" w:hAnsi="Calibri"/>
          <w:b/>
          <w:kern w:val="28"/>
          <w:sz w:val="28"/>
          <w:szCs w:val="22"/>
        </w:rPr>
      </w:pPr>
      <w:r>
        <w:br w:type="page"/>
      </w:r>
    </w:p>
    <w:p w:rsidR="00336793" w:rsidRPr="006A75A2" w:rsidRDefault="00336793" w:rsidP="00DF0B96">
      <w:pPr>
        <w:pStyle w:val="Heading2NotesContd"/>
      </w:pPr>
      <w:r w:rsidRPr="006A75A2">
        <w:lastRenderedPageBreak/>
        <w:t>Note 37:</w:t>
      </w:r>
      <w:r w:rsidRPr="006A75A2">
        <w:tab/>
      </w:r>
      <w:r w:rsidRPr="00CB5415">
        <w:t>Restatement</w:t>
      </w:r>
      <w:r w:rsidRPr="006A75A2">
        <w:t xml:space="preserve"> of 201</w:t>
      </w:r>
      <w:r>
        <w:t>3</w:t>
      </w:r>
      <w:r>
        <w:noBreakHyphen/>
        <w:t>14</w:t>
      </w:r>
      <w:r w:rsidRPr="006A75A2">
        <w:t xml:space="preserve"> </w:t>
      </w:r>
      <w:r w:rsidRPr="00AA0209">
        <w:t>balances</w:t>
      </w:r>
      <w:r w:rsidRPr="006A75A2">
        <w:t xml:space="preserve"> </w:t>
      </w:r>
      <w:r>
        <w:t>and impact on 2014</w:t>
      </w:r>
      <w:r>
        <w:noBreakHyphen/>
        <w:t xml:space="preserve">15 balances </w:t>
      </w:r>
      <w:r w:rsidRPr="002D29C2">
        <w:rPr>
          <w:i/>
        </w:rPr>
        <w:t>(continued)</w:t>
      </w:r>
    </w:p>
    <w:p w:rsidR="00336793" w:rsidRDefault="00336793" w:rsidP="00DF0B96">
      <w:pPr>
        <w:pStyle w:val="Tableheading"/>
      </w:pPr>
      <w:r w:rsidRPr="00344260">
        <w:t>Restated comprehensive operating statement for the financial year ending 30 June</w:t>
      </w:r>
      <w:r>
        <w:t xml:space="preserve"> 2014 (Extract)</w:t>
      </w:r>
    </w:p>
    <w:p w:rsidR="00336793" w:rsidRPr="00DC4FF3" w:rsidRDefault="00336793" w:rsidP="00DF0B96">
      <w:pPr>
        <w:pStyle w:val="million"/>
        <w:rPr>
          <w:rFonts w:ascii="Times New Roman" w:hAnsi="Times New Roman"/>
          <w:i w:val="0"/>
          <w:szCs w:val="20"/>
          <w:lang w:eastAsia="en-AU"/>
        </w:rPr>
      </w:pPr>
      <w:r>
        <w:t>($ million)</w:t>
      </w:r>
    </w:p>
    <w:tbl>
      <w:tblPr>
        <w:tblW w:w="14660" w:type="dxa"/>
        <w:tblInd w:w="28" w:type="dxa"/>
        <w:tblLayout w:type="fixed"/>
        <w:tblCellMar>
          <w:left w:w="45" w:type="dxa"/>
          <w:right w:w="45" w:type="dxa"/>
        </w:tblCellMar>
        <w:tblLook w:val="0000" w:firstRow="0" w:lastRow="0" w:firstColumn="0" w:lastColumn="0" w:noHBand="0" w:noVBand="0"/>
      </w:tblPr>
      <w:tblGrid>
        <w:gridCol w:w="5327"/>
        <w:gridCol w:w="450"/>
        <w:gridCol w:w="459"/>
        <w:gridCol w:w="1521"/>
        <w:gridCol w:w="1287"/>
        <w:gridCol w:w="405"/>
        <w:gridCol w:w="270"/>
        <w:gridCol w:w="243"/>
        <w:gridCol w:w="567"/>
        <w:gridCol w:w="423"/>
        <w:gridCol w:w="1467"/>
        <w:gridCol w:w="1341"/>
        <w:gridCol w:w="387"/>
        <w:gridCol w:w="270"/>
        <w:gridCol w:w="243"/>
      </w:tblGrid>
      <w:tr w:rsidR="00336793" w:rsidRPr="00D15E01" w:rsidTr="00DF0B96">
        <w:trPr>
          <w:trHeight w:val="264"/>
        </w:trPr>
        <w:tc>
          <w:tcPr>
            <w:tcW w:w="5327" w:type="dxa"/>
            <w:tcBorders>
              <w:top w:val="single" w:sz="6" w:space="0" w:color="auto"/>
              <w:left w:val="single" w:sz="6" w:space="0" w:color="auto"/>
              <w:bottom w:val="nil"/>
              <w:right w:val="nil"/>
            </w:tcBorders>
            <w:shd w:val="clear" w:color="000000" w:fill="000000"/>
          </w:tcPr>
          <w:p w:rsidR="00336793" w:rsidRPr="00D15E01" w:rsidRDefault="00336793" w:rsidP="00DF0B96">
            <w:pPr>
              <w:pStyle w:val="Tabletextheading"/>
              <w:jc w:val="left"/>
              <w:rPr>
                <w:rFonts w:eastAsiaTheme="minorEastAsia"/>
                <w:color w:val="FFFFFF"/>
                <w:sz w:val="21"/>
                <w:lang w:eastAsia="en-AU"/>
              </w:rPr>
            </w:pPr>
            <w:r w:rsidRPr="00D15E01">
              <w:rPr>
                <w:rFonts w:eastAsiaTheme="minorEastAsia"/>
                <w:color w:val="FFFFFF"/>
                <w:sz w:val="21"/>
                <w:lang w:eastAsia="en-AU"/>
              </w:rPr>
              <w:t xml:space="preserve"> </w:t>
            </w:r>
          </w:p>
        </w:tc>
        <w:tc>
          <w:tcPr>
            <w:tcW w:w="450" w:type="dxa"/>
            <w:tcBorders>
              <w:top w:val="single" w:sz="6" w:space="0" w:color="auto"/>
              <w:left w:val="nil"/>
              <w:bottom w:val="single" w:sz="6" w:space="0" w:color="FFFFFF" w:themeColor="background1"/>
              <w:right w:val="nil"/>
            </w:tcBorders>
            <w:shd w:val="clear" w:color="000000" w:fill="000000"/>
          </w:tcPr>
          <w:p w:rsidR="00336793" w:rsidRPr="00D15E01" w:rsidRDefault="00336793" w:rsidP="00DF0B96">
            <w:pPr>
              <w:pStyle w:val="Tabletextheading"/>
              <w:rPr>
                <w:rFonts w:eastAsiaTheme="minorEastAsia" w:cs="Calibri"/>
                <w:iCs/>
                <w:color w:val="FFFFFF"/>
                <w:sz w:val="21"/>
                <w:lang w:eastAsia="en-AU"/>
              </w:rPr>
            </w:pPr>
            <w:r w:rsidRPr="00D15E01">
              <w:rPr>
                <w:rFonts w:eastAsiaTheme="minorEastAsia"/>
                <w:color w:val="FFFFFF"/>
                <w:sz w:val="21"/>
                <w:lang w:eastAsia="en-AU"/>
              </w:rPr>
              <w:t xml:space="preserve"> </w:t>
            </w:r>
          </w:p>
        </w:tc>
        <w:tc>
          <w:tcPr>
            <w:tcW w:w="3672" w:type="dxa"/>
            <w:gridSpan w:val="4"/>
            <w:tcBorders>
              <w:top w:val="single" w:sz="6" w:space="0" w:color="auto"/>
              <w:left w:val="nil"/>
              <w:bottom w:val="single" w:sz="6" w:space="0" w:color="FFFFFF" w:themeColor="background1"/>
              <w:right w:val="nil"/>
            </w:tcBorders>
            <w:shd w:val="clear" w:color="000000" w:fill="000000"/>
          </w:tcPr>
          <w:p w:rsidR="00336793" w:rsidRPr="00D15E01" w:rsidRDefault="00336793" w:rsidP="00DF0B96">
            <w:pPr>
              <w:pStyle w:val="Tabletextheading"/>
              <w:jc w:val="center"/>
              <w:rPr>
                <w:rFonts w:eastAsiaTheme="minorEastAsia" w:cs="Calibri"/>
                <w:iCs/>
                <w:color w:val="FFFFFF"/>
                <w:sz w:val="21"/>
                <w:lang w:eastAsia="en-AU"/>
              </w:rPr>
            </w:pPr>
            <w:r w:rsidRPr="00D15E01">
              <w:rPr>
                <w:rFonts w:eastAsiaTheme="minorEastAsia"/>
                <w:color w:val="FFFFFF"/>
                <w:sz w:val="21"/>
                <w:lang w:eastAsia="en-AU"/>
              </w:rPr>
              <w:t>State</w:t>
            </w:r>
            <w:r w:rsidRPr="00D15E01">
              <w:rPr>
                <w:rFonts w:eastAsiaTheme="minorEastAsia" w:cs="Calibri"/>
                <w:iCs/>
                <w:color w:val="FFFFFF"/>
                <w:sz w:val="21"/>
                <w:lang w:eastAsia="en-AU"/>
              </w:rPr>
              <w:t xml:space="preserve"> of Victoria</w:t>
            </w:r>
          </w:p>
        </w:tc>
        <w:tc>
          <w:tcPr>
            <w:tcW w:w="270" w:type="dxa"/>
            <w:tcBorders>
              <w:top w:val="single" w:sz="6" w:space="0" w:color="auto"/>
              <w:left w:val="nil"/>
              <w:bottom w:val="single" w:sz="6" w:space="0" w:color="FFFFFF" w:themeColor="background1"/>
              <w:right w:val="nil"/>
            </w:tcBorders>
            <w:shd w:val="clear" w:color="000000" w:fill="000000"/>
          </w:tcPr>
          <w:p w:rsidR="00336793" w:rsidRPr="00D15E01" w:rsidRDefault="00336793" w:rsidP="00DF0B96">
            <w:pPr>
              <w:pStyle w:val="Tabletextheading"/>
              <w:jc w:val="center"/>
              <w:rPr>
                <w:rFonts w:eastAsiaTheme="minorEastAsia" w:cs="Calibri"/>
                <w:iCs/>
                <w:color w:val="FFFFFF"/>
                <w:sz w:val="21"/>
                <w:lang w:eastAsia="en-AU"/>
              </w:rPr>
            </w:pPr>
          </w:p>
        </w:tc>
        <w:tc>
          <w:tcPr>
            <w:tcW w:w="243" w:type="dxa"/>
            <w:tcBorders>
              <w:top w:val="single" w:sz="6" w:space="0" w:color="auto"/>
              <w:left w:val="nil"/>
              <w:bottom w:val="single" w:sz="6" w:space="0" w:color="FFFFFF" w:themeColor="background1"/>
              <w:right w:val="nil"/>
            </w:tcBorders>
            <w:shd w:val="clear" w:color="000000" w:fill="000000"/>
          </w:tcPr>
          <w:p w:rsidR="00336793" w:rsidRPr="00D15E01" w:rsidRDefault="00336793" w:rsidP="00DF0B96">
            <w:pPr>
              <w:pStyle w:val="Tabletextheading"/>
              <w:jc w:val="center"/>
              <w:rPr>
                <w:rFonts w:eastAsiaTheme="minorEastAsia" w:cs="Calibri"/>
                <w:iCs/>
                <w:color w:val="FFFFFF"/>
                <w:sz w:val="21"/>
                <w:lang w:eastAsia="en-AU"/>
              </w:rPr>
            </w:pPr>
          </w:p>
        </w:tc>
        <w:tc>
          <w:tcPr>
            <w:tcW w:w="567" w:type="dxa"/>
            <w:tcBorders>
              <w:top w:val="single" w:sz="6" w:space="0" w:color="auto"/>
              <w:left w:val="nil"/>
              <w:bottom w:val="nil"/>
              <w:right w:val="nil"/>
            </w:tcBorders>
            <w:shd w:val="clear" w:color="000000" w:fill="000000"/>
          </w:tcPr>
          <w:p w:rsidR="00336793" w:rsidRPr="00D15E01" w:rsidRDefault="00336793" w:rsidP="00DF0B96">
            <w:pPr>
              <w:pStyle w:val="Tabletextheading"/>
              <w:jc w:val="center"/>
              <w:rPr>
                <w:rFonts w:eastAsiaTheme="minorEastAsia" w:cs="Calibri"/>
                <w:iCs/>
                <w:color w:val="FFFFFF"/>
                <w:sz w:val="21"/>
                <w:lang w:eastAsia="en-AU"/>
              </w:rPr>
            </w:pPr>
          </w:p>
        </w:tc>
        <w:tc>
          <w:tcPr>
            <w:tcW w:w="3618" w:type="dxa"/>
            <w:gridSpan w:val="4"/>
            <w:tcBorders>
              <w:top w:val="single" w:sz="6" w:space="0" w:color="auto"/>
              <w:left w:val="nil"/>
              <w:bottom w:val="nil"/>
              <w:right w:val="nil"/>
            </w:tcBorders>
            <w:shd w:val="clear" w:color="000000" w:fill="000000"/>
          </w:tcPr>
          <w:p w:rsidR="00336793" w:rsidRPr="00D15E01" w:rsidRDefault="00336793" w:rsidP="00DF0B96">
            <w:pPr>
              <w:pStyle w:val="Tabletextheading"/>
              <w:jc w:val="center"/>
              <w:rPr>
                <w:rFonts w:eastAsiaTheme="minorEastAsia" w:cs="Calibri"/>
                <w:iCs/>
                <w:color w:val="FFFFFF"/>
                <w:sz w:val="21"/>
                <w:lang w:eastAsia="en-AU"/>
              </w:rPr>
            </w:pPr>
            <w:r w:rsidRPr="00D15E01">
              <w:rPr>
                <w:rFonts w:eastAsiaTheme="minorEastAsia"/>
                <w:color w:val="FFFFFF"/>
                <w:sz w:val="21"/>
                <w:lang w:eastAsia="en-AU"/>
              </w:rPr>
              <w:t xml:space="preserve">General </w:t>
            </w:r>
            <w:r w:rsidRPr="00D15E01">
              <w:rPr>
                <w:rFonts w:eastAsiaTheme="minorEastAsia" w:cs="Calibri"/>
                <w:iCs/>
                <w:color w:val="FFFFFF"/>
                <w:sz w:val="21"/>
                <w:lang w:eastAsia="en-AU"/>
              </w:rPr>
              <w:t>government sector</w:t>
            </w:r>
          </w:p>
        </w:tc>
        <w:tc>
          <w:tcPr>
            <w:tcW w:w="270" w:type="dxa"/>
            <w:tcBorders>
              <w:top w:val="single" w:sz="6" w:space="0" w:color="auto"/>
              <w:left w:val="nil"/>
              <w:bottom w:val="nil"/>
              <w:right w:val="nil"/>
            </w:tcBorders>
            <w:shd w:val="clear" w:color="000000" w:fill="000000"/>
          </w:tcPr>
          <w:p w:rsidR="00336793" w:rsidRPr="00D15E01" w:rsidRDefault="00336793" w:rsidP="00DF0B96">
            <w:pPr>
              <w:pStyle w:val="Tabletextheading"/>
              <w:rPr>
                <w:rFonts w:eastAsiaTheme="minorEastAsia" w:cs="Calibri"/>
                <w:iCs/>
                <w:color w:val="FFFFFF"/>
                <w:sz w:val="21"/>
                <w:lang w:eastAsia="en-AU"/>
              </w:rPr>
            </w:pPr>
            <w:r w:rsidRPr="00D15E01">
              <w:rPr>
                <w:rFonts w:eastAsiaTheme="minorEastAsia"/>
                <w:color w:val="FFFFFF"/>
                <w:sz w:val="21"/>
                <w:lang w:eastAsia="en-AU"/>
              </w:rPr>
              <w:t xml:space="preserve"> </w:t>
            </w:r>
          </w:p>
        </w:tc>
        <w:tc>
          <w:tcPr>
            <w:tcW w:w="243" w:type="dxa"/>
            <w:tcBorders>
              <w:top w:val="single" w:sz="6" w:space="0" w:color="auto"/>
              <w:left w:val="nil"/>
              <w:bottom w:val="nil"/>
              <w:right w:val="single" w:sz="6" w:space="0" w:color="auto"/>
            </w:tcBorders>
            <w:shd w:val="clear" w:color="000000" w:fill="000000"/>
          </w:tcPr>
          <w:p w:rsidR="00336793" w:rsidRPr="00D15E01" w:rsidRDefault="00336793" w:rsidP="00DF0B96">
            <w:pPr>
              <w:pStyle w:val="Tabletextheading"/>
              <w:rPr>
                <w:rFonts w:eastAsiaTheme="minorEastAsia" w:cs="Calibri"/>
                <w:iCs/>
                <w:color w:val="FFFFFF"/>
                <w:sz w:val="21"/>
                <w:lang w:eastAsia="en-AU"/>
              </w:rPr>
            </w:pPr>
            <w:r w:rsidRPr="00D15E01">
              <w:rPr>
                <w:rFonts w:eastAsiaTheme="minorEastAsia"/>
                <w:color w:val="FFFFFF"/>
                <w:sz w:val="21"/>
                <w:lang w:eastAsia="en-AU"/>
              </w:rPr>
              <w:t xml:space="preserve"> </w:t>
            </w:r>
          </w:p>
        </w:tc>
      </w:tr>
      <w:tr w:rsidR="00336793" w:rsidRPr="00D15E01" w:rsidTr="00DF0B96">
        <w:tc>
          <w:tcPr>
            <w:tcW w:w="5327" w:type="dxa"/>
            <w:tcBorders>
              <w:top w:val="nil"/>
              <w:left w:val="single" w:sz="6" w:space="0" w:color="auto"/>
              <w:bottom w:val="single" w:sz="6" w:space="0" w:color="auto"/>
              <w:right w:val="nil"/>
            </w:tcBorders>
            <w:shd w:val="clear" w:color="000000" w:fill="000000"/>
            <w:vAlign w:val="bottom"/>
          </w:tcPr>
          <w:p w:rsidR="00336793" w:rsidRPr="00D15E01" w:rsidRDefault="00336793" w:rsidP="00DF0B96">
            <w:pPr>
              <w:pStyle w:val="Tabletextheading"/>
              <w:jc w:val="left"/>
              <w:rPr>
                <w:rFonts w:eastAsiaTheme="minorEastAsia"/>
                <w:color w:val="FFFFFF"/>
                <w:sz w:val="21"/>
                <w:lang w:eastAsia="en-AU"/>
              </w:rPr>
            </w:pPr>
            <w:r w:rsidRPr="00D15E01">
              <w:rPr>
                <w:rFonts w:eastAsiaTheme="minorEastAsia"/>
                <w:color w:val="FFFFFF"/>
                <w:sz w:val="21"/>
                <w:lang w:eastAsia="en-AU"/>
              </w:rPr>
              <w:t>2014</w:t>
            </w:r>
          </w:p>
        </w:tc>
        <w:tc>
          <w:tcPr>
            <w:tcW w:w="909" w:type="dxa"/>
            <w:gridSpan w:val="2"/>
            <w:tcBorders>
              <w:top w:val="nil"/>
              <w:left w:val="nil"/>
              <w:bottom w:val="single" w:sz="6" w:space="0" w:color="auto"/>
              <w:right w:val="nil"/>
            </w:tcBorders>
            <w:shd w:val="clear" w:color="000000" w:fill="000000"/>
            <w:vAlign w:val="bottom"/>
          </w:tcPr>
          <w:p w:rsidR="00336793" w:rsidRPr="00D15E01" w:rsidRDefault="00336793" w:rsidP="00DF0B96">
            <w:pPr>
              <w:pStyle w:val="Tabletextheading"/>
              <w:rPr>
                <w:rFonts w:eastAsiaTheme="minorEastAsia"/>
                <w:color w:val="FFFFFF"/>
                <w:sz w:val="21"/>
                <w:lang w:eastAsia="en-AU"/>
              </w:rPr>
            </w:pPr>
            <w:r w:rsidRPr="00D15E01">
              <w:rPr>
                <w:rFonts w:eastAsiaTheme="minorEastAsia"/>
                <w:color w:val="FFFFFF"/>
                <w:sz w:val="21"/>
                <w:lang w:eastAsia="en-AU"/>
              </w:rPr>
              <w:t>Published</w:t>
            </w:r>
          </w:p>
        </w:tc>
        <w:tc>
          <w:tcPr>
            <w:tcW w:w="1521" w:type="dxa"/>
            <w:tcBorders>
              <w:top w:val="nil"/>
              <w:left w:val="nil"/>
              <w:bottom w:val="single" w:sz="6" w:space="0" w:color="auto"/>
              <w:right w:val="nil"/>
            </w:tcBorders>
            <w:shd w:val="clear" w:color="000000" w:fill="000000"/>
            <w:vAlign w:val="bottom"/>
          </w:tcPr>
          <w:p w:rsidR="00336793" w:rsidRPr="00D15E01" w:rsidRDefault="00336793" w:rsidP="00DF0B96">
            <w:pPr>
              <w:pStyle w:val="Tabletextheading"/>
              <w:rPr>
                <w:rFonts w:eastAsiaTheme="minorEastAsia"/>
                <w:color w:val="FFFFFF"/>
                <w:sz w:val="21"/>
                <w:lang w:eastAsia="en-AU"/>
              </w:rPr>
            </w:pPr>
            <w:r w:rsidRPr="00D15E01">
              <w:rPr>
                <w:rFonts w:eastAsiaTheme="minorEastAsia"/>
                <w:color w:val="FFFFFF"/>
                <w:sz w:val="21"/>
                <w:lang w:eastAsia="en-AU"/>
              </w:rPr>
              <w:t>Effect of change in accounting policy</w:t>
            </w:r>
          </w:p>
        </w:tc>
        <w:tc>
          <w:tcPr>
            <w:tcW w:w="1287" w:type="dxa"/>
            <w:tcBorders>
              <w:top w:val="nil"/>
              <w:left w:val="nil"/>
              <w:bottom w:val="single" w:sz="6" w:space="0" w:color="auto"/>
              <w:right w:val="nil"/>
            </w:tcBorders>
            <w:shd w:val="clear" w:color="000000" w:fill="000000"/>
            <w:vAlign w:val="bottom"/>
          </w:tcPr>
          <w:p w:rsidR="00336793" w:rsidRPr="00D15E01" w:rsidRDefault="00336793" w:rsidP="00DF0B96">
            <w:pPr>
              <w:pStyle w:val="Tabletextheading"/>
              <w:rPr>
                <w:rFonts w:eastAsiaTheme="minorEastAsia"/>
                <w:color w:val="FFFFFF"/>
                <w:sz w:val="21"/>
                <w:lang w:eastAsia="en-AU"/>
              </w:rPr>
            </w:pPr>
            <w:r w:rsidRPr="00D15E01">
              <w:rPr>
                <w:rFonts w:eastAsiaTheme="minorEastAsia"/>
                <w:color w:val="FFFFFF"/>
                <w:sz w:val="21"/>
                <w:lang w:eastAsia="en-AU"/>
              </w:rPr>
              <w:t>Other restatements</w:t>
            </w:r>
          </w:p>
        </w:tc>
        <w:tc>
          <w:tcPr>
            <w:tcW w:w="918" w:type="dxa"/>
            <w:gridSpan w:val="3"/>
            <w:tcBorders>
              <w:top w:val="nil"/>
              <w:left w:val="nil"/>
              <w:bottom w:val="single" w:sz="6" w:space="0" w:color="auto"/>
              <w:right w:val="nil"/>
            </w:tcBorders>
            <w:shd w:val="clear" w:color="000000" w:fill="000000"/>
            <w:vAlign w:val="bottom"/>
          </w:tcPr>
          <w:p w:rsidR="00336793" w:rsidRPr="00D15E01" w:rsidRDefault="00336793" w:rsidP="00DF0B96">
            <w:pPr>
              <w:pStyle w:val="Tabletextheading"/>
              <w:rPr>
                <w:rFonts w:eastAsiaTheme="minorEastAsia"/>
                <w:color w:val="FFFFFF"/>
                <w:sz w:val="21"/>
                <w:lang w:eastAsia="en-AU"/>
              </w:rPr>
            </w:pPr>
            <w:r w:rsidRPr="00D15E01">
              <w:rPr>
                <w:rFonts w:eastAsiaTheme="minorEastAsia"/>
                <w:color w:val="FFFFFF"/>
                <w:sz w:val="21"/>
                <w:lang w:eastAsia="en-AU"/>
              </w:rPr>
              <w:t>Restated</w:t>
            </w:r>
          </w:p>
        </w:tc>
        <w:tc>
          <w:tcPr>
            <w:tcW w:w="990" w:type="dxa"/>
            <w:gridSpan w:val="2"/>
            <w:tcBorders>
              <w:top w:val="nil"/>
              <w:left w:val="nil"/>
              <w:bottom w:val="single" w:sz="6" w:space="0" w:color="auto"/>
              <w:right w:val="nil"/>
            </w:tcBorders>
            <w:shd w:val="clear" w:color="000000" w:fill="000000"/>
            <w:vAlign w:val="bottom"/>
          </w:tcPr>
          <w:p w:rsidR="00336793" w:rsidRPr="00D15E01" w:rsidRDefault="00336793" w:rsidP="00DF0B96">
            <w:pPr>
              <w:pStyle w:val="Tabletextheading"/>
              <w:rPr>
                <w:rFonts w:eastAsiaTheme="minorEastAsia"/>
                <w:color w:val="FFFFFF"/>
                <w:sz w:val="21"/>
                <w:lang w:eastAsia="en-AU"/>
              </w:rPr>
            </w:pPr>
            <w:r w:rsidRPr="00D15E01">
              <w:rPr>
                <w:rFonts w:eastAsiaTheme="minorEastAsia"/>
                <w:color w:val="FFFFFF"/>
                <w:sz w:val="21"/>
                <w:lang w:eastAsia="en-AU"/>
              </w:rPr>
              <w:t>Published</w:t>
            </w:r>
          </w:p>
        </w:tc>
        <w:tc>
          <w:tcPr>
            <w:tcW w:w="1467" w:type="dxa"/>
            <w:tcBorders>
              <w:top w:val="nil"/>
              <w:left w:val="nil"/>
              <w:bottom w:val="single" w:sz="6" w:space="0" w:color="auto"/>
              <w:right w:val="nil"/>
            </w:tcBorders>
            <w:shd w:val="clear" w:color="000000" w:fill="000000"/>
            <w:vAlign w:val="bottom"/>
          </w:tcPr>
          <w:p w:rsidR="00336793" w:rsidRPr="00D15E01" w:rsidRDefault="00336793" w:rsidP="00DF0B96">
            <w:pPr>
              <w:pStyle w:val="Tabletextheading"/>
              <w:rPr>
                <w:rFonts w:eastAsiaTheme="minorEastAsia"/>
                <w:color w:val="FFFFFF"/>
                <w:sz w:val="21"/>
                <w:lang w:eastAsia="en-AU"/>
              </w:rPr>
            </w:pPr>
            <w:r w:rsidRPr="00D15E01">
              <w:rPr>
                <w:rFonts w:eastAsiaTheme="minorEastAsia"/>
                <w:color w:val="FFFFFF"/>
                <w:sz w:val="21"/>
                <w:lang w:eastAsia="en-AU"/>
              </w:rPr>
              <w:t>Effect of change in accounting policy</w:t>
            </w:r>
          </w:p>
        </w:tc>
        <w:tc>
          <w:tcPr>
            <w:tcW w:w="1341" w:type="dxa"/>
            <w:tcBorders>
              <w:top w:val="nil"/>
              <w:left w:val="nil"/>
              <w:bottom w:val="single" w:sz="6" w:space="0" w:color="auto"/>
              <w:right w:val="nil"/>
            </w:tcBorders>
            <w:shd w:val="clear" w:color="000000" w:fill="000000"/>
            <w:vAlign w:val="bottom"/>
          </w:tcPr>
          <w:p w:rsidR="00336793" w:rsidRPr="00D15E01" w:rsidRDefault="00336793" w:rsidP="00DF0B96">
            <w:pPr>
              <w:pStyle w:val="Tabletextheading"/>
              <w:rPr>
                <w:rFonts w:eastAsiaTheme="minorEastAsia"/>
                <w:color w:val="FFFFFF"/>
                <w:sz w:val="21"/>
                <w:lang w:eastAsia="en-AU"/>
              </w:rPr>
            </w:pPr>
            <w:r w:rsidRPr="00D15E01">
              <w:rPr>
                <w:rFonts w:eastAsiaTheme="minorEastAsia"/>
                <w:color w:val="FFFFFF"/>
                <w:sz w:val="21"/>
                <w:lang w:eastAsia="en-AU"/>
              </w:rPr>
              <w:t>Other restatements</w:t>
            </w:r>
          </w:p>
        </w:tc>
        <w:tc>
          <w:tcPr>
            <w:tcW w:w="900" w:type="dxa"/>
            <w:gridSpan w:val="3"/>
            <w:tcBorders>
              <w:top w:val="nil"/>
              <w:left w:val="nil"/>
              <w:bottom w:val="single" w:sz="6" w:space="0" w:color="auto"/>
              <w:right w:val="single" w:sz="6" w:space="0" w:color="auto"/>
            </w:tcBorders>
            <w:shd w:val="clear" w:color="000000" w:fill="000000"/>
            <w:vAlign w:val="bottom"/>
          </w:tcPr>
          <w:p w:rsidR="00336793" w:rsidRPr="00D15E01" w:rsidRDefault="00336793" w:rsidP="00DF0B96">
            <w:pPr>
              <w:pStyle w:val="Tabletextheading"/>
              <w:rPr>
                <w:rFonts w:eastAsiaTheme="minorEastAsia"/>
                <w:color w:val="FFFFFF"/>
                <w:sz w:val="21"/>
                <w:lang w:eastAsia="en-AU"/>
              </w:rPr>
            </w:pPr>
            <w:r w:rsidRPr="00D15E01">
              <w:rPr>
                <w:rFonts w:eastAsiaTheme="minorEastAsia"/>
                <w:color w:val="FFFFFF"/>
                <w:sz w:val="21"/>
                <w:lang w:eastAsia="en-AU"/>
              </w:rPr>
              <w:t>Restated</w:t>
            </w:r>
          </w:p>
        </w:tc>
      </w:tr>
      <w:tr w:rsidR="00336793" w:rsidRPr="00D15E01" w:rsidTr="00DF0B96">
        <w:tc>
          <w:tcPr>
            <w:tcW w:w="5327" w:type="dxa"/>
            <w:tcBorders>
              <w:top w:val="single" w:sz="6" w:space="0" w:color="auto"/>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Revenue from transactions</w:t>
            </w:r>
          </w:p>
        </w:tc>
        <w:tc>
          <w:tcPr>
            <w:tcW w:w="909" w:type="dxa"/>
            <w:gridSpan w:val="2"/>
            <w:tcBorders>
              <w:top w:val="single" w:sz="6" w:space="0" w:color="auto"/>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521" w:type="dxa"/>
            <w:tcBorders>
              <w:top w:val="single" w:sz="6" w:space="0" w:color="auto"/>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287" w:type="dxa"/>
            <w:tcBorders>
              <w:top w:val="single" w:sz="6" w:space="0" w:color="auto"/>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18" w:type="dxa"/>
            <w:gridSpan w:val="3"/>
            <w:tcBorders>
              <w:top w:val="single" w:sz="6" w:space="0" w:color="auto"/>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90" w:type="dxa"/>
            <w:gridSpan w:val="2"/>
            <w:tcBorders>
              <w:top w:val="single" w:sz="6" w:space="0" w:color="auto"/>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467" w:type="dxa"/>
            <w:tcBorders>
              <w:top w:val="single" w:sz="6" w:space="0" w:color="auto"/>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341" w:type="dxa"/>
            <w:tcBorders>
              <w:top w:val="single" w:sz="6" w:space="0" w:color="auto"/>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00" w:type="dxa"/>
            <w:gridSpan w:val="3"/>
            <w:tcBorders>
              <w:top w:val="single" w:sz="6" w:space="0" w:color="auto"/>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Dividends and income tax equivalent and rate equivalent revenue </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914.7</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(72.5)</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842.2</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445.9</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445.9</w:t>
            </w:r>
          </w:p>
        </w:tc>
      </w:tr>
      <w:tr w:rsidR="00336793" w:rsidRPr="00D15E01" w:rsidTr="00DF0B96">
        <w:tc>
          <w:tcPr>
            <w:tcW w:w="5327" w:type="dxa"/>
            <w:tcBorders>
              <w:top w:val="single" w:sz="6" w:space="0" w:color="auto"/>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Total revenue from transactions</w:t>
            </w:r>
          </w:p>
        </w:tc>
        <w:tc>
          <w:tcPr>
            <w:tcW w:w="909" w:type="dxa"/>
            <w:gridSpan w:val="2"/>
            <w:tcBorders>
              <w:top w:val="single" w:sz="6" w:space="0" w:color="auto"/>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60 346.3</w:t>
            </w:r>
          </w:p>
        </w:tc>
        <w:tc>
          <w:tcPr>
            <w:tcW w:w="1521" w:type="dxa"/>
            <w:tcBorders>
              <w:top w:val="single" w:sz="6" w:space="0" w:color="auto"/>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w:t>
            </w:r>
          </w:p>
        </w:tc>
        <w:tc>
          <w:tcPr>
            <w:tcW w:w="1287" w:type="dxa"/>
            <w:tcBorders>
              <w:top w:val="single" w:sz="6" w:space="0" w:color="auto"/>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szCs w:val="21"/>
                <w:lang w:eastAsia="en-AU"/>
              </w:rPr>
            </w:pPr>
            <w:r w:rsidRPr="00D15E01">
              <w:rPr>
                <w:rFonts w:ascii="Calibri" w:eastAsiaTheme="minorEastAsia" w:hAnsi="Calibri" w:cs="Calibri"/>
                <w:b/>
                <w:bCs/>
                <w:sz w:val="21"/>
                <w:szCs w:val="21"/>
                <w:lang w:eastAsia="en-AU"/>
              </w:rPr>
              <w:t>(72.5)</w:t>
            </w:r>
          </w:p>
        </w:tc>
        <w:tc>
          <w:tcPr>
            <w:tcW w:w="918" w:type="dxa"/>
            <w:gridSpan w:val="3"/>
            <w:tcBorders>
              <w:top w:val="single" w:sz="6" w:space="0" w:color="auto"/>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60 273.8</w:t>
            </w:r>
          </w:p>
        </w:tc>
        <w:tc>
          <w:tcPr>
            <w:tcW w:w="990" w:type="dxa"/>
            <w:gridSpan w:val="2"/>
            <w:tcBorders>
              <w:top w:val="single" w:sz="6" w:space="0" w:color="auto"/>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52 364.7</w:t>
            </w:r>
          </w:p>
        </w:tc>
        <w:tc>
          <w:tcPr>
            <w:tcW w:w="1467" w:type="dxa"/>
            <w:tcBorders>
              <w:top w:val="single" w:sz="6" w:space="0" w:color="auto"/>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w:t>
            </w:r>
          </w:p>
        </w:tc>
        <w:tc>
          <w:tcPr>
            <w:tcW w:w="1341" w:type="dxa"/>
            <w:tcBorders>
              <w:top w:val="single" w:sz="6" w:space="0" w:color="auto"/>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w:t>
            </w:r>
          </w:p>
        </w:tc>
        <w:tc>
          <w:tcPr>
            <w:tcW w:w="900" w:type="dxa"/>
            <w:gridSpan w:val="3"/>
            <w:tcBorders>
              <w:top w:val="single" w:sz="6" w:space="0" w:color="auto"/>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52 364.7</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Expenses from transactions</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Employee expenses</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19 037.6</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(7.9)</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19 029.7</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18 012.0</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(7.9)</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18 004.1</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Net superannuation interest expense </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1 054.7</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22.6</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1 077.3</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1 052.1</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22.6</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1 074.7</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Other superannuation </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1 998.9</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(33.3)</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1 965.6</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1 876.4</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(33.3)</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1 843.1</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Depreciation </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4 294.1</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42.6</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(2.6)</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4 334.1</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2 363.8</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42.6</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(2.6)</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2 403.7</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Other operating expenses</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25 113.5</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(28.7)</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25 084.9</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17 360.1</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17 360.1</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Grants and other transfers</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5 036.5</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3.7</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5 040.1</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7 585.6</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(25.0)</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7 560.6</w:t>
            </w:r>
          </w:p>
        </w:tc>
      </w:tr>
      <w:tr w:rsidR="00336793" w:rsidRPr="00D15E01" w:rsidTr="00DF0B96">
        <w:tc>
          <w:tcPr>
            <w:tcW w:w="5327"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Total expenses from transactions</w:t>
            </w:r>
          </w:p>
        </w:tc>
        <w:tc>
          <w:tcPr>
            <w:tcW w:w="909" w:type="dxa"/>
            <w:gridSpan w:val="2"/>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59 489.7</w:t>
            </w:r>
          </w:p>
        </w:tc>
        <w:tc>
          <w:tcPr>
            <w:tcW w:w="1521"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31.9</w:t>
            </w:r>
          </w:p>
        </w:tc>
        <w:tc>
          <w:tcPr>
            <w:tcW w:w="1287"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szCs w:val="21"/>
                <w:lang w:eastAsia="en-AU"/>
              </w:rPr>
            </w:pPr>
            <w:r w:rsidRPr="00D15E01">
              <w:rPr>
                <w:rFonts w:ascii="Calibri" w:eastAsiaTheme="minorEastAsia" w:hAnsi="Calibri" w:cs="Calibri"/>
                <w:b/>
                <w:bCs/>
                <w:sz w:val="21"/>
                <w:szCs w:val="21"/>
                <w:lang w:eastAsia="en-AU"/>
              </w:rPr>
              <w:t>(35.5)</w:t>
            </w:r>
          </w:p>
        </w:tc>
        <w:tc>
          <w:tcPr>
            <w:tcW w:w="918" w:type="dxa"/>
            <w:gridSpan w:val="3"/>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59 486.2</w:t>
            </w:r>
          </w:p>
        </w:tc>
        <w:tc>
          <w:tcPr>
            <w:tcW w:w="990" w:type="dxa"/>
            <w:gridSpan w:val="2"/>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50 388.5</w:t>
            </w:r>
          </w:p>
        </w:tc>
        <w:tc>
          <w:tcPr>
            <w:tcW w:w="1467"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31.9</w:t>
            </w:r>
          </w:p>
        </w:tc>
        <w:tc>
          <w:tcPr>
            <w:tcW w:w="1341"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szCs w:val="21"/>
                <w:lang w:eastAsia="en-AU"/>
              </w:rPr>
            </w:pPr>
            <w:r w:rsidRPr="00D15E01">
              <w:rPr>
                <w:rFonts w:ascii="Calibri" w:eastAsiaTheme="minorEastAsia" w:hAnsi="Calibri" w:cs="Calibri"/>
                <w:b/>
                <w:bCs/>
                <w:sz w:val="21"/>
                <w:szCs w:val="21"/>
                <w:lang w:eastAsia="en-AU"/>
              </w:rPr>
              <w:t>(35.5)</w:t>
            </w:r>
          </w:p>
        </w:tc>
        <w:tc>
          <w:tcPr>
            <w:tcW w:w="900" w:type="dxa"/>
            <w:gridSpan w:val="3"/>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50 384.9</w:t>
            </w:r>
          </w:p>
        </w:tc>
      </w:tr>
      <w:tr w:rsidR="00336793" w:rsidRPr="00D15E01" w:rsidTr="00DF0B96">
        <w:tc>
          <w:tcPr>
            <w:tcW w:w="5327" w:type="dxa"/>
            <w:tcBorders>
              <w:top w:val="nil"/>
              <w:left w:val="nil"/>
              <w:bottom w:val="single" w:sz="12" w:space="0" w:color="auto"/>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vertAlign w:val="superscript"/>
                <w:lang w:eastAsia="en-AU"/>
              </w:rPr>
            </w:pPr>
            <w:r w:rsidRPr="00D15E01">
              <w:rPr>
                <w:rFonts w:ascii="Calibri" w:eastAsiaTheme="minorEastAsia" w:hAnsi="Calibri" w:cs="Calibri"/>
                <w:b/>
                <w:bCs/>
                <w:sz w:val="21"/>
                <w:szCs w:val="21"/>
                <w:lang w:eastAsia="en-AU"/>
              </w:rPr>
              <w:t>Net result from transactions – net operating balance</w:t>
            </w:r>
            <w:r w:rsidRPr="00D15E01">
              <w:rPr>
                <w:rFonts w:ascii="Calibri" w:eastAsiaTheme="minorEastAsia" w:hAnsi="Calibri" w:cs="Calibri"/>
                <w:b/>
                <w:bCs/>
                <w:sz w:val="21"/>
                <w:szCs w:val="21"/>
                <w:vertAlign w:val="superscript"/>
                <w:lang w:eastAsia="en-AU"/>
              </w:rPr>
              <w:t xml:space="preserve"> </w:t>
            </w:r>
          </w:p>
        </w:tc>
        <w:tc>
          <w:tcPr>
            <w:tcW w:w="909" w:type="dxa"/>
            <w:gridSpan w:val="2"/>
            <w:tcBorders>
              <w:top w:val="nil"/>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856.6</w:t>
            </w:r>
          </w:p>
        </w:tc>
        <w:tc>
          <w:tcPr>
            <w:tcW w:w="1521" w:type="dxa"/>
            <w:tcBorders>
              <w:top w:val="nil"/>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szCs w:val="21"/>
                <w:lang w:eastAsia="en-AU"/>
              </w:rPr>
            </w:pPr>
            <w:r w:rsidRPr="00D15E01">
              <w:rPr>
                <w:rFonts w:ascii="Calibri" w:eastAsiaTheme="minorEastAsia" w:hAnsi="Calibri" w:cs="Calibri"/>
                <w:b/>
                <w:bCs/>
                <w:sz w:val="21"/>
                <w:szCs w:val="21"/>
                <w:lang w:eastAsia="en-AU"/>
              </w:rPr>
              <w:t>(31.9)</w:t>
            </w:r>
          </w:p>
        </w:tc>
        <w:tc>
          <w:tcPr>
            <w:tcW w:w="1287" w:type="dxa"/>
            <w:tcBorders>
              <w:top w:val="nil"/>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szCs w:val="21"/>
                <w:lang w:eastAsia="en-AU"/>
              </w:rPr>
            </w:pPr>
            <w:r w:rsidRPr="00D15E01">
              <w:rPr>
                <w:rFonts w:ascii="Calibri" w:eastAsiaTheme="minorEastAsia" w:hAnsi="Calibri" w:cs="Calibri"/>
                <w:b/>
                <w:bCs/>
                <w:sz w:val="21"/>
                <w:szCs w:val="21"/>
                <w:lang w:eastAsia="en-AU"/>
              </w:rPr>
              <w:t>(37.0)</w:t>
            </w:r>
          </w:p>
        </w:tc>
        <w:tc>
          <w:tcPr>
            <w:tcW w:w="918" w:type="dxa"/>
            <w:gridSpan w:val="3"/>
            <w:tcBorders>
              <w:top w:val="nil"/>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787.6</w:t>
            </w:r>
          </w:p>
        </w:tc>
        <w:tc>
          <w:tcPr>
            <w:tcW w:w="990" w:type="dxa"/>
            <w:gridSpan w:val="2"/>
            <w:tcBorders>
              <w:top w:val="nil"/>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1 976.2</w:t>
            </w:r>
          </w:p>
        </w:tc>
        <w:tc>
          <w:tcPr>
            <w:tcW w:w="1467" w:type="dxa"/>
            <w:tcBorders>
              <w:top w:val="nil"/>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szCs w:val="21"/>
                <w:lang w:eastAsia="en-AU"/>
              </w:rPr>
            </w:pPr>
            <w:r w:rsidRPr="00D15E01">
              <w:rPr>
                <w:rFonts w:ascii="Calibri" w:eastAsiaTheme="minorEastAsia" w:hAnsi="Calibri" w:cs="Calibri"/>
                <w:b/>
                <w:bCs/>
                <w:sz w:val="21"/>
                <w:szCs w:val="21"/>
                <w:lang w:eastAsia="en-AU"/>
              </w:rPr>
              <w:t>(31.9)</w:t>
            </w:r>
          </w:p>
        </w:tc>
        <w:tc>
          <w:tcPr>
            <w:tcW w:w="1341" w:type="dxa"/>
            <w:tcBorders>
              <w:top w:val="nil"/>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35.5</w:t>
            </w:r>
          </w:p>
        </w:tc>
        <w:tc>
          <w:tcPr>
            <w:tcW w:w="900" w:type="dxa"/>
            <w:gridSpan w:val="3"/>
            <w:tcBorders>
              <w:top w:val="nil"/>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1 979.8</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Other economic flows included in net result </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Share of net profit/(loss) from associates/joint venture entities</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35.6</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72.5</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108.1</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Other gains/(losses) from other economic flows </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(379.2)</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(10.9)</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(390.1)</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(1 230.7)</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(10.9)</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(1 241.6)</w:t>
            </w:r>
          </w:p>
        </w:tc>
      </w:tr>
      <w:tr w:rsidR="00336793" w:rsidRPr="00D15E01" w:rsidTr="00DF0B96">
        <w:tc>
          <w:tcPr>
            <w:tcW w:w="5327"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Total other economic flows included in net result</w:t>
            </w:r>
          </w:p>
        </w:tc>
        <w:tc>
          <w:tcPr>
            <w:tcW w:w="909" w:type="dxa"/>
            <w:gridSpan w:val="2"/>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802.7</w:t>
            </w:r>
          </w:p>
        </w:tc>
        <w:tc>
          <w:tcPr>
            <w:tcW w:w="1521"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w:t>
            </w:r>
          </w:p>
        </w:tc>
        <w:tc>
          <w:tcPr>
            <w:tcW w:w="1287"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61.6</w:t>
            </w:r>
          </w:p>
        </w:tc>
        <w:tc>
          <w:tcPr>
            <w:tcW w:w="918" w:type="dxa"/>
            <w:gridSpan w:val="3"/>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864.3</w:t>
            </w:r>
          </w:p>
        </w:tc>
        <w:tc>
          <w:tcPr>
            <w:tcW w:w="990" w:type="dxa"/>
            <w:gridSpan w:val="2"/>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(1 203.1)</w:t>
            </w:r>
          </w:p>
        </w:tc>
        <w:tc>
          <w:tcPr>
            <w:tcW w:w="1467"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w:t>
            </w:r>
          </w:p>
        </w:tc>
        <w:tc>
          <w:tcPr>
            <w:tcW w:w="1341"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szCs w:val="21"/>
                <w:lang w:eastAsia="en-AU"/>
              </w:rPr>
            </w:pPr>
            <w:r w:rsidRPr="00D15E01">
              <w:rPr>
                <w:rFonts w:ascii="Calibri" w:eastAsiaTheme="minorEastAsia" w:hAnsi="Calibri" w:cs="Calibri"/>
                <w:b/>
                <w:bCs/>
                <w:sz w:val="21"/>
                <w:szCs w:val="21"/>
                <w:lang w:eastAsia="en-AU"/>
              </w:rPr>
              <w:t>(10.9)</w:t>
            </w:r>
          </w:p>
        </w:tc>
        <w:tc>
          <w:tcPr>
            <w:tcW w:w="900" w:type="dxa"/>
            <w:gridSpan w:val="3"/>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(1 214.1)</w:t>
            </w:r>
          </w:p>
        </w:tc>
      </w:tr>
      <w:tr w:rsidR="00336793" w:rsidRPr="00D15E01" w:rsidTr="00DF0B96">
        <w:tc>
          <w:tcPr>
            <w:tcW w:w="5327"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Net result </w:t>
            </w:r>
          </w:p>
        </w:tc>
        <w:tc>
          <w:tcPr>
            <w:tcW w:w="909" w:type="dxa"/>
            <w:gridSpan w:val="2"/>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1 659.3</w:t>
            </w:r>
          </w:p>
        </w:tc>
        <w:tc>
          <w:tcPr>
            <w:tcW w:w="1521"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szCs w:val="21"/>
                <w:lang w:eastAsia="en-AU"/>
              </w:rPr>
            </w:pPr>
            <w:r w:rsidRPr="00D15E01">
              <w:rPr>
                <w:rFonts w:ascii="Calibri" w:eastAsiaTheme="minorEastAsia" w:hAnsi="Calibri" w:cs="Calibri"/>
                <w:b/>
                <w:bCs/>
                <w:sz w:val="21"/>
                <w:szCs w:val="21"/>
                <w:lang w:eastAsia="en-AU"/>
              </w:rPr>
              <w:t>(31.9)</w:t>
            </w:r>
          </w:p>
        </w:tc>
        <w:tc>
          <w:tcPr>
            <w:tcW w:w="1287"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24.5</w:t>
            </w:r>
          </w:p>
        </w:tc>
        <w:tc>
          <w:tcPr>
            <w:tcW w:w="918" w:type="dxa"/>
            <w:gridSpan w:val="3"/>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1 651.9</w:t>
            </w:r>
          </w:p>
        </w:tc>
        <w:tc>
          <w:tcPr>
            <w:tcW w:w="990" w:type="dxa"/>
            <w:gridSpan w:val="2"/>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773.1</w:t>
            </w:r>
          </w:p>
        </w:tc>
        <w:tc>
          <w:tcPr>
            <w:tcW w:w="1467"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szCs w:val="21"/>
                <w:lang w:eastAsia="en-AU"/>
              </w:rPr>
            </w:pPr>
            <w:r w:rsidRPr="00D15E01">
              <w:rPr>
                <w:rFonts w:ascii="Calibri" w:eastAsiaTheme="minorEastAsia" w:hAnsi="Calibri" w:cs="Calibri"/>
                <w:b/>
                <w:bCs/>
                <w:sz w:val="21"/>
                <w:szCs w:val="21"/>
                <w:lang w:eastAsia="en-AU"/>
              </w:rPr>
              <w:t>(31.9)</w:t>
            </w:r>
          </w:p>
        </w:tc>
        <w:tc>
          <w:tcPr>
            <w:tcW w:w="1341" w:type="dxa"/>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24.5</w:t>
            </w:r>
          </w:p>
        </w:tc>
        <w:tc>
          <w:tcPr>
            <w:tcW w:w="900" w:type="dxa"/>
            <w:gridSpan w:val="3"/>
            <w:tcBorders>
              <w:top w:val="single" w:sz="6" w:space="0" w:color="auto"/>
              <w:left w:val="nil"/>
              <w:bottom w:val="single" w:sz="6"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765.7</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Other economic flows – other comprehensive income </w:t>
            </w:r>
          </w:p>
        </w:tc>
        <w:tc>
          <w:tcPr>
            <w:tcW w:w="909" w:type="dxa"/>
            <w:gridSpan w:val="2"/>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w:t>
            </w:r>
          </w:p>
        </w:tc>
        <w:tc>
          <w:tcPr>
            <w:tcW w:w="1521"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w:t>
            </w:r>
          </w:p>
        </w:tc>
        <w:tc>
          <w:tcPr>
            <w:tcW w:w="128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18" w:type="dxa"/>
            <w:gridSpan w:val="3"/>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w:t>
            </w:r>
          </w:p>
        </w:tc>
        <w:tc>
          <w:tcPr>
            <w:tcW w:w="990" w:type="dxa"/>
            <w:gridSpan w:val="2"/>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w:t>
            </w:r>
          </w:p>
        </w:tc>
        <w:tc>
          <w:tcPr>
            <w:tcW w:w="146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w:t>
            </w:r>
          </w:p>
        </w:tc>
        <w:tc>
          <w:tcPr>
            <w:tcW w:w="1341"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00" w:type="dxa"/>
            <w:gridSpan w:val="3"/>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Items that will not be reclassified to net result</w:t>
            </w:r>
          </w:p>
        </w:tc>
        <w:tc>
          <w:tcPr>
            <w:tcW w:w="909" w:type="dxa"/>
            <w:gridSpan w:val="2"/>
            <w:tcBorders>
              <w:top w:val="nil"/>
              <w:left w:val="nil"/>
              <w:bottom w:val="nil"/>
              <w:right w:val="nil"/>
            </w:tcBorders>
            <w:shd w:val="clear" w:color="auto" w:fill="auto"/>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521"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287"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18" w:type="dxa"/>
            <w:gridSpan w:val="3"/>
            <w:tcBorders>
              <w:top w:val="nil"/>
              <w:left w:val="nil"/>
              <w:bottom w:val="nil"/>
              <w:right w:val="nil"/>
            </w:tcBorders>
            <w:shd w:val="clear" w:color="auto" w:fill="auto"/>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90" w:type="dxa"/>
            <w:gridSpan w:val="2"/>
            <w:tcBorders>
              <w:top w:val="nil"/>
              <w:left w:val="nil"/>
              <w:bottom w:val="nil"/>
              <w:right w:val="nil"/>
            </w:tcBorders>
            <w:shd w:val="clear" w:color="auto" w:fill="auto"/>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467"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1341"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c>
          <w:tcPr>
            <w:tcW w:w="900" w:type="dxa"/>
            <w:gridSpan w:val="3"/>
            <w:tcBorders>
              <w:top w:val="nil"/>
              <w:left w:val="nil"/>
              <w:bottom w:val="nil"/>
              <w:right w:val="nil"/>
            </w:tcBorders>
            <w:shd w:val="clear" w:color="auto" w:fill="auto"/>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Changes in non</w:t>
            </w:r>
            <w:r>
              <w:rPr>
                <w:rFonts w:ascii="Calibri" w:eastAsiaTheme="minorEastAsia" w:hAnsi="Calibri" w:cs="Calibri"/>
                <w:sz w:val="21"/>
                <w:szCs w:val="21"/>
                <w:lang w:eastAsia="en-AU"/>
              </w:rPr>
              <w:noBreakHyphen/>
            </w:r>
            <w:r w:rsidRPr="00D15E01">
              <w:rPr>
                <w:rFonts w:ascii="Calibri" w:eastAsiaTheme="minorEastAsia" w:hAnsi="Calibri" w:cs="Calibri"/>
                <w:sz w:val="21"/>
                <w:szCs w:val="21"/>
                <w:lang w:eastAsia="en-AU"/>
              </w:rPr>
              <w:t xml:space="preserve">financial assets revaluation surplus </w:t>
            </w:r>
          </w:p>
        </w:tc>
        <w:tc>
          <w:tcPr>
            <w:tcW w:w="909" w:type="dxa"/>
            <w:gridSpan w:val="2"/>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5 211.5</w:t>
            </w:r>
          </w:p>
        </w:tc>
        <w:tc>
          <w:tcPr>
            <w:tcW w:w="1521"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(551.7)</w:t>
            </w:r>
          </w:p>
        </w:tc>
        <w:tc>
          <w:tcPr>
            <w:tcW w:w="1287"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286.0</w:t>
            </w:r>
          </w:p>
        </w:tc>
        <w:tc>
          <w:tcPr>
            <w:tcW w:w="918" w:type="dxa"/>
            <w:gridSpan w:val="3"/>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4 945.9</w:t>
            </w:r>
          </w:p>
        </w:tc>
        <w:tc>
          <w:tcPr>
            <w:tcW w:w="990" w:type="dxa"/>
            <w:gridSpan w:val="2"/>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2 228.8</w:t>
            </w:r>
          </w:p>
        </w:tc>
        <w:tc>
          <w:tcPr>
            <w:tcW w:w="1467"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(551.7)</w:t>
            </w:r>
          </w:p>
        </w:tc>
        <w:tc>
          <w:tcPr>
            <w:tcW w:w="1341"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286.0</w:t>
            </w:r>
          </w:p>
        </w:tc>
        <w:tc>
          <w:tcPr>
            <w:tcW w:w="900" w:type="dxa"/>
            <w:gridSpan w:val="3"/>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1 963.2</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Remeasurement of superannuation defined benefits plans</w:t>
            </w:r>
          </w:p>
        </w:tc>
        <w:tc>
          <w:tcPr>
            <w:tcW w:w="909" w:type="dxa"/>
            <w:gridSpan w:val="2"/>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(261.9)</w:t>
            </w:r>
          </w:p>
        </w:tc>
        <w:tc>
          <w:tcPr>
            <w:tcW w:w="1521"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(4.2)</w:t>
            </w:r>
          </w:p>
        </w:tc>
        <w:tc>
          <w:tcPr>
            <w:tcW w:w="1287"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918" w:type="dxa"/>
            <w:gridSpan w:val="3"/>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(266.1)</w:t>
            </w:r>
          </w:p>
        </w:tc>
        <w:tc>
          <w:tcPr>
            <w:tcW w:w="990" w:type="dxa"/>
            <w:gridSpan w:val="2"/>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(286.2)</w:t>
            </w:r>
          </w:p>
        </w:tc>
        <w:tc>
          <w:tcPr>
            <w:tcW w:w="1467"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(4.2)</w:t>
            </w:r>
          </w:p>
        </w:tc>
        <w:tc>
          <w:tcPr>
            <w:tcW w:w="1341"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900" w:type="dxa"/>
            <w:gridSpan w:val="3"/>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(290.4)</w:t>
            </w:r>
          </w:p>
        </w:tc>
      </w:tr>
      <w:tr w:rsidR="00336793" w:rsidRPr="00D15E01" w:rsidTr="00DF0B96">
        <w:tc>
          <w:tcPr>
            <w:tcW w:w="5327" w:type="dxa"/>
            <w:tcBorders>
              <w:top w:val="nil"/>
              <w:left w:val="nil"/>
              <w:bottom w:val="nil"/>
              <w:right w:val="nil"/>
            </w:tcBorders>
          </w:tcPr>
          <w:p w:rsidR="00336793" w:rsidRPr="00D15E01" w:rsidRDefault="00336793" w:rsidP="00DF0B96">
            <w:pPr>
              <w:autoSpaceDE w:val="0"/>
              <w:autoSpaceDN w:val="0"/>
              <w:adjustRightInd w:val="0"/>
              <w:spacing w:after="0"/>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Other movements in equity</w:t>
            </w:r>
          </w:p>
        </w:tc>
        <w:tc>
          <w:tcPr>
            <w:tcW w:w="909" w:type="dxa"/>
            <w:gridSpan w:val="2"/>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860.4</w:t>
            </w:r>
          </w:p>
        </w:tc>
        <w:tc>
          <w:tcPr>
            <w:tcW w:w="1521"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287"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(285.8)</w:t>
            </w:r>
          </w:p>
        </w:tc>
        <w:tc>
          <w:tcPr>
            <w:tcW w:w="918" w:type="dxa"/>
            <w:gridSpan w:val="3"/>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574.5</w:t>
            </w:r>
          </w:p>
        </w:tc>
        <w:tc>
          <w:tcPr>
            <w:tcW w:w="990" w:type="dxa"/>
            <w:gridSpan w:val="2"/>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780.1</w:t>
            </w:r>
          </w:p>
        </w:tc>
        <w:tc>
          <w:tcPr>
            <w:tcW w:w="1467"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w:t>
            </w:r>
          </w:p>
        </w:tc>
        <w:tc>
          <w:tcPr>
            <w:tcW w:w="1341" w:type="dxa"/>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color w:val="000000"/>
                <w:sz w:val="21"/>
                <w:szCs w:val="21"/>
                <w:lang w:eastAsia="en-AU"/>
              </w:rPr>
            </w:pPr>
            <w:r w:rsidRPr="00D15E01">
              <w:rPr>
                <w:rFonts w:ascii="Calibri" w:eastAsiaTheme="minorEastAsia" w:hAnsi="Calibri" w:cs="Calibri"/>
                <w:sz w:val="21"/>
                <w:szCs w:val="21"/>
                <w:lang w:eastAsia="en-AU"/>
              </w:rPr>
              <w:t>(285.8)</w:t>
            </w:r>
          </w:p>
        </w:tc>
        <w:tc>
          <w:tcPr>
            <w:tcW w:w="900" w:type="dxa"/>
            <w:gridSpan w:val="3"/>
            <w:tcBorders>
              <w:top w:val="nil"/>
              <w:left w:val="nil"/>
              <w:bottom w:val="nil"/>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sz w:val="21"/>
                <w:szCs w:val="21"/>
                <w:lang w:eastAsia="en-AU"/>
              </w:rPr>
            </w:pPr>
            <w:r w:rsidRPr="00D15E01">
              <w:rPr>
                <w:rFonts w:ascii="Calibri" w:eastAsiaTheme="minorEastAsia" w:hAnsi="Calibri" w:cs="Calibri"/>
                <w:sz w:val="21"/>
                <w:szCs w:val="21"/>
                <w:lang w:eastAsia="en-AU"/>
              </w:rPr>
              <w:t xml:space="preserve"> 494.2</w:t>
            </w:r>
          </w:p>
        </w:tc>
      </w:tr>
      <w:tr w:rsidR="00336793" w:rsidRPr="00D15E01" w:rsidTr="00DF0B96">
        <w:tc>
          <w:tcPr>
            <w:tcW w:w="5327" w:type="dxa"/>
            <w:tcBorders>
              <w:top w:val="single" w:sz="6" w:space="0" w:color="auto"/>
              <w:left w:val="nil"/>
              <w:bottom w:val="single" w:sz="12" w:space="0" w:color="auto"/>
              <w:right w:val="nil"/>
            </w:tcBorders>
          </w:tcPr>
          <w:p w:rsidR="00336793" w:rsidRPr="00D15E01" w:rsidRDefault="00336793" w:rsidP="00DF0B96">
            <w:pPr>
              <w:autoSpaceDE w:val="0"/>
              <w:autoSpaceDN w:val="0"/>
              <w:adjustRightInd w:val="0"/>
              <w:spacing w:after="0"/>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Total other economic flows – other comprehensive income</w:t>
            </w:r>
          </w:p>
        </w:tc>
        <w:tc>
          <w:tcPr>
            <w:tcW w:w="909" w:type="dxa"/>
            <w:gridSpan w:val="2"/>
            <w:tcBorders>
              <w:top w:val="single" w:sz="6" w:space="0" w:color="auto"/>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5 801.4</w:t>
            </w:r>
          </w:p>
        </w:tc>
        <w:tc>
          <w:tcPr>
            <w:tcW w:w="1521" w:type="dxa"/>
            <w:tcBorders>
              <w:top w:val="single" w:sz="6" w:space="0" w:color="auto"/>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szCs w:val="21"/>
                <w:lang w:eastAsia="en-AU"/>
              </w:rPr>
            </w:pPr>
            <w:r w:rsidRPr="00D15E01">
              <w:rPr>
                <w:rFonts w:ascii="Calibri" w:eastAsiaTheme="minorEastAsia" w:hAnsi="Calibri" w:cs="Calibri"/>
                <w:b/>
                <w:bCs/>
                <w:sz w:val="21"/>
                <w:szCs w:val="21"/>
                <w:lang w:eastAsia="en-AU"/>
              </w:rPr>
              <w:t>(555.9)</w:t>
            </w:r>
          </w:p>
        </w:tc>
        <w:tc>
          <w:tcPr>
            <w:tcW w:w="1287" w:type="dxa"/>
            <w:tcBorders>
              <w:top w:val="single" w:sz="6" w:space="0" w:color="auto"/>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0.2</w:t>
            </w:r>
          </w:p>
        </w:tc>
        <w:tc>
          <w:tcPr>
            <w:tcW w:w="918" w:type="dxa"/>
            <w:gridSpan w:val="3"/>
            <w:tcBorders>
              <w:top w:val="single" w:sz="6" w:space="0" w:color="auto"/>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5 245.7</w:t>
            </w:r>
          </w:p>
        </w:tc>
        <w:tc>
          <w:tcPr>
            <w:tcW w:w="990" w:type="dxa"/>
            <w:gridSpan w:val="2"/>
            <w:tcBorders>
              <w:top w:val="single" w:sz="6" w:space="0" w:color="auto"/>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6 531.4</w:t>
            </w:r>
          </w:p>
        </w:tc>
        <w:tc>
          <w:tcPr>
            <w:tcW w:w="1467" w:type="dxa"/>
            <w:tcBorders>
              <w:top w:val="single" w:sz="6" w:space="0" w:color="auto"/>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szCs w:val="21"/>
                <w:lang w:eastAsia="en-AU"/>
              </w:rPr>
            </w:pPr>
            <w:r w:rsidRPr="00D15E01">
              <w:rPr>
                <w:rFonts w:ascii="Calibri" w:eastAsiaTheme="minorEastAsia" w:hAnsi="Calibri" w:cs="Calibri"/>
                <w:b/>
                <w:bCs/>
                <w:sz w:val="21"/>
                <w:szCs w:val="21"/>
                <w:lang w:eastAsia="en-AU"/>
              </w:rPr>
              <w:t>(555.9)</w:t>
            </w:r>
          </w:p>
        </w:tc>
        <w:tc>
          <w:tcPr>
            <w:tcW w:w="1341" w:type="dxa"/>
            <w:tcBorders>
              <w:top w:val="single" w:sz="6" w:space="0" w:color="auto"/>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 xml:space="preserve"> 0.2</w:t>
            </w:r>
          </w:p>
        </w:tc>
        <w:tc>
          <w:tcPr>
            <w:tcW w:w="900" w:type="dxa"/>
            <w:gridSpan w:val="3"/>
            <w:tcBorders>
              <w:top w:val="single" w:sz="6" w:space="0" w:color="auto"/>
              <w:left w:val="nil"/>
              <w:bottom w:val="single" w:sz="12" w:space="0" w:color="auto"/>
              <w:right w:val="nil"/>
            </w:tcBorders>
          </w:tcPr>
          <w:p w:rsidR="00336793" w:rsidRPr="00D15E01" w:rsidRDefault="00336793" w:rsidP="00DF0B96">
            <w:pPr>
              <w:autoSpaceDE w:val="0"/>
              <w:autoSpaceDN w:val="0"/>
              <w:adjustRightInd w:val="0"/>
              <w:spacing w:after="0"/>
              <w:jc w:val="right"/>
              <w:rPr>
                <w:rFonts w:ascii="Calibri" w:eastAsiaTheme="minorEastAsia" w:hAnsi="Calibri" w:cs="Calibri"/>
                <w:b/>
                <w:bCs/>
                <w:sz w:val="21"/>
                <w:szCs w:val="21"/>
                <w:lang w:eastAsia="en-AU"/>
              </w:rPr>
            </w:pPr>
            <w:r w:rsidRPr="00D15E01">
              <w:rPr>
                <w:rFonts w:ascii="Calibri" w:eastAsiaTheme="minorEastAsia" w:hAnsi="Calibri" w:cs="Calibri"/>
                <w:b/>
                <w:bCs/>
                <w:sz w:val="21"/>
                <w:szCs w:val="21"/>
                <w:lang w:eastAsia="en-AU"/>
              </w:rPr>
              <w:t>5 975.7</w:t>
            </w:r>
          </w:p>
        </w:tc>
      </w:tr>
      <w:tr w:rsidR="00336793" w:rsidRPr="00D15E01" w:rsidTr="00DF0B96">
        <w:tc>
          <w:tcPr>
            <w:tcW w:w="5327" w:type="dxa"/>
            <w:tcBorders>
              <w:top w:val="single" w:sz="12" w:space="0" w:color="auto"/>
              <w:left w:val="nil"/>
              <w:bottom w:val="single" w:sz="12" w:space="0" w:color="000000"/>
              <w:right w:val="nil"/>
            </w:tcBorders>
            <w:shd w:val="clear" w:color="auto" w:fill="auto"/>
          </w:tcPr>
          <w:p w:rsidR="00336793" w:rsidRPr="00D15E01" w:rsidRDefault="00336793" w:rsidP="00DF0B96">
            <w:pPr>
              <w:autoSpaceDE w:val="0"/>
              <w:autoSpaceDN w:val="0"/>
              <w:adjustRightInd w:val="0"/>
              <w:spacing w:after="0"/>
              <w:rPr>
                <w:rFonts w:ascii="Calibri" w:eastAsiaTheme="minorEastAsia" w:hAnsi="Calibri" w:cs="Calibri"/>
                <w:b/>
                <w:bCs/>
                <w:sz w:val="21"/>
                <w:lang w:eastAsia="en-AU"/>
              </w:rPr>
            </w:pPr>
            <w:r w:rsidRPr="00D15E01">
              <w:rPr>
                <w:rFonts w:ascii="Calibri" w:eastAsiaTheme="minorEastAsia" w:hAnsi="Calibri" w:cs="Calibri"/>
                <w:b/>
                <w:bCs/>
                <w:sz w:val="21"/>
                <w:lang w:eastAsia="en-AU"/>
              </w:rPr>
              <w:t>Comprehensive result – total change in net worth</w:t>
            </w:r>
          </w:p>
        </w:tc>
        <w:tc>
          <w:tcPr>
            <w:tcW w:w="909" w:type="dxa"/>
            <w:gridSpan w:val="2"/>
            <w:tcBorders>
              <w:top w:val="single" w:sz="12" w:space="0" w:color="auto"/>
              <w:left w:val="nil"/>
              <w:bottom w:val="single" w:sz="12" w:space="0" w:color="000000"/>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b/>
                <w:bCs/>
                <w:sz w:val="21"/>
                <w:lang w:eastAsia="en-AU"/>
              </w:rPr>
            </w:pPr>
            <w:r w:rsidRPr="00D15E01">
              <w:rPr>
                <w:rFonts w:ascii="Calibri" w:eastAsiaTheme="minorEastAsia" w:hAnsi="Calibri" w:cs="Calibri"/>
                <w:b/>
                <w:bCs/>
                <w:sz w:val="21"/>
                <w:lang w:eastAsia="en-AU"/>
              </w:rPr>
              <w:t>7 460.7</w:t>
            </w:r>
          </w:p>
        </w:tc>
        <w:tc>
          <w:tcPr>
            <w:tcW w:w="1521" w:type="dxa"/>
            <w:tcBorders>
              <w:top w:val="single" w:sz="12" w:space="0" w:color="auto"/>
              <w:left w:val="nil"/>
              <w:bottom w:val="single" w:sz="12" w:space="0" w:color="000000"/>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lang w:eastAsia="en-AU"/>
              </w:rPr>
            </w:pPr>
            <w:r w:rsidRPr="00D15E01">
              <w:rPr>
                <w:rFonts w:ascii="Calibri" w:eastAsiaTheme="minorEastAsia" w:hAnsi="Calibri" w:cs="Calibri"/>
                <w:b/>
                <w:bCs/>
                <w:sz w:val="21"/>
                <w:lang w:eastAsia="en-AU"/>
              </w:rPr>
              <w:t>(587.8)</w:t>
            </w:r>
          </w:p>
        </w:tc>
        <w:tc>
          <w:tcPr>
            <w:tcW w:w="1287" w:type="dxa"/>
            <w:tcBorders>
              <w:top w:val="single" w:sz="12" w:space="0" w:color="auto"/>
              <w:left w:val="nil"/>
              <w:bottom w:val="single" w:sz="12" w:space="0" w:color="000000"/>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b/>
                <w:bCs/>
                <w:sz w:val="21"/>
                <w:lang w:eastAsia="en-AU"/>
              </w:rPr>
            </w:pPr>
            <w:r w:rsidRPr="00D15E01">
              <w:rPr>
                <w:rFonts w:ascii="Calibri" w:eastAsiaTheme="minorEastAsia" w:hAnsi="Calibri" w:cs="Calibri"/>
                <w:b/>
                <w:bCs/>
                <w:sz w:val="21"/>
                <w:lang w:eastAsia="en-AU"/>
              </w:rPr>
              <w:t xml:space="preserve"> 24.7</w:t>
            </w:r>
          </w:p>
        </w:tc>
        <w:tc>
          <w:tcPr>
            <w:tcW w:w="918" w:type="dxa"/>
            <w:gridSpan w:val="3"/>
            <w:tcBorders>
              <w:top w:val="single" w:sz="12" w:space="0" w:color="auto"/>
              <w:left w:val="nil"/>
              <w:bottom w:val="single" w:sz="12" w:space="0" w:color="000000"/>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b/>
                <w:bCs/>
                <w:sz w:val="21"/>
                <w:lang w:eastAsia="en-AU"/>
              </w:rPr>
            </w:pPr>
            <w:r w:rsidRPr="00D15E01">
              <w:rPr>
                <w:rFonts w:ascii="Calibri" w:eastAsiaTheme="minorEastAsia" w:hAnsi="Calibri" w:cs="Calibri"/>
                <w:b/>
                <w:bCs/>
                <w:sz w:val="21"/>
                <w:lang w:eastAsia="en-AU"/>
              </w:rPr>
              <w:t>6 897.6</w:t>
            </w:r>
          </w:p>
        </w:tc>
        <w:tc>
          <w:tcPr>
            <w:tcW w:w="990" w:type="dxa"/>
            <w:gridSpan w:val="2"/>
            <w:tcBorders>
              <w:top w:val="single" w:sz="12" w:space="0" w:color="auto"/>
              <w:left w:val="nil"/>
              <w:bottom w:val="single" w:sz="12" w:space="0" w:color="000000"/>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b/>
                <w:bCs/>
                <w:sz w:val="21"/>
                <w:lang w:eastAsia="en-AU"/>
              </w:rPr>
            </w:pPr>
            <w:r w:rsidRPr="00D15E01">
              <w:rPr>
                <w:rFonts w:ascii="Calibri" w:eastAsiaTheme="minorEastAsia" w:hAnsi="Calibri" w:cs="Calibri"/>
                <w:b/>
                <w:bCs/>
                <w:sz w:val="21"/>
                <w:lang w:eastAsia="en-AU"/>
              </w:rPr>
              <w:t>7 304.5</w:t>
            </w:r>
          </w:p>
        </w:tc>
        <w:tc>
          <w:tcPr>
            <w:tcW w:w="1467" w:type="dxa"/>
            <w:tcBorders>
              <w:top w:val="single" w:sz="12" w:space="0" w:color="auto"/>
              <w:left w:val="nil"/>
              <w:bottom w:val="single" w:sz="12" w:space="0" w:color="000000"/>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b/>
                <w:bCs/>
                <w:color w:val="000000"/>
                <w:sz w:val="21"/>
                <w:lang w:eastAsia="en-AU"/>
              </w:rPr>
            </w:pPr>
            <w:r w:rsidRPr="00D15E01">
              <w:rPr>
                <w:rFonts w:ascii="Calibri" w:eastAsiaTheme="minorEastAsia" w:hAnsi="Calibri" w:cs="Calibri"/>
                <w:b/>
                <w:bCs/>
                <w:sz w:val="21"/>
                <w:lang w:eastAsia="en-AU"/>
              </w:rPr>
              <w:t>(587.8)</w:t>
            </w:r>
          </w:p>
        </w:tc>
        <w:tc>
          <w:tcPr>
            <w:tcW w:w="1341" w:type="dxa"/>
            <w:tcBorders>
              <w:top w:val="single" w:sz="12" w:space="0" w:color="auto"/>
              <w:left w:val="nil"/>
              <w:bottom w:val="single" w:sz="12" w:space="0" w:color="000000"/>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b/>
                <w:bCs/>
                <w:sz w:val="21"/>
                <w:lang w:eastAsia="en-AU"/>
              </w:rPr>
            </w:pPr>
            <w:r w:rsidRPr="00D15E01">
              <w:rPr>
                <w:rFonts w:ascii="Calibri" w:eastAsiaTheme="minorEastAsia" w:hAnsi="Calibri" w:cs="Calibri"/>
                <w:b/>
                <w:bCs/>
                <w:sz w:val="21"/>
                <w:lang w:eastAsia="en-AU"/>
              </w:rPr>
              <w:t xml:space="preserve"> 24.7</w:t>
            </w:r>
          </w:p>
        </w:tc>
        <w:tc>
          <w:tcPr>
            <w:tcW w:w="900" w:type="dxa"/>
            <w:gridSpan w:val="3"/>
            <w:tcBorders>
              <w:top w:val="single" w:sz="12" w:space="0" w:color="auto"/>
              <w:left w:val="nil"/>
              <w:bottom w:val="single" w:sz="12" w:space="0" w:color="000000"/>
              <w:right w:val="nil"/>
            </w:tcBorders>
            <w:shd w:val="clear" w:color="auto" w:fill="auto"/>
          </w:tcPr>
          <w:p w:rsidR="00336793" w:rsidRPr="00D15E01" w:rsidRDefault="00336793" w:rsidP="00DF0B96">
            <w:pPr>
              <w:autoSpaceDE w:val="0"/>
              <w:autoSpaceDN w:val="0"/>
              <w:adjustRightInd w:val="0"/>
              <w:spacing w:after="0"/>
              <w:jc w:val="right"/>
              <w:rPr>
                <w:rFonts w:ascii="Calibri" w:eastAsiaTheme="minorEastAsia" w:hAnsi="Calibri" w:cs="Calibri"/>
                <w:b/>
                <w:bCs/>
                <w:sz w:val="21"/>
                <w:lang w:eastAsia="en-AU"/>
              </w:rPr>
            </w:pPr>
            <w:r w:rsidRPr="00D15E01">
              <w:rPr>
                <w:rFonts w:ascii="Calibri" w:eastAsiaTheme="minorEastAsia" w:hAnsi="Calibri" w:cs="Calibri"/>
                <w:b/>
                <w:bCs/>
                <w:sz w:val="21"/>
                <w:lang w:eastAsia="en-AU"/>
              </w:rPr>
              <w:t>6 741.4</w:t>
            </w:r>
          </w:p>
        </w:tc>
      </w:tr>
    </w:tbl>
    <w:p w:rsidR="00336793" w:rsidRDefault="00336793" w:rsidP="00DF0B96">
      <w:pPr>
        <w:pStyle w:val="Notes"/>
      </w:pPr>
    </w:p>
    <w:p w:rsidR="00336793" w:rsidRPr="006A75A2" w:rsidRDefault="00336793" w:rsidP="00DF0B96">
      <w:pPr>
        <w:pStyle w:val="Heading2NotesContd"/>
      </w:pPr>
      <w:r w:rsidRPr="006A75A2">
        <w:lastRenderedPageBreak/>
        <w:t>Note 37:</w:t>
      </w:r>
      <w:r w:rsidRPr="006A75A2">
        <w:tab/>
      </w:r>
      <w:r w:rsidRPr="00CB5415">
        <w:t>Restatement</w:t>
      </w:r>
      <w:r w:rsidRPr="006A75A2">
        <w:t xml:space="preserve"> of 201</w:t>
      </w:r>
      <w:r>
        <w:t>3</w:t>
      </w:r>
      <w:r>
        <w:noBreakHyphen/>
        <w:t>14</w:t>
      </w:r>
      <w:r w:rsidRPr="006A75A2">
        <w:t xml:space="preserve"> </w:t>
      </w:r>
      <w:r w:rsidRPr="00AA0209">
        <w:t>balances</w:t>
      </w:r>
      <w:r w:rsidRPr="006A75A2">
        <w:t xml:space="preserve"> </w:t>
      </w:r>
      <w:r>
        <w:t>and impact on 2014</w:t>
      </w:r>
      <w:r>
        <w:noBreakHyphen/>
        <w:t xml:space="preserve">15 balances </w:t>
      </w:r>
      <w:r w:rsidRPr="0058775D">
        <w:rPr>
          <w:i/>
        </w:rPr>
        <w:t>(continued)</w:t>
      </w:r>
    </w:p>
    <w:p w:rsidR="00336793" w:rsidRDefault="00336793" w:rsidP="00DF0B96">
      <w:pPr>
        <w:pStyle w:val="Tableheading"/>
      </w:pPr>
      <w:r>
        <w:t>Impact on the</w:t>
      </w:r>
      <w:r w:rsidRPr="00344260">
        <w:t xml:space="preserve"> comprehensive operating statement for the financial year ending 30 June</w:t>
      </w:r>
      <w:r>
        <w:t xml:space="preserve"> 2015 (Extract)</w:t>
      </w:r>
    </w:p>
    <w:p w:rsidR="00336793" w:rsidRPr="00DC4FF3" w:rsidRDefault="00336793" w:rsidP="00DF0B96">
      <w:pPr>
        <w:pStyle w:val="million"/>
        <w:rPr>
          <w:rFonts w:ascii="Times New Roman" w:hAnsi="Times New Roman"/>
          <w:i w:val="0"/>
          <w:szCs w:val="20"/>
          <w:lang w:eastAsia="en-AU"/>
        </w:rPr>
      </w:pPr>
      <w:r>
        <w:rPr>
          <w:lang w:eastAsia="en-AU"/>
        </w:rPr>
        <w:t>($ million)</w:t>
      </w:r>
    </w:p>
    <w:tbl>
      <w:tblPr>
        <w:tblW w:w="14570" w:type="dxa"/>
        <w:tblInd w:w="28" w:type="dxa"/>
        <w:tblLayout w:type="fixed"/>
        <w:tblCellMar>
          <w:left w:w="45" w:type="dxa"/>
          <w:right w:w="45" w:type="dxa"/>
        </w:tblCellMar>
        <w:tblLook w:val="0000" w:firstRow="0" w:lastRow="0" w:firstColumn="0" w:lastColumn="0" w:noHBand="0" w:noVBand="0"/>
      </w:tblPr>
      <w:tblGrid>
        <w:gridCol w:w="5327"/>
        <w:gridCol w:w="72"/>
        <w:gridCol w:w="288"/>
        <w:gridCol w:w="1350"/>
        <w:gridCol w:w="1620"/>
        <w:gridCol w:w="1080"/>
        <w:gridCol w:w="211"/>
        <w:gridCol w:w="239"/>
        <w:gridCol w:w="1530"/>
        <w:gridCol w:w="1530"/>
        <w:gridCol w:w="1170"/>
        <w:gridCol w:w="153"/>
      </w:tblGrid>
      <w:tr w:rsidR="00336793" w:rsidRPr="00D96F49" w:rsidTr="00DF0B96">
        <w:tc>
          <w:tcPr>
            <w:tcW w:w="5399" w:type="dxa"/>
            <w:gridSpan w:val="2"/>
            <w:tcBorders>
              <w:top w:val="single" w:sz="6" w:space="0" w:color="auto"/>
              <w:left w:val="single" w:sz="6" w:space="0" w:color="auto"/>
              <w:bottom w:val="nil"/>
              <w:right w:val="nil"/>
            </w:tcBorders>
            <w:shd w:val="clear" w:color="000000" w:fill="000000"/>
          </w:tcPr>
          <w:p w:rsidR="00336793" w:rsidRPr="00D96F49" w:rsidRDefault="00336793" w:rsidP="00DF0B96">
            <w:pPr>
              <w:pStyle w:val="Tabletext"/>
              <w:rPr>
                <w:rFonts w:eastAsiaTheme="minorEastAsia"/>
                <w:i/>
                <w:sz w:val="21"/>
                <w:lang w:eastAsia="en-AU"/>
              </w:rPr>
            </w:pPr>
            <w:r w:rsidRPr="00D96F49">
              <w:rPr>
                <w:rFonts w:eastAsiaTheme="minorEastAsia"/>
                <w:i/>
                <w:sz w:val="21"/>
                <w:lang w:eastAsia="en-AU"/>
              </w:rPr>
              <w:t xml:space="preserve"> </w:t>
            </w:r>
          </w:p>
        </w:tc>
        <w:tc>
          <w:tcPr>
            <w:tcW w:w="288" w:type="dxa"/>
            <w:tcBorders>
              <w:top w:val="single" w:sz="6" w:space="0" w:color="auto"/>
              <w:left w:val="nil"/>
              <w:bottom w:val="single" w:sz="6" w:space="0" w:color="FFFFFF" w:themeColor="background1"/>
              <w:right w:val="nil"/>
            </w:tcBorders>
            <w:shd w:val="clear" w:color="000000" w:fill="000000"/>
          </w:tcPr>
          <w:p w:rsidR="00336793" w:rsidRPr="00D96F49" w:rsidRDefault="00336793" w:rsidP="00DF0B96">
            <w:pPr>
              <w:pStyle w:val="TabletextheadingCentred"/>
              <w:rPr>
                <w:rFonts w:eastAsiaTheme="minorEastAsia"/>
                <w:sz w:val="21"/>
                <w:lang w:eastAsia="en-AU"/>
              </w:rPr>
            </w:pPr>
            <w:r w:rsidRPr="00D96F49">
              <w:rPr>
                <w:rFonts w:eastAsiaTheme="minorEastAsia"/>
                <w:sz w:val="21"/>
                <w:lang w:eastAsia="en-AU"/>
              </w:rPr>
              <w:t xml:space="preserve"> </w:t>
            </w:r>
          </w:p>
        </w:tc>
        <w:tc>
          <w:tcPr>
            <w:tcW w:w="4050" w:type="dxa"/>
            <w:gridSpan w:val="3"/>
            <w:tcBorders>
              <w:top w:val="single" w:sz="6" w:space="0" w:color="auto"/>
              <w:left w:val="nil"/>
              <w:bottom w:val="single" w:sz="6" w:space="0" w:color="FFFFFF" w:themeColor="background1"/>
              <w:right w:val="nil"/>
            </w:tcBorders>
            <w:shd w:val="clear" w:color="000000" w:fill="000000"/>
          </w:tcPr>
          <w:p w:rsidR="00336793" w:rsidRPr="00D96F49" w:rsidRDefault="00336793" w:rsidP="00DF0B96">
            <w:pPr>
              <w:pStyle w:val="TabletextheadingCentred"/>
              <w:rPr>
                <w:rFonts w:eastAsiaTheme="minorEastAsia" w:cs="Calibri"/>
                <w:iCs/>
                <w:color w:val="FFFFFF"/>
                <w:sz w:val="21"/>
                <w:lang w:eastAsia="en-AU"/>
              </w:rPr>
            </w:pPr>
            <w:r w:rsidRPr="00D96F49">
              <w:rPr>
                <w:rFonts w:eastAsiaTheme="minorEastAsia"/>
                <w:sz w:val="21"/>
                <w:lang w:eastAsia="en-AU"/>
              </w:rPr>
              <w:t>State</w:t>
            </w:r>
            <w:r w:rsidRPr="00D96F49">
              <w:rPr>
                <w:rFonts w:eastAsiaTheme="minorEastAsia" w:cs="Calibri"/>
                <w:iCs/>
                <w:color w:val="FFFFFF"/>
                <w:sz w:val="21"/>
                <w:lang w:eastAsia="en-AU"/>
              </w:rPr>
              <w:t xml:space="preserve"> of Victoria </w:t>
            </w:r>
          </w:p>
        </w:tc>
        <w:tc>
          <w:tcPr>
            <w:tcW w:w="211" w:type="dxa"/>
            <w:tcBorders>
              <w:top w:val="single" w:sz="6" w:space="0" w:color="auto"/>
              <w:left w:val="nil"/>
              <w:bottom w:val="single" w:sz="6" w:space="0" w:color="FFFFFF" w:themeColor="background1"/>
              <w:right w:val="nil"/>
            </w:tcBorders>
            <w:shd w:val="clear" w:color="000000" w:fill="000000"/>
          </w:tcPr>
          <w:p w:rsidR="00336793" w:rsidRPr="00D96F49" w:rsidRDefault="00336793" w:rsidP="00DF0B96">
            <w:pPr>
              <w:pStyle w:val="TabletextheadingCentred"/>
              <w:rPr>
                <w:rFonts w:eastAsiaTheme="minorEastAsia"/>
                <w:sz w:val="21"/>
                <w:lang w:eastAsia="en-AU"/>
              </w:rPr>
            </w:pPr>
            <w:r w:rsidRPr="00D96F49">
              <w:rPr>
                <w:rFonts w:eastAsiaTheme="minorEastAsia"/>
                <w:sz w:val="21"/>
                <w:lang w:eastAsia="en-AU"/>
              </w:rPr>
              <w:t xml:space="preserve"> </w:t>
            </w:r>
          </w:p>
        </w:tc>
        <w:tc>
          <w:tcPr>
            <w:tcW w:w="239" w:type="dxa"/>
            <w:tcBorders>
              <w:top w:val="single" w:sz="6" w:space="0" w:color="auto"/>
              <w:left w:val="nil"/>
              <w:bottom w:val="nil"/>
              <w:right w:val="nil"/>
            </w:tcBorders>
            <w:shd w:val="clear" w:color="000000" w:fill="000000"/>
          </w:tcPr>
          <w:p w:rsidR="00336793" w:rsidRPr="00D96F49" w:rsidRDefault="00336793" w:rsidP="00DF0B96">
            <w:pPr>
              <w:pStyle w:val="TabletextheadingCentred"/>
              <w:rPr>
                <w:rFonts w:eastAsiaTheme="minorEastAsia"/>
                <w:sz w:val="21"/>
                <w:lang w:eastAsia="en-AU"/>
              </w:rPr>
            </w:pPr>
            <w:r w:rsidRPr="00D96F49">
              <w:rPr>
                <w:rFonts w:eastAsiaTheme="minorEastAsia"/>
                <w:sz w:val="21"/>
                <w:lang w:eastAsia="en-AU"/>
              </w:rPr>
              <w:t xml:space="preserve"> </w:t>
            </w:r>
          </w:p>
        </w:tc>
        <w:tc>
          <w:tcPr>
            <w:tcW w:w="4230" w:type="dxa"/>
            <w:gridSpan w:val="3"/>
            <w:tcBorders>
              <w:top w:val="single" w:sz="6" w:space="0" w:color="auto"/>
              <w:left w:val="nil"/>
              <w:bottom w:val="nil"/>
              <w:right w:val="nil"/>
            </w:tcBorders>
            <w:shd w:val="clear" w:color="000000" w:fill="000000"/>
          </w:tcPr>
          <w:p w:rsidR="00336793" w:rsidRPr="00D96F49" w:rsidRDefault="00336793" w:rsidP="00DF0B96">
            <w:pPr>
              <w:pStyle w:val="TabletextheadingCentred"/>
              <w:rPr>
                <w:rFonts w:eastAsiaTheme="minorEastAsia" w:cs="Calibri"/>
                <w:iCs/>
                <w:color w:val="FFFFFF"/>
                <w:sz w:val="21"/>
                <w:lang w:eastAsia="en-AU"/>
              </w:rPr>
            </w:pPr>
            <w:r w:rsidRPr="00D96F49">
              <w:rPr>
                <w:rFonts w:eastAsiaTheme="minorEastAsia"/>
                <w:sz w:val="21"/>
                <w:lang w:eastAsia="en-AU"/>
              </w:rPr>
              <w:t xml:space="preserve">General </w:t>
            </w:r>
            <w:r w:rsidRPr="00D96F49">
              <w:rPr>
                <w:rFonts w:eastAsiaTheme="minorEastAsia" w:cs="Calibri"/>
                <w:iCs/>
                <w:color w:val="FFFFFF"/>
                <w:sz w:val="21"/>
                <w:lang w:eastAsia="en-AU"/>
              </w:rPr>
              <w:t xml:space="preserve">government sector </w:t>
            </w:r>
          </w:p>
        </w:tc>
        <w:tc>
          <w:tcPr>
            <w:tcW w:w="153" w:type="dxa"/>
            <w:tcBorders>
              <w:top w:val="single" w:sz="6" w:space="0" w:color="auto"/>
              <w:left w:val="nil"/>
              <w:bottom w:val="nil"/>
              <w:right w:val="single" w:sz="6" w:space="0" w:color="auto"/>
            </w:tcBorders>
            <w:shd w:val="clear" w:color="000000" w:fill="000000"/>
          </w:tcPr>
          <w:p w:rsidR="00336793" w:rsidRPr="00D96F49" w:rsidRDefault="00336793" w:rsidP="00DF0B96">
            <w:pPr>
              <w:pStyle w:val="TabletextheadingCentred"/>
              <w:rPr>
                <w:rFonts w:eastAsiaTheme="minorEastAsia"/>
                <w:sz w:val="21"/>
                <w:lang w:eastAsia="en-AU"/>
              </w:rPr>
            </w:pPr>
            <w:r w:rsidRPr="00D96F49">
              <w:rPr>
                <w:rFonts w:eastAsiaTheme="minorEastAsia"/>
                <w:sz w:val="21"/>
                <w:lang w:eastAsia="en-AU"/>
              </w:rPr>
              <w:t xml:space="preserve"> </w:t>
            </w:r>
          </w:p>
        </w:tc>
      </w:tr>
      <w:tr w:rsidR="00336793" w:rsidRPr="00D96F49" w:rsidTr="00DF0B96">
        <w:tc>
          <w:tcPr>
            <w:tcW w:w="5327" w:type="dxa"/>
            <w:tcBorders>
              <w:top w:val="nil"/>
              <w:left w:val="single" w:sz="6" w:space="0" w:color="auto"/>
              <w:bottom w:val="single" w:sz="6" w:space="0" w:color="auto"/>
              <w:right w:val="nil"/>
            </w:tcBorders>
            <w:shd w:val="clear" w:color="000000" w:fill="000000"/>
            <w:vAlign w:val="bottom"/>
          </w:tcPr>
          <w:p w:rsidR="00336793" w:rsidRPr="00D96F49" w:rsidRDefault="00336793" w:rsidP="00DF0B96">
            <w:pPr>
              <w:pStyle w:val="Tabletext"/>
              <w:rPr>
                <w:rFonts w:eastAsiaTheme="minorEastAsia"/>
                <w:i/>
                <w:sz w:val="21"/>
                <w:lang w:eastAsia="en-AU"/>
              </w:rPr>
            </w:pPr>
            <w:r w:rsidRPr="00D96F49">
              <w:rPr>
                <w:rFonts w:eastAsiaTheme="minorEastAsia"/>
                <w:i/>
                <w:sz w:val="21"/>
                <w:lang w:eastAsia="en-AU"/>
              </w:rPr>
              <w:t>2015</w:t>
            </w:r>
          </w:p>
        </w:tc>
        <w:tc>
          <w:tcPr>
            <w:tcW w:w="1710" w:type="dxa"/>
            <w:gridSpan w:val="3"/>
            <w:tcBorders>
              <w:top w:val="single" w:sz="6" w:space="0" w:color="FFFFFF" w:themeColor="background1"/>
              <w:left w:val="nil"/>
              <w:bottom w:val="single" w:sz="6" w:space="0" w:color="auto"/>
              <w:right w:val="nil"/>
            </w:tcBorders>
            <w:shd w:val="clear" w:color="000000" w:fill="000000"/>
            <w:vAlign w:val="bottom"/>
          </w:tcPr>
          <w:p w:rsidR="00336793" w:rsidRPr="00D96F49" w:rsidRDefault="00336793" w:rsidP="00DF0B96">
            <w:pPr>
              <w:pStyle w:val="Tabletextheading"/>
              <w:rPr>
                <w:rFonts w:eastAsiaTheme="minorEastAsia"/>
                <w:color w:val="FFFFFF"/>
                <w:sz w:val="21"/>
                <w:lang w:eastAsia="en-AU"/>
              </w:rPr>
            </w:pPr>
            <w:r w:rsidRPr="00D96F49">
              <w:rPr>
                <w:rFonts w:eastAsiaTheme="minorEastAsia"/>
                <w:color w:val="FFFFFF"/>
                <w:sz w:val="21"/>
                <w:lang w:eastAsia="en-AU"/>
              </w:rPr>
              <w:t>Without change in accounting policy</w:t>
            </w:r>
          </w:p>
        </w:tc>
        <w:tc>
          <w:tcPr>
            <w:tcW w:w="1620" w:type="dxa"/>
            <w:tcBorders>
              <w:top w:val="single" w:sz="6" w:space="0" w:color="FFFFFF" w:themeColor="background1"/>
              <w:left w:val="nil"/>
              <w:bottom w:val="single" w:sz="6" w:space="0" w:color="auto"/>
              <w:right w:val="nil"/>
            </w:tcBorders>
            <w:shd w:val="clear" w:color="000000" w:fill="000000"/>
            <w:vAlign w:val="bottom"/>
          </w:tcPr>
          <w:p w:rsidR="00336793" w:rsidRPr="00D96F49" w:rsidRDefault="00336793" w:rsidP="00DF0B96">
            <w:pPr>
              <w:pStyle w:val="Tabletextheading"/>
              <w:rPr>
                <w:rFonts w:eastAsiaTheme="minorEastAsia"/>
                <w:color w:val="FFFFFF"/>
                <w:sz w:val="21"/>
                <w:lang w:eastAsia="en-AU"/>
              </w:rPr>
            </w:pPr>
            <w:r w:rsidRPr="00D96F49">
              <w:rPr>
                <w:rFonts w:eastAsiaTheme="minorEastAsia"/>
                <w:color w:val="FFFFFF"/>
                <w:sz w:val="21"/>
                <w:lang w:eastAsia="en-AU"/>
              </w:rPr>
              <w:t>Effect of change</w:t>
            </w:r>
          </w:p>
        </w:tc>
        <w:tc>
          <w:tcPr>
            <w:tcW w:w="1291" w:type="dxa"/>
            <w:gridSpan w:val="2"/>
            <w:tcBorders>
              <w:top w:val="single" w:sz="6" w:space="0" w:color="FFFFFF" w:themeColor="background1"/>
              <w:left w:val="nil"/>
              <w:bottom w:val="single" w:sz="6" w:space="0" w:color="auto"/>
              <w:right w:val="nil"/>
            </w:tcBorders>
            <w:shd w:val="clear" w:color="000000" w:fill="000000"/>
            <w:vAlign w:val="bottom"/>
          </w:tcPr>
          <w:p w:rsidR="00336793" w:rsidRPr="00D96F49" w:rsidRDefault="00336793" w:rsidP="00DF0B96">
            <w:pPr>
              <w:pStyle w:val="Tabletextheading"/>
              <w:rPr>
                <w:rFonts w:eastAsiaTheme="minorEastAsia"/>
                <w:color w:val="FFFFFF"/>
                <w:sz w:val="21"/>
                <w:lang w:eastAsia="en-AU"/>
              </w:rPr>
            </w:pPr>
            <w:r w:rsidRPr="00D96F49">
              <w:rPr>
                <w:rFonts w:eastAsiaTheme="minorEastAsia"/>
                <w:color w:val="FFFFFF"/>
                <w:sz w:val="21"/>
                <w:lang w:eastAsia="en-AU"/>
              </w:rPr>
              <w:t>Restated</w:t>
            </w:r>
          </w:p>
        </w:tc>
        <w:tc>
          <w:tcPr>
            <w:tcW w:w="1769" w:type="dxa"/>
            <w:gridSpan w:val="2"/>
            <w:tcBorders>
              <w:top w:val="nil"/>
              <w:left w:val="nil"/>
              <w:bottom w:val="single" w:sz="6" w:space="0" w:color="auto"/>
              <w:right w:val="nil"/>
            </w:tcBorders>
            <w:shd w:val="clear" w:color="000000" w:fill="000000"/>
            <w:vAlign w:val="bottom"/>
          </w:tcPr>
          <w:p w:rsidR="00336793" w:rsidRPr="00D96F49" w:rsidRDefault="00336793" w:rsidP="00DF0B96">
            <w:pPr>
              <w:pStyle w:val="Tabletextheading"/>
              <w:rPr>
                <w:rFonts w:eastAsiaTheme="minorEastAsia"/>
                <w:color w:val="FFFFFF"/>
                <w:sz w:val="21"/>
                <w:lang w:eastAsia="en-AU"/>
              </w:rPr>
            </w:pPr>
            <w:r w:rsidRPr="00D96F49">
              <w:rPr>
                <w:rFonts w:eastAsiaTheme="minorEastAsia"/>
                <w:color w:val="FFFFFF"/>
                <w:sz w:val="21"/>
                <w:lang w:eastAsia="en-AU"/>
              </w:rPr>
              <w:t>Without change in accounting policy</w:t>
            </w:r>
          </w:p>
        </w:tc>
        <w:tc>
          <w:tcPr>
            <w:tcW w:w="1530" w:type="dxa"/>
            <w:tcBorders>
              <w:top w:val="nil"/>
              <w:left w:val="nil"/>
              <w:bottom w:val="single" w:sz="6" w:space="0" w:color="auto"/>
              <w:right w:val="nil"/>
            </w:tcBorders>
            <w:shd w:val="clear" w:color="000000" w:fill="000000"/>
            <w:vAlign w:val="bottom"/>
          </w:tcPr>
          <w:p w:rsidR="00336793" w:rsidRPr="00D96F49" w:rsidRDefault="00336793" w:rsidP="00DF0B96">
            <w:pPr>
              <w:pStyle w:val="Tabletextheading"/>
              <w:rPr>
                <w:rFonts w:eastAsiaTheme="minorEastAsia"/>
                <w:color w:val="FFFFFF"/>
                <w:sz w:val="21"/>
                <w:lang w:eastAsia="en-AU"/>
              </w:rPr>
            </w:pPr>
            <w:r w:rsidRPr="00D96F49">
              <w:rPr>
                <w:rFonts w:eastAsiaTheme="minorEastAsia"/>
                <w:color w:val="FFFFFF"/>
                <w:sz w:val="21"/>
                <w:lang w:eastAsia="en-AU"/>
              </w:rPr>
              <w:t>Effect of change</w:t>
            </w:r>
          </w:p>
        </w:tc>
        <w:tc>
          <w:tcPr>
            <w:tcW w:w="1323" w:type="dxa"/>
            <w:gridSpan w:val="2"/>
            <w:tcBorders>
              <w:top w:val="nil"/>
              <w:left w:val="nil"/>
              <w:bottom w:val="single" w:sz="6" w:space="0" w:color="auto"/>
              <w:right w:val="single" w:sz="6" w:space="0" w:color="auto"/>
            </w:tcBorders>
            <w:shd w:val="clear" w:color="000000" w:fill="000000"/>
            <w:vAlign w:val="bottom"/>
          </w:tcPr>
          <w:p w:rsidR="00336793" w:rsidRPr="00D96F49" w:rsidRDefault="00336793" w:rsidP="00DF0B96">
            <w:pPr>
              <w:pStyle w:val="Tabletextheading"/>
              <w:rPr>
                <w:rFonts w:eastAsiaTheme="minorEastAsia"/>
                <w:color w:val="FFFFFF"/>
                <w:sz w:val="21"/>
                <w:lang w:eastAsia="en-AU"/>
              </w:rPr>
            </w:pPr>
            <w:r w:rsidRPr="00D96F49">
              <w:rPr>
                <w:rFonts w:eastAsiaTheme="minorEastAsia"/>
                <w:color w:val="FFFFFF"/>
                <w:sz w:val="21"/>
                <w:lang w:eastAsia="en-AU"/>
              </w:rPr>
              <w:t>Restated</w:t>
            </w:r>
          </w:p>
        </w:tc>
      </w:tr>
      <w:tr w:rsidR="00336793" w:rsidRPr="00D96F49" w:rsidTr="00DF0B96">
        <w:trPr>
          <w:trHeight w:val="192"/>
        </w:trPr>
        <w:tc>
          <w:tcPr>
            <w:tcW w:w="5327" w:type="dxa"/>
            <w:tcBorders>
              <w:top w:val="single" w:sz="6" w:space="0" w:color="auto"/>
              <w:left w:val="nil"/>
              <w:bottom w:val="nil"/>
              <w:right w:val="nil"/>
            </w:tcBorders>
          </w:tcPr>
          <w:p w:rsidR="00336793" w:rsidRPr="00D96F49" w:rsidRDefault="00336793" w:rsidP="00DF0B96">
            <w:pPr>
              <w:pStyle w:val="Tabletext"/>
              <w:rPr>
                <w:rFonts w:eastAsiaTheme="minorEastAsia"/>
                <w:b/>
                <w:bCs/>
                <w:sz w:val="21"/>
                <w:lang w:eastAsia="en-AU"/>
              </w:rPr>
            </w:pPr>
            <w:r w:rsidRPr="00D96F49">
              <w:rPr>
                <w:rFonts w:eastAsiaTheme="minorEastAsia"/>
                <w:b/>
                <w:bCs/>
                <w:sz w:val="21"/>
                <w:lang w:eastAsia="en-AU"/>
              </w:rPr>
              <w:t>Expenses from transactions</w:t>
            </w:r>
          </w:p>
        </w:tc>
        <w:tc>
          <w:tcPr>
            <w:tcW w:w="1710" w:type="dxa"/>
            <w:gridSpan w:val="3"/>
            <w:tcBorders>
              <w:top w:val="single" w:sz="6" w:space="0" w:color="auto"/>
              <w:left w:val="nil"/>
              <w:bottom w:val="nil"/>
              <w:right w:val="nil"/>
            </w:tcBorders>
          </w:tcPr>
          <w:p w:rsidR="00336793" w:rsidRPr="00D96F49" w:rsidRDefault="00336793" w:rsidP="00DF0B96">
            <w:pPr>
              <w:pStyle w:val="TableofFigures"/>
              <w:rPr>
                <w:rFonts w:eastAsiaTheme="minorEastAsia"/>
                <w:b/>
                <w:sz w:val="21"/>
                <w:szCs w:val="21"/>
                <w:lang w:eastAsia="en-AU"/>
              </w:rPr>
            </w:pPr>
          </w:p>
        </w:tc>
        <w:tc>
          <w:tcPr>
            <w:tcW w:w="1620" w:type="dxa"/>
            <w:tcBorders>
              <w:top w:val="single" w:sz="6" w:space="0" w:color="auto"/>
              <w:left w:val="nil"/>
              <w:bottom w:val="nil"/>
              <w:right w:val="nil"/>
            </w:tcBorders>
          </w:tcPr>
          <w:p w:rsidR="00336793" w:rsidRPr="00D96F49" w:rsidRDefault="00336793" w:rsidP="00DF0B96">
            <w:pPr>
              <w:pStyle w:val="TableofFigures"/>
              <w:rPr>
                <w:rFonts w:eastAsiaTheme="minorEastAsia"/>
                <w:b/>
                <w:sz w:val="21"/>
                <w:szCs w:val="21"/>
                <w:lang w:eastAsia="en-AU"/>
              </w:rPr>
            </w:pPr>
            <w:r w:rsidRPr="00D96F49">
              <w:rPr>
                <w:rFonts w:eastAsiaTheme="minorEastAsia"/>
                <w:b/>
                <w:sz w:val="21"/>
                <w:szCs w:val="21"/>
                <w:lang w:eastAsia="en-AU"/>
              </w:rPr>
              <w:t xml:space="preserve"> </w:t>
            </w:r>
          </w:p>
        </w:tc>
        <w:tc>
          <w:tcPr>
            <w:tcW w:w="1291" w:type="dxa"/>
            <w:gridSpan w:val="2"/>
            <w:tcBorders>
              <w:top w:val="single" w:sz="6" w:space="0" w:color="auto"/>
              <w:left w:val="nil"/>
              <w:bottom w:val="nil"/>
              <w:right w:val="nil"/>
            </w:tcBorders>
          </w:tcPr>
          <w:p w:rsidR="00336793" w:rsidRPr="00D96F49" w:rsidRDefault="00336793" w:rsidP="00DF0B96">
            <w:pPr>
              <w:pStyle w:val="TableofFigures"/>
              <w:rPr>
                <w:rFonts w:eastAsiaTheme="minorEastAsia"/>
                <w:b/>
                <w:sz w:val="21"/>
                <w:szCs w:val="21"/>
                <w:lang w:eastAsia="en-AU"/>
              </w:rPr>
            </w:pPr>
            <w:r w:rsidRPr="00D96F49">
              <w:rPr>
                <w:rFonts w:eastAsiaTheme="minorEastAsia"/>
                <w:b/>
                <w:sz w:val="21"/>
                <w:szCs w:val="21"/>
                <w:lang w:eastAsia="en-AU"/>
              </w:rPr>
              <w:t xml:space="preserve"> </w:t>
            </w:r>
          </w:p>
        </w:tc>
        <w:tc>
          <w:tcPr>
            <w:tcW w:w="1769" w:type="dxa"/>
            <w:gridSpan w:val="2"/>
            <w:tcBorders>
              <w:top w:val="single" w:sz="6" w:space="0" w:color="auto"/>
              <w:left w:val="nil"/>
              <w:bottom w:val="nil"/>
              <w:right w:val="nil"/>
            </w:tcBorders>
          </w:tcPr>
          <w:p w:rsidR="00336793" w:rsidRPr="00D96F49" w:rsidRDefault="00336793" w:rsidP="00DF0B96">
            <w:pPr>
              <w:pStyle w:val="TableofFigures"/>
              <w:rPr>
                <w:rFonts w:eastAsiaTheme="minorEastAsia"/>
                <w:b/>
                <w:sz w:val="21"/>
                <w:szCs w:val="21"/>
                <w:lang w:eastAsia="en-AU"/>
              </w:rPr>
            </w:pPr>
          </w:p>
        </w:tc>
        <w:tc>
          <w:tcPr>
            <w:tcW w:w="1530" w:type="dxa"/>
            <w:tcBorders>
              <w:top w:val="single" w:sz="6" w:space="0" w:color="auto"/>
              <w:left w:val="nil"/>
              <w:bottom w:val="nil"/>
              <w:right w:val="nil"/>
            </w:tcBorders>
          </w:tcPr>
          <w:p w:rsidR="00336793" w:rsidRPr="00D96F49" w:rsidRDefault="00336793" w:rsidP="00DF0B96">
            <w:pPr>
              <w:pStyle w:val="TableofFigures"/>
              <w:rPr>
                <w:rFonts w:eastAsiaTheme="minorEastAsia"/>
                <w:b/>
                <w:sz w:val="21"/>
                <w:szCs w:val="21"/>
                <w:lang w:eastAsia="en-AU"/>
              </w:rPr>
            </w:pPr>
            <w:r w:rsidRPr="00D96F49">
              <w:rPr>
                <w:rFonts w:eastAsiaTheme="minorEastAsia"/>
                <w:b/>
                <w:sz w:val="21"/>
                <w:szCs w:val="21"/>
                <w:lang w:eastAsia="en-AU"/>
              </w:rPr>
              <w:t xml:space="preserve"> </w:t>
            </w:r>
          </w:p>
        </w:tc>
        <w:tc>
          <w:tcPr>
            <w:tcW w:w="1323" w:type="dxa"/>
            <w:gridSpan w:val="2"/>
            <w:tcBorders>
              <w:top w:val="single" w:sz="6" w:space="0" w:color="auto"/>
              <w:left w:val="nil"/>
              <w:bottom w:val="nil"/>
              <w:right w:val="nil"/>
            </w:tcBorders>
          </w:tcPr>
          <w:p w:rsidR="00336793" w:rsidRPr="00D96F49" w:rsidRDefault="00336793" w:rsidP="00DF0B96">
            <w:pPr>
              <w:pStyle w:val="TableofFigures"/>
              <w:rPr>
                <w:rFonts w:eastAsiaTheme="minorEastAsia"/>
                <w:b/>
                <w:sz w:val="21"/>
                <w:szCs w:val="21"/>
                <w:lang w:eastAsia="en-AU"/>
              </w:rPr>
            </w:pPr>
            <w:r w:rsidRPr="00D96F49">
              <w:rPr>
                <w:rFonts w:eastAsiaTheme="minorEastAsia"/>
                <w:b/>
                <w:sz w:val="21"/>
                <w:szCs w:val="21"/>
                <w:lang w:eastAsia="en-AU"/>
              </w:rPr>
              <w:t xml:space="preserve"> </w:t>
            </w:r>
          </w:p>
        </w:tc>
      </w:tr>
      <w:tr w:rsidR="00336793" w:rsidRPr="00D96F49" w:rsidTr="00DF0B96">
        <w:tc>
          <w:tcPr>
            <w:tcW w:w="5327" w:type="dxa"/>
            <w:tcBorders>
              <w:top w:val="nil"/>
              <w:left w:val="nil"/>
              <w:bottom w:val="nil"/>
              <w:right w:val="nil"/>
            </w:tcBorders>
          </w:tcPr>
          <w:p w:rsidR="00336793" w:rsidRPr="00D96F49" w:rsidRDefault="00336793" w:rsidP="00DF0B96">
            <w:pPr>
              <w:pStyle w:val="Tabletext"/>
              <w:rPr>
                <w:rFonts w:eastAsiaTheme="minorEastAsia"/>
                <w:sz w:val="21"/>
                <w:lang w:eastAsia="en-AU"/>
              </w:rPr>
            </w:pPr>
            <w:r w:rsidRPr="00D96F49">
              <w:rPr>
                <w:rFonts w:eastAsiaTheme="minorEastAsia"/>
                <w:sz w:val="21"/>
                <w:lang w:eastAsia="en-AU"/>
              </w:rPr>
              <w:t xml:space="preserve">Net superannuation interest expense </w:t>
            </w:r>
          </w:p>
        </w:tc>
        <w:tc>
          <w:tcPr>
            <w:tcW w:w="1710" w:type="dxa"/>
            <w:gridSpan w:val="3"/>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1 017.6</w:t>
            </w:r>
          </w:p>
        </w:tc>
        <w:tc>
          <w:tcPr>
            <w:tcW w:w="1620" w:type="dxa"/>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 xml:space="preserve"> 23.2</w:t>
            </w:r>
          </w:p>
        </w:tc>
        <w:tc>
          <w:tcPr>
            <w:tcW w:w="1291"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1 040.8</w:t>
            </w:r>
          </w:p>
        </w:tc>
        <w:tc>
          <w:tcPr>
            <w:tcW w:w="1769"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1 014.8</w:t>
            </w:r>
          </w:p>
        </w:tc>
        <w:tc>
          <w:tcPr>
            <w:tcW w:w="1530" w:type="dxa"/>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 xml:space="preserve"> 23.2</w:t>
            </w:r>
          </w:p>
        </w:tc>
        <w:tc>
          <w:tcPr>
            <w:tcW w:w="1323"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1 038.0</w:t>
            </w:r>
          </w:p>
        </w:tc>
      </w:tr>
      <w:tr w:rsidR="00336793" w:rsidRPr="00D96F49" w:rsidTr="00DF0B96">
        <w:tc>
          <w:tcPr>
            <w:tcW w:w="5327" w:type="dxa"/>
            <w:tcBorders>
              <w:top w:val="nil"/>
              <w:left w:val="nil"/>
              <w:bottom w:val="nil"/>
              <w:right w:val="nil"/>
            </w:tcBorders>
          </w:tcPr>
          <w:p w:rsidR="00336793" w:rsidRPr="00D96F49" w:rsidRDefault="00336793" w:rsidP="00DF0B96">
            <w:pPr>
              <w:pStyle w:val="Tabletext"/>
              <w:rPr>
                <w:rFonts w:eastAsiaTheme="minorEastAsia"/>
                <w:sz w:val="21"/>
                <w:lang w:eastAsia="en-AU"/>
              </w:rPr>
            </w:pPr>
            <w:r w:rsidRPr="00D96F49">
              <w:rPr>
                <w:rFonts w:eastAsiaTheme="minorEastAsia"/>
                <w:sz w:val="21"/>
                <w:lang w:eastAsia="en-AU"/>
              </w:rPr>
              <w:t xml:space="preserve">Other superannuation </w:t>
            </w:r>
          </w:p>
        </w:tc>
        <w:tc>
          <w:tcPr>
            <w:tcW w:w="1710" w:type="dxa"/>
            <w:gridSpan w:val="3"/>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2 115.1</w:t>
            </w:r>
          </w:p>
        </w:tc>
        <w:tc>
          <w:tcPr>
            <w:tcW w:w="1620" w:type="dxa"/>
            <w:tcBorders>
              <w:top w:val="nil"/>
              <w:left w:val="nil"/>
              <w:bottom w:val="nil"/>
              <w:right w:val="nil"/>
            </w:tcBorders>
          </w:tcPr>
          <w:p w:rsidR="00336793" w:rsidRPr="00D96F49" w:rsidRDefault="00336793" w:rsidP="00DF0B96">
            <w:pPr>
              <w:pStyle w:val="TableofFigures"/>
              <w:rPr>
                <w:rFonts w:eastAsiaTheme="minorEastAsia" w:cs="Calibri"/>
                <w:color w:val="000000"/>
                <w:sz w:val="21"/>
                <w:szCs w:val="21"/>
                <w:lang w:eastAsia="en-AU"/>
              </w:rPr>
            </w:pPr>
            <w:r w:rsidRPr="00D96F49">
              <w:rPr>
                <w:rFonts w:eastAsiaTheme="minorEastAsia"/>
                <w:sz w:val="21"/>
                <w:szCs w:val="21"/>
                <w:lang w:eastAsia="en-AU"/>
              </w:rPr>
              <w:t>(</w:t>
            </w:r>
            <w:r w:rsidRPr="00D96F49">
              <w:rPr>
                <w:rFonts w:eastAsiaTheme="minorEastAsia" w:cs="Calibri"/>
                <w:color w:val="000000"/>
                <w:sz w:val="21"/>
                <w:szCs w:val="21"/>
                <w:lang w:eastAsia="en-AU"/>
              </w:rPr>
              <w:t>12.3)</w:t>
            </w:r>
          </w:p>
        </w:tc>
        <w:tc>
          <w:tcPr>
            <w:tcW w:w="1291"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2 102.8</w:t>
            </w:r>
          </w:p>
        </w:tc>
        <w:tc>
          <w:tcPr>
            <w:tcW w:w="1769"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1 990.3</w:t>
            </w:r>
          </w:p>
        </w:tc>
        <w:tc>
          <w:tcPr>
            <w:tcW w:w="1530" w:type="dxa"/>
            <w:tcBorders>
              <w:top w:val="nil"/>
              <w:left w:val="nil"/>
              <w:bottom w:val="nil"/>
              <w:right w:val="nil"/>
            </w:tcBorders>
          </w:tcPr>
          <w:p w:rsidR="00336793" w:rsidRPr="00D96F49" w:rsidRDefault="00336793" w:rsidP="00DF0B96">
            <w:pPr>
              <w:pStyle w:val="TableofFigures"/>
              <w:rPr>
                <w:rFonts w:eastAsiaTheme="minorEastAsia" w:cs="Calibri"/>
                <w:color w:val="000000"/>
                <w:sz w:val="21"/>
                <w:szCs w:val="21"/>
                <w:lang w:eastAsia="en-AU"/>
              </w:rPr>
            </w:pPr>
            <w:r w:rsidRPr="00D96F49">
              <w:rPr>
                <w:rFonts w:eastAsiaTheme="minorEastAsia"/>
                <w:sz w:val="21"/>
                <w:szCs w:val="21"/>
                <w:lang w:eastAsia="en-AU"/>
              </w:rPr>
              <w:t>(</w:t>
            </w:r>
            <w:r w:rsidRPr="00D96F49">
              <w:rPr>
                <w:rFonts w:eastAsiaTheme="minorEastAsia" w:cs="Calibri"/>
                <w:color w:val="000000"/>
                <w:sz w:val="21"/>
                <w:szCs w:val="21"/>
                <w:lang w:eastAsia="en-AU"/>
              </w:rPr>
              <w:t>12.3)</w:t>
            </w:r>
          </w:p>
        </w:tc>
        <w:tc>
          <w:tcPr>
            <w:tcW w:w="1323"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1 978.0</w:t>
            </w:r>
          </w:p>
        </w:tc>
      </w:tr>
      <w:tr w:rsidR="00336793" w:rsidRPr="00D96F49" w:rsidTr="00DF0B96">
        <w:tc>
          <w:tcPr>
            <w:tcW w:w="5327" w:type="dxa"/>
            <w:tcBorders>
              <w:top w:val="nil"/>
              <w:left w:val="nil"/>
              <w:bottom w:val="nil"/>
              <w:right w:val="nil"/>
            </w:tcBorders>
          </w:tcPr>
          <w:p w:rsidR="00336793" w:rsidRPr="00D96F49" w:rsidRDefault="00336793" w:rsidP="00DF0B96">
            <w:pPr>
              <w:pStyle w:val="Tabletext"/>
              <w:rPr>
                <w:rFonts w:eastAsiaTheme="minorEastAsia"/>
                <w:sz w:val="21"/>
                <w:lang w:eastAsia="en-AU"/>
              </w:rPr>
            </w:pPr>
            <w:r w:rsidRPr="00D96F49">
              <w:rPr>
                <w:rFonts w:eastAsiaTheme="minorEastAsia"/>
                <w:sz w:val="21"/>
                <w:lang w:eastAsia="en-AU"/>
              </w:rPr>
              <w:t xml:space="preserve">Depreciation </w:t>
            </w:r>
          </w:p>
        </w:tc>
        <w:tc>
          <w:tcPr>
            <w:tcW w:w="1710" w:type="dxa"/>
            <w:gridSpan w:val="3"/>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4 408.2</w:t>
            </w:r>
          </w:p>
        </w:tc>
        <w:tc>
          <w:tcPr>
            <w:tcW w:w="1620" w:type="dxa"/>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 xml:space="preserve"> 45.5</w:t>
            </w:r>
          </w:p>
        </w:tc>
        <w:tc>
          <w:tcPr>
            <w:tcW w:w="1291"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4 453.7</w:t>
            </w:r>
          </w:p>
        </w:tc>
        <w:tc>
          <w:tcPr>
            <w:tcW w:w="1769"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2 379.9</w:t>
            </w:r>
          </w:p>
        </w:tc>
        <w:tc>
          <w:tcPr>
            <w:tcW w:w="1530" w:type="dxa"/>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 xml:space="preserve"> 45.5</w:t>
            </w:r>
          </w:p>
        </w:tc>
        <w:tc>
          <w:tcPr>
            <w:tcW w:w="1323"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2 425.4</w:t>
            </w:r>
          </w:p>
        </w:tc>
      </w:tr>
      <w:tr w:rsidR="00336793" w:rsidRPr="00D96F49" w:rsidTr="00DF0B96">
        <w:tc>
          <w:tcPr>
            <w:tcW w:w="5327" w:type="dxa"/>
            <w:tcBorders>
              <w:top w:val="single" w:sz="6" w:space="0" w:color="auto"/>
              <w:left w:val="nil"/>
              <w:bottom w:val="single" w:sz="6" w:space="0" w:color="auto"/>
              <w:right w:val="nil"/>
            </w:tcBorders>
          </w:tcPr>
          <w:p w:rsidR="00336793" w:rsidRPr="00D96F49" w:rsidRDefault="00336793" w:rsidP="00DF0B96">
            <w:pPr>
              <w:pStyle w:val="Tabletext"/>
              <w:rPr>
                <w:rFonts w:eastAsiaTheme="minorEastAsia"/>
                <w:b/>
                <w:bCs/>
                <w:sz w:val="21"/>
                <w:lang w:eastAsia="en-AU"/>
              </w:rPr>
            </w:pPr>
            <w:r w:rsidRPr="00D96F49">
              <w:rPr>
                <w:rFonts w:eastAsiaTheme="minorEastAsia"/>
                <w:b/>
                <w:bCs/>
                <w:sz w:val="21"/>
                <w:lang w:eastAsia="en-AU"/>
              </w:rPr>
              <w:t>Total expenses from transactions</w:t>
            </w:r>
          </w:p>
        </w:tc>
        <w:tc>
          <w:tcPr>
            <w:tcW w:w="1710" w:type="dxa"/>
            <w:gridSpan w:val="3"/>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61 608.3</w:t>
            </w:r>
          </w:p>
        </w:tc>
        <w:tc>
          <w:tcPr>
            <w:tcW w:w="1620" w:type="dxa"/>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56.4</w:t>
            </w:r>
          </w:p>
        </w:tc>
        <w:tc>
          <w:tcPr>
            <w:tcW w:w="1291" w:type="dxa"/>
            <w:gridSpan w:val="2"/>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61 664.7</w:t>
            </w:r>
          </w:p>
        </w:tc>
        <w:tc>
          <w:tcPr>
            <w:tcW w:w="1769" w:type="dxa"/>
            <w:gridSpan w:val="2"/>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52 501.6</w:t>
            </w:r>
          </w:p>
        </w:tc>
        <w:tc>
          <w:tcPr>
            <w:tcW w:w="1530" w:type="dxa"/>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56.4</w:t>
            </w:r>
          </w:p>
        </w:tc>
        <w:tc>
          <w:tcPr>
            <w:tcW w:w="1323" w:type="dxa"/>
            <w:gridSpan w:val="2"/>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52 558.0</w:t>
            </w:r>
          </w:p>
        </w:tc>
      </w:tr>
      <w:tr w:rsidR="00336793" w:rsidRPr="00D96F49" w:rsidTr="00DF0B96">
        <w:tc>
          <w:tcPr>
            <w:tcW w:w="5327" w:type="dxa"/>
            <w:tcBorders>
              <w:top w:val="nil"/>
              <w:left w:val="nil"/>
              <w:bottom w:val="single" w:sz="12" w:space="0" w:color="auto"/>
              <w:right w:val="nil"/>
            </w:tcBorders>
          </w:tcPr>
          <w:p w:rsidR="00336793" w:rsidRPr="00D96F49" w:rsidRDefault="00336793" w:rsidP="00DF0B96">
            <w:pPr>
              <w:pStyle w:val="Tabletext"/>
              <w:rPr>
                <w:rFonts w:eastAsiaTheme="minorEastAsia"/>
                <w:b/>
                <w:bCs/>
                <w:sz w:val="21"/>
                <w:vertAlign w:val="superscript"/>
                <w:lang w:eastAsia="en-AU"/>
              </w:rPr>
            </w:pPr>
            <w:r w:rsidRPr="00D96F49">
              <w:rPr>
                <w:rFonts w:eastAsiaTheme="minorEastAsia"/>
                <w:b/>
                <w:bCs/>
                <w:sz w:val="21"/>
                <w:lang w:eastAsia="en-AU"/>
              </w:rPr>
              <w:t>Net result from transactions – net operating balance</w:t>
            </w:r>
            <w:r w:rsidRPr="00D96F49">
              <w:rPr>
                <w:rFonts w:eastAsiaTheme="minorEastAsia"/>
                <w:b/>
                <w:bCs/>
                <w:sz w:val="21"/>
                <w:vertAlign w:val="superscript"/>
                <w:lang w:eastAsia="en-AU"/>
              </w:rPr>
              <w:t xml:space="preserve"> </w:t>
            </w:r>
          </w:p>
        </w:tc>
        <w:tc>
          <w:tcPr>
            <w:tcW w:w="1710" w:type="dxa"/>
            <w:gridSpan w:val="3"/>
            <w:tcBorders>
              <w:top w:val="nil"/>
              <w:left w:val="nil"/>
              <w:bottom w:val="single" w:sz="12" w:space="0" w:color="auto"/>
              <w:right w:val="nil"/>
            </w:tcBorders>
          </w:tcPr>
          <w:p w:rsidR="00336793" w:rsidRPr="00D96F49" w:rsidRDefault="00336793" w:rsidP="00DF0B96">
            <w:pPr>
              <w:pStyle w:val="TableofFigures"/>
              <w:rPr>
                <w:rFonts w:eastAsiaTheme="minorEastAsia" w:cs="Calibri"/>
                <w:b/>
                <w:bCs/>
                <w:color w:val="000000"/>
                <w:sz w:val="21"/>
                <w:szCs w:val="21"/>
                <w:lang w:eastAsia="en-AU"/>
              </w:rPr>
            </w:pPr>
            <w:r w:rsidRPr="00D96F49">
              <w:rPr>
                <w:rFonts w:eastAsiaTheme="minorEastAsia"/>
                <w:b/>
                <w:bCs/>
                <w:sz w:val="21"/>
                <w:szCs w:val="21"/>
                <w:lang w:eastAsia="en-AU"/>
              </w:rPr>
              <w:t>(</w:t>
            </w:r>
            <w:r w:rsidRPr="00D96F49">
              <w:rPr>
                <w:rFonts w:eastAsiaTheme="minorEastAsia" w:cs="Calibri"/>
                <w:b/>
                <w:bCs/>
                <w:color w:val="000000"/>
                <w:sz w:val="21"/>
                <w:szCs w:val="21"/>
                <w:lang w:eastAsia="en-AU"/>
              </w:rPr>
              <w:t>554.3)</w:t>
            </w:r>
          </w:p>
        </w:tc>
        <w:tc>
          <w:tcPr>
            <w:tcW w:w="1620" w:type="dxa"/>
            <w:tcBorders>
              <w:top w:val="nil"/>
              <w:left w:val="nil"/>
              <w:bottom w:val="single" w:sz="12" w:space="0" w:color="auto"/>
              <w:right w:val="nil"/>
            </w:tcBorders>
          </w:tcPr>
          <w:p w:rsidR="00336793" w:rsidRPr="00D96F49" w:rsidRDefault="00336793" w:rsidP="00DF0B96">
            <w:pPr>
              <w:pStyle w:val="TableofFigures"/>
              <w:rPr>
                <w:rFonts w:eastAsiaTheme="minorEastAsia" w:cs="Calibri"/>
                <w:b/>
                <w:bCs/>
                <w:color w:val="000000"/>
                <w:sz w:val="21"/>
                <w:szCs w:val="21"/>
                <w:lang w:eastAsia="en-AU"/>
              </w:rPr>
            </w:pPr>
            <w:r w:rsidRPr="00D96F49">
              <w:rPr>
                <w:rFonts w:eastAsiaTheme="minorEastAsia"/>
                <w:b/>
                <w:bCs/>
                <w:sz w:val="21"/>
                <w:szCs w:val="21"/>
                <w:lang w:eastAsia="en-AU"/>
              </w:rPr>
              <w:t>(</w:t>
            </w:r>
            <w:r w:rsidRPr="00D96F49">
              <w:rPr>
                <w:rFonts w:eastAsiaTheme="minorEastAsia" w:cs="Calibri"/>
                <w:b/>
                <w:bCs/>
                <w:color w:val="000000"/>
                <w:sz w:val="21"/>
                <w:szCs w:val="21"/>
                <w:lang w:eastAsia="en-AU"/>
              </w:rPr>
              <w:t>56.4)</w:t>
            </w:r>
          </w:p>
        </w:tc>
        <w:tc>
          <w:tcPr>
            <w:tcW w:w="1291" w:type="dxa"/>
            <w:gridSpan w:val="2"/>
            <w:tcBorders>
              <w:top w:val="nil"/>
              <w:left w:val="nil"/>
              <w:bottom w:val="single" w:sz="12" w:space="0" w:color="auto"/>
              <w:right w:val="nil"/>
            </w:tcBorders>
          </w:tcPr>
          <w:p w:rsidR="00336793" w:rsidRPr="00D96F49" w:rsidRDefault="00336793" w:rsidP="00DF0B96">
            <w:pPr>
              <w:pStyle w:val="TableofFigures"/>
              <w:rPr>
                <w:rFonts w:eastAsiaTheme="minorEastAsia" w:cs="Calibri"/>
                <w:b/>
                <w:bCs/>
                <w:color w:val="000000"/>
                <w:sz w:val="21"/>
                <w:szCs w:val="21"/>
                <w:lang w:eastAsia="en-AU"/>
              </w:rPr>
            </w:pPr>
            <w:r w:rsidRPr="00D96F49">
              <w:rPr>
                <w:rFonts w:eastAsiaTheme="minorEastAsia"/>
                <w:b/>
                <w:bCs/>
                <w:sz w:val="21"/>
                <w:szCs w:val="21"/>
                <w:lang w:eastAsia="en-AU"/>
              </w:rPr>
              <w:t>(</w:t>
            </w:r>
            <w:r w:rsidRPr="00D96F49">
              <w:rPr>
                <w:rFonts w:eastAsiaTheme="minorEastAsia" w:cs="Calibri"/>
                <w:b/>
                <w:bCs/>
                <w:color w:val="000000"/>
                <w:sz w:val="21"/>
                <w:szCs w:val="21"/>
                <w:lang w:eastAsia="en-AU"/>
              </w:rPr>
              <w:t>610.7)</w:t>
            </w:r>
          </w:p>
        </w:tc>
        <w:tc>
          <w:tcPr>
            <w:tcW w:w="1769" w:type="dxa"/>
            <w:gridSpan w:val="2"/>
            <w:tcBorders>
              <w:top w:val="nil"/>
              <w:left w:val="nil"/>
              <w:bottom w:val="single" w:sz="12"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1 270.4</w:t>
            </w:r>
          </w:p>
        </w:tc>
        <w:tc>
          <w:tcPr>
            <w:tcW w:w="1530" w:type="dxa"/>
            <w:tcBorders>
              <w:top w:val="nil"/>
              <w:left w:val="nil"/>
              <w:bottom w:val="single" w:sz="12" w:space="0" w:color="auto"/>
              <w:right w:val="nil"/>
            </w:tcBorders>
          </w:tcPr>
          <w:p w:rsidR="00336793" w:rsidRPr="00D96F49" w:rsidRDefault="00336793" w:rsidP="00DF0B96">
            <w:pPr>
              <w:pStyle w:val="TableofFigures"/>
              <w:rPr>
                <w:rFonts w:eastAsiaTheme="minorEastAsia" w:cs="Calibri"/>
                <w:b/>
                <w:bCs/>
                <w:color w:val="000000"/>
                <w:sz w:val="21"/>
                <w:szCs w:val="21"/>
                <w:lang w:eastAsia="en-AU"/>
              </w:rPr>
            </w:pPr>
            <w:r w:rsidRPr="00D96F49">
              <w:rPr>
                <w:rFonts w:eastAsiaTheme="minorEastAsia"/>
                <w:b/>
                <w:bCs/>
                <w:sz w:val="21"/>
                <w:szCs w:val="21"/>
                <w:lang w:eastAsia="en-AU"/>
              </w:rPr>
              <w:t>(</w:t>
            </w:r>
            <w:r w:rsidRPr="00D96F49">
              <w:rPr>
                <w:rFonts w:eastAsiaTheme="minorEastAsia" w:cs="Calibri"/>
                <w:b/>
                <w:bCs/>
                <w:color w:val="000000"/>
                <w:sz w:val="21"/>
                <w:szCs w:val="21"/>
                <w:lang w:eastAsia="en-AU"/>
              </w:rPr>
              <w:t>56.4)</w:t>
            </w:r>
          </w:p>
        </w:tc>
        <w:tc>
          <w:tcPr>
            <w:tcW w:w="1323" w:type="dxa"/>
            <w:gridSpan w:val="2"/>
            <w:tcBorders>
              <w:top w:val="nil"/>
              <w:left w:val="nil"/>
              <w:bottom w:val="single" w:sz="12"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1 214.0</w:t>
            </w:r>
          </w:p>
        </w:tc>
      </w:tr>
      <w:tr w:rsidR="00336793" w:rsidRPr="00D96F49" w:rsidTr="00DF0B96">
        <w:tc>
          <w:tcPr>
            <w:tcW w:w="5327" w:type="dxa"/>
            <w:tcBorders>
              <w:top w:val="single" w:sz="6" w:space="0" w:color="auto"/>
              <w:left w:val="nil"/>
              <w:bottom w:val="single" w:sz="6" w:space="0" w:color="auto"/>
              <w:right w:val="nil"/>
            </w:tcBorders>
          </w:tcPr>
          <w:p w:rsidR="00336793" w:rsidRPr="00D96F49" w:rsidRDefault="00336793" w:rsidP="00DF0B96">
            <w:pPr>
              <w:pStyle w:val="Tabletext"/>
              <w:rPr>
                <w:rFonts w:eastAsiaTheme="minorEastAsia"/>
                <w:b/>
                <w:bCs/>
                <w:sz w:val="21"/>
                <w:lang w:eastAsia="en-AU"/>
              </w:rPr>
            </w:pPr>
            <w:r w:rsidRPr="00D96F49">
              <w:rPr>
                <w:rFonts w:eastAsiaTheme="minorEastAsia"/>
                <w:b/>
                <w:bCs/>
                <w:sz w:val="21"/>
                <w:lang w:eastAsia="en-AU"/>
              </w:rPr>
              <w:t xml:space="preserve">Net result </w:t>
            </w:r>
          </w:p>
        </w:tc>
        <w:tc>
          <w:tcPr>
            <w:tcW w:w="1710" w:type="dxa"/>
            <w:gridSpan w:val="3"/>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107.1</w:t>
            </w:r>
          </w:p>
        </w:tc>
        <w:tc>
          <w:tcPr>
            <w:tcW w:w="1620" w:type="dxa"/>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cs="Calibri"/>
                <w:b/>
                <w:bCs/>
                <w:color w:val="000000"/>
                <w:sz w:val="21"/>
                <w:szCs w:val="21"/>
                <w:lang w:eastAsia="en-AU"/>
              </w:rPr>
            </w:pPr>
            <w:r w:rsidRPr="00D96F49">
              <w:rPr>
                <w:rFonts w:eastAsiaTheme="minorEastAsia"/>
                <w:b/>
                <w:bCs/>
                <w:sz w:val="21"/>
                <w:szCs w:val="21"/>
                <w:lang w:eastAsia="en-AU"/>
              </w:rPr>
              <w:t>(</w:t>
            </w:r>
            <w:r w:rsidRPr="00D96F49">
              <w:rPr>
                <w:rFonts w:eastAsiaTheme="minorEastAsia" w:cs="Calibri"/>
                <w:b/>
                <w:bCs/>
                <w:color w:val="000000"/>
                <w:sz w:val="21"/>
                <w:szCs w:val="21"/>
                <w:lang w:eastAsia="en-AU"/>
              </w:rPr>
              <w:t>56.4)</w:t>
            </w:r>
          </w:p>
        </w:tc>
        <w:tc>
          <w:tcPr>
            <w:tcW w:w="1291" w:type="dxa"/>
            <w:gridSpan w:val="2"/>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cs="Calibri"/>
                <w:b/>
                <w:bCs/>
                <w:color w:val="000000"/>
                <w:sz w:val="21"/>
                <w:szCs w:val="21"/>
                <w:lang w:eastAsia="en-AU"/>
              </w:rPr>
            </w:pPr>
            <w:r w:rsidRPr="00D96F49">
              <w:rPr>
                <w:rFonts w:eastAsiaTheme="minorEastAsia"/>
                <w:b/>
                <w:bCs/>
                <w:sz w:val="21"/>
                <w:szCs w:val="21"/>
                <w:lang w:eastAsia="en-AU"/>
              </w:rPr>
              <w:t xml:space="preserve"> 50.7</w:t>
            </w:r>
          </w:p>
        </w:tc>
        <w:tc>
          <w:tcPr>
            <w:tcW w:w="1769" w:type="dxa"/>
            <w:gridSpan w:val="2"/>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805.2</w:t>
            </w:r>
          </w:p>
        </w:tc>
        <w:tc>
          <w:tcPr>
            <w:tcW w:w="1530" w:type="dxa"/>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cs="Calibri"/>
                <w:b/>
                <w:bCs/>
                <w:color w:val="000000"/>
                <w:sz w:val="21"/>
                <w:szCs w:val="21"/>
                <w:lang w:eastAsia="en-AU"/>
              </w:rPr>
            </w:pPr>
            <w:r w:rsidRPr="00D96F49">
              <w:rPr>
                <w:rFonts w:eastAsiaTheme="minorEastAsia"/>
                <w:b/>
                <w:bCs/>
                <w:sz w:val="21"/>
                <w:szCs w:val="21"/>
                <w:lang w:eastAsia="en-AU"/>
              </w:rPr>
              <w:t>(</w:t>
            </w:r>
            <w:r w:rsidRPr="00D96F49">
              <w:rPr>
                <w:rFonts w:eastAsiaTheme="minorEastAsia" w:cs="Calibri"/>
                <w:b/>
                <w:bCs/>
                <w:color w:val="000000"/>
                <w:sz w:val="21"/>
                <w:szCs w:val="21"/>
                <w:lang w:eastAsia="en-AU"/>
              </w:rPr>
              <w:t>56.4)</w:t>
            </w:r>
          </w:p>
        </w:tc>
        <w:tc>
          <w:tcPr>
            <w:tcW w:w="1323" w:type="dxa"/>
            <w:gridSpan w:val="2"/>
            <w:tcBorders>
              <w:top w:val="single" w:sz="6" w:space="0" w:color="auto"/>
              <w:left w:val="nil"/>
              <w:bottom w:val="single" w:sz="6"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748.8</w:t>
            </w:r>
          </w:p>
        </w:tc>
      </w:tr>
      <w:tr w:rsidR="00336793" w:rsidRPr="00D96F49" w:rsidTr="00DF0B96">
        <w:tc>
          <w:tcPr>
            <w:tcW w:w="5327" w:type="dxa"/>
            <w:tcBorders>
              <w:top w:val="nil"/>
              <w:left w:val="nil"/>
              <w:bottom w:val="nil"/>
              <w:right w:val="nil"/>
            </w:tcBorders>
          </w:tcPr>
          <w:p w:rsidR="00336793" w:rsidRPr="00D96F49" w:rsidRDefault="00336793" w:rsidP="00DF0B96">
            <w:pPr>
              <w:pStyle w:val="Tabletext"/>
              <w:rPr>
                <w:rFonts w:eastAsiaTheme="minorEastAsia"/>
                <w:b/>
                <w:bCs/>
                <w:sz w:val="21"/>
                <w:lang w:eastAsia="en-AU"/>
              </w:rPr>
            </w:pPr>
            <w:r w:rsidRPr="00D96F49">
              <w:rPr>
                <w:rFonts w:eastAsiaTheme="minorEastAsia"/>
                <w:b/>
                <w:bCs/>
                <w:sz w:val="21"/>
                <w:lang w:eastAsia="en-AU"/>
              </w:rPr>
              <w:t xml:space="preserve">Other economic flows – other comprehensive income </w:t>
            </w:r>
          </w:p>
        </w:tc>
        <w:tc>
          <w:tcPr>
            <w:tcW w:w="1710" w:type="dxa"/>
            <w:gridSpan w:val="3"/>
            <w:tcBorders>
              <w:top w:val="nil"/>
              <w:left w:val="nil"/>
              <w:bottom w:val="nil"/>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w:t>
            </w:r>
          </w:p>
        </w:tc>
        <w:tc>
          <w:tcPr>
            <w:tcW w:w="1620" w:type="dxa"/>
            <w:tcBorders>
              <w:top w:val="nil"/>
              <w:left w:val="nil"/>
              <w:bottom w:val="nil"/>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w:t>
            </w:r>
          </w:p>
        </w:tc>
        <w:tc>
          <w:tcPr>
            <w:tcW w:w="1291" w:type="dxa"/>
            <w:gridSpan w:val="2"/>
            <w:tcBorders>
              <w:top w:val="nil"/>
              <w:left w:val="nil"/>
              <w:bottom w:val="nil"/>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w:t>
            </w:r>
          </w:p>
        </w:tc>
        <w:tc>
          <w:tcPr>
            <w:tcW w:w="1769" w:type="dxa"/>
            <w:gridSpan w:val="2"/>
            <w:tcBorders>
              <w:top w:val="nil"/>
              <w:left w:val="nil"/>
              <w:bottom w:val="nil"/>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w:t>
            </w:r>
          </w:p>
        </w:tc>
        <w:tc>
          <w:tcPr>
            <w:tcW w:w="1530" w:type="dxa"/>
            <w:tcBorders>
              <w:top w:val="nil"/>
              <w:left w:val="nil"/>
              <w:bottom w:val="nil"/>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w:t>
            </w:r>
          </w:p>
        </w:tc>
        <w:tc>
          <w:tcPr>
            <w:tcW w:w="1323" w:type="dxa"/>
            <w:gridSpan w:val="2"/>
            <w:tcBorders>
              <w:top w:val="nil"/>
              <w:left w:val="nil"/>
              <w:bottom w:val="nil"/>
              <w:right w:val="nil"/>
            </w:tcBorders>
          </w:tcPr>
          <w:p w:rsidR="00336793" w:rsidRPr="00D96F49" w:rsidRDefault="00336793" w:rsidP="00DF0B96">
            <w:pPr>
              <w:pStyle w:val="TableofFigures"/>
              <w:rPr>
                <w:rFonts w:eastAsiaTheme="minorEastAsia"/>
                <w:b/>
                <w:bCs/>
                <w:sz w:val="21"/>
                <w:szCs w:val="21"/>
                <w:lang w:eastAsia="en-AU"/>
              </w:rPr>
            </w:pPr>
          </w:p>
        </w:tc>
      </w:tr>
      <w:tr w:rsidR="00336793" w:rsidRPr="00D96F49" w:rsidTr="00DF0B96">
        <w:tc>
          <w:tcPr>
            <w:tcW w:w="5327" w:type="dxa"/>
            <w:tcBorders>
              <w:top w:val="nil"/>
              <w:left w:val="nil"/>
              <w:bottom w:val="nil"/>
              <w:right w:val="nil"/>
            </w:tcBorders>
          </w:tcPr>
          <w:p w:rsidR="00336793" w:rsidRPr="00D96F49" w:rsidRDefault="00336793" w:rsidP="00DF0B96">
            <w:pPr>
              <w:pStyle w:val="Tabletext"/>
              <w:rPr>
                <w:rFonts w:eastAsiaTheme="minorEastAsia"/>
                <w:b/>
                <w:bCs/>
                <w:sz w:val="21"/>
                <w:lang w:eastAsia="en-AU"/>
              </w:rPr>
            </w:pPr>
            <w:r w:rsidRPr="00D96F49">
              <w:rPr>
                <w:rFonts w:eastAsiaTheme="minorEastAsia"/>
                <w:b/>
                <w:bCs/>
                <w:sz w:val="21"/>
                <w:lang w:eastAsia="en-AU"/>
              </w:rPr>
              <w:t>Items that will not be reclassified to net result</w:t>
            </w:r>
          </w:p>
        </w:tc>
        <w:tc>
          <w:tcPr>
            <w:tcW w:w="1710" w:type="dxa"/>
            <w:gridSpan w:val="3"/>
            <w:tcBorders>
              <w:top w:val="nil"/>
              <w:left w:val="nil"/>
              <w:bottom w:val="nil"/>
              <w:right w:val="nil"/>
            </w:tcBorders>
          </w:tcPr>
          <w:p w:rsidR="00336793" w:rsidRPr="00D96F49" w:rsidRDefault="00336793" w:rsidP="00DF0B96">
            <w:pPr>
              <w:pStyle w:val="TableofFigures"/>
              <w:rPr>
                <w:rFonts w:eastAsiaTheme="minorEastAsia"/>
                <w:b/>
                <w:sz w:val="21"/>
                <w:szCs w:val="21"/>
                <w:lang w:eastAsia="en-AU"/>
              </w:rPr>
            </w:pPr>
            <w:r w:rsidRPr="00D96F49">
              <w:rPr>
                <w:rFonts w:eastAsiaTheme="minorEastAsia"/>
                <w:b/>
                <w:sz w:val="21"/>
                <w:szCs w:val="21"/>
                <w:lang w:eastAsia="en-AU"/>
              </w:rPr>
              <w:t xml:space="preserve"> </w:t>
            </w:r>
          </w:p>
        </w:tc>
        <w:tc>
          <w:tcPr>
            <w:tcW w:w="1620" w:type="dxa"/>
            <w:tcBorders>
              <w:top w:val="nil"/>
              <w:left w:val="nil"/>
              <w:bottom w:val="nil"/>
              <w:right w:val="nil"/>
            </w:tcBorders>
          </w:tcPr>
          <w:p w:rsidR="00336793" w:rsidRPr="00D96F49" w:rsidRDefault="00336793" w:rsidP="00DF0B96">
            <w:pPr>
              <w:pStyle w:val="TableofFigures"/>
              <w:rPr>
                <w:rFonts w:eastAsiaTheme="minorEastAsia"/>
                <w:b/>
                <w:sz w:val="21"/>
                <w:szCs w:val="21"/>
                <w:lang w:eastAsia="en-AU"/>
              </w:rPr>
            </w:pPr>
            <w:r w:rsidRPr="00D96F49">
              <w:rPr>
                <w:rFonts w:eastAsiaTheme="minorEastAsia"/>
                <w:b/>
                <w:sz w:val="21"/>
                <w:szCs w:val="21"/>
                <w:lang w:eastAsia="en-AU"/>
              </w:rPr>
              <w:t xml:space="preserve"> </w:t>
            </w:r>
          </w:p>
        </w:tc>
        <w:tc>
          <w:tcPr>
            <w:tcW w:w="1291" w:type="dxa"/>
            <w:gridSpan w:val="2"/>
            <w:tcBorders>
              <w:top w:val="nil"/>
              <w:left w:val="nil"/>
              <w:bottom w:val="nil"/>
              <w:right w:val="nil"/>
            </w:tcBorders>
          </w:tcPr>
          <w:p w:rsidR="00336793" w:rsidRPr="00D96F49" w:rsidRDefault="00336793" w:rsidP="00DF0B96">
            <w:pPr>
              <w:pStyle w:val="TableofFigures"/>
              <w:rPr>
                <w:rFonts w:eastAsiaTheme="minorEastAsia"/>
                <w:b/>
                <w:sz w:val="21"/>
                <w:szCs w:val="21"/>
                <w:lang w:eastAsia="en-AU"/>
              </w:rPr>
            </w:pPr>
            <w:r w:rsidRPr="00D96F49">
              <w:rPr>
                <w:rFonts w:eastAsiaTheme="minorEastAsia"/>
                <w:b/>
                <w:sz w:val="21"/>
                <w:szCs w:val="21"/>
                <w:lang w:eastAsia="en-AU"/>
              </w:rPr>
              <w:t xml:space="preserve"> </w:t>
            </w:r>
          </w:p>
        </w:tc>
        <w:tc>
          <w:tcPr>
            <w:tcW w:w="1769" w:type="dxa"/>
            <w:gridSpan w:val="2"/>
            <w:tcBorders>
              <w:top w:val="nil"/>
              <w:left w:val="nil"/>
              <w:bottom w:val="nil"/>
              <w:right w:val="nil"/>
            </w:tcBorders>
          </w:tcPr>
          <w:p w:rsidR="00336793" w:rsidRPr="00D96F49" w:rsidRDefault="00336793" w:rsidP="00DF0B96">
            <w:pPr>
              <w:pStyle w:val="TableofFigures"/>
              <w:rPr>
                <w:rFonts w:eastAsiaTheme="minorEastAsia"/>
                <w:b/>
                <w:sz w:val="21"/>
                <w:szCs w:val="21"/>
                <w:lang w:eastAsia="en-AU"/>
              </w:rPr>
            </w:pPr>
            <w:r w:rsidRPr="00D96F49">
              <w:rPr>
                <w:rFonts w:eastAsiaTheme="minorEastAsia"/>
                <w:b/>
                <w:sz w:val="21"/>
                <w:szCs w:val="21"/>
                <w:lang w:eastAsia="en-AU"/>
              </w:rPr>
              <w:t xml:space="preserve"> </w:t>
            </w:r>
          </w:p>
        </w:tc>
        <w:tc>
          <w:tcPr>
            <w:tcW w:w="1530" w:type="dxa"/>
            <w:tcBorders>
              <w:top w:val="nil"/>
              <w:left w:val="nil"/>
              <w:bottom w:val="nil"/>
              <w:right w:val="nil"/>
            </w:tcBorders>
          </w:tcPr>
          <w:p w:rsidR="00336793" w:rsidRPr="00D96F49" w:rsidRDefault="00336793" w:rsidP="00DF0B96">
            <w:pPr>
              <w:pStyle w:val="TableofFigures"/>
              <w:rPr>
                <w:rFonts w:eastAsiaTheme="minorEastAsia"/>
                <w:b/>
                <w:sz w:val="21"/>
                <w:szCs w:val="21"/>
                <w:lang w:eastAsia="en-AU"/>
              </w:rPr>
            </w:pPr>
            <w:r w:rsidRPr="00D96F49">
              <w:rPr>
                <w:rFonts w:eastAsiaTheme="minorEastAsia"/>
                <w:b/>
                <w:sz w:val="21"/>
                <w:szCs w:val="21"/>
                <w:lang w:eastAsia="en-AU"/>
              </w:rPr>
              <w:t xml:space="preserve"> </w:t>
            </w:r>
          </w:p>
        </w:tc>
        <w:tc>
          <w:tcPr>
            <w:tcW w:w="1323" w:type="dxa"/>
            <w:gridSpan w:val="2"/>
            <w:tcBorders>
              <w:top w:val="nil"/>
              <w:left w:val="nil"/>
              <w:bottom w:val="nil"/>
              <w:right w:val="nil"/>
            </w:tcBorders>
          </w:tcPr>
          <w:p w:rsidR="00336793" w:rsidRPr="00D96F49" w:rsidRDefault="00336793" w:rsidP="00DF0B96">
            <w:pPr>
              <w:pStyle w:val="TableofFigures"/>
              <w:rPr>
                <w:rFonts w:eastAsiaTheme="minorEastAsia"/>
                <w:b/>
                <w:sz w:val="21"/>
                <w:szCs w:val="21"/>
                <w:lang w:eastAsia="en-AU"/>
              </w:rPr>
            </w:pPr>
          </w:p>
        </w:tc>
      </w:tr>
      <w:tr w:rsidR="00336793" w:rsidRPr="00D96F49" w:rsidTr="00DF0B96">
        <w:tc>
          <w:tcPr>
            <w:tcW w:w="5327" w:type="dxa"/>
            <w:tcBorders>
              <w:top w:val="nil"/>
              <w:left w:val="nil"/>
              <w:bottom w:val="nil"/>
              <w:right w:val="nil"/>
            </w:tcBorders>
          </w:tcPr>
          <w:p w:rsidR="00336793" w:rsidRPr="00D96F49" w:rsidRDefault="00336793" w:rsidP="00DF0B96">
            <w:pPr>
              <w:pStyle w:val="Tabletext"/>
              <w:rPr>
                <w:rFonts w:eastAsiaTheme="minorEastAsia"/>
                <w:sz w:val="21"/>
                <w:lang w:eastAsia="en-AU"/>
              </w:rPr>
            </w:pPr>
            <w:r w:rsidRPr="00D96F49">
              <w:rPr>
                <w:rFonts w:eastAsiaTheme="minorEastAsia"/>
                <w:sz w:val="21"/>
                <w:lang w:eastAsia="en-AU"/>
              </w:rPr>
              <w:t>Changes in non</w:t>
            </w:r>
            <w:r w:rsidRPr="00D96F49">
              <w:rPr>
                <w:rFonts w:eastAsiaTheme="minorEastAsia"/>
                <w:sz w:val="21"/>
                <w:lang w:eastAsia="en-AU"/>
              </w:rPr>
              <w:noBreakHyphen/>
              <w:t xml:space="preserve">financial assets revaluation surplus </w:t>
            </w:r>
          </w:p>
        </w:tc>
        <w:tc>
          <w:tcPr>
            <w:tcW w:w="1710" w:type="dxa"/>
            <w:gridSpan w:val="3"/>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7 291.0</w:t>
            </w:r>
          </w:p>
        </w:tc>
        <w:tc>
          <w:tcPr>
            <w:tcW w:w="1620" w:type="dxa"/>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 xml:space="preserve"> 113.3</w:t>
            </w:r>
          </w:p>
        </w:tc>
        <w:tc>
          <w:tcPr>
            <w:tcW w:w="1291"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7 404.3</w:t>
            </w:r>
          </w:p>
        </w:tc>
        <w:tc>
          <w:tcPr>
            <w:tcW w:w="1769"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2 411.1</w:t>
            </w:r>
          </w:p>
        </w:tc>
        <w:tc>
          <w:tcPr>
            <w:tcW w:w="1530" w:type="dxa"/>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 xml:space="preserve"> 113.3</w:t>
            </w:r>
          </w:p>
        </w:tc>
        <w:tc>
          <w:tcPr>
            <w:tcW w:w="1323" w:type="dxa"/>
            <w:gridSpan w:val="2"/>
            <w:tcBorders>
              <w:top w:val="nil"/>
              <w:left w:val="nil"/>
              <w:bottom w:val="nil"/>
              <w:right w:val="nil"/>
            </w:tcBorders>
          </w:tcPr>
          <w:p w:rsidR="00336793" w:rsidRPr="00D96F49" w:rsidRDefault="00336793" w:rsidP="00DF0B96">
            <w:pPr>
              <w:pStyle w:val="TableofFigures"/>
              <w:rPr>
                <w:rFonts w:eastAsiaTheme="minorEastAsia"/>
                <w:sz w:val="21"/>
                <w:szCs w:val="21"/>
                <w:lang w:eastAsia="en-AU"/>
              </w:rPr>
            </w:pPr>
            <w:r w:rsidRPr="00D96F49">
              <w:rPr>
                <w:rFonts w:eastAsiaTheme="minorEastAsia"/>
                <w:sz w:val="21"/>
                <w:szCs w:val="21"/>
                <w:lang w:eastAsia="en-AU"/>
              </w:rPr>
              <w:t>2 524.4</w:t>
            </w:r>
          </w:p>
        </w:tc>
      </w:tr>
      <w:tr w:rsidR="00336793" w:rsidRPr="00D96F49" w:rsidTr="00DF0B96">
        <w:tc>
          <w:tcPr>
            <w:tcW w:w="5327" w:type="dxa"/>
            <w:tcBorders>
              <w:top w:val="single" w:sz="6" w:space="0" w:color="auto"/>
              <w:left w:val="nil"/>
              <w:bottom w:val="single" w:sz="12" w:space="0" w:color="auto"/>
              <w:right w:val="nil"/>
            </w:tcBorders>
          </w:tcPr>
          <w:p w:rsidR="00336793" w:rsidRPr="00D96F49" w:rsidRDefault="00336793" w:rsidP="00DF0B96">
            <w:pPr>
              <w:pStyle w:val="Tabletext"/>
              <w:rPr>
                <w:rFonts w:eastAsiaTheme="minorEastAsia"/>
                <w:b/>
                <w:bCs/>
                <w:sz w:val="21"/>
                <w:lang w:eastAsia="en-AU"/>
              </w:rPr>
            </w:pPr>
            <w:r w:rsidRPr="00D96F49">
              <w:rPr>
                <w:rFonts w:eastAsiaTheme="minorEastAsia"/>
                <w:b/>
                <w:bCs/>
                <w:sz w:val="21"/>
                <w:lang w:eastAsia="en-AU"/>
              </w:rPr>
              <w:t xml:space="preserve">Total other economic flows – other comprehensive income </w:t>
            </w:r>
          </w:p>
        </w:tc>
        <w:tc>
          <w:tcPr>
            <w:tcW w:w="1710" w:type="dxa"/>
            <w:gridSpan w:val="3"/>
            <w:tcBorders>
              <w:top w:val="single" w:sz="6" w:space="0" w:color="auto"/>
              <w:left w:val="nil"/>
              <w:bottom w:val="single" w:sz="12"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7 661.9</w:t>
            </w:r>
          </w:p>
        </w:tc>
        <w:tc>
          <w:tcPr>
            <w:tcW w:w="1620" w:type="dxa"/>
            <w:tcBorders>
              <w:top w:val="single" w:sz="6" w:space="0" w:color="auto"/>
              <w:left w:val="nil"/>
              <w:bottom w:val="single" w:sz="12"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113.3</w:t>
            </w:r>
          </w:p>
        </w:tc>
        <w:tc>
          <w:tcPr>
            <w:tcW w:w="1291" w:type="dxa"/>
            <w:gridSpan w:val="2"/>
            <w:tcBorders>
              <w:top w:val="single" w:sz="6" w:space="0" w:color="auto"/>
              <w:left w:val="nil"/>
              <w:bottom w:val="single" w:sz="12"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7 775.2</w:t>
            </w:r>
          </w:p>
        </w:tc>
        <w:tc>
          <w:tcPr>
            <w:tcW w:w="1769" w:type="dxa"/>
            <w:gridSpan w:val="2"/>
            <w:tcBorders>
              <w:top w:val="single" w:sz="6" w:space="0" w:color="auto"/>
              <w:left w:val="nil"/>
              <w:bottom w:val="single" w:sz="12"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6 995.0</w:t>
            </w:r>
          </w:p>
        </w:tc>
        <w:tc>
          <w:tcPr>
            <w:tcW w:w="1530" w:type="dxa"/>
            <w:tcBorders>
              <w:top w:val="single" w:sz="6" w:space="0" w:color="auto"/>
              <w:left w:val="nil"/>
              <w:bottom w:val="single" w:sz="12"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113.3</w:t>
            </w:r>
          </w:p>
        </w:tc>
        <w:tc>
          <w:tcPr>
            <w:tcW w:w="1323" w:type="dxa"/>
            <w:gridSpan w:val="2"/>
            <w:tcBorders>
              <w:top w:val="single" w:sz="6" w:space="0" w:color="auto"/>
              <w:left w:val="nil"/>
              <w:bottom w:val="single" w:sz="12" w:space="0" w:color="auto"/>
              <w:right w:val="nil"/>
            </w:tcBorders>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7 108.3</w:t>
            </w:r>
          </w:p>
        </w:tc>
      </w:tr>
      <w:tr w:rsidR="00336793" w:rsidRPr="00D96F49" w:rsidTr="00DF0B96">
        <w:tc>
          <w:tcPr>
            <w:tcW w:w="5327" w:type="dxa"/>
            <w:tcBorders>
              <w:top w:val="single" w:sz="12" w:space="0" w:color="auto"/>
              <w:left w:val="nil"/>
              <w:bottom w:val="single" w:sz="12" w:space="0" w:color="000000"/>
              <w:right w:val="nil"/>
            </w:tcBorders>
            <w:shd w:val="clear" w:color="auto" w:fill="auto"/>
          </w:tcPr>
          <w:p w:rsidR="00336793" w:rsidRPr="00D96F49" w:rsidRDefault="00336793" w:rsidP="00DF0B96">
            <w:pPr>
              <w:pStyle w:val="Tabletext"/>
              <w:rPr>
                <w:rFonts w:eastAsiaTheme="minorEastAsia"/>
                <w:b/>
                <w:bCs/>
                <w:sz w:val="21"/>
                <w:lang w:eastAsia="en-AU"/>
              </w:rPr>
            </w:pPr>
            <w:r w:rsidRPr="00D96F49">
              <w:rPr>
                <w:rFonts w:eastAsiaTheme="minorEastAsia"/>
                <w:b/>
                <w:bCs/>
                <w:sz w:val="21"/>
                <w:lang w:eastAsia="en-AU"/>
              </w:rPr>
              <w:t>Comprehensive result – total change in net worth</w:t>
            </w:r>
          </w:p>
        </w:tc>
        <w:tc>
          <w:tcPr>
            <w:tcW w:w="1710" w:type="dxa"/>
            <w:gridSpan w:val="3"/>
            <w:tcBorders>
              <w:top w:val="single" w:sz="12" w:space="0" w:color="auto"/>
              <w:left w:val="nil"/>
              <w:bottom w:val="single" w:sz="12" w:space="0" w:color="000000"/>
              <w:right w:val="nil"/>
            </w:tcBorders>
            <w:shd w:val="clear" w:color="auto" w:fill="auto"/>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7 769.1</w:t>
            </w:r>
          </w:p>
        </w:tc>
        <w:tc>
          <w:tcPr>
            <w:tcW w:w="1620" w:type="dxa"/>
            <w:tcBorders>
              <w:top w:val="single" w:sz="12" w:space="0" w:color="auto"/>
              <w:left w:val="nil"/>
              <w:bottom w:val="single" w:sz="12" w:space="0" w:color="000000"/>
              <w:right w:val="nil"/>
            </w:tcBorders>
            <w:shd w:val="clear" w:color="auto" w:fill="auto"/>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56.9</w:t>
            </w:r>
          </w:p>
        </w:tc>
        <w:tc>
          <w:tcPr>
            <w:tcW w:w="1291" w:type="dxa"/>
            <w:gridSpan w:val="2"/>
            <w:tcBorders>
              <w:top w:val="single" w:sz="12" w:space="0" w:color="auto"/>
              <w:left w:val="nil"/>
              <w:bottom w:val="single" w:sz="12" w:space="0" w:color="000000"/>
              <w:right w:val="nil"/>
            </w:tcBorders>
            <w:shd w:val="clear" w:color="auto" w:fill="auto"/>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7 826.0</w:t>
            </w:r>
          </w:p>
        </w:tc>
        <w:tc>
          <w:tcPr>
            <w:tcW w:w="1769" w:type="dxa"/>
            <w:gridSpan w:val="2"/>
            <w:tcBorders>
              <w:top w:val="single" w:sz="12" w:space="0" w:color="auto"/>
              <w:left w:val="nil"/>
              <w:bottom w:val="single" w:sz="12" w:space="0" w:color="000000"/>
              <w:right w:val="nil"/>
            </w:tcBorders>
            <w:shd w:val="clear" w:color="auto" w:fill="auto"/>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7 800.2</w:t>
            </w:r>
          </w:p>
        </w:tc>
        <w:tc>
          <w:tcPr>
            <w:tcW w:w="1530" w:type="dxa"/>
            <w:tcBorders>
              <w:top w:val="single" w:sz="12" w:space="0" w:color="auto"/>
              <w:left w:val="nil"/>
              <w:bottom w:val="single" w:sz="12" w:space="0" w:color="000000"/>
              <w:right w:val="nil"/>
            </w:tcBorders>
            <w:shd w:val="clear" w:color="auto" w:fill="auto"/>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 xml:space="preserve"> 56.9</w:t>
            </w:r>
          </w:p>
        </w:tc>
        <w:tc>
          <w:tcPr>
            <w:tcW w:w="1323" w:type="dxa"/>
            <w:gridSpan w:val="2"/>
            <w:tcBorders>
              <w:top w:val="single" w:sz="12" w:space="0" w:color="auto"/>
              <w:left w:val="nil"/>
              <w:bottom w:val="single" w:sz="12" w:space="0" w:color="000000"/>
              <w:right w:val="nil"/>
            </w:tcBorders>
            <w:shd w:val="clear" w:color="auto" w:fill="auto"/>
          </w:tcPr>
          <w:p w:rsidR="00336793" w:rsidRPr="00D96F49" w:rsidRDefault="00336793" w:rsidP="00DF0B96">
            <w:pPr>
              <w:pStyle w:val="TableofFigures"/>
              <w:rPr>
                <w:rFonts w:eastAsiaTheme="minorEastAsia"/>
                <w:b/>
                <w:bCs/>
                <w:sz w:val="21"/>
                <w:szCs w:val="21"/>
                <w:lang w:eastAsia="en-AU"/>
              </w:rPr>
            </w:pPr>
            <w:r w:rsidRPr="00D96F49">
              <w:rPr>
                <w:rFonts w:eastAsiaTheme="minorEastAsia"/>
                <w:b/>
                <w:bCs/>
                <w:sz w:val="21"/>
                <w:szCs w:val="21"/>
                <w:lang w:eastAsia="en-AU"/>
              </w:rPr>
              <w:t>7 857.1</w:t>
            </w:r>
          </w:p>
        </w:tc>
      </w:tr>
    </w:tbl>
    <w:p w:rsidR="00336793" w:rsidRDefault="00336793" w:rsidP="00DF0B96">
      <w:pPr>
        <w:pStyle w:val="Notes"/>
      </w:pPr>
    </w:p>
    <w:p w:rsidR="00336793" w:rsidRDefault="00336793" w:rsidP="00DF0B96">
      <w:pPr>
        <w:pStyle w:val="Notes"/>
      </w:pPr>
    </w:p>
    <w:p w:rsidR="00336793" w:rsidRDefault="00336793" w:rsidP="00DF0B96"/>
    <w:p w:rsidR="00336793" w:rsidRDefault="00336793" w:rsidP="00DF0B96">
      <w:pPr>
        <w:sectPr w:rsidR="00336793" w:rsidSect="00DF0B96">
          <w:headerReference w:type="even" r:id="rId130"/>
          <w:headerReference w:type="default" r:id="rId131"/>
          <w:footerReference w:type="even" r:id="rId132"/>
          <w:footerReference w:type="default" r:id="rId133"/>
          <w:pgSz w:w="16838" w:h="11906" w:orient="landscape" w:code="9"/>
          <w:pgMar w:top="1152" w:right="1152" w:bottom="1152" w:left="1152" w:header="720" w:footer="720" w:gutter="0"/>
          <w:cols w:space="708"/>
          <w:docGrid w:linePitch="360"/>
        </w:sectPr>
      </w:pPr>
    </w:p>
    <w:p w:rsidR="00336793" w:rsidRPr="006A75A2" w:rsidRDefault="00336793" w:rsidP="00DF0B96">
      <w:pPr>
        <w:pStyle w:val="Heading2Notes"/>
        <w:rPr>
          <w:kern w:val="0"/>
        </w:rPr>
      </w:pPr>
      <w:bookmarkStart w:id="119" w:name="_Toc400040285"/>
      <w:bookmarkStart w:id="120" w:name="_Toc433984521"/>
      <w:r w:rsidRPr="006A75A2">
        <w:rPr>
          <w:kern w:val="0"/>
        </w:rPr>
        <w:lastRenderedPageBreak/>
        <w:t>Note 38:</w:t>
      </w:r>
      <w:r w:rsidRPr="006A75A2">
        <w:rPr>
          <w:kern w:val="0"/>
        </w:rPr>
        <w:tab/>
        <w:t>Subsequent events</w:t>
      </w:r>
      <w:bookmarkEnd w:id="119"/>
      <w:bookmarkEnd w:id="120"/>
    </w:p>
    <w:p w:rsidR="00336793" w:rsidRDefault="00336793" w:rsidP="00DF0B96">
      <w:r>
        <w:t>Other than the matter below, there are no events that have arisen since 30 June that have significantly affected or may significantly affect the operations, or results, or state of affairs of the State.</w:t>
      </w:r>
    </w:p>
    <w:p w:rsidR="00336793" w:rsidRPr="00F959EC" w:rsidRDefault="00336793" w:rsidP="00DF0B96">
      <w:pPr>
        <w:pStyle w:val="Heading3"/>
      </w:pPr>
      <w:r w:rsidRPr="00F959EC">
        <w:t>Port of Melbourne lease transaction</w:t>
      </w:r>
    </w:p>
    <w:p w:rsidR="00336793" w:rsidRPr="00F959EC" w:rsidRDefault="00336793" w:rsidP="00DF0B96">
      <w:r>
        <w:t>The</w:t>
      </w:r>
      <w:r w:rsidRPr="00F959EC">
        <w:t xml:space="preserve"> Victorian Government continued preparations during the current reporting period to lease the Port of Melbourne</w:t>
      </w:r>
      <w:r>
        <w:t>’</w:t>
      </w:r>
      <w:r w:rsidRPr="00F959EC">
        <w:t>s commercial operations to a private operator.</w:t>
      </w:r>
    </w:p>
    <w:p w:rsidR="00336793" w:rsidRDefault="00336793" w:rsidP="00DF0B96">
      <w:r w:rsidRPr="00F959EC">
        <w:t xml:space="preserve">On 25 June 2015, the Legislative Assembly of the Victorian Parliament passed the </w:t>
      </w:r>
      <w:r>
        <w:t>‘</w:t>
      </w:r>
      <w:r w:rsidRPr="00F959EC">
        <w:t>Delivering Victorian Infrastructure (Port of Melbourne Lease Transaction) Bil</w:t>
      </w:r>
      <w:r>
        <w:t xml:space="preserve">l 2015’ which was subsequently </w:t>
      </w:r>
      <w:r w:rsidRPr="00F959EC">
        <w:t>introduced in the Legislative Council.</w:t>
      </w:r>
    </w:p>
    <w:p w:rsidR="00336793" w:rsidRDefault="00336793" w:rsidP="00DF0B96">
      <w:r>
        <w:t>As per the Treasurer’s second reading speech in the Victorian Parliament on 27 May 2015, the primary purposes of the bill are to authorise and facilitate the leasing of land and disposal of other assets of the Port of Melbourne Corporation to a private sector entity and to amend existing legislation to provide for an appropriate regulatory regime for the port of Melbourne.</w:t>
      </w:r>
    </w:p>
    <w:p w:rsidR="00336793" w:rsidRDefault="00336793" w:rsidP="00DF0B96">
      <w:r w:rsidRPr="00F959EC">
        <w:t xml:space="preserve">On 5 August 2015, the Legislative Council agreed to a Select Committee of eight members being appointed to inquire into and report on the proposed lease of the Port of Melbourne as contemplated by the Delivering Victorian Infrastructure (Port of Melbourne Lease Transaction) Bill 2015. The Select Committee is due to report its findings by 30 November 2015. </w:t>
      </w:r>
    </w:p>
    <w:p w:rsidR="00336793" w:rsidRDefault="00336793" w:rsidP="00DF0B96">
      <w:pPr>
        <w:spacing w:before="240"/>
        <w:rPr>
          <w:rFonts w:ascii="Calibri" w:hAnsi="Calibri"/>
          <w:b/>
          <w:i/>
          <w:kern w:val="28"/>
          <w:sz w:val="26"/>
          <w:szCs w:val="22"/>
        </w:rPr>
      </w:pPr>
      <w:r w:rsidRPr="00607C17">
        <w:rPr>
          <w:rFonts w:ascii="Calibri" w:hAnsi="Calibri"/>
          <w:b/>
          <w:i/>
          <w:kern w:val="28"/>
          <w:sz w:val="26"/>
          <w:szCs w:val="22"/>
        </w:rPr>
        <w:t xml:space="preserve">Lancefield fire review </w:t>
      </w:r>
    </w:p>
    <w:p w:rsidR="00336793" w:rsidRDefault="00336793" w:rsidP="00DF0B96">
      <w:pPr>
        <w:spacing w:before="120"/>
      </w:pPr>
      <w:r w:rsidRPr="00607C17">
        <w:t xml:space="preserve">On Wednesday 30 September 2015, the </w:t>
      </w:r>
      <w:r>
        <w:t>D</w:t>
      </w:r>
      <w:r w:rsidRPr="00607C17">
        <w:t>epartment</w:t>
      </w:r>
      <w:r>
        <w:t xml:space="preserve"> of Environment, Land, Water and Planning</w:t>
      </w:r>
      <w:r w:rsidRPr="00607C17">
        <w:t xml:space="preserve"> initiated a planned burn in the forest 10 kilometres North West of Lancefield. This fire jumped containment lines resulting in the loss of personal property. The Government</w:t>
      </w:r>
      <w:r>
        <w:t>’</w:t>
      </w:r>
      <w:r w:rsidRPr="00607C17">
        <w:t xml:space="preserve">s immediate priority has been to support the local communities most affected by the fire, including those in and around Lancefield, Benloc and Cobaw. </w:t>
      </w:r>
    </w:p>
    <w:p w:rsidR="00336793" w:rsidRDefault="00336793" w:rsidP="009E27CA">
      <w:r w:rsidRPr="00607C17">
        <w:t xml:space="preserve">The </w:t>
      </w:r>
      <w:r>
        <w:t>Government</w:t>
      </w:r>
      <w:r w:rsidRPr="00607C17">
        <w:t xml:space="preserve"> announced an independent investiga</w:t>
      </w:r>
      <w:r>
        <w:t>tion into the escape of this</w:t>
      </w:r>
      <w:r w:rsidRPr="00607C17">
        <w:t xml:space="preserve"> fire which will examine all aspects of the planned burn, including its timing, communication with the community and the factors involved in it getting out of control. </w:t>
      </w:r>
    </w:p>
    <w:p w:rsidR="00336793" w:rsidRDefault="00336793" w:rsidP="009E27CA">
      <w:pPr>
        <w:rPr>
          <w:rFonts w:ascii="Arial" w:hAnsi="Arial" w:cs="Arial"/>
          <w:color w:val="000000"/>
          <w:sz w:val="20"/>
          <w:lang w:eastAsia="en-AU"/>
        </w:rPr>
      </w:pPr>
      <w:r w:rsidRPr="00607C17">
        <w:t>The independent investigation has yet to be finalised and the estimate of the financial effect, if any, cannot yet be determined. Further announcements, including any financial effect on the operations of the department will be made once the investigation is finalised.</w:t>
      </w:r>
      <w:r>
        <w:rPr>
          <w:rFonts w:ascii="Arial" w:hAnsi="Arial" w:cs="Arial"/>
          <w:color w:val="000000"/>
          <w:sz w:val="20"/>
          <w:lang w:eastAsia="en-AU"/>
        </w:rPr>
        <w:t xml:space="preserve"> </w:t>
      </w:r>
    </w:p>
    <w:p w:rsidR="00336793" w:rsidRDefault="00336793" w:rsidP="009E27CA">
      <w:pPr>
        <w:spacing w:before="240"/>
        <w:rPr>
          <w:rFonts w:ascii="Calibri" w:hAnsi="Calibri"/>
          <w:b/>
          <w:i/>
          <w:kern w:val="28"/>
          <w:sz w:val="26"/>
          <w:szCs w:val="22"/>
        </w:rPr>
      </w:pPr>
      <w:r w:rsidRPr="009E27CA">
        <w:rPr>
          <w:rFonts w:ascii="Calibri" w:hAnsi="Calibri"/>
          <w:b/>
          <w:i/>
          <w:kern w:val="28"/>
          <w:sz w:val="26"/>
          <w:szCs w:val="22"/>
        </w:rPr>
        <w:t>New Schools Public Private Partnership project</w:t>
      </w:r>
    </w:p>
    <w:p w:rsidR="00336793" w:rsidRDefault="00336793" w:rsidP="009E27CA">
      <w:pPr>
        <w:rPr>
          <w:lang w:eastAsia="en-AU"/>
        </w:rPr>
      </w:pPr>
      <w:r w:rsidRPr="009E27CA">
        <w:rPr>
          <w:lang w:eastAsia="en-AU"/>
        </w:rPr>
        <w:t>The State entered into a contract with the Learning Communities Vict</w:t>
      </w:r>
      <w:r>
        <w:rPr>
          <w:lang w:eastAsia="en-AU"/>
        </w:rPr>
        <w:t>oria consortium on 28 </w:t>
      </w:r>
      <w:r w:rsidRPr="009E27CA">
        <w:rPr>
          <w:lang w:eastAsia="en-AU"/>
        </w:rPr>
        <w:t>October 2015 to deliver the New Schools Public Private Partnership project. The Learning Communities Victoria consortium, including Watpac and Spotless, will design, build, finance and maintain 15 new schools over a contract term of 25 years. The financial impacts of the contract are being finalised and hence have not been disclosed as at the date of this report.</w:t>
      </w:r>
    </w:p>
    <w:p w:rsidR="00336793" w:rsidRDefault="00336793" w:rsidP="009E27CA">
      <w:pPr>
        <w:rPr>
          <w:lang w:eastAsia="en-AU"/>
        </w:rPr>
      </w:pPr>
    </w:p>
    <w:p w:rsidR="00336793" w:rsidRDefault="00336793" w:rsidP="009E27CA"/>
    <w:p w:rsidR="00336793" w:rsidRDefault="00336793">
      <w:pPr>
        <w:spacing w:after="0"/>
        <w:rPr>
          <w:rFonts w:ascii="Calibri" w:hAnsi="Calibri"/>
          <w:b/>
          <w:sz w:val="28"/>
          <w:szCs w:val="22"/>
        </w:rPr>
      </w:pPr>
      <w:bookmarkStart w:id="121" w:name="_Toc400040286"/>
      <w:bookmarkStart w:id="122" w:name="_Toc421622116"/>
      <w:r>
        <w:br w:type="page"/>
      </w:r>
    </w:p>
    <w:p w:rsidR="00336793" w:rsidRPr="006A75A2" w:rsidRDefault="00336793" w:rsidP="00DF0B96">
      <w:pPr>
        <w:pStyle w:val="Heading2Notes"/>
        <w:rPr>
          <w:kern w:val="0"/>
        </w:rPr>
      </w:pPr>
      <w:bookmarkStart w:id="123" w:name="_Toc433984522"/>
      <w:r w:rsidRPr="006A75A2">
        <w:rPr>
          <w:kern w:val="0"/>
        </w:rPr>
        <w:lastRenderedPageBreak/>
        <w:t>Note 39:</w:t>
      </w:r>
      <w:r w:rsidRPr="006A75A2">
        <w:rPr>
          <w:kern w:val="0"/>
        </w:rPr>
        <w:tab/>
        <w:t>Public account disclosure</w:t>
      </w:r>
      <w:bookmarkEnd w:id="121"/>
      <w:bookmarkEnd w:id="122"/>
      <w:bookmarkEnd w:id="123"/>
    </w:p>
    <w:p w:rsidR="00336793" w:rsidRPr="006A75A2" w:rsidRDefault="00336793" w:rsidP="00DF0B96">
      <w:pPr>
        <w:pStyle w:val="Tableheading"/>
      </w:pPr>
      <w:r w:rsidRPr="006A75A2">
        <w:t>(a)</w:t>
      </w:r>
      <w:r w:rsidRPr="006A75A2">
        <w:tab/>
      </w:r>
      <w:r w:rsidRPr="00137E6D">
        <w:t>Consolidated</w:t>
      </w:r>
      <w:r w:rsidRPr="006A75A2">
        <w:t xml:space="preserve"> fund receipts and payments for the financial year ended 30 June</w:t>
      </w:r>
    </w:p>
    <w:p w:rsidR="00336793" w:rsidRPr="00496DC3" w:rsidRDefault="00336793" w:rsidP="00DF0B96">
      <w:pPr>
        <w:pStyle w:val="million"/>
        <w:rPr>
          <w:rFonts w:ascii="Times New Roman" w:hAnsi="Times New Roman"/>
          <w:i w:val="0"/>
          <w:szCs w:val="20"/>
          <w:lang w:eastAsia="en-AU"/>
        </w:rPr>
      </w:pPr>
      <w:r w:rsidRPr="006A75A2">
        <w:t>($</w:t>
      </w:r>
      <w:r>
        <w:t> thousand</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7127"/>
        <w:gridCol w:w="1260"/>
        <w:gridCol w:w="1250"/>
      </w:tblGrid>
      <w:tr w:rsidR="00336793" w:rsidRPr="00496DC3" w:rsidTr="00DF0B96">
        <w:trPr>
          <w:tblHeader/>
        </w:trPr>
        <w:tc>
          <w:tcPr>
            <w:tcW w:w="7127" w:type="dxa"/>
            <w:tcBorders>
              <w:top w:val="single" w:sz="6" w:space="0" w:color="auto"/>
              <w:left w:val="single" w:sz="6" w:space="0" w:color="auto"/>
              <w:bottom w:val="single" w:sz="6" w:space="0" w:color="auto"/>
              <w:right w:val="nil"/>
            </w:tcBorders>
            <w:shd w:val="clear" w:color="000000" w:fill="000000"/>
            <w:vAlign w:val="bottom"/>
          </w:tcPr>
          <w:p w:rsidR="00336793" w:rsidRPr="00496DC3" w:rsidRDefault="00336793" w:rsidP="00DF0B96">
            <w:pPr>
              <w:pStyle w:val="Tabletextheading"/>
              <w:jc w:val="left"/>
              <w:rPr>
                <w:rFonts w:eastAsiaTheme="minorEastAsia"/>
                <w:color w:val="FFFFFF"/>
                <w:lang w:eastAsia="en-AU"/>
              </w:rPr>
            </w:pPr>
            <w:r w:rsidRPr="00496DC3">
              <w:rPr>
                <w:rFonts w:eastAsiaTheme="minorEastAsia"/>
                <w:color w:val="FFFFFF"/>
                <w:lang w:eastAsia="en-AU"/>
              </w:rPr>
              <w:t xml:space="preserve"> </w:t>
            </w:r>
          </w:p>
        </w:tc>
        <w:tc>
          <w:tcPr>
            <w:tcW w:w="1260" w:type="dxa"/>
            <w:tcBorders>
              <w:top w:val="single" w:sz="6" w:space="0" w:color="auto"/>
              <w:left w:val="nil"/>
              <w:bottom w:val="single" w:sz="6" w:space="0" w:color="auto"/>
              <w:right w:val="nil"/>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2015</w:t>
            </w:r>
          </w:p>
        </w:tc>
        <w:tc>
          <w:tcPr>
            <w:tcW w:w="1250" w:type="dxa"/>
            <w:tcBorders>
              <w:top w:val="single" w:sz="6" w:space="0" w:color="auto"/>
              <w:left w:val="nil"/>
              <w:bottom w:val="single" w:sz="6" w:space="0" w:color="auto"/>
              <w:right w:val="single" w:sz="6" w:space="0" w:color="auto"/>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2014</w:t>
            </w:r>
          </w:p>
        </w:tc>
      </w:tr>
      <w:tr w:rsidR="00336793" w:rsidRPr="00496DC3" w:rsidTr="00DF0B96">
        <w:tc>
          <w:tcPr>
            <w:tcW w:w="7127" w:type="dxa"/>
            <w:tcBorders>
              <w:top w:val="single" w:sz="6" w:space="0" w:color="auto"/>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Receipts</w:t>
            </w:r>
          </w:p>
        </w:tc>
        <w:tc>
          <w:tcPr>
            <w:tcW w:w="1260" w:type="dxa"/>
            <w:tcBorders>
              <w:top w:val="single" w:sz="6" w:space="0" w:color="auto"/>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single" w:sz="6" w:space="0" w:color="auto"/>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vertAlign w:val="superscript"/>
                <w:lang w:eastAsia="en-AU"/>
              </w:rPr>
            </w:pPr>
            <w:r w:rsidRPr="00496DC3">
              <w:rPr>
                <w:rFonts w:ascii="Calibri" w:eastAsiaTheme="minorEastAsia" w:hAnsi="Calibri" w:cs="Calibri"/>
                <w:sz w:val="22"/>
                <w:szCs w:val="22"/>
                <w:lang w:eastAsia="en-AU"/>
              </w:rPr>
              <w:t xml:space="preserve">Taxation </w:t>
            </w:r>
            <w:r w:rsidRPr="00496DC3">
              <w:rPr>
                <w:rFonts w:ascii="Calibri" w:eastAsiaTheme="minorEastAsia" w:hAnsi="Calibri" w:cs="Calibri"/>
                <w:sz w:val="22"/>
                <w:szCs w:val="22"/>
                <w:vertAlign w:val="superscript"/>
                <w:lang w:eastAsia="en-AU"/>
              </w:rPr>
              <w:t>(a)</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18 657 330</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16 934 292</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Fines and regulatory fees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835 262</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758 361</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Grants received</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15 897 827</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18 096 600</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Sales of goods and services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5 446 707</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5 179 361</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Interest received</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517 718</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533 301</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Dividends and income tax equivalent and rate equivalent receipts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1 004 217</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571 810</w:t>
            </w:r>
          </w:p>
        </w:tc>
      </w:tr>
      <w:tr w:rsidR="00336793" w:rsidRPr="00496DC3" w:rsidTr="00DF0B96">
        <w:tc>
          <w:tcPr>
            <w:tcW w:w="7127" w:type="dxa"/>
            <w:tcBorders>
              <w:top w:val="nil"/>
              <w:left w:val="nil"/>
              <w:bottom w:val="single" w:sz="6" w:space="0" w:color="auto"/>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vertAlign w:val="superscript"/>
                <w:lang w:eastAsia="en-AU"/>
              </w:rPr>
            </w:pPr>
            <w:r w:rsidRPr="00496DC3">
              <w:rPr>
                <w:rFonts w:ascii="Calibri" w:eastAsiaTheme="minorEastAsia" w:hAnsi="Calibri" w:cs="Calibri"/>
                <w:sz w:val="22"/>
                <w:szCs w:val="22"/>
                <w:lang w:eastAsia="en-AU"/>
              </w:rPr>
              <w:t xml:space="preserve">Other receipts </w:t>
            </w:r>
            <w:r w:rsidRPr="00496DC3">
              <w:rPr>
                <w:rFonts w:ascii="Calibri" w:eastAsiaTheme="minorEastAsia" w:hAnsi="Calibri" w:cs="Calibri"/>
                <w:sz w:val="22"/>
                <w:szCs w:val="22"/>
                <w:vertAlign w:val="superscript"/>
                <w:lang w:eastAsia="en-AU"/>
              </w:rPr>
              <w:t>(a)</w:t>
            </w:r>
          </w:p>
        </w:tc>
        <w:tc>
          <w:tcPr>
            <w:tcW w:w="126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422 732</w:t>
            </w:r>
          </w:p>
        </w:tc>
        <w:tc>
          <w:tcPr>
            <w:tcW w:w="125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345 287</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Total cash inflows from operating activities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42 781 793</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42 419 011</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Total cash inflows from investing and financing activities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1 386 119</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2 300 473</w:t>
            </w:r>
          </w:p>
        </w:tc>
      </w:tr>
      <w:tr w:rsidR="00336793" w:rsidRPr="00496DC3" w:rsidTr="00DF0B96">
        <w:tc>
          <w:tcPr>
            <w:tcW w:w="7127" w:type="dxa"/>
            <w:tcBorders>
              <w:top w:val="single" w:sz="6" w:space="0" w:color="auto"/>
              <w:left w:val="nil"/>
              <w:bottom w:val="single" w:sz="6" w:space="0" w:color="auto"/>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Total consolidated fund receipts</w:t>
            </w:r>
          </w:p>
        </w:tc>
        <w:tc>
          <w:tcPr>
            <w:tcW w:w="1260" w:type="dxa"/>
            <w:tcBorders>
              <w:top w:val="single" w:sz="6" w:space="0" w:color="auto"/>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44 167 911</w:t>
            </w:r>
          </w:p>
        </w:tc>
        <w:tc>
          <w:tcPr>
            <w:tcW w:w="1250" w:type="dxa"/>
            <w:tcBorders>
              <w:top w:val="single" w:sz="6" w:space="0" w:color="auto"/>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44 719 484</w:t>
            </w:r>
          </w:p>
        </w:tc>
      </w:tr>
      <w:tr w:rsidR="00336793" w:rsidRPr="00496DC3" w:rsidTr="00DF0B96">
        <w:trPr>
          <w:trHeight w:hRule="exact" w:val="120"/>
        </w:trPr>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Payments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Special appropriations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color w:val="000000"/>
                <w:sz w:val="22"/>
                <w:szCs w:val="22"/>
                <w:lang w:eastAsia="en-AU"/>
              </w:rPr>
            </w:pPr>
            <w:r w:rsidRPr="00496DC3">
              <w:rPr>
                <w:rFonts w:ascii="Calibri" w:eastAsiaTheme="minorEastAsia" w:hAnsi="Calibri" w:cs="Calibri"/>
                <w:sz w:val="22"/>
                <w:szCs w:val="22"/>
                <w:lang w:eastAsia="en-AU"/>
              </w:rPr>
              <w:t xml:space="preserve">Special appropriations (excluding Section 33, </w:t>
            </w:r>
            <w:r w:rsidRPr="00496DC3">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496DC3">
              <w:rPr>
                <w:rFonts w:ascii="Calibri" w:eastAsiaTheme="minorEastAsia" w:hAnsi="Calibri" w:cs="Calibri"/>
                <w:i/>
                <w:iCs/>
                <w:sz w:val="22"/>
                <w:szCs w:val="22"/>
                <w:lang w:eastAsia="en-AU"/>
              </w:rPr>
              <w:t>)</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3 005 907</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3 419 699</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color w:val="000000"/>
                <w:sz w:val="22"/>
                <w:szCs w:val="22"/>
                <w:lang w:eastAsia="en-AU"/>
              </w:rPr>
            </w:pPr>
            <w:r w:rsidRPr="00496DC3">
              <w:rPr>
                <w:rFonts w:ascii="Calibri" w:eastAsiaTheme="minorEastAsia" w:hAnsi="Calibri" w:cs="Calibri"/>
                <w:sz w:val="22"/>
                <w:szCs w:val="22"/>
                <w:lang w:eastAsia="en-AU"/>
              </w:rPr>
              <w:t xml:space="preserve">Section 28 </w:t>
            </w:r>
            <w:r w:rsidRPr="00496DC3">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496DC3">
              <w:rPr>
                <w:rFonts w:ascii="Calibri" w:eastAsiaTheme="minorEastAsia" w:hAnsi="Calibri" w:cs="Calibri"/>
                <w:i/>
                <w:iCs/>
                <w:sz w:val="22"/>
                <w:szCs w:val="22"/>
                <w:lang w:eastAsia="en-AU"/>
              </w:rPr>
              <w:t xml:space="preserve"> (Appropriation for borrowing against future appropriations)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1 600</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color w:val="000000"/>
                <w:sz w:val="22"/>
                <w:szCs w:val="22"/>
                <w:lang w:eastAsia="en-AU"/>
              </w:rPr>
            </w:pPr>
            <w:r w:rsidRPr="00496DC3">
              <w:rPr>
                <w:rFonts w:ascii="Calibri" w:eastAsiaTheme="minorEastAsia" w:hAnsi="Calibri" w:cs="Calibri"/>
                <w:sz w:val="22"/>
                <w:szCs w:val="22"/>
                <w:lang w:eastAsia="en-AU"/>
              </w:rPr>
              <w:t xml:space="preserve">Section 33 </w:t>
            </w:r>
            <w:r w:rsidRPr="00496DC3">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26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174 279</w:t>
            </w:r>
          </w:p>
        </w:tc>
        <w:tc>
          <w:tcPr>
            <w:tcW w:w="125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128 048</w:t>
            </w:r>
          </w:p>
        </w:tc>
      </w:tr>
      <w:tr w:rsidR="00336793" w:rsidRPr="00496DC3" w:rsidTr="00DF0B96">
        <w:tc>
          <w:tcPr>
            <w:tcW w:w="7127" w:type="dxa"/>
            <w:tcBorders>
              <w:top w:val="single" w:sz="6" w:space="0" w:color="auto"/>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Total special appropriations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3 180 186</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3 549 347</w:t>
            </w:r>
          </w:p>
        </w:tc>
      </w:tr>
      <w:tr w:rsidR="00336793" w:rsidRPr="00496DC3" w:rsidTr="00DF0B96">
        <w:trPr>
          <w:trHeight w:hRule="exact" w:val="120"/>
        </w:trPr>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Annual appropriations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Provision of outputs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Provision of outputs</w:t>
            </w:r>
            <w:r>
              <w:rPr>
                <w:rFonts w:ascii="Calibri" w:eastAsiaTheme="minorEastAsia" w:hAnsi="Calibri" w:cs="Calibri"/>
                <w:sz w:val="22"/>
                <w:szCs w:val="22"/>
                <w:lang w:eastAsia="en-AU"/>
              </w:rPr>
              <w:t xml:space="preserve"> – </w:t>
            </w:r>
            <w:r w:rsidRPr="00496DC3">
              <w:rPr>
                <w:rFonts w:ascii="Calibri" w:eastAsiaTheme="minorEastAsia" w:hAnsi="Calibri" w:cs="Calibri"/>
                <w:sz w:val="22"/>
                <w:szCs w:val="22"/>
                <w:lang w:eastAsia="en-AU"/>
              </w:rPr>
              <w:t>net application</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33 502 578</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32 297 593</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496DC3">
              <w:rPr>
                <w:rFonts w:ascii="Calibri" w:eastAsiaTheme="minorEastAsia" w:hAnsi="Calibri" w:cs="Calibri"/>
                <w:sz w:val="22"/>
                <w:szCs w:val="22"/>
                <w:lang w:eastAsia="en-AU"/>
              </w:rPr>
              <w:t xml:space="preserve">Section 29 </w:t>
            </w:r>
            <w:r w:rsidRPr="00496DC3">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496DC3">
              <w:rPr>
                <w:rFonts w:ascii="Calibri" w:eastAsiaTheme="minorEastAsia" w:hAnsi="Calibri" w:cs="Calibri"/>
                <w:sz w:val="22"/>
                <w:szCs w:val="22"/>
                <w:lang w:eastAsia="en-AU"/>
              </w:rPr>
              <w:t xml:space="preserve"> (appropriation of annotated receipts)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2 060 871</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2 080 794</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496DC3">
              <w:rPr>
                <w:rFonts w:ascii="Calibri" w:eastAsiaTheme="minorEastAsia" w:hAnsi="Calibri" w:cs="Calibri"/>
                <w:sz w:val="22"/>
                <w:szCs w:val="22"/>
                <w:lang w:eastAsia="en-AU"/>
              </w:rPr>
              <w:t>Section 32</w:t>
            </w:r>
            <w:r w:rsidRPr="00496DC3">
              <w:rPr>
                <w:rFonts w:ascii="Calibri" w:eastAsiaTheme="minorEastAsia" w:hAnsi="Calibri" w:cs="Calibri"/>
                <w:i/>
                <w:iCs/>
                <w:sz w:val="22"/>
                <w:szCs w:val="22"/>
                <w:lang w:eastAsia="en-AU"/>
              </w:rPr>
              <w:t xml:space="preserve"> Financial Management Act, </w:t>
            </w:r>
            <w:r w:rsidRPr="00062260">
              <w:rPr>
                <w:rFonts w:ascii="Calibri" w:eastAsiaTheme="minorEastAsia" w:hAnsi="Calibri" w:cs="Calibri"/>
                <w:i/>
                <w:iCs/>
                <w:sz w:val="22"/>
                <w:szCs w:val="22"/>
                <w:lang w:eastAsia="en-AU"/>
              </w:rPr>
              <w:t>No. 18 of 1994</w:t>
            </w:r>
            <w:r w:rsidRPr="00496DC3">
              <w:rPr>
                <w:rFonts w:ascii="Calibri" w:eastAsiaTheme="minorEastAsia" w:hAnsi="Calibri" w:cs="Calibri"/>
                <w:sz w:val="22"/>
                <w:szCs w:val="22"/>
                <w:lang w:eastAsia="en-AU"/>
              </w:rPr>
              <w:t xml:space="preserve"> (prior year unspent appropriations brought forward)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756 702</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702 568</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496DC3">
              <w:rPr>
                <w:rFonts w:ascii="Calibri" w:eastAsiaTheme="minorEastAsia" w:hAnsi="Calibri" w:cs="Calibri"/>
                <w:sz w:val="22"/>
                <w:szCs w:val="22"/>
                <w:lang w:eastAsia="en-AU"/>
              </w:rPr>
              <w:t xml:space="preserve">Section 35 </w:t>
            </w:r>
            <w:r w:rsidRPr="00496DC3">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496DC3">
              <w:rPr>
                <w:rFonts w:ascii="Calibri" w:eastAsiaTheme="minorEastAsia" w:hAnsi="Calibri" w:cs="Calibri"/>
                <w:sz w:val="22"/>
                <w:szCs w:val="22"/>
                <w:lang w:eastAsia="en-AU"/>
              </w:rPr>
              <w:t xml:space="preserve"> (temporary advances)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10 837</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179 198</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Advance to Treasurer to be sanctioned</w:t>
            </w:r>
          </w:p>
        </w:tc>
        <w:tc>
          <w:tcPr>
            <w:tcW w:w="126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291 490</w:t>
            </w:r>
          </w:p>
        </w:tc>
        <w:tc>
          <w:tcPr>
            <w:tcW w:w="125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292 648</w:t>
            </w:r>
          </w:p>
        </w:tc>
      </w:tr>
      <w:tr w:rsidR="00336793" w:rsidRPr="00496DC3" w:rsidTr="00DF0B96">
        <w:tc>
          <w:tcPr>
            <w:tcW w:w="7127" w:type="dxa"/>
            <w:tcBorders>
              <w:top w:val="single" w:sz="6" w:space="0" w:color="auto"/>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Total provision of outputs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36 622 478</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35 552 801</w:t>
            </w:r>
          </w:p>
        </w:tc>
      </w:tr>
      <w:tr w:rsidR="00336793" w:rsidRPr="00496DC3" w:rsidTr="00DF0B96">
        <w:trPr>
          <w:trHeight w:hRule="exact" w:val="120"/>
        </w:trPr>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Additions to net asset base</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Additions to net asset base</w:t>
            </w:r>
            <w:r>
              <w:rPr>
                <w:rFonts w:ascii="Calibri" w:eastAsiaTheme="minorEastAsia" w:hAnsi="Calibri" w:cs="Calibri"/>
                <w:sz w:val="22"/>
                <w:szCs w:val="22"/>
                <w:lang w:eastAsia="en-AU"/>
              </w:rPr>
              <w:t xml:space="preserve"> – </w:t>
            </w:r>
            <w:r w:rsidRPr="00496DC3">
              <w:rPr>
                <w:rFonts w:ascii="Calibri" w:eastAsiaTheme="minorEastAsia" w:hAnsi="Calibri" w:cs="Calibri"/>
                <w:sz w:val="22"/>
                <w:szCs w:val="22"/>
                <w:lang w:eastAsia="en-AU"/>
              </w:rPr>
              <w:t>net application</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1 825 471</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1 349 176</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496DC3">
              <w:rPr>
                <w:rFonts w:ascii="Calibri" w:eastAsiaTheme="minorEastAsia" w:hAnsi="Calibri" w:cs="Calibri"/>
                <w:sz w:val="22"/>
                <w:szCs w:val="22"/>
                <w:lang w:eastAsia="en-AU"/>
              </w:rPr>
              <w:t xml:space="preserve">Section 29 </w:t>
            </w:r>
            <w:r w:rsidRPr="00496DC3">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496DC3">
              <w:rPr>
                <w:rFonts w:ascii="Calibri" w:eastAsiaTheme="minorEastAsia" w:hAnsi="Calibri" w:cs="Calibri"/>
                <w:sz w:val="22"/>
                <w:szCs w:val="22"/>
                <w:lang w:eastAsia="en-AU"/>
              </w:rPr>
              <w:t xml:space="preserve"> (appropriation of annotated receipts)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459 364</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1 026 401</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496DC3">
              <w:rPr>
                <w:rFonts w:ascii="Calibri" w:eastAsiaTheme="minorEastAsia" w:hAnsi="Calibri" w:cs="Calibri"/>
                <w:sz w:val="22"/>
                <w:szCs w:val="22"/>
                <w:lang w:eastAsia="en-AU"/>
              </w:rPr>
              <w:t>Section 32</w:t>
            </w:r>
            <w:r w:rsidRPr="00496DC3">
              <w:rPr>
                <w:rFonts w:ascii="Calibri" w:eastAsiaTheme="minorEastAsia" w:hAnsi="Calibri" w:cs="Calibri"/>
                <w:i/>
                <w:iCs/>
                <w:sz w:val="22"/>
                <w:szCs w:val="22"/>
                <w:lang w:eastAsia="en-AU"/>
              </w:rPr>
              <w:t xml:space="preserve"> Financial Management Act, </w:t>
            </w:r>
            <w:r w:rsidRPr="00062260">
              <w:rPr>
                <w:rFonts w:ascii="Calibri" w:eastAsiaTheme="minorEastAsia" w:hAnsi="Calibri" w:cs="Calibri"/>
                <w:i/>
                <w:iCs/>
                <w:sz w:val="22"/>
                <w:szCs w:val="22"/>
                <w:lang w:eastAsia="en-AU"/>
              </w:rPr>
              <w:t>No. 18 of 1994</w:t>
            </w:r>
            <w:r w:rsidRPr="00496DC3">
              <w:rPr>
                <w:rFonts w:ascii="Calibri" w:eastAsiaTheme="minorEastAsia" w:hAnsi="Calibri" w:cs="Calibri"/>
                <w:sz w:val="22"/>
                <w:szCs w:val="22"/>
                <w:lang w:eastAsia="en-AU"/>
              </w:rPr>
              <w:t xml:space="preserve"> (prior year unspent appropriations brought forward)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661 571</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567 127</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496DC3">
              <w:rPr>
                <w:rFonts w:ascii="Calibri" w:eastAsiaTheme="minorEastAsia" w:hAnsi="Calibri" w:cs="Calibri"/>
                <w:sz w:val="22"/>
                <w:szCs w:val="22"/>
                <w:lang w:eastAsia="en-AU"/>
              </w:rPr>
              <w:t xml:space="preserve">Section 35 </w:t>
            </w:r>
            <w:r w:rsidRPr="00496DC3">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496DC3">
              <w:rPr>
                <w:rFonts w:ascii="Calibri" w:eastAsiaTheme="minorEastAsia" w:hAnsi="Calibri" w:cs="Calibri"/>
                <w:sz w:val="22"/>
                <w:szCs w:val="22"/>
                <w:lang w:eastAsia="en-AU"/>
              </w:rPr>
              <w:t xml:space="preserve"> (temporary advances)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2 500</w:t>
            </w:r>
          </w:p>
        </w:tc>
      </w:tr>
      <w:tr w:rsidR="00336793" w:rsidRPr="00496DC3" w:rsidTr="00DF0B96">
        <w:tc>
          <w:tcPr>
            <w:tcW w:w="7127" w:type="dxa"/>
            <w:tcBorders>
              <w:top w:val="nil"/>
              <w:left w:val="nil"/>
              <w:bottom w:val="single" w:sz="6" w:space="0" w:color="auto"/>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Advance to Treasurer to be sanctioned</w:t>
            </w:r>
          </w:p>
        </w:tc>
        <w:tc>
          <w:tcPr>
            <w:tcW w:w="126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34 012</w:t>
            </w:r>
          </w:p>
        </w:tc>
        <w:tc>
          <w:tcPr>
            <w:tcW w:w="125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22 735</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Total additions to net asset base</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2 980 418</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2 967 940</w:t>
            </w:r>
          </w:p>
        </w:tc>
      </w:tr>
      <w:tr w:rsidR="00336793" w:rsidRPr="00496DC3" w:rsidTr="00DF0B96">
        <w:trPr>
          <w:trHeight w:hRule="exact" w:val="120"/>
        </w:trPr>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Payments made on behalf of the State</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Payments made on behalf of the State</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2 442 402</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2 752 421</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496DC3">
              <w:rPr>
                <w:rFonts w:ascii="Calibri" w:eastAsiaTheme="minorEastAsia" w:hAnsi="Calibri" w:cs="Calibri"/>
                <w:sz w:val="22"/>
                <w:szCs w:val="22"/>
                <w:lang w:eastAsia="en-AU"/>
              </w:rPr>
              <w:t xml:space="preserve">Section 32 </w:t>
            </w:r>
            <w:r w:rsidRPr="00496DC3">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496DC3">
              <w:rPr>
                <w:rFonts w:ascii="Calibri" w:eastAsiaTheme="minorEastAsia" w:hAnsi="Calibri" w:cs="Calibri"/>
                <w:sz w:val="22"/>
                <w:szCs w:val="22"/>
                <w:lang w:eastAsia="en-AU"/>
              </w:rPr>
              <w:t xml:space="preserve"> (prior year unspent appropriations brought forward)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898</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color w:val="000000"/>
                <w:sz w:val="22"/>
                <w:szCs w:val="22"/>
                <w:lang w:eastAsia="en-AU"/>
              </w:rPr>
            </w:pPr>
            <w:r w:rsidRPr="00496DC3">
              <w:rPr>
                <w:rFonts w:ascii="Calibri" w:eastAsiaTheme="minorEastAsia" w:hAnsi="Calibri" w:cs="Calibri"/>
                <w:sz w:val="22"/>
                <w:szCs w:val="22"/>
                <w:lang w:eastAsia="en-AU"/>
              </w:rPr>
              <w:t xml:space="preserve">Section 32 </w:t>
            </w:r>
            <w:r w:rsidRPr="00496DC3">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6 545</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4 123</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496DC3">
              <w:rPr>
                <w:rFonts w:ascii="Calibri" w:eastAsiaTheme="minorEastAsia" w:hAnsi="Calibri" w:cs="Calibri"/>
                <w:sz w:val="22"/>
                <w:szCs w:val="22"/>
                <w:lang w:eastAsia="en-AU"/>
              </w:rPr>
              <w:t xml:space="preserve">Section 35 </w:t>
            </w:r>
            <w:r w:rsidRPr="00496DC3">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496DC3">
              <w:rPr>
                <w:rFonts w:ascii="Calibri" w:eastAsiaTheme="minorEastAsia" w:hAnsi="Calibri" w:cs="Calibri"/>
                <w:sz w:val="22"/>
                <w:szCs w:val="22"/>
                <w:lang w:eastAsia="en-AU"/>
              </w:rPr>
              <w:t xml:space="preserve"> (temporary advances)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25 777</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Advance to Treasurer to be sanctioned</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49 193</w:t>
            </w:r>
          </w:p>
        </w:tc>
      </w:tr>
      <w:tr w:rsidR="00336793" w:rsidRPr="00496DC3" w:rsidTr="00DF0B96">
        <w:tc>
          <w:tcPr>
            <w:tcW w:w="7127" w:type="dxa"/>
            <w:tcBorders>
              <w:top w:val="single" w:sz="6" w:space="0" w:color="auto"/>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Total payments made on behalf of State</w:t>
            </w:r>
          </w:p>
        </w:tc>
        <w:tc>
          <w:tcPr>
            <w:tcW w:w="1260" w:type="dxa"/>
            <w:tcBorders>
              <w:top w:val="single" w:sz="6" w:space="0" w:color="auto"/>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2 448 946</w:t>
            </w:r>
          </w:p>
        </w:tc>
        <w:tc>
          <w:tcPr>
            <w:tcW w:w="1250" w:type="dxa"/>
            <w:tcBorders>
              <w:top w:val="single" w:sz="6" w:space="0" w:color="auto"/>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2 832 413</w:t>
            </w:r>
          </w:p>
        </w:tc>
      </w:tr>
    </w:tbl>
    <w:p w:rsidR="00336793" w:rsidRPr="006A75A2" w:rsidRDefault="00336793" w:rsidP="00146F9C">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Default="00336793" w:rsidP="00146F9C">
      <w:pPr>
        <w:pStyle w:val="Tableheadingcontinued"/>
      </w:pPr>
      <w:r>
        <w:t>(a)</w:t>
      </w:r>
      <w:r>
        <w:tab/>
        <w:t xml:space="preserve">Consolidated fund receipts and payments for the financial year ended 30 June </w:t>
      </w:r>
      <w:r w:rsidRPr="00146F9C">
        <w:rPr>
          <w:i/>
        </w:rPr>
        <w:t>(continued)</w:t>
      </w:r>
    </w:p>
    <w:p w:rsidR="00336793" w:rsidRDefault="00336793" w:rsidP="00146F9C">
      <w:pPr>
        <w:pStyle w:val="million"/>
      </w:pP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7127"/>
        <w:gridCol w:w="1260"/>
        <w:gridCol w:w="1250"/>
      </w:tblGrid>
      <w:tr w:rsidR="00336793" w:rsidRPr="00496DC3" w:rsidTr="00DF0B96">
        <w:trPr>
          <w:tblHeader/>
        </w:trPr>
        <w:tc>
          <w:tcPr>
            <w:tcW w:w="7127" w:type="dxa"/>
            <w:tcBorders>
              <w:top w:val="single" w:sz="6" w:space="0" w:color="auto"/>
              <w:left w:val="single" w:sz="6" w:space="0" w:color="auto"/>
              <w:bottom w:val="single" w:sz="6" w:space="0" w:color="auto"/>
              <w:right w:val="nil"/>
            </w:tcBorders>
            <w:shd w:val="clear" w:color="000000" w:fill="000000"/>
            <w:vAlign w:val="bottom"/>
          </w:tcPr>
          <w:p w:rsidR="00336793" w:rsidRPr="00496DC3" w:rsidRDefault="00336793" w:rsidP="00DF0B96">
            <w:pPr>
              <w:pStyle w:val="Tabletextheading"/>
              <w:jc w:val="left"/>
              <w:rPr>
                <w:rFonts w:eastAsiaTheme="minorEastAsia"/>
                <w:color w:val="FFFFFF"/>
                <w:lang w:eastAsia="en-AU"/>
              </w:rPr>
            </w:pPr>
            <w:r w:rsidRPr="00496DC3">
              <w:rPr>
                <w:rFonts w:eastAsiaTheme="minorEastAsia"/>
                <w:color w:val="FFFFFF"/>
                <w:lang w:eastAsia="en-AU"/>
              </w:rPr>
              <w:t xml:space="preserve"> </w:t>
            </w:r>
          </w:p>
        </w:tc>
        <w:tc>
          <w:tcPr>
            <w:tcW w:w="1260" w:type="dxa"/>
            <w:tcBorders>
              <w:top w:val="single" w:sz="6" w:space="0" w:color="auto"/>
              <w:left w:val="nil"/>
              <w:bottom w:val="single" w:sz="6" w:space="0" w:color="auto"/>
              <w:right w:val="nil"/>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2015</w:t>
            </w:r>
          </w:p>
        </w:tc>
        <w:tc>
          <w:tcPr>
            <w:tcW w:w="1250" w:type="dxa"/>
            <w:tcBorders>
              <w:top w:val="single" w:sz="6" w:space="0" w:color="auto"/>
              <w:left w:val="nil"/>
              <w:bottom w:val="single" w:sz="6" w:space="0" w:color="auto"/>
              <w:right w:val="single" w:sz="6" w:space="0" w:color="auto"/>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2014</w:t>
            </w:r>
          </w:p>
        </w:tc>
      </w:tr>
      <w:tr w:rsidR="00336793" w:rsidRPr="00496DC3" w:rsidTr="00DF0B96">
        <w:trPr>
          <w:trHeight w:hRule="exact" w:val="120"/>
        </w:trPr>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Other</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sz w:val="22"/>
                <w:szCs w:val="22"/>
                <w:lang w:eastAsia="en-AU"/>
              </w:rPr>
            </w:pPr>
            <w:r w:rsidRPr="00496DC3">
              <w:rPr>
                <w:rFonts w:ascii="Calibri" w:eastAsiaTheme="minorEastAsia" w:hAnsi="Calibri" w:cs="Calibri"/>
                <w:sz w:val="22"/>
                <w:szCs w:val="22"/>
                <w:lang w:eastAsia="en-AU"/>
              </w:rPr>
              <w:t xml:space="preserve">Contribution by the State under agreements pursuant to Section 25 of </w:t>
            </w:r>
            <w:r w:rsidRPr="00496DC3">
              <w:rPr>
                <w:rFonts w:ascii="Calibri" w:eastAsiaTheme="minorEastAsia" w:hAnsi="Calibri" w:cs="Calibri"/>
                <w:iCs/>
                <w:sz w:val="22"/>
                <w:szCs w:val="22"/>
                <w:lang w:eastAsia="en-AU"/>
              </w:rPr>
              <w:t xml:space="preserve">the </w:t>
            </w:r>
            <w:r w:rsidRPr="00496DC3">
              <w:rPr>
                <w:rFonts w:ascii="Calibri" w:eastAsiaTheme="minorEastAsia" w:hAnsi="Calibri" w:cs="Calibri"/>
                <w:i/>
                <w:iCs/>
                <w:sz w:val="22"/>
                <w:szCs w:val="22"/>
                <w:lang w:eastAsia="en-AU"/>
              </w:rPr>
              <w:t>Murray</w:t>
            </w:r>
            <w:r>
              <w:rPr>
                <w:rFonts w:ascii="Calibri" w:eastAsiaTheme="minorEastAsia" w:hAnsi="Calibri" w:cs="Calibri"/>
                <w:i/>
                <w:iCs/>
                <w:sz w:val="22"/>
                <w:szCs w:val="22"/>
                <w:lang w:eastAsia="en-AU"/>
              </w:rPr>
              <w:noBreakHyphen/>
            </w:r>
            <w:r w:rsidRPr="00496DC3">
              <w:rPr>
                <w:rFonts w:ascii="Calibri" w:eastAsiaTheme="minorEastAsia" w:hAnsi="Calibri" w:cs="Calibri"/>
                <w:i/>
                <w:iCs/>
                <w:sz w:val="22"/>
                <w:szCs w:val="22"/>
                <w:lang w:eastAsia="en-AU"/>
              </w:rPr>
              <w:t>Darling Basin Act 1993</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18 000</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27 762</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color w:val="000000"/>
                <w:sz w:val="22"/>
                <w:szCs w:val="22"/>
                <w:lang w:eastAsia="en-AU"/>
              </w:rPr>
            </w:pPr>
            <w:r w:rsidRPr="00496DC3">
              <w:rPr>
                <w:rFonts w:ascii="Calibri" w:eastAsiaTheme="minorEastAsia" w:hAnsi="Calibri" w:cs="Calibri"/>
                <w:iCs/>
                <w:sz w:val="22"/>
                <w:szCs w:val="22"/>
                <w:lang w:eastAsia="en-AU"/>
              </w:rPr>
              <w:t xml:space="preserve">Section 32 </w:t>
            </w:r>
            <w:r w:rsidRPr="00496DC3">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496DC3">
              <w:rPr>
                <w:rFonts w:ascii="Calibri" w:eastAsiaTheme="minorEastAsia" w:hAnsi="Calibri" w:cs="Calibri"/>
                <w:i/>
                <w:iCs/>
                <w:sz w:val="22"/>
                <w:szCs w:val="22"/>
                <w:lang w:eastAsia="en-AU"/>
              </w:rPr>
              <w:t xml:space="preserve"> –</w:t>
            </w:r>
            <w:r w:rsidRPr="00496DC3">
              <w:rPr>
                <w:rFonts w:ascii="Calibri" w:eastAsiaTheme="minorEastAsia" w:hAnsi="Calibri" w:cs="Calibri"/>
                <w:sz w:val="22"/>
                <w:szCs w:val="22"/>
                <w:lang w:eastAsia="en-AU"/>
              </w:rPr>
              <w:t xml:space="preserve"> Section 25</w:t>
            </w:r>
            <w:r w:rsidRPr="00496DC3">
              <w:rPr>
                <w:rFonts w:ascii="Calibri" w:eastAsiaTheme="minorEastAsia" w:hAnsi="Calibri" w:cs="Calibri"/>
                <w:iCs/>
                <w:sz w:val="22"/>
                <w:szCs w:val="22"/>
                <w:lang w:eastAsia="en-AU"/>
              </w:rPr>
              <w:t xml:space="preserve"> of the</w:t>
            </w:r>
            <w:r w:rsidRPr="00496DC3">
              <w:rPr>
                <w:rFonts w:ascii="Calibri" w:eastAsiaTheme="minorEastAsia" w:hAnsi="Calibri" w:cs="Calibri"/>
                <w:i/>
                <w:iCs/>
                <w:sz w:val="22"/>
                <w:szCs w:val="22"/>
                <w:lang w:eastAsia="en-AU"/>
              </w:rPr>
              <w:t xml:space="preserve"> Murray</w:t>
            </w:r>
            <w:r>
              <w:rPr>
                <w:rFonts w:ascii="Calibri" w:eastAsiaTheme="minorEastAsia" w:hAnsi="Calibri" w:cs="Calibri"/>
                <w:i/>
                <w:iCs/>
                <w:sz w:val="22"/>
                <w:szCs w:val="22"/>
                <w:lang w:eastAsia="en-AU"/>
              </w:rPr>
              <w:noBreakHyphen/>
            </w:r>
            <w:r w:rsidRPr="00496DC3">
              <w:rPr>
                <w:rFonts w:ascii="Calibri" w:eastAsiaTheme="minorEastAsia" w:hAnsi="Calibri" w:cs="Calibri"/>
                <w:i/>
                <w:iCs/>
                <w:sz w:val="22"/>
                <w:szCs w:val="22"/>
                <w:lang w:eastAsia="en-AU"/>
              </w:rPr>
              <w:t>Darling Basin Act 1993</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263</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sz w:val="22"/>
                <w:szCs w:val="22"/>
                <w:lang w:eastAsia="en-AU"/>
              </w:rPr>
            </w:pPr>
            <w:r w:rsidRPr="00496DC3">
              <w:rPr>
                <w:rFonts w:ascii="Calibri" w:eastAsiaTheme="minorEastAsia" w:hAnsi="Calibri" w:cs="Calibri"/>
                <w:sz w:val="22"/>
                <w:szCs w:val="22"/>
                <w:lang w:eastAsia="en-AU"/>
              </w:rPr>
              <w:t>Victorian Law Reform Commission</w:t>
            </w:r>
            <w:r>
              <w:rPr>
                <w:rFonts w:ascii="Calibri" w:eastAsiaTheme="minorEastAsia" w:hAnsi="Calibri" w:cs="Calibri"/>
                <w:sz w:val="22"/>
                <w:szCs w:val="22"/>
                <w:lang w:eastAsia="en-AU"/>
              </w:rPr>
              <w:t xml:space="preserve"> – </w:t>
            </w:r>
            <w:r w:rsidRPr="00496DC3">
              <w:rPr>
                <w:rFonts w:ascii="Calibri" w:eastAsiaTheme="minorEastAsia" w:hAnsi="Calibri" w:cs="Calibri"/>
                <w:sz w:val="22"/>
                <w:szCs w:val="22"/>
                <w:lang w:eastAsia="en-AU"/>
              </w:rPr>
              <w:t xml:space="preserve">pursuant to Section 17(b) of </w:t>
            </w:r>
            <w:r w:rsidRPr="00496DC3">
              <w:rPr>
                <w:rFonts w:ascii="Calibri" w:eastAsiaTheme="minorEastAsia" w:hAnsi="Calibri" w:cs="Calibri"/>
                <w:iCs/>
                <w:sz w:val="22"/>
                <w:szCs w:val="22"/>
                <w:lang w:eastAsia="en-AU"/>
              </w:rPr>
              <w:t xml:space="preserve">the </w:t>
            </w:r>
            <w:r w:rsidRPr="00496DC3">
              <w:rPr>
                <w:rFonts w:ascii="Calibri" w:eastAsiaTheme="minorEastAsia" w:hAnsi="Calibri" w:cs="Calibri"/>
                <w:i/>
                <w:iCs/>
                <w:sz w:val="22"/>
                <w:szCs w:val="22"/>
                <w:lang w:eastAsia="en-AU"/>
              </w:rPr>
              <w:t>Victorian Law Reform Commission Act 2000</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720</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741</w:t>
            </w:r>
          </w:p>
        </w:tc>
      </w:tr>
      <w:tr w:rsidR="00336793" w:rsidRPr="00496DC3" w:rsidTr="00DF0B96">
        <w:tc>
          <w:tcPr>
            <w:tcW w:w="7127" w:type="dxa"/>
            <w:tcBorders>
              <w:top w:val="nil"/>
              <w:left w:val="nil"/>
              <w:bottom w:val="single" w:sz="6" w:space="0" w:color="auto"/>
              <w:right w:val="nil"/>
            </w:tcBorders>
          </w:tcPr>
          <w:p w:rsidR="00336793" w:rsidRPr="00496DC3" w:rsidRDefault="00336793" w:rsidP="00DF0B96">
            <w:pPr>
              <w:autoSpaceDE w:val="0"/>
              <w:autoSpaceDN w:val="0"/>
              <w:adjustRightInd w:val="0"/>
              <w:spacing w:after="0"/>
              <w:rPr>
                <w:rFonts w:ascii="Calibri" w:eastAsiaTheme="minorEastAsia" w:hAnsi="Calibri" w:cs="Calibri"/>
                <w:i/>
                <w:iCs/>
                <w:color w:val="000000"/>
                <w:sz w:val="22"/>
                <w:szCs w:val="22"/>
                <w:lang w:eastAsia="en-AU"/>
              </w:rPr>
            </w:pPr>
            <w:r w:rsidRPr="00496DC3">
              <w:rPr>
                <w:rFonts w:ascii="Calibri" w:eastAsiaTheme="minorEastAsia" w:hAnsi="Calibri" w:cs="Calibri"/>
                <w:sz w:val="22"/>
                <w:szCs w:val="22"/>
                <w:lang w:eastAsia="en-AU"/>
              </w:rPr>
              <w:t xml:space="preserve">Payment to Regional Growth Fund pursuant to Section 4 of </w:t>
            </w:r>
            <w:r w:rsidRPr="00496DC3">
              <w:rPr>
                <w:rFonts w:ascii="Calibri" w:eastAsiaTheme="minorEastAsia" w:hAnsi="Calibri" w:cs="Calibri"/>
                <w:i/>
                <w:iCs/>
                <w:sz w:val="22"/>
                <w:szCs w:val="22"/>
                <w:lang w:eastAsia="en-AU"/>
              </w:rPr>
              <w:t>the Regional Growth Fund Act No. 8 of 2011</w:t>
            </w:r>
          </w:p>
        </w:tc>
        <w:tc>
          <w:tcPr>
            <w:tcW w:w="126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121 377</w:t>
            </w:r>
          </w:p>
        </w:tc>
        <w:tc>
          <w:tcPr>
            <w:tcW w:w="125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136 000</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Total other</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140 097</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164 766</w:t>
            </w:r>
          </w:p>
        </w:tc>
      </w:tr>
      <w:tr w:rsidR="00336793" w:rsidRPr="00496DC3" w:rsidTr="00DF0B96">
        <w:trPr>
          <w:trHeight w:hRule="exact" w:val="120"/>
        </w:trPr>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Total annual appropriations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42 191 940</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41 517 920</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Applied appropriations remaining unspent relating to the 2014</w:t>
            </w:r>
            <w:r>
              <w:rPr>
                <w:rFonts w:ascii="Calibri" w:eastAsiaTheme="minorEastAsia" w:hAnsi="Calibri" w:cs="Calibri"/>
                <w:sz w:val="22"/>
                <w:szCs w:val="22"/>
                <w:lang w:eastAsia="en-AU"/>
              </w:rPr>
              <w:noBreakHyphen/>
            </w:r>
            <w:r w:rsidRPr="00496DC3">
              <w:rPr>
                <w:rFonts w:ascii="Calibri" w:eastAsiaTheme="minorEastAsia" w:hAnsi="Calibri" w:cs="Calibri"/>
                <w:sz w:val="22"/>
                <w:szCs w:val="22"/>
                <w:lang w:eastAsia="en-AU"/>
              </w:rPr>
              <w:t xml:space="preserve">15 appropriations </w:t>
            </w:r>
          </w:p>
        </w:tc>
        <w:tc>
          <w:tcPr>
            <w:tcW w:w="126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(1 395 065)</w:t>
            </w:r>
          </w:p>
        </w:tc>
        <w:tc>
          <w:tcPr>
            <w:tcW w:w="125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2"/>
                <w:szCs w:val="22"/>
                <w:lang w:eastAsia="en-AU"/>
              </w:rPr>
              <w:t>(</w:t>
            </w:r>
            <w:r w:rsidRPr="00496DC3">
              <w:rPr>
                <w:rFonts w:ascii="Calibri" w:eastAsiaTheme="minorEastAsia" w:hAnsi="Calibri" w:cs="Calibri"/>
                <w:sz w:val="22"/>
                <w:szCs w:val="22"/>
                <w:lang w:eastAsia="en-AU"/>
              </w:rPr>
              <w:t>560 000)</w:t>
            </w:r>
          </w:p>
        </w:tc>
      </w:tr>
      <w:tr w:rsidR="00336793" w:rsidRPr="00496DC3" w:rsidTr="00DF0B96">
        <w:tc>
          <w:tcPr>
            <w:tcW w:w="7127" w:type="dxa"/>
            <w:tcBorders>
              <w:top w:val="single" w:sz="6" w:space="0" w:color="auto"/>
              <w:left w:val="nil"/>
              <w:bottom w:val="single" w:sz="6" w:space="0" w:color="auto"/>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Total payments </w:t>
            </w:r>
          </w:p>
        </w:tc>
        <w:tc>
          <w:tcPr>
            <w:tcW w:w="1260" w:type="dxa"/>
            <w:tcBorders>
              <w:top w:val="single" w:sz="6" w:space="0" w:color="auto"/>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43 977 062</w:t>
            </w:r>
          </w:p>
        </w:tc>
        <w:tc>
          <w:tcPr>
            <w:tcW w:w="1250" w:type="dxa"/>
            <w:tcBorders>
              <w:top w:val="single" w:sz="6" w:space="0" w:color="auto"/>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44 507 266</w:t>
            </w:r>
          </w:p>
        </w:tc>
      </w:tr>
      <w:tr w:rsidR="00336793" w:rsidRPr="00496DC3" w:rsidTr="00DF0B96">
        <w:trPr>
          <w:trHeight w:hRule="exact" w:val="120"/>
        </w:trPr>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sz w:val="22"/>
                <w:szCs w:val="22"/>
                <w:lang w:eastAsia="en-AU"/>
              </w:rPr>
            </w:pPr>
            <w:r w:rsidRPr="00496DC3">
              <w:rPr>
                <w:rFonts w:ascii="Calibri" w:eastAsiaTheme="minorEastAsia" w:hAnsi="Calibri" w:cs="Calibri"/>
                <w:sz w:val="22"/>
                <w:szCs w:val="22"/>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Consolidated fund balance 1 July </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447 582</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235 365</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Add total receipts for year</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44 167 911</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44 719 484</w:t>
            </w:r>
          </w:p>
        </w:tc>
      </w:tr>
      <w:tr w:rsidR="00336793" w:rsidRPr="00496DC3" w:rsidTr="00DF0B96">
        <w:tc>
          <w:tcPr>
            <w:tcW w:w="7127" w:type="dxa"/>
            <w:tcBorders>
              <w:top w:val="nil"/>
              <w:left w:val="nil"/>
              <w:bottom w:val="single" w:sz="6" w:space="0" w:color="auto"/>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Less total payments for year</w:t>
            </w:r>
          </w:p>
        </w:tc>
        <w:tc>
          <w:tcPr>
            <w:tcW w:w="126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(43 977 062)</w:t>
            </w:r>
          </w:p>
        </w:tc>
        <w:tc>
          <w:tcPr>
            <w:tcW w:w="125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(44 507 266)</w:t>
            </w:r>
          </w:p>
        </w:tc>
      </w:tr>
      <w:tr w:rsidR="00336793" w:rsidRPr="00496DC3" w:rsidTr="00DF0B96">
        <w:tc>
          <w:tcPr>
            <w:tcW w:w="7127" w:type="dxa"/>
            <w:tcBorders>
              <w:top w:val="single" w:sz="6" w:space="0" w:color="auto"/>
              <w:left w:val="nil"/>
              <w:bottom w:val="single" w:sz="12" w:space="0" w:color="auto"/>
              <w:right w:val="nil"/>
            </w:tcBorders>
          </w:tcPr>
          <w:p w:rsidR="00336793" w:rsidRPr="00496DC3" w:rsidRDefault="00336793" w:rsidP="00DF0B96">
            <w:pPr>
              <w:autoSpaceDE w:val="0"/>
              <w:autoSpaceDN w:val="0"/>
              <w:adjustRightInd w:val="0"/>
              <w:spacing w:after="0"/>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Consolidated fund balance 30 June</w:t>
            </w:r>
          </w:p>
        </w:tc>
        <w:tc>
          <w:tcPr>
            <w:tcW w:w="1260" w:type="dxa"/>
            <w:tcBorders>
              <w:top w:val="single" w:sz="6" w:space="0" w:color="auto"/>
              <w:left w:val="nil"/>
              <w:bottom w:val="single" w:sz="12"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638 431</w:t>
            </w:r>
          </w:p>
        </w:tc>
        <w:tc>
          <w:tcPr>
            <w:tcW w:w="1250" w:type="dxa"/>
            <w:tcBorders>
              <w:top w:val="single" w:sz="6" w:space="0" w:color="auto"/>
              <w:left w:val="nil"/>
              <w:bottom w:val="single" w:sz="12"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496DC3">
              <w:rPr>
                <w:rFonts w:ascii="Calibri" w:eastAsiaTheme="minorEastAsia" w:hAnsi="Calibri" w:cs="Calibri"/>
                <w:b/>
                <w:bCs/>
                <w:sz w:val="22"/>
                <w:szCs w:val="22"/>
                <w:lang w:eastAsia="en-AU"/>
              </w:rPr>
              <w:t xml:space="preserve"> 447 582</w:t>
            </w:r>
          </w:p>
        </w:tc>
      </w:tr>
      <w:tr w:rsidR="00336793" w:rsidRPr="00D96F49" w:rsidTr="00DF0B96">
        <w:tc>
          <w:tcPr>
            <w:tcW w:w="7127" w:type="dxa"/>
            <w:tcBorders>
              <w:top w:val="single" w:sz="12" w:space="0" w:color="auto"/>
              <w:left w:val="nil"/>
              <w:bottom w:val="nil"/>
              <w:right w:val="nil"/>
            </w:tcBorders>
            <w:shd w:val="solid" w:color="FFFFFF" w:fill="auto"/>
          </w:tcPr>
          <w:p w:rsidR="00336793" w:rsidRPr="00D96F49" w:rsidRDefault="00336793" w:rsidP="00D96F49">
            <w:pPr>
              <w:pStyle w:val="Notes"/>
              <w:rPr>
                <w:rFonts w:eastAsiaTheme="minorEastAsia"/>
              </w:rPr>
            </w:pPr>
            <w:r w:rsidRPr="00D96F49">
              <w:rPr>
                <w:rFonts w:eastAsiaTheme="minorEastAsia"/>
              </w:rPr>
              <w:t>Note:</w:t>
            </w:r>
          </w:p>
          <w:p w:rsidR="00336793" w:rsidRPr="00D96F49" w:rsidRDefault="00336793" w:rsidP="00D96F49">
            <w:pPr>
              <w:pStyle w:val="Notes"/>
            </w:pPr>
            <w:r w:rsidRPr="00D96F49">
              <w:t xml:space="preserve">(a) </w:t>
            </w:r>
            <w:r w:rsidRPr="00D96F49">
              <w:tab/>
              <w:t>June 2014 comparative figures have been reclassified to reflect more current information.</w:t>
            </w:r>
          </w:p>
        </w:tc>
        <w:tc>
          <w:tcPr>
            <w:tcW w:w="1260" w:type="dxa"/>
            <w:tcBorders>
              <w:top w:val="single" w:sz="12" w:space="0" w:color="auto"/>
              <w:left w:val="nil"/>
              <w:bottom w:val="nil"/>
              <w:right w:val="nil"/>
            </w:tcBorders>
            <w:shd w:val="solid" w:color="FFFFFF" w:fill="auto"/>
          </w:tcPr>
          <w:p w:rsidR="00336793" w:rsidRPr="00D96F49" w:rsidRDefault="00336793" w:rsidP="00D96F49">
            <w:pPr>
              <w:pStyle w:val="Notes"/>
              <w:rPr>
                <w:rFonts w:eastAsiaTheme="minorEastAsia"/>
              </w:rPr>
            </w:pPr>
            <w:r w:rsidRPr="00D96F49">
              <w:rPr>
                <w:rFonts w:eastAsiaTheme="minorEastAsia"/>
              </w:rPr>
              <w:t xml:space="preserve"> </w:t>
            </w:r>
          </w:p>
        </w:tc>
        <w:tc>
          <w:tcPr>
            <w:tcW w:w="1250" w:type="dxa"/>
            <w:tcBorders>
              <w:top w:val="single" w:sz="12" w:space="0" w:color="auto"/>
              <w:left w:val="nil"/>
              <w:bottom w:val="nil"/>
              <w:right w:val="nil"/>
            </w:tcBorders>
            <w:shd w:val="solid" w:color="FFFFFF" w:fill="auto"/>
          </w:tcPr>
          <w:p w:rsidR="00336793" w:rsidRPr="00D96F49" w:rsidRDefault="00336793" w:rsidP="00D96F49">
            <w:pPr>
              <w:pStyle w:val="Notes"/>
              <w:rPr>
                <w:rFonts w:eastAsiaTheme="minorEastAsia"/>
              </w:rPr>
            </w:pPr>
            <w:r w:rsidRPr="00D96F49">
              <w:rPr>
                <w:rFonts w:eastAsiaTheme="minorEastAsia"/>
              </w:rPr>
              <w:t xml:space="preserve"> </w:t>
            </w:r>
          </w:p>
        </w:tc>
      </w:tr>
      <w:tr w:rsidR="00336793" w:rsidRPr="00496DC3" w:rsidTr="00DF0B96">
        <w:trPr>
          <w:trHeight w:hRule="exact" w:val="120"/>
        </w:trPr>
        <w:tc>
          <w:tcPr>
            <w:tcW w:w="7127" w:type="dxa"/>
            <w:tcBorders>
              <w:top w:val="nil"/>
              <w:left w:val="nil"/>
              <w:bottom w:val="nil"/>
              <w:right w:val="nil"/>
            </w:tcBorders>
            <w:shd w:val="solid" w:color="FFFFFF" w:fill="auto"/>
          </w:tcPr>
          <w:p w:rsidR="00336793" w:rsidRPr="00496DC3" w:rsidRDefault="00336793" w:rsidP="00DF0B96">
            <w:pPr>
              <w:autoSpaceDE w:val="0"/>
              <w:autoSpaceDN w:val="0"/>
              <w:adjustRightInd w:val="0"/>
              <w:spacing w:after="0"/>
              <w:rPr>
                <w:rFonts w:ascii="Calibri" w:eastAsiaTheme="minorEastAsia" w:hAnsi="Calibri" w:cs="Calibri"/>
                <w:sz w:val="20"/>
                <w:lang w:eastAsia="en-AU"/>
              </w:rPr>
            </w:pPr>
            <w:r w:rsidRPr="00496DC3">
              <w:rPr>
                <w:rFonts w:ascii="Calibri" w:eastAsiaTheme="minorEastAsia" w:hAnsi="Calibri" w:cs="Calibri"/>
                <w:sz w:val="20"/>
                <w:lang w:eastAsia="en-AU"/>
              </w:rPr>
              <w:t xml:space="preserve"> </w:t>
            </w:r>
          </w:p>
        </w:tc>
        <w:tc>
          <w:tcPr>
            <w:tcW w:w="1260" w:type="dxa"/>
            <w:tcBorders>
              <w:top w:val="nil"/>
              <w:left w:val="nil"/>
              <w:bottom w:val="nil"/>
              <w:right w:val="nil"/>
            </w:tcBorders>
            <w:shd w:val="solid" w:color="FFFFFF" w:fill="auto"/>
          </w:tcPr>
          <w:p w:rsidR="00336793" w:rsidRPr="00496DC3" w:rsidRDefault="00336793" w:rsidP="00DF0B96">
            <w:pPr>
              <w:autoSpaceDE w:val="0"/>
              <w:autoSpaceDN w:val="0"/>
              <w:adjustRightInd w:val="0"/>
              <w:spacing w:after="0"/>
              <w:rPr>
                <w:rFonts w:ascii="Calibri" w:eastAsiaTheme="minorEastAsia" w:hAnsi="Calibri" w:cs="Calibri"/>
                <w:sz w:val="20"/>
                <w:lang w:eastAsia="en-AU"/>
              </w:rPr>
            </w:pPr>
          </w:p>
        </w:tc>
        <w:tc>
          <w:tcPr>
            <w:tcW w:w="1250" w:type="dxa"/>
            <w:tcBorders>
              <w:top w:val="nil"/>
              <w:left w:val="nil"/>
              <w:bottom w:val="nil"/>
              <w:right w:val="nil"/>
            </w:tcBorders>
            <w:shd w:val="solid" w:color="FFFFFF" w:fill="auto"/>
          </w:tcPr>
          <w:p w:rsidR="00336793" w:rsidRPr="00496DC3" w:rsidRDefault="00336793" w:rsidP="00DF0B96">
            <w:pPr>
              <w:autoSpaceDE w:val="0"/>
              <w:autoSpaceDN w:val="0"/>
              <w:adjustRightInd w:val="0"/>
              <w:spacing w:after="0"/>
              <w:rPr>
                <w:rFonts w:ascii="Calibri" w:eastAsiaTheme="minorEastAsia" w:hAnsi="Calibri" w:cs="Calibri"/>
                <w:sz w:val="20"/>
                <w:lang w:eastAsia="en-AU"/>
              </w:rPr>
            </w:pPr>
            <w:r w:rsidRPr="00496DC3">
              <w:rPr>
                <w:rFonts w:ascii="Calibri" w:eastAsiaTheme="minorEastAsia" w:hAnsi="Calibri" w:cs="Calibri"/>
                <w:sz w:val="20"/>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sz w:val="20"/>
                <w:lang w:eastAsia="en-AU"/>
              </w:rPr>
            </w:pPr>
            <w:r w:rsidRPr="00496DC3">
              <w:rPr>
                <w:rFonts w:ascii="Calibri" w:eastAsiaTheme="minorEastAsia" w:hAnsi="Calibri" w:cs="Calibri"/>
                <w:i/>
                <w:iCs/>
                <w:sz w:val="20"/>
                <w:lang w:eastAsia="en-AU"/>
              </w:rPr>
              <w:t>Reconciliation of unspent appropriations:</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sz w:val="20"/>
                <w:lang w:eastAsia="en-AU"/>
              </w:rPr>
            </w:pPr>
            <w:r w:rsidRPr="00496DC3">
              <w:rPr>
                <w:rFonts w:ascii="Calibri" w:eastAsiaTheme="minorEastAsia" w:hAnsi="Calibri" w:cs="Calibri"/>
                <w:i/>
                <w:iCs/>
                <w:sz w:val="20"/>
                <w:lang w:eastAsia="en-AU"/>
              </w:rPr>
              <w:t xml:space="preserve"> </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sz w:val="20"/>
                <w:lang w:eastAsia="en-AU"/>
              </w:rPr>
            </w:pPr>
            <w:r w:rsidRPr="00496DC3">
              <w:rPr>
                <w:rFonts w:ascii="Calibri" w:eastAsiaTheme="minorEastAsia" w:hAnsi="Calibri" w:cs="Calibri"/>
                <w:i/>
                <w:iCs/>
                <w:sz w:val="20"/>
                <w:lang w:eastAsia="en-AU"/>
              </w:rPr>
              <w:t xml:space="preserve"> </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sz w:val="20"/>
                <w:lang w:eastAsia="en-AU"/>
              </w:rPr>
            </w:pPr>
            <w:r w:rsidRPr="00496DC3">
              <w:rPr>
                <w:rFonts w:ascii="Calibri" w:eastAsiaTheme="minorEastAsia" w:hAnsi="Calibri" w:cs="Calibri"/>
                <w:i/>
                <w:iCs/>
                <w:sz w:val="20"/>
                <w:lang w:eastAsia="en-AU"/>
              </w:rPr>
              <w:t xml:space="preserve">   Applied appropriations unspent at end of year</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i/>
                <w:iCs/>
                <w:sz w:val="20"/>
                <w:lang w:eastAsia="en-AU"/>
              </w:rPr>
            </w:pPr>
            <w:r w:rsidRPr="00496DC3">
              <w:rPr>
                <w:rFonts w:ascii="Calibri" w:eastAsiaTheme="minorEastAsia" w:hAnsi="Calibri" w:cs="Calibri"/>
                <w:i/>
                <w:iCs/>
                <w:sz w:val="20"/>
                <w:lang w:eastAsia="en-AU"/>
              </w:rPr>
              <w:t>6 307 256</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i/>
                <w:iCs/>
                <w:sz w:val="20"/>
                <w:lang w:eastAsia="en-AU"/>
              </w:rPr>
            </w:pPr>
            <w:r w:rsidRPr="00496DC3">
              <w:rPr>
                <w:rFonts w:ascii="Calibri" w:eastAsiaTheme="minorEastAsia" w:hAnsi="Calibri" w:cs="Calibri"/>
                <w:i/>
                <w:iCs/>
                <w:sz w:val="20"/>
                <w:lang w:eastAsia="en-AU"/>
              </w:rPr>
              <w:t>5 086 470</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color w:val="000000"/>
                <w:sz w:val="20"/>
                <w:lang w:eastAsia="en-AU"/>
              </w:rPr>
            </w:pPr>
            <w:r w:rsidRPr="00496DC3">
              <w:rPr>
                <w:rFonts w:ascii="Calibri" w:eastAsiaTheme="minorEastAsia" w:hAnsi="Calibri" w:cs="Calibri"/>
                <w:i/>
                <w:iCs/>
                <w:sz w:val="20"/>
                <w:lang w:eastAsia="en-AU"/>
              </w:rPr>
              <w:t xml:space="preserve">   add payments made during the year under the </w:t>
            </w:r>
            <w:r>
              <w:rPr>
                <w:rFonts w:ascii="Calibri" w:eastAsiaTheme="minorEastAsia" w:hAnsi="Calibri" w:cs="Calibri"/>
                <w:iCs/>
                <w:sz w:val="20"/>
                <w:lang w:eastAsia="en-AU"/>
              </w:rPr>
              <w:t>Financial Management Act, No. </w:t>
            </w:r>
            <w:r w:rsidRPr="00496DC3">
              <w:rPr>
                <w:rFonts w:ascii="Calibri" w:eastAsiaTheme="minorEastAsia" w:hAnsi="Calibri" w:cs="Calibri"/>
                <w:iCs/>
                <w:sz w:val="20"/>
                <w:lang w:eastAsia="en-AU"/>
              </w:rPr>
              <w:t xml:space="preserve">18 </w:t>
            </w:r>
            <w:r w:rsidRPr="00062260">
              <w:rPr>
                <w:rFonts w:ascii="Calibri" w:eastAsiaTheme="minorEastAsia" w:hAnsi="Calibri" w:cs="Calibri"/>
                <w:iCs/>
                <w:sz w:val="20"/>
                <w:lang w:eastAsia="en-AU"/>
              </w:rPr>
              <w:t>of 1994</w:t>
            </w:r>
            <w:r w:rsidRPr="00496DC3">
              <w:rPr>
                <w:rFonts w:ascii="Calibri" w:eastAsiaTheme="minorEastAsia" w:hAnsi="Calibri" w:cs="Calibri"/>
                <w:i/>
                <w:iCs/>
                <w:sz w:val="20"/>
                <w:lang w:eastAsia="en-AU"/>
              </w:rPr>
              <w:t>, Section</w:t>
            </w:r>
            <w:r w:rsidRPr="00496DC3">
              <w:rPr>
                <w:rFonts w:ascii="Calibri" w:eastAsiaTheme="minorEastAsia" w:hAnsi="Calibri" w:cs="Calibri"/>
                <w:i/>
                <w:iCs/>
                <w:color w:val="000000"/>
                <w:sz w:val="20"/>
                <w:lang w:eastAsia="en-AU"/>
              </w:rPr>
              <w:t xml:space="preserve"> 33</w:t>
            </w:r>
          </w:p>
        </w:tc>
        <w:tc>
          <w:tcPr>
            <w:tcW w:w="126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i/>
                <w:iCs/>
                <w:sz w:val="20"/>
                <w:lang w:eastAsia="en-AU"/>
              </w:rPr>
            </w:pPr>
            <w:r w:rsidRPr="00496DC3">
              <w:rPr>
                <w:rFonts w:ascii="Calibri" w:eastAsiaTheme="minorEastAsia" w:hAnsi="Calibri" w:cs="Calibri"/>
                <w:i/>
                <w:iCs/>
                <w:sz w:val="20"/>
                <w:lang w:eastAsia="en-AU"/>
              </w:rPr>
              <w:t xml:space="preserve"> 174 279</w:t>
            </w:r>
          </w:p>
        </w:tc>
        <w:tc>
          <w:tcPr>
            <w:tcW w:w="1250" w:type="dxa"/>
            <w:tcBorders>
              <w:top w:val="nil"/>
              <w:left w:val="nil"/>
              <w:bottom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i/>
                <w:iCs/>
                <w:sz w:val="20"/>
                <w:lang w:eastAsia="en-AU"/>
              </w:rPr>
            </w:pPr>
            <w:r w:rsidRPr="00496DC3">
              <w:rPr>
                <w:rFonts w:ascii="Calibri" w:eastAsiaTheme="minorEastAsia" w:hAnsi="Calibri" w:cs="Calibri"/>
                <w:i/>
                <w:iCs/>
                <w:sz w:val="20"/>
                <w:lang w:eastAsia="en-AU"/>
              </w:rPr>
              <w:t xml:space="preserve"> 128 048</w:t>
            </w:r>
          </w:p>
        </w:tc>
      </w:tr>
      <w:tr w:rsidR="00336793" w:rsidRPr="00496DC3" w:rsidTr="00DF0B96">
        <w:tc>
          <w:tcPr>
            <w:tcW w:w="7127" w:type="dxa"/>
            <w:tcBorders>
              <w:top w:val="nil"/>
              <w:left w:val="nil"/>
              <w:bottom w:val="nil"/>
              <w:right w:val="nil"/>
            </w:tcBorders>
          </w:tcPr>
          <w:p w:rsidR="00336793" w:rsidRPr="00496DC3" w:rsidRDefault="00336793" w:rsidP="00DF0B96">
            <w:pPr>
              <w:autoSpaceDE w:val="0"/>
              <w:autoSpaceDN w:val="0"/>
              <w:adjustRightInd w:val="0"/>
              <w:spacing w:after="0"/>
              <w:rPr>
                <w:rFonts w:ascii="Calibri" w:eastAsiaTheme="minorEastAsia" w:hAnsi="Calibri" w:cs="Calibri"/>
                <w:b/>
                <w:bCs/>
                <w:i/>
                <w:iCs/>
                <w:sz w:val="20"/>
                <w:lang w:eastAsia="en-AU"/>
              </w:rPr>
            </w:pPr>
            <w:r w:rsidRPr="00496DC3">
              <w:rPr>
                <w:rFonts w:ascii="Calibri" w:eastAsiaTheme="minorEastAsia" w:hAnsi="Calibri" w:cs="Calibri"/>
                <w:b/>
                <w:bCs/>
                <w:i/>
                <w:iCs/>
                <w:sz w:val="20"/>
                <w:lang w:eastAsia="en-AU"/>
              </w:rPr>
              <w:t xml:space="preserve">   Subtotal</w:t>
            </w:r>
          </w:p>
        </w:tc>
        <w:tc>
          <w:tcPr>
            <w:tcW w:w="126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i/>
                <w:iCs/>
                <w:sz w:val="20"/>
                <w:lang w:eastAsia="en-AU"/>
              </w:rPr>
            </w:pPr>
            <w:r w:rsidRPr="00496DC3">
              <w:rPr>
                <w:rFonts w:ascii="Calibri" w:eastAsiaTheme="minorEastAsia" w:hAnsi="Calibri" w:cs="Calibri"/>
                <w:i/>
                <w:iCs/>
                <w:sz w:val="20"/>
                <w:lang w:eastAsia="en-AU"/>
              </w:rPr>
              <w:t>6 481 535</w:t>
            </w:r>
          </w:p>
        </w:tc>
        <w:tc>
          <w:tcPr>
            <w:tcW w:w="1250" w:type="dxa"/>
            <w:tcBorders>
              <w:top w:val="nil"/>
              <w:left w:val="nil"/>
              <w:bottom w:val="single" w:sz="6" w:space="0" w:color="auto"/>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i/>
                <w:iCs/>
                <w:sz w:val="20"/>
                <w:lang w:eastAsia="en-AU"/>
              </w:rPr>
            </w:pPr>
            <w:r w:rsidRPr="00496DC3">
              <w:rPr>
                <w:rFonts w:ascii="Calibri" w:eastAsiaTheme="minorEastAsia" w:hAnsi="Calibri" w:cs="Calibri"/>
                <w:i/>
                <w:iCs/>
                <w:sz w:val="20"/>
                <w:lang w:eastAsia="en-AU"/>
              </w:rPr>
              <w:t>5 214 518</w:t>
            </w:r>
          </w:p>
        </w:tc>
      </w:tr>
      <w:tr w:rsidR="00336793" w:rsidRPr="00496DC3" w:rsidTr="00DF0B96">
        <w:tc>
          <w:tcPr>
            <w:tcW w:w="7127" w:type="dxa"/>
            <w:tcBorders>
              <w:top w:val="nil"/>
              <w:left w:val="nil"/>
              <w:right w:val="nil"/>
            </w:tcBorders>
          </w:tcPr>
          <w:p w:rsidR="00336793" w:rsidRPr="00496DC3" w:rsidRDefault="00336793" w:rsidP="00DF0B96">
            <w:pPr>
              <w:autoSpaceDE w:val="0"/>
              <w:autoSpaceDN w:val="0"/>
              <w:adjustRightInd w:val="0"/>
              <w:spacing w:after="0"/>
              <w:rPr>
                <w:rFonts w:ascii="Calibri" w:eastAsiaTheme="minorEastAsia" w:hAnsi="Calibri" w:cs="Calibri"/>
                <w:i/>
                <w:iCs/>
                <w:sz w:val="20"/>
                <w:lang w:eastAsia="en-AU"/>
              </w:rPr>
            </w:pPr>
            <w:r w:rsidRPr="00496DC3">
              <w:rPr>
                <w:rFonts w:ascii="Calibri" w:eastAsiaTheme="minorEastAsia" w:hAnsi="Calibri" w:cs="Calibri"/>
                <w:i/>
                <w:iCs/>
                <w:sz w:val="20"/>
                <w:lang w:eastAsia="en-AU"/>
              </w:rPr>
              <w:t xml:space="preserve">   less applied appropriations unspent at beginning of year</w:t>
            </w:r>
          </w:p>
        </w:tc>
        <w:tc>
          <w:tcPr>
            <w:tcW w:w="1260" w:type="dxa"/>
            <w:tcBorders>
              <w:top w:val="nil"/>
              <w:left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i/>
                <w:iCs/>
                <w:sz w:val="20"/>
                <w:lang w:eastAsia="en-AU"/>
              </w:rPr>
            </w:pPr>
            <w:r w:rsidRPr="00496DC3">
              <w:rPr>
                <w:rFonts w:ascii="Calibri" w:eastAsiaTheme="minorEastAsia" w:hAnsi="Calibri" w:cs="Calibri"/>
                <w:i/>
                <w:iCs/>
                <w:sz w:val="20"/>
                <w:lang w:eastAsia="en-AU"/>
              </w:rPr>
              <w:t>(5 086 470)</w:t>
            </w:r>
          </w:p>
        </w:tc>
        <w:tc>
          <w:tcPr>
            <w:tcW w:w="1250" w:type="dxa"/>
            <w:tcBorders>
              <w:top w:val="nil"/>
              <w:left w:val="nil"/>
              <w:right w:val="nil"/>
            </w:tcBorders>
          </w:tcPr>
          <w:p w:rsidR="00336793" w:rsidRPr="00496DC3" w:rsidRDefault="00336793" w:rsidP="00DF0B96">
            <w:pPr>
              <w:autoSpaceDE w:val="0"/>
              <w:autoSpaceDN w:val="0"/>
              <w:adjustRightInd w:val="0"/>
              <w:spacing w:after="0"/>
              <w:jc w:val="right"/>
              <w:rPr>
                <w:rFonts w:ascii="Calibri" w:eastAsiaTheme="minorEastAsia" w:hAnsi="Calibri" w:cs="Calibri"/>
                <w:i/>
                <w:iCs/>
                <w:sz w:val="20"/>
                <w:lang w:eastAsia="en-AU"/>
              </w:rPr>
            </w:pPr>
            <w:r w:rsidRPr="00496DC3">
              <w:rPr>
                <w:rFonts w:ascii="Calibri" w:eastAsiaTheme="minorEastAsia" w:hAnsi="Calibri" w:cs="Calibri"/>
                <w:i/>
                <w:iCs/>
                <w:sz w:val="20"/>
                <w:lang w:eastAsia="en-AU"/>
              </w:rPr>
              <w:t>(4 654 518)</w:t>
            </w:r>
          </w:p>
        </w:tc>
      </w:tr>
      <w:tr w:rsidR="00336793" w:rsidRPr="00496DC3" w:rsidTr="00DF0B96">
        <w:tc>
          <w:tcPr>
            <w:tcW w:w="7127" w:type="dxa"/>
            <w:tcBorders>
              <w:top w:val="nil"/>
              <w:left w:val="nil"/>
              <w:bottom w:val="nil"/>
              <w:right w:val="nil"/>
            </w:tcBorders>
            <w:shd w:val="clear" w:color="auto" w:fill="auto"/>
          </w:tcPr>
          <w:p w:rsidR="00336793" w:rsidRPr="00496DC3" w:rsidRDefault="00336793" w:rsidP="00DF0B96">
            <w:pPr>
              <w:autoSpaceDE w:val="0"/>
              <w:autoSpaceDN w:val="0"/>
              <w:adjustRightInd w:val="0"/>
              <w:spacing w:after="0"/>
              <w:rPr>
                <w:rFonts w:ascii="Calibri" w:eastAsiaTheme="minorEastAsia" w:hAnsi="Calibri" w:cs="Calibri"/>
                <w:i/>
                <w:iCs/>
                <w:sz w:val="20"/>
                <w:lang w:eastAsia="en-AU"/>
              </w:rPr>
            </w:pPr>
            <w:r w:rsidRPr="00496DC3">
              <w:rPr>
                <w:rFonts w:ascii="Calibri" w:eastAsiaTheme="minorEastAsia" w:hAnsi="Calibri" w:cs="Calibri"/>
                <w:i/>
                <w:iCs/>
                <w:sz w:val="20"/>
                <w:lang w:eastAsia="en-AU"/>
              </w:rPr>
              <w:t xml:space="preserve">   Current year appropriations remaining unspent as at 30 June </w:t>
            </w:r>
          </w:p>
        </w:tc>
        <w:tc>
          <w:tcPr>
            <w:tcW w:w="1260" w:type="dxa"/>
            <w:tcBorders>
              <w:top w:val="nil"/>
              <w:left w:val="nil"/>
              <w:bottom w:val="single" w:sz="4" w:space="0" w:color="auto"/>
              <w:right w:val="nil"/>
            </w:tcBorders>
            <w:shd w:val="clear" w:color="auto" w:fill="auto"/>
          </w:tcPr>
          <w:p w:rsidR="00336793" w:rsidRPr="00496DC3" w:rsidRDefault="00336793" w:rsidP="00DF0B96">
            <w:pPr>
              <w:autoSpaceDE w:val="0"/>
              <w:autoSpaceDN w:val="0"/>
              <w:adjustRightInd w:val="0"/>
              <w:spacing w:after="0"/>
              <w:jc w:val="right"/>
              <w:rPr>
                <w:rFonts w:ascii="Calibri" w:eastAsiaTheme="minorEastAsia" w:hAnsi="Calibri" w:cs="Calibri"/>
                <w:i/>
                <w:iCs/>
                <w:sz w:val="20"/>
                <w:lang w:eastAsia="en-AU"/>
              </w:rPr>
            </w:pPr>
            <w:r w:rsidRPr="00496DC3">
              <w:rPr>
                <w:rFonts w:ascii="Calibri" w:eastAsiaTheme="minorEastAsia" w:hAnsi="Calibri" w:cs="Calibri"/>
                <w:i/>
                <w:iCs/>
                <w:sz w:val="20"/>
                <w:lang w:eastAsia="en-AU"/>
              </w:rPr>
              <w:t>1 395 065</w:t>
            </w:r>
          </w:p>
        </w:tc>
        <w:tc>
          <w:tcPr>
            <w:tcW w:w="1250" w:type="dxa"/>
            <w:tcBorders>
              <w:top w:val="nil"/>
              <w:left w:val="nil"/>
              <w:bottom w:val="single" w:sz="4" w:space="0" w:color="auto"/>
              <w:right w:val="nil"/>
            </w:tcBorders>
            <w:shd w:val="clear" w:color="auto" w:fill="auto"/>
          </w:tcPr>
          <w:p w:rsidR="00336793" w:rsidRPr="00496DC3" w:rsidRDefault="00336793" w:rsidP="00DF0B96">
            <w:pPr>
              <w:autoSpaceDE w:val="0"/>
              <w:autoSpaceDN w:val="0"/>
              <w:adjustRightInd w:val="0"/>
              <w:spacing w:after="0"/>
              <w:jc w:val="right"/>
              <w:rPr>
                <w:rFonts w:ascii="Calibri" w:eastAsiaTheme="minorEastAsia" w:hAnsi="Calibri" w:cs="Calibri"/>
                <w:i/>
                <w:iCs/>
                <w:sz w:val="20"/>
                <w:lang w:eastAsia="en-AU"/>
              </w:rPr>
            </w:pPr>
            <w:r w:rsidRPr="00496DC3">
              <w:rPr>
                <w:rFonts w:ascii="Calibri" w:eastAsiaTheme="minorEastAsia" w:hAnsi="Calibri" w:cs="Calibri"/>
                <w:i/>
                <w:iCs/>
                <w:sz w:val="20"/>
                <w:lang w:eastAsia="en-AU"/>
              </w:rPr>
              <w:t xml:space="preserve"> 560 000</w:t>
            </w:r>
          </w:p>
        </w:tc>
      </w:tr>
    </w:tbl>
    <w:p w:rsidR="00336793" w:rsidRDefault="00336793" w:rsidP="00DF0B96">
      <w:pPr>
        <w:pStyle w:val="Notes"/>
      </w:pPr>
    </w:p>
    <w:p w:rsidR="00336793" w:rsidRPr="006A75A2" w:rsidRDefault="00336793" w:rsidP="00DF0B96">
      <w:pPr>
        <w:pStyle w:val="Notes"/>
      </w:pPr>
    </w:p>
    <w:p w:rsidR="00336793" w:rsidRDefault="00336793" w:rsidP="00DF0B96">
      <w:pPr>
        <w:spacing w:after="0"/>
        <w:rPr>
          <w:rFonts w:ascii="Calibri" w:hAnsi="Calibri"/>
          <w:b/>
          <w:sz w:val="25"/>
        </w:rPr>
      </w:pPr>
      <w:r>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(b)</w:t>
      </w:r>
      <w:r w:rsidRPr="006A75A2">
        <w:tab/>
        <w:t>Consolidated fund gross receipts for the financial year ended 30 June</w:t>
      </w:r>
    </w:p>
    <w:p w:rsidR="00336793" w:rsidRPr="00496DC3" w:rsidRDefault="00336793" w:rsidP="00DF0B96">
      <w:pPr>
        <w:pStyle w:val="million"/>
        <w:rPr>
          <w:rFonts w:ascii="Times New Roman" w:hAnsi="Times New Roman"/>
          <w:i w:val="0"/>
          <w:szCs w:val="20"/>
          <w:lang w:eastAsia="en-AU"/>
        </w:rPr>
      </w:pPr>
      <w:r w:rsidRPr="006A75A2">
        <w:t>($</w:t>
      </w:r>
      <w:r>
        <w:t> thousand</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6277"/>
        <w:gridCol w:w="1120"/>
        <w:gridCol w:w="1120"/>
        <w:gridCol w:w="1120"/>
      </w:tblGrid>
      <w:tr w:rsidR="00336793" w:rsidRPr="00496DC3" w:rsidTr="00DF0B96">
        <w:trPr>
          <w:tblHeader/>
        </w:trPr>
        <w:tc>
          <w:tcPr>
            <w:tcW w:w="6277" w:type="dxa"/>
            <w:tcBorders>
              <w:top w:val="single" w:sz="6" w:space="0" w:color="auto"/>
              <w:left w:val="single" w:sz="6" w:space="0" w:color="auto"/>
              <w:bottom w:val="nil"/>
              <w:right w:val="nil"/>
            </w:tcBorders>
            <w:shd w:val="clear" w:color="000000" w:fill="000000"/>
            <w:vAlign w:val="bottom"/>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w:t>
            </w:r>
          </w:p>
        </w:tc>
        <w:tc>
          <w:tcPr>
            <w:tcW w:w="1120" w:type="dxa"/>
            <w:tcBorders>
              <w:top w:val="single" w:sz="6" w:space="0" w:color="auto"/>
              <w:left w:val="nil"/>
              <w:bottom w:val="nil"/>
              <w:right w:val="nil"/>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Estimate</w:t>
            </w:r>
          </w:p>
        </w:tc>
        <w:tc>
          <w:tcPr>
            <w:tcW w:w="1120" w:type="dxa"/>
            <w:tcBorders>
              <w:top w:val="single" w:sz="6" w:space="0" w:color="auto"/>
              <w:left w:val="nil"/>
              <w:bottom w:val="nil"/>
              <w:right w:val="nil"/>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Actual</w:t>
            </w:r>
          </w:p>
        </w:tc>
        <w:tc>
          <w:tcPr>
            <w:tcW w:w="1120" w:type="dxa"/>
            <w:tcBorders>
              <w:top w:val="single" w:sz="6" w:space="0" w:color="auto"/>
              <w:left w:val="nil"/>
              <w:bottom w:val="nil"/>
              <w:right w:val="single" w:sz="6" w:space="0" w:color="auto"/>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 xml:space="preserve">Actual </w:t>
            </w:r>
          </w:p>
        </w:tc>
      </w:tr>
      <w:tr w:rsidR="00336793" w:rsidRPr="00496DC3" w:rsidTr="00DF0B96">
        <w:trPr>
          <w:tblHeader/>
        </w:trPr>
        <w:tc>
          <w:tcPr>
            <w:tcW w:w="6277" w:type="dxa"/>
            <w:tcBorders>
              <w:top w:val="nil"/>
              <w:left w:val="single" w:sz="6" w:space="0" w:color="auto"/>
              <w:bottom w:val="single" w:sz="6" w:space="0" w:color="auto"/>
              <w:right w:val="nil"/>
            </w:tcBorders>
            <w:shd w:val="clear" w:color="000000" w:fill="000000"/>
            <w:vAlign w:val="bottom"/>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w:t>
            </w:r>
          </w:p>
        </w:tc>
        <w:tc>
          <w:tcPr>
            <w:tcW w:w="1120" w:type="dxa"/>
            <w:tcBorders>
              <w:top w:val="nil"/>
              <w:left w:val="nil"/>
              <w:bottom w:val="single" w:sz="6" w:space="0" w:color="auto"/>
              <w:right w:val="nil"/>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2014</w:t>
            </w:r>
          </w:p>
        </w:tc>
      </w:tr>
      <w:tr w:rsidR="00336793" w:rsidRPr="00496DC3" w:rsidTr="00DF0B96">
        <w:tc>
          <w:tcPr>
            <w:tcW w:w="6277" w:type="dxa"/>
            <w:tcBorders>
              <w:top w:val="single" w:sz="6" w:space="0" w:color="auto"/>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Operating activities</w:t>
            </w:r>
          </w:p>
        </w:tc>
        <w:tc>
          <w:tcPr>
            <w:tcW w:w="1120" w:type="dxa"/>
            <w:tcBorders>
              <w:top w:val="single" w:sz="6" w:space="0" w:color="auto"/>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w:t>
            </w:r>
          </w:p>
        </w:tc>
        <w:tc>
          <w:tcPr>
            <w:tcW w:w="1120" w:type="dxa"/>
            <w:tcBorders>
              <w:top w:val="single" w:sz="6" w:space="0" w:color="auto"/>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w:t>
            </w:r>
          </w:p>
        </w:tc>
        <w:tc>
          <w:tcPr>
            <w:tcW w:w="1120" w:type="dxa"/>
            <w:tcBorders>
              <w:top w:val="single" w:sz="6" w:space="0" w:color="auto"/>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Taxation</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Payroll Tax</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5 682 505</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5 681 309</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5 480 607</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Land tax</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1 903 600</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1 737 950</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1 631 034</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Fire Services Property Levy</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626 451</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588 478</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630 631</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Congestion levy</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122 336</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110 603</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83 852</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Duties from financial and capital transactions</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Land transfer duty</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4 615 302</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4 986 897</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4 058 770</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Other property duties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2 897</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2 825</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4 394</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Financial accommodation levy</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151 001</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104 512</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115 334</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Growth Areas Infrastructure Contribution</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30 511</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40 373</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18 872</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Levies on statutory corporations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112 509</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111 946</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111 980</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Gambling</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Public lotteries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466 642</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422 574</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422 704</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Electronic gaming machines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876 143</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785 162</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767 020</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Casino taxes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224 574</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175 981</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208 667</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Racing</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53 708</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45 641</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14 184</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vertAlign w:val="superscript"/>
                <w:lang w:eastAsia="en-AU"/>
              </w:rPr>
            </w:pPr>
            <w:r w:rsidRPr="00496DC3">
              <w:rPr>
                <w:rFonts w:eastAsiaTheme="minorEastAsia"/>
                <w:lang w:eastAsia="en-AU"/>
              </w:rPr>
              <w:t xml:space="preserve">    Other gambling</w:t>
            </w:r>
            <w:r w:rsidRPr="00E96950">
              <w:rPr>
                <w:rFonts w:eastAsiaTheme="minorEastAsia"/>
                <w:vertAlign w:val="superscript"/>
                <w:lang w:eastAsia="en-AU"/>
              </w:rPr>
              <w:t xml:space="preserve"> (</w:t>
            </w:r>
            <w:r w:rsidRPr="00496DC3">
              <w:rPr>
                <w:rFonts w:eastAsiaTheme="minorEastAsia"/>
                <w:vertAlign w:val="superscript"/>
                <w:lang w:eastAsia="en-AU"/>
              </w:rPr>
              <w:t>a)</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116 437</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599 069</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111 091</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Insurance</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1 094 410</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1 085 533</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1 061 025</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Motor vehicle</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cs="Calibri"/>
                <w:i/>
                <w:iCs/>
                <w:color w:val="000000"/>
                <w:szCs w:val="22"/>
                <w:lang w:eastAsia="en-AU"/>
              </w:rPr>
            </w:pPr>
            <w:r w:rsidRPr="00496DC3">
              <w:rPr>
                <w:rFonts w:eastAsiaTheme="minorEastAsia"/>
                <w:lang w:eastAsia="en-AU"/>
              </w:rPr>
              <w:t xml:space="preserve">    Registration fees pursuant to the </w:t>
            </w:r>
            <w:r w:rsidRPr="00496DC3">
              <w:rPr>
                <w:rFonts w:eastAsiaTheme="minorEastAsia"/>
                <w:i/>
                <w:iCs/>
                <w:lang w:eastAsia="en-AU"/>
              </w:rPr>
              <w:t xml:space="preserve">Road Safety Act, No. 127 of </w:t>
            </w:r>
            <w:r w:rsidRPr="00496DC3">
              <w:rPr>
                <w:rFonts w:eastAsiaTheme="minorEastAsia" w:cs="Calibri"/>
                <w:i/>
                <w:iCs/>
                <w:color w:val="000000"/>
                <w:szCs w:val="22"/>
                <w:lang w:eastAsia="en-AU"/>
              </w:rPr>
              <w:t>1986</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1 429 727</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1 405 080</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1 238 376</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Stamp duty on vehicle transfers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713 990</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720 118</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663 093</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Franchise fees</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Liquor </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22 434</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22 544</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23 310</w:t>
            </w:r>
          </w:p>
        </w:tc>
      </w:tr>
      <w:tr w:rsidR="00336793" w:rsidRPr="00496DC3" w:rsidTr="00DF0B96">
        <w:tc>
          <w:tcPr>
            <w:tcW w:w="6277" w:type="dxa"/>
            <w:tcBorders>
              <w:top w:val="nil"/>
              <w:left w:val="nil"/>
              <w:bottom w:val="single" w:sz="6" w:space="0" w:color="auto"/>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Other taxes</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110 030</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30 735</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289 349</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Total taxation</w:t>
            </w:r>
            <w:r w:rsidRPr="00E96950">
              <w:rPr>
                <w:rFonts w:eastAsiaTheme="minorEastAsia"/>
                <w:b/>
                <w:bCs/>
                <w:vertAlign w:val="superscript"/>
                <w:lang w:eastAsia="en-AU"/>
              </w:rPr>
              <w:t xml:space="preserve"> (</w:t>
            </w:r>
            <w:r w:rsidRPr="00496DC3">
              <w:rPr>
                <w:rFonts w:eastAsiaTheme="minorEastAsia"/>
                <w:b/>
                <w:bCs/>
                <w:vertAlign w:val="superscript"/>
                <w:lang w:eastAsia="en-AU"/>
              </w:rPr>
              <w:t>a)</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18 355 208</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18 657 330</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16 934 292</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Fines and regulatory fees</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Fines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384 361</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306 547</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232 168</w:t>
            </w:r>
          </w:p>
        </w:tc>
      </w:tr>
      <w:tr w:rsidR="00336793" w:rsidRPr="00496DC3" w:rsidTr="00DF0B96">
        <w:tc>
          <w:tcPr>
            <w:tcW w:w="6277" w:type="dxa"/>
            <w:tcBorders>
              <w:top w:val="nil"/>
              <w:left w:val="nil"/>
              <w:bottom w:val="single" w:sz="6" w:space="0" w:color="auto"/>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Regulatory fees</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472 354</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528 715</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526 193</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Total fines and regulatory fees</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856 715</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835 262</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758 361</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vertAlign w:val="superscript"/>
                <w:lang w:eastAsia="en-AU"/>
              </w:rPr>
            </w:pPr>
            <w:r w:rsidRPr="00496DC3">
              <w:rPr>
                <w:rFonts w:eastAsiaTheme="minorEastAsia"/>
                <w:b/>
                <w:bCs/>
                <w:lang w:eastAsia="en-AU"/>
              </w:rPr>
              <w:t>Grants received</w:t>
            </w:r>
            <w:r w:rsidRPr="00E96950">
              <w:rPr>
                <w:rFonts w:eastAsiaTheme="minorEastAsia"/>
                <w:b/>
                <w:bCs/>
                <w:vertAlign w:val="superscript"/>
                <w:lang w:eastAsia="en-AU"/>
              </w:rPr>
              <w:t xml:space="preserve"> (</w:t>
            </w:r>
            <w:r w:rsidRPr="00496DC3">
              <w:rPr>
                <w:rFonts w:eastAsiaTheme="minorEastAsia"/>
                <w:b/>
                <w:bCs/>
                <w:vertAlign w:val="superscript"/>
                <w:lang w:eastAsia="en-AU"/>
              </w:rPr>
              <w:t>b)</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Economic Development, Jobs, Transport and Resources </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6 250</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357</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Environment, Land, Water and Planning </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24 854</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36 035</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45 633</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Health and Human Services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25 304</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43 003</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40 451</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Human Services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3 072</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908</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3 249</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Justice and Regulation</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5 314</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2 100</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2 000</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Premier and Cabinet</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2 727</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Treasury and Finance </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17 110 206</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15 813 053</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18 004 910</w:t>
            </w:r>
          </w:p>
        </w:tc>
      </w:tr>
      <w:tr w:rsidR="00336793" w:rsidRPr="00496DC3" w:rsidTr="00DF0B96">
        <w:tc>
          <w:tcPr>
            <w:tcW w:w="6277" w:type="dxa"/>
            <w:tcBorders>
              <w:top w:val="single" w:sz="6" w:space="0" w:color="auto"/>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Total grants received</w:t>
            </w:r>
          </w:p>
        </w:tc>
        <w:tc>
          <w:tcPr>
            <w:tcW w:w="1120" w:type="dxa"/>
            <w:tcBorders>
              <w:top w:val="single" w:sz="6" w:space="0" w:color="auto"/>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17 174 999</w:t>
            </w:r>
          </w:p>
        </w:tc>
        <w:tc>
          <w:tcPr>
            <w:tcW w:w="1120" w:type="dxa"/>
            <w:tcBorders>
              <w:top w:val="single" w:sz="6" w:space="0" w:color="auto"/>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15 897 827</w:t>
            </w:r>
          </w:p>
        </w:tc>
        <w:tc>
          <w:tcPr>
            <w:tcW w:w="1120" w:type="dxa"/>
            <w:tcBorders>
              <w:top w:val="single" w:sz="6" w:space="0" w:color="auto"/>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18 096 600</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Sales of goods and services</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Capital asset charge</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4 433 256</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4 382 633</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4 212 639</w:t>
            </w:r>
          </w:p>
        </w:tc>
      </w:tr>
      <w:tr w:rsidR="00336793" w:rsidRPr="00496DC3" w:rsidTr="00DF0B96">
        <w:tc>
          <w:tcPr>
            <w:tcW w:w="6277" w:type="dxa"/>
            <w:tcBorders>
              <w:top w:val="nil"/>
              <w:left w:val="nil"/>
              <w:bottom w:val="single" w:sz="6" w:space="0" w:color="auto"/>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Other sales of goods and services</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1 033 696</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1 064 074</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966 721</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Total sales of goods and services</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5 466 952</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5 446 707</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5 179 361</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Interest received</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513 871</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517 718</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533 301</w:t>
            </w:r>
          </w:p>
        </w:tc>
      </w:tr>
    </w:tbl>
    <w:p w:rsidR="00336793" w:rsidRDefault="00336793">
      <w:pPr>
        <w:spacing w:after="0"/>
        <w:rPr>
          <w:rFonts w:ascii="Calibri" w:hAnsi="Calibri"/>
          <w:b/>
          <w:sz w:val="25"/>
        </w:rPr>
      </w:pPr>
      <w:r>
        <w:br w:type="page"/>
      </w:r>
    </w:p>
    <w:p w:rsidR="00336793" w:rsidRPr="006A75A2" w:rsidRDefault="00336793" w:rsidP="00146F9C">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Default="00336793" w:rsidP="00146F9C">
      <w:pPr>
        <w:pStyle w:val="Tableheadingcontinued"/>
      </w:pPr>
      <w:r>
        <w:t>(b)</w:t>
      </w:r>
      <w:r>
        <w:tab/>
        <w:t xml:space="preserve">Consolidated fund gross receipts for the financial year ended 30 June </w:t>
      </w:r>
      <w:r w:rsidRPr="00146F9C">
        <w:rPr>
          <w:i/>
        </w:rPr>
        <w:t>(continued)</w:t>
      </w:r>
    </w:p>
    <w:p w:rsidR="00336793" w:rsidRDefault="00336793" w:rsidP="00146F9C">
      <w:pPr>
        <w:pStyle w:val="million"/>
      </w:pP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6277"/>
        <w:gridCol w:w="1120"/>
        <w:gridCol w:w="1120"/>
        <w:gridCol w:w="1120"/>
      </w:tblGrid>
      <w:tr w:rsidR="00336793" w:rsidRPr="00496DC3" w:rsidTr="00DF0B96">
        <w:trPr>
          <w:tblHeader/>
        </w:trPr>
        <w:tc>
          <w:tcPr>
            <w:tcW w:w="6277" w:type="dxa"/>
            <w:tcBorders>
              <w:top w:val="single" w:sz="6" w:space="0" w:color="auto"/>
              <w:left w:val="single" w:sz="6" w:space="0" w:color="auto"/>
              <w:bottom w:val="nil"/>
              <w:right w:val="nil"/>
            </w:tcBorders>
            <w:shd w:val="clear" w:color="000000" w:fill="000000"/>
            <w:vAlign w:val="bottom"/>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w:t>
            </w:r>
          </w:p>
        </w:tc>
        <w:tc>
          <w:tcPr>
            <w:tcW w:w="1120" w:type="dxa"/>
            <w:tcBorders>
              <w:top w:val="single" w:sz="6" w:space="0" w:color="auto"/>
              <w:left w:val="nil"/>
              <w:bottom w:val="nil"/>
              <w:right w:val="nil"/>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Estimate</w:t>
            </w:r>
          </w:p>
        </w:tc>
        <w:tc>
          <w:tcPr>
            <w:tcW w:w="1120" w:type="dxa"/>
            <w:tcBorders>
              <w:top w:val="single" w:sz="6" w:space="0" w:color="auto"/>
              <w:left w:val="nil"/>
              <w:bottom w:val="nil"/>
              <w:right w:val="nil"/>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Actual</w:t>
            </w:r>
          </w:p>
        </w:tc>
        <w:tc>
          <w:tcPr>
            <w:tcW w:w="1120" w:type="dxa"/>
            <w:tcBorders>
              <w:top w:val="single" w:sz="6" w:space="0" w:color="auto"/>
              <w:left w:val="nil"/>
              <w:bottom w:val="nil"/>
              <w:right w:val="single" w:sz="6" w:space="0" w:color="auto"/>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 xml:space="preserve">Actual </w:t>
            </w:r>
          </w:p>
        </w:tc>
      </w:tr>
      <w:tr w:rsidR="00336793" w:rsidRPr="00496DC3" w:rsidTr="00DF0B96">
        <w:trPr>
          <w:tblHeader/>
        </w:trPr>
        <w:tc>
          <w:tcPr>
            <w:tcW w:w="6277" w:type="dxa"/>
            <w:tcBorders>
              <w:top w:val="nil"/>
              <w:left w:val="single" w:sz="6" w:space="0" w:color="auto"/>
              <w:bottom w:val="single" w:sz="6" w:space="0" w:color="auto"/>
              <w:right w:val="nil"/>
            </w:tcBorders>
            <w:shd w:val="clear" w:color="000000" w:fill="000000"/>
            <w:vAlign w:val="bottom"/>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w:t>
            </w:r>
          </w:p>
        </w:tc>
        <w:tc>
          <w:tcPr>
            <w:tcW w:w="1120" w:type="dxa"/>
            <w:tcBorders>
              <w:top w:val="nil"/>
              <w:left w:val="nil"/>
              <w:bottom w:val="single" w:sz="6" w:space="0" w:color="auto"/>
              <w:right w:val="nil"/>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496DC3" w:rsidRDefault="00336793" w:rsidP="00DF0B96">
            <w:pPr>
              <w:pStyle w:val="Tabletextheading"/>
              <w:rPr>
                <w:rFonts w:eastAsiaTheme="minorEastAsia"/>
                <w:iCs/>
                <w:color w:val="FFFFFF"/>
                <w:lang w:eastAsia="en-AU"/>
              </w:rPr>
            </w:pPr>
            <w:r w:rsidRPr="00496DC3">
              <w:rPr>
                <w:rFonts w:eastAsiaTheme="minorEastAsia"/>
                <w:iCs/>
                <w:color w:val="FFFFFF"/>
                <w:lang w:eastAsia="en-AU"/>
              </w:rPr>
              <w:t>2014</w:t>
            </w:r>
          </w:p>
        </w:tc>
      </w:tr>
      <w:tr w:rsidR="00336793" w:rsidRPr="00496DC3" w:rsidTr="00DF0B96">
        <w:tc>
          <w:tcPr>
            <w:tcW w:w="6277" w:type="dxa"/>
            <w:tcBorders>
              <w:top w:val="nil"/>
              <w:left w:val="nil"/>
              <w:bottom w:val="nil"/>
              <w:right w:val="nil"/>
            </w:tcBorders>
          </w:tcPr>
          <w:p w:rsidR="00336793" w:rsidRPr="00496DC3" w:rsidRDefault="00336793" w:rsidP="00146F9C">
            <w:pPr>
              <w:pStyle w:val="Tabletext"/>
              <w:ind w:left="187" w:hanging="187"/>
              <w:rPr>
                <w:rFonts w:eastAsiaTheme="minorEastAsia"/>
                <w:b/>
                <w:bCs/>
                <w:lang w:eastAsia="en-AU"/>
              </w:rPr>
            </w:pPr>
            <w:r w:rsidRPr="00496DC3">
              <w:rPr>
                <w:rFonts w:eastAsiaTheme="minorEastAsia"/>
                <w:b/>
                <w:bCs/>
                <w:lang w:eastAsia="en-AU"/>
              </w:rPr>
              <w:t>Dividends and income tax equivalent and rate equivalent revenue</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Dividends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414 005</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822 267</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383 554</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Income tax equivalent revenue</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159 291</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180 715</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183 590</w:t>
            </w:r>
          </w:p>
        </w:tc>
      </w:tr>
      <w:tr w:rsidR="00336793" w:rsidRPr="00496DC3" w:rsidTr="00DF0B96">
        <w:tc>
          <w:tcPr>
            <w:tcW w:w="6277" w:type="dxa"/>
            <w:tcBorders>
              <w:top w:val="nil"/>
              <w:left w:val="nil"/>
              <w:bottom w:val="single" w:sz="6" w:space="0" w:color="auto"/>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Local government tax equivalent revenue</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5 711</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1 234</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4 666</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Total dividends and income tax equivalent and rate equivalent revenue</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579 007</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1 004 217</w:t>
            </w:r>
          </w:p>
        </w:tc>
        <w:tc>
          <w:tcPr>
            <w:tcW w:w="1120" w:type="dxa"/>
            <w:tcBorders>
              <w:top w:val="nil"/>
              <w:left w:val="nil"/>
              <w:bottom w:val="nil"/>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571 810</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Other receipts</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Land rent received</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16 645</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21 027</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20 407</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Royalties received</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49 617</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44 215</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52 366</w:t>
            </w:r>
          </w:p>
        </w:tc>
      </w:tr>
      <w:tr w:rsidR="00336793" w:rsidRPr="00496DC3" w:rsidTr="00DF0B96">
        <w:tc>
          <w:tcPr>
            <w:tcW w:w="6277" w:type="dxa"/>
            <w:tcBorders>
              <w:top w:val="nil"/>
              <w:left w:val="nil"/>
              <w:bottom w:val="single" w:sz="6" w:space="0" w:color="auto"/>
              <w:right w:val="nil"/>
            </w:tcBorders>
          </w:tcPr>
          <w:p w:rsidR="00336793" w:rsidRPr="00496DC3" w:rsidRDefault="00336793" w:rsidP="00DF0B96">
            <w:pPr>
              <w:pStyle w:val="Tabletext"/>
              <w:rPr>
                <w:rFonts w:eastAsiaTheme="minorEastAsia" w:cs="Calibri"/>
                <w:color w:val="000000"/>
                <w:szCs w:val="22"/>
                <w:vertAlign w:val="superscript"/>
                <w:lang w:eastAsia="en-AU"/>
              </w:rPr>
            </w:pPr>
            <w:r w:rsidRPr="00496DC3">
              <w:rPr>
                <w:rFonts w:eastAsiaTheme="minorEastAsia"/>
                <w:lang w:eastAsia="en-AU"/>
              </w:rPr>
              <w:t xml:space="preserve">   Other</w:t>
            </w:r>
            <w:r w:rsidRPr="00496DC3">
              <w:rPr>
                <w:rFonts w:eastAsiaTheme="minorEastAsia"/>
                <w:vertAlign w:val="superscript"/>
                <w:lang w:eastAsia="en-AU"/>
              </w:rPr>
              <w:t xml:space="preserve"> (a)</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219 404</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357 489</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272 514</w:t>
            </w:r>
          </w:p>
        </w:tc>
      </w:tr>
      <w:tr w:rsidR="00336793" w:rsidRPr="00496DC3" w:rsidTr="00DF0B96">
        <w:tc>
          <w:tcPr>
            <w:tcW w:w="6277" w:type="dxa"/>
            <w:tcBorders>
              <w:top w:val="single" w:sz="6" w:space="0" w:color="auto"/>
              <w:left w:val="nil"/>
              <w:bottom w:val="single" w:sz="6" w:space="0" w:color="auto"/>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Total other receipts</w:t>
            </w:r>
            <w:r w:rsidRPr="00E96950">
              <w:rPr>
                <w:rFonts w:eastAsiaTheme="minorEastAsia"/>
                <w:b/>
                <w:bCs/>
                <w:vertAlign w:val="superscript"/>
                <w:lang w:eastAsia="en-AU"/>
              </w:rPr>
              <w:t xml:space="preserve"> (</w:t>
            </w:r>
            <w:r w:rsidRPr="00496DC3">
              <w:rPr>
                <w:rFonts w:eastAsiaTheme="minorEastAsia"/>
                <w:b/>
                <w:bCs/>
                <w:vertAlign w:val="superscript"/>
                <w:lang w:eastAsia="en-AU"/>
              </w:rPr>
              <w:t>a)</w:t>
            </w:r>
          </w:p>
        </w:tc>
        <w:tc>
          <w:tcPr>
            <w:tcW w:w="1120" w:type="dxa"/>
            <w:tcBorders>
              <w:top w:val="single" w:sz="6" w:space="0" w:color="auto"/>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285 666</w:t>
            </w:r>
          </w:p>
        </w:tc>
        <w:tc>
          <w:tcPr>
            <w:tcW w:w="1120" w:type="dxa"/>
            <w:tcBorders>
              <w:top w:val="single" w:sz="6" w:space="0" w:color="auto"/>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422 732</w:t>
            </w:r>
          </w:p>
        </w:tc>
        <w:tc>
          <w:tcPr>
            <w:tcW w:w="1120" w:type="dxa"/>
            <w:tcBorders>
              <w:top w:val="single" w:sz="6" w:space="0" w:color="auto"/>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345 287</w:t>
            </w:r>
          </w:p>
        </w:tc>
      </w:tr>
      <w:tr w:rsidR="00336793" w:rsidRPr="00496DC3" w:rsidTr="00DF0B96">
        <w:tc>
          <w:tcPr>
            <w:tcW w:w="6277" w:type="dxa"/>
            <w:tcBorders>
              <w:top w:val="nil"/>
              <w:left w:val="nil"/>
              <w:bottom w:val="single" w:sz="6" w:space="0" w:color="auto"/>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Total cash inflows from operating activities</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43 232 418</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42 781 793</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42 419 011</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Cash inflows from investing activities</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lang w:eastAsia="en-AU"/>
              </w:rPr>
            </w:pPr>
            <w:r w:rsidRPr="00496DC3">
              <w:rPr>
                <w:rFonts w:eastAsiaTheme="minorEastAsia"/>
                <w:b/>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Proceeds from investments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264 811</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1 964</w:t>
            </w:r>
          </w:p>
        </w:tc>
      </w:tr>
      <w:tr w:rsidR="00336793" w:rsidRPr="00496DC3" w:rsidTr="00DF0B96">
        <w:tc>
          <w:tcPr>
            <w:tcW w:w="6277" w:type="dxa"/>
            <w:tcBorders>
              <w:top w:val="nil"/>
              <w:left w:val="nil"/>
              <w:bottom w:val="single" w:sz="6" w:space="0" w:color="auto"/>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Proceeds from sale of property, plant and equipment</w:t>
            </w:r>
          </w:p>
        </w:tc>
        <w:tc>
          <w:tcPr>
            <w:tcW w:w="1120" w:type="dxa"/>
            <w:tcBorders>
              <w:top w:val="nil"/>
              <w:left w:val="nil"/>
              <w:bottom w:val="single" w:sz="6" w:space="0" w:color="auto"/>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152 050</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225 321</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136 227</w:t>
            </w:r>
          </w:p>
        </w:tc>
      </w:tr>
      <w:tr w:rsidR="00336793" w:rsidRPr="00496DC3" w:rsidTr="00DF0B96">
        <w:tc>
          <w:tcPr>
            <w:tcW w:w="6277" w:type="dxa"/>
            <w:tcBorders>
              <w:top w:val="nil"/>
              <w:left w:val="nil"/>
              <w:bottom w:val="single" w:sz="6" w:space="0" w:color="auto"/>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Total cash inflows from investing activities</w:t>
            </w:r>
          </w:p>
        </w:tc>
        <w:tc>
          <w:tcPr>
            <w:tcW w:w="1120" w:type="dxa"/>
            <w:tcBorders>
              <w:top w:val="single" w:sz="6" w:space="0" w:color="auto"/>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152 050</w:t>
            </w:r>
          </w:p>
        </w:tc>
        <w:tc>
          <w:tcPr>
            <w:tcW w:w="1120" w:type="dxa"/>
            <w:tcBorders>
              <w:top w:val="single" w:sz="6" w:space="0" w:color="auto"/>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490 132</w:t>
            </w:r>
          </w:p>
        </w:tc>
        <w:tc>
          <w:tcPr>
            <w:tcW w:w="1120" w:type="dxa"/>
            <w:tcBorders>
              <w:top w:val="single" w:sz="6" w:space="0" w:color="auto"/>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138 192</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Cash inflows from financing activities</w:t>
            </w:r>
          </w:p>
        </w:tc>
        <w:tc>
          <w:tcPr>
            <w:tcW w:w="1120" w:type="dxa"/>
            <w:tcBorders>
              <w:top w:val="nil"/>
              <w:left w:val="nil"/>
              <w:bottom w:val="nil"/>
              <w:right w:val="nil"/>
            </w:tcBorders>
          </w:tcPr>
          <w:p w:rsidR="00336793" w:rsidRPr="00496DC3" w:rsidRDefault="00336793" w:rsidP="00DF0B96">
            <w:pPr>
              <w:pStyle w:val="TableofFigures"/>
              <w:rPr>
                <w:rFonts w:eastAsiaTheme="minorEastAsia"/>
                <w:b/>
                <w:sz w:val="20"/>
                <w:lang w:eastAsia="en-AU"/>
              </w:rPr>
            </w:pPr>
            <w:r w:rsidRPr="00496DC3">
              <w:rPr>
                <w:rFonts w:eastAsiaTheme="minorEastAsia"/>
                <w:b/>
                <w:sz w:val="20"/>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sz w:val="20"/>
                <w:lang w:eastAsia="en-AU"/>
              </w:rPr>
            </w:pPr>
            <w:r w:rsidRPr="00496DC3">
              <w:rPr>
                <w:rFonts w:eastAsiaTheme="minorEastAsia"/>
                <w:b/>
                <w:sz w:val="20"/>
                <w:lang w:eastAsia="en-AU"/>
              </w:rPr>
              <w:t xml:space="preserve"> </w:t>
            </w:r>
          </w:p>
        </w:tc>
        <w:tc>
          <w:tcPr>
            <w:tcW w:w="1120" w:type="dxa"/>
            <w:tcBorders>
              <w:top w:val="nil"/>
              <w:left w:val="nil"/>
              <w:bottom w:val="nil"/>
              <w:right w:val="nil"/>
            </w:tcBorders>
          </w:tcPr>
          <w:p w:rsidR="00336793" w:rsidRPr="00496DC3" w:rsidRDefault="00336793" w:rsidP="00DF0B96">
            <w:pPr>
              <w:pStyle w:val="TableofFigures"/>
              <w:rPr>
                <w:rFonts w:eastAsiaTheme="minorEastAsia"/>
                <w:b/>
                <w:sz w:val="20"/>
                <w:lang w:eastAsia="en-AU"/>
              </w:rPr>
            </w:pPr>
            <w:r w:rsidRPr="00496DC3">
              <w:rPr>
                <w:rFonts w:eastAsiaTheme="minorEastAsia"/>
                <w:b/>
                <w:sz w:val="20"/>
                <w:lang w:eastAsia="en-AU"/>
              </w:rPr>
              <w:t xml:space="preserve"> </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Loans to government agencies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78 567</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Other loans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655</w:t>
            </w:r>
          </w:p>
        </w:tc>
        <w:tc>
          <w:tcPr>
            <w:tcW w:w="1120" w:type="dxa"/>
            <w:tcBorders>
              <w:top w:val="nil"/>
              <w:left w:val="nil"/>
              <w:bottom w:val="nil"/>
              <w:right w:val="nil"/>
            </w:tcBorders>
          </w:tcPr>
          <w:p w:rsidR="00336793" w:rsidRPr="00496DC3" w:rsidRDefault="00336793" w:rsidP="00DF0B96">
            <w:pPr>
              <w:pStyle w:val="TableofFigures"/>
              <w:rPr>
                <w:rFonts w:eastAsiaTheme="minorEastAsia" w:cs="Calibri"/>
                <w:color w:val="000000"/>
                <w:szCs w:val="22"/>
                <w:lang w:eastAsia="en-AU"/>
              </w:rPr>
            </w:pPr>
            <w:r>
              <w:rPr>
                <w:rFonts w:eastAsiaTheme="minorEastAsia"/>
                <w:lang w:eastAsia="en-AU"/>
              </w:rPr>
              <w:t>(</w:t>
            </w:r>
            <w:r w:rsidRPr="00496DC3">
              <w:rPr>
                <w:rFonts w:eastAsiaTheme="minorEastAsia" w:cs="Calibri"/>
                <w:color w:val="000000"/>
                <w:szCs w:val="22"/>
                <w:lang w:eastAsia="en-AU"/>
              </w:rPr>
              <w:t>0)</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162</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Return of capital – government entities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39 700</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129 093</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w:t>
            </w:r>
          </w:p>
        </w:tc>
      </w:tr>
      <w:tr w:rsidR="00336793" w:rsidRPr="00496DC3" w:rsidTr="00DF0B96">
        <w:tc>
          <w:tcPr>
            <w:tcW w:w="6277" w:type="dxa"/>
            <w:tcBorders>
              <w:top w:val="nil"/>
              <w:left w:val="nil"/>
              <w:bottom w:val="nil"/>
              <w:right w:val="nil"/>
            </w:tcBorders>
          </w:tcPr>
          <w:p w:rsidR="00336793" w:rsidRPr="00496DC3" w:rsidRDefault="00336793" w:rsidP="00DF0B96">
            <w:pPr>
              <w:pStyle w:val="Tabletext"/>
              <w:rPr>
                <w:rFonts w:eastAsiaTheme="minorEastAsia"/>
                <w:lang w:eastAsia="en-AU"/>
              </w:rPr>
            </w:pPr>
            <w:r w:rsidRPr="00496DC3">
              <w:rPr>
                <w:rFonts w:eastAsiaTheme="minorEastAsia"/>
                <w:lang w:eastAsia="en-AU"/>
              </w:rPr>
              <w:t xml:space="preserve">    Borrowings</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3 770 879</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 xml:space="preserve"> 766 894</w:t>
            </w:r>
          </w:p>
        </w:tc>
        <w:tc>
          <w:tcPr>
            <w:tcW w:w="1120" w:type="dxa"/>
            <w:tcBorders>
              <w:top w:val="nil"/>
              <w:left w:val="nil"/>
              <w:bottom w:val="nil"/>
              <w:right w:val="nil"/>
            </w:tcBorders>
          </w:tcPr>
          <w:p w:rsidR="00336793" w:rsidRPr="00496DC3" w:rsidRDefault="00336793" w:rsidP="00DF0B96">
            <w:pPr>
              <w:pStyle w:val="TableofFigures"/>
              <w:rPr>
                <w:rFonts w:eastAsiaTheme="minorEastAsia"/>
                <w:lang w:eastAsia="en-AU"/>
              </w:rPr>
            </w:pPr>
            <w:r w:rsidRPr="00496DC3">
              <w:rPr>
                <w:rFonts w:eastAsiaTheme="minorEastAsia"/>
                <w:lang w:eastAsia="en-AU"/>
              </w:rPr>
              <w:t>2 162 119</w:t>
            </w:r>
          </w:p>
        </w:tc>
      </w:tr>
      <w:tr w:rsidR="00336793" w:rsidRPr="00496DC3" w:rsidTr="00DF0B96">
        <w:tc>
          <w:tcPr>
            <w:tcW w:w="6277" w:type="dxa"/>
            <w:tcBorders>
              <w:top w:val="single" w:sz="6" w:space="0" w:color="auto"/>
              <w:left w:val="nil"/>
              <w:bottom w:val="single" w:sz="6" w:space="0" w:color="auto"/>
              <w:right w:val="nil"/>
            </w:tcBorders>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Total cash inflows from financing activities</w:t>
            </w:r>
          </w:p>
        </w:tc>
        <w:tc>
          <w:tcPr>
            <w:tcW w:w="1120" w:type="dxa"/>
            <w:tcBorders>
              <w:top w:val="single" w:sz="6" w:space="0" w:color="auto"/>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3 889 801</w:t>
            </w:r>
          </w:p>
        </w:tc>
        <w:tc>
          <w:tcPr>
            <w:tcW w:w="1120" w:type="dxa"/>
            <w:tcBorders>
              <w:top w:val="single" w:sz="6" w:space="0" w:color="auto"/>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 xml:space="preserve"> 895 987</w:t>
            </w:r>
          </w:p>
        </w:tc>
        <w:tc>
          <w:tcPr>
            <w:tcW w:w="1120" w:type="dxa"/>
            <w:tcBorders>
              <w:top w:val="single" w:sz="6" w:space="0" w:color="auto"/>
              <w:left w:val="nil"/>
              <w:bottom w:val="single" w:sz="6" w:space="0" w:color="auto"/>
              <w:right w:val="nil"/>
            </w:tcBorders>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2 162 281</w:t>
            </w:r>
          </w:p>
        </w:tc>
      </w:tr>
      <w:tr w:rsidR="00336793" w:rsidRPr="00496DC3" w:rsidTr="00DF0B96">
        <w:tc>
          <w:tcPr>
            <w:tcW w:w="6277" w:type="dxa"/>
            <w:tcBorders>
              <w:top w:val="single" w:sz="6" w:space="0" w:color="auto"/>
              <w:left w:val="nil"/>
              <w:bottom w:val="single" w:sz="12" w:space="0" w:color="000000"/>
              <w:right w:val="nil"/>
            </w:tcBorders>
            <w:shd w:val="clear" w:color="auto" w:fill="auto"/>
          </w:tcPr>
          <w:p w:rsidR="00336793" w:rsidRPr="00496DC3" w:rsidRDefault="00336793" w:rsidP="00DF0B96">
            <w:pPr>
              <w:pStyle w:val="Tabletext"/>
              <w:rPr>
                <w:rFonts w:eastAsiaTheme="minorEastAsia"/>
                <w:b/>
                <w:bCs/>
                <w:lang w:eastAsia="en-AU"/>
              </w:rPr>
            </w:pPr>
            <w:r w:rsidRPr="00496DC3">
              <w:rPr>
                <w:rFonts w:eastAsiaTheme="minorEastAsia"/>
                <w:b/>
                <w:bCs/>
                <w:lang w:eastAsia="en-AU"/>
              </w:rPr>
              <w:t>Total consolidated fund receipts</w:t>
            </w:r>
          </w:p>
        </w:tc>
        <w:tc>
          <w:tcPr>
            <w:tcW w:w="1120" w:type="dxa"/>
            <w:tcBorders>
              <w:top w:val="single" w:sz="6" w:space="0" w:color="auto"/>
              <w:left w:val="nil"/>
              <w:bottom w:val="single" w:sz="12" w:space="0" w:color="000000"/>
              <w:right w:val="nil"/>
            </w:tcBorders>
            <w:shd w:val="clear" w:color="auto" w:fill="auto"/>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47 274 270</w:t>
            </w:r>
          </w:p>
        </w:tc>
        <w:tc>
          <w:tcPr>
            <w:tcW w:w="1120" w:type="dxa"/>
            <w:tcBorders>
              <w:top w:val="single" w:sz="6" w:space="0" w:color="auto"/>
              <w:left w:val="nil"/>
              <w:bottom w:val="single" w:sz="12" w:space="0" w:color="000000"/>
              <w:right w:val="nil"/>
            </w:tcBorders>
            <w:shd w:val="clear" w:color="auto" w:fill="auto"/>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44 167 911</w:t>
            </w:r>
          </w:p>
        </w:tc>
        <w:tc>
          <w:tcPr>
            <w:tcW w:w="1120" w:type="dxa"/>
            <w:tcBorders>
              <w:top w:val="single" w:sz="6" w:space="0" w:color="auto"/>
              <w:left w:val="nil"/>
              <w:bottom w:val="single" w:sz="12" w:space="0" w:color="000000"/>
              <w:right w:val="nil"/>
            </w:tcBorders>
            <w:shd w:val="clear" w:color="auto" w:fill="auto"/>
          </w:tcPr>
          <w:p w:rsidR="00336793" w:rsidRPr="00496DC3" w:rsidRDefault="00336793" w:rsidP="00DF0B96">
            <w:pPr>
              <w:pStyle w:val="TableofFigures"/>
              <w:rPr>
                <w:rFonts w:eastAsiaTheme="minorEastAsia"/>
                <w:b/>
                <w:bCs/>
                <w:lang w:eastAsia="en-AU"/>
              </w:rPr>
            </w:pPr>
            <w:r w:rsidRPr="00496DC3">
              <w:rPr>
                <w:rFonts w:eastAsiaTheme="minorEastAsia"/>
                <w:b/>
                <w:bCs/>
                <w:lang w:eastAsia="en-AU"/>
              </w:rPr>
              <w:t>44 719 484</w:t>
            </w:r>
          </w:p>
        </w:tc>
      </w:tr>
    </w:tbl>
    <w:p w:rsidR="00336793" w:rsidRPr="006A75A2" w:rsidRDefault="00336793" w:rsidP="00DF0B96">
      <w:pPr>
        <w:pStyle w:val="Notes"/>
      </w:pPr>
      <w:r w:rsidRPr="006A75A2">
        <w:t>Note</w:t>
      </w:r>
      <w:r>
        <w:t>s</w:t>
      </w:r>
      <w:r w:rsidRPr="006A75A2">
        <w:t>:</w:t>
      </w:r>
    </w:p>
    <w:p w:rsidR="00336793" w:rsidRDefault="00336793" w:rsidP="00DF0B96">
      <w:pPr>
        <w:pStyle w:val="Notes"/>
      </w:pPr>
      <w:r>
        <w:t>(a)</w:t>
      </w:r>
      <w:r w:rsidRPr="006A75A2">
        <w:tab/>
      </w:r>
      <w:r w:rsidRPr="00D02230">
        <w:t>June 2014 comparative figures have been reclassified to reflect more current information.</w:t>
      </w:r>
    </w:p>
    <w:p w:rsidR="00336793" w:rsidRDefault="00336793" w:rsidP="00DF0B96">
      <w:pPr>
        <w:pStyle w:val="Notes"/>
      </w:pPr>
      <w:r>
        <w:t>(b)</w:t>
      </w:r>
      <w:r>
        <w:tab/>
        <w:t>Effective 1 January 2015 several departments were renamed due to machinery of government changes:</w:t>
      </w:r>
    </w:p>
    <w:p w:rsidR="00336793" w:rsidRDefault="00336793" w:rsidP="00DF0B96">
      <w:pPr>
        <w:pStyle w:val="NotesDash"/>
      </w:pPr>
      <w:r w:rsidRPr="0018569D">
        <w:t>the</w:t>
      </w:r>
      <w:r>
        <w:t xml:space="preserve"> </w:t>
      </w:r>
      <w:r w:rsidRPr="00453CDB">
        <w:t>Department</w:t>
      </w:r>
      <w:r>
        <w:t xml:space="preserve"> of Education and Early Childhood Development was renamed the Department of Education and Training;</w:t>
      </w:r>
    </w:p>
    <w:p w:rsidR="00336793" w:rsidRDefault="00336793" w:rsidP="00DF0B96">
      <w:pPr>
        <w:pStyle w:val="NotesDash"/>
      </w:pPr>
      <w:r>
        <w:t>the Department of Environment and Primary Industries was renamed the Department of Environment, Land, Water and Planning;</w:t>
      </w:r>
    </w:p>
    <w:p w:rsidR="00336793" w:rsidRDefault="00336793" w:rsidP="00DF0B96">
      <w:pPr>
        <w:pStyle w:val="NotesDash"/>
      </w:pPr>
      <w:r>
        <w:t>the Department of Health was renamed the Department of Health and Human Services;</w:t>
      </w:r>
    </w:p>
    <w:p w:rsidR="00336793" w:rsidRDefault="00336793" w:rsidP="00DF0B96">
      <w:pPr>
        <w:pStyle w:val="NotesDash"/>
      </w:pPr>
      <w:r>
        <w:t xml:space="preserve">the Department of Justice was renamed the Department of Justice and Regulation; </w:t>
      </w:r>
    </w:p>
    <w:p w:rsidR="00336793" w:rsidRDefault="00336793" w:rsidP="00DF0B96">
      <w:pPr>
        <w:pStyle w:val="NotesDash"/>
      </w:pPr>
      <w:r>
        <w:t xml:space="preserve">the Department of State Development, Business and Innovation was renamed the Department of Economic Development, Jobs, Transport and Resources; </w:t>
      </w:r>
    </w:p>
    <w:p w:rsidR="00336793" w:rsidRDefault="00336793" w:rsidP="00DF0B96">
      <w:pPr>
        <w:pStyle w:val="NotesDash"/>
      </w:pPr>
      <w:r>
        <w:t xml:space="preserve">the Department of Human Services was abolished; and </w:t>
      </w:r>
    </w:p>
    <w:p w:rsidR="00336793" w:rsidRDefault="00336793" w:rsidP="00DF0B96">
      <w:pPr>
        <w:pStyle w:val="NotesDash"/>
      </w:pPr>
      <w:r>
        <w:t xml:space="preserve">the Department of Transport, Planning and Local Infrastructure was abolished. </w:t>
      </w:r>
    </w:p>
    <w:p w:rsidR="00336793" w:rsidRPr="006A75A2" w:rsidRDefault="00336793" w:rsidP="00DF0B96">
      <w:pPr>
        <w:pStyle w:val="Notes"/>
      </w:pPr>
      <w:r>
        <w:tab/>
        <w:t>The two abolished departments had their functions and operations transferred to other Victorian government departments. Functions and operations of the Department of Human Services were transferred to the Department of Health and Human Services and to the Department of Premier and Cabinet. Functions and operations of the Department of Transport, Planning and Local Infrastructure were transferred to the Department of Environment, Land, Water and Planning, the Department of Health and Humans Services and to the Department of Economic Development, Jobs, Transport and Resources. Certain functions and operations of continuing Victorian government departments were also transferred amongst departments as part of the machinery of government changes. Controlled entities which have been transferred as part of the machinery of government changes are listed under their new portfolio departments.</w:t>
      </w:r>
    </w:p>
    <w:p w:rsidR="00336793" w:rsidRPr="006A75A2" w:rsidRDefault="00336793" w:rsidP="00DF0B96">
      <w:pPr>
        <w:spacing w:after="0"/>
        <w:rPr>
          <w:rFonts w:ascii="Calibri" w:hAnsi="Calibri"/>
          <w:b/>
        </w:rPr>
      </w:pPr>
      <w:r w:rsidRPr="006A75A2">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(c)</w:t>
      </w:r>
      <w:r w:rsidRPr="006A75A2">
        <w:tab/>
        <w:t>Trust fund cash flow statement for the financial year ended 30 June</w:t>
      </w:r>
    </w:p>
    <w:p w:rsidR="00336793" w:rsidRPr="00A10A3B" w:rsidRDefault="00336793" w:rsidP="00DF0B96">
      <w:pPr>
        <w:pStyle w:val="million"/>
        <w:rPr>
          <w:rFonts w:ascii="Times New Roman" w:hAnsi="Times New Roman"/>
          <w:i w:val="0"/>
          <w:szCs w:val="20"/>
          <w:lang w:eastAsia="en-AU"/>
        </w:rPr>
      </w:pPr>
      <w:r w:rsidRPr="006A75A2">
        <w:t>($</w:t>
      </w:r>
      <w:r>
        <w:t> thousand</w:t>
      </w:r>
      <w:r w:rsidRPr="006A75A2">
        <w:t>)</w:t>
      </w:r>
    </w:p>
    <w:tbl>
      <w:tblPr>
        <w:tblW w:w="9637" w:type="dxa"/>
        <w:tblInd w:w="28" w:type="dxa"/>
        <w:tblLayout w:type="fixed"/>
        <w:tblCellMar>
          <w:left w:w="43" w:type="dxa"/>
          <w:right w:w="43" w:type="dxa"/>
        </w:tblCellMar>
        <w:tblLook w:val="0000" w:firstRow="0" w:lastRow="0" w:firstColumn="0" w:lastColumn="0" w:noHBand="0" w:noVBand="0"/>
      </w:tblPr>
      <w:tblGrid>
        <w:gridCol w:w="7035"/>
        <w:gridCol w:w="1301"/>
        <w:gridCol w:w="1301"/>
      </w:tblGrid>
      <w:tr w:rsidR="00336793" w:rsidRPr="00A10A3B" w:rsidTr="00DF0B96">
        <w:trPr>
          <w:tblHeader/>
        </w:trPr>
        <w:tc>
          <w:tcPr>
            <w:tcW w:w="7035" w:type="dxa"/>
            <w:tcBorders>
              <w:top w:val="single" w:sz="6" w:space="0" w:color="000000"/>
              <w:left w:val="single" w:sz="6" w:space="0" w:color="000000"/>
              <w:bottom w:val="single" w:sz="6" w:space="0" w:color="000000"/>
              <w:right w:val="nil"/>
            </w:tcBorders>
            <w:shd w:val="clear" w:color="auto" w:fill="000000"/>
            <w:vAlign w:val="bottom"/>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 xml:space="preserve"> </w:t>
            </w:r>
          </w:p>
        </w:tc>
        <w:tc>
          <w:tcPr>
            <w:tcW w:w="1301" w:type="dxa"/>
            <w:tcBorders>
              <w:top w:val="single" w:sz="6" w:space="0" w:color="000000"/>
              <w:left w:val="nil"/>
              <w:bottom w:val="single" w:sz="6" w:space="0" w:color="000000"/>
              <w:right w:val="nil"/>
            </w:tcBorders>
            <w:shd w:val="clear" w:color="auto"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2015</w:t>
            </w:r>
          </w:p>
        </w:tc>
        <w:tc>
          <w:tcPr>
            <w:tcW w:w="1301" w:type="dxa"/>
            <w:tcBorders>
              <w:top w:val="single" w:sz="6" w:space="0" w:color="000000"/>
              <w:left w:val="nil"/>
              <w:bottom w:val="single" w:sz="6" w:space="0" w:color="000000"/>
              <w:right w:val="single" w:sz="6" w:space="0" w:color="000000"/>
            </w:tcBorders>
            <w:shd w:val="clear" w:color="auto"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2014</w:t>
            </w:r>
          </w:p>
        </w:tc>
      </w:tr>
      <w:tr w:rsidR="00336793" w:rsidRPr="00A10A3B" w:rsidTr="00DF0B96">
        <w:tc>
          <w:tcPr>
            <w:tcW w:w="7035" w:type="dxa"/>
            <w:tcBorders>
              <w:top w:val="single" w:sz="6" w:space="0" w:color="000000"/>
              <w:left w:val="nil"/>
              <w:bottom w:val="nil"/>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Cash flows from operating activities</w:t>
            </w:r>
          </w:p>
        </w:tc>
        <w:tc>
          <w:tcPr>
            <w:tcW w:w="1301" w:type="dxa"/>
            <w:tcBorders>
              <w:top w:val="single" w:sz="6" w:space="0" w:color="000000"/>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301" w:type="dxa"/>
            <w:tcBorders>
              <w:top w:val="single" w:sz="6" w:space="0" w:color="000000"/>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Receipts</w:t>
            </w:r>
          </w:p>
        </w:tc>
        <w:tc>
          <w:tcPr>
            <w:tcW w:w="1301" w:type="dxa"/>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301" w:type="dxa"/>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Taxation</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341 909</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346 109</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Regulatory fees and fines</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56 540</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48 307</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Grants received</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15 426 149</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13 554 392</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Sale of goods and services</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365 814</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631 333</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Interest received</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96 642</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86 908</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Dividend received</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10 059</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sz w:val="21"/>
                <w:szCs w:val="22"/>
                <w:lang w:eastAsia="en-AU"/>
              </w:rPr>
            </w:pPr>
            <w:r w:rsidRPr="00A10A3B">
              <w:rPr>
                <w:rFonts w:eastAsiaTheme="minorEastAsia"/>
                <w:sz w:val="21"/>
                <w:lang w:eastAsia="en-AU"/>
              </w:rPr>
              <w:t xml:space="preserve"> 6 </w:t>
            </w:r>
            <w:r w:rsidRPr="00A10A3B">
              <w:rPr>
                <w:rFonts w:eastAsiaTheme="minorEastAsia" w:cs="Calibri"/>
                <w:sz w:val="21"/>
                <w:szCs w:val="22"/>
                <w:lang w:eastAsia="en-AU"/>
              </w:rPr>
              <w:t>508</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Net transfers from the consolidated fund</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8 248 209</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9 459 778</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Other receipts</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189 662</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147 673</w:t>
            </w:r>
          </w:p>
        </w:tc>
      </w:tr>
      <w:tr w:rsidR="00336793" w:rsidRPr="00A10A3B" w:rsidTr="00DF0B96">
        <w:trPr>
          <w:trHeight w:hRule="exact" w:val="120"/>
        </w:trPr>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 xml:space="preserve"> </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sz w:val="21"/>
                <w:szCs w:val="22"/>
                <w:lang w:eastAsia="en-AU"/>
              </w:rPr>
            </w:pPr>
            <w:r w:rsidRPr="00A10A3B">
              <w:rPr>
                <w:rFonts w:eastAsiaTheme="minorEastAsia"/>
                <w:sz w:val="21"/>
                <w:lang w:eastAsia="en-AU"/>
              </w:rPr>
              <w:t xml:space="preserve">   </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sz w:val="21"/>
                <w:szCs w:val="22"/>
                <w:lang w:eastAsia="en-AU"/>
              </w:rPr>
            </w:pPr>
            <w:r w:rsidRPr="00A10A3B">
              <w:rPr>
                <w:rFonts w:eastAsiaTheme="minorEastAsia"/>
                <w:sz w:val="21"/>
                <w:lang w:eastAsia="en-AU"/>
              </w:rPr>
              <w:t xml:space="preserve">   </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Payments</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b/>
                <w:sz w:val="21"/>
                <w:szCs w:val="22"/>
                <w:lang w:eastAsia="en-AU"/>
              </w:rPr>
            </w:pPr>
            <w:r w:rsidRPr="00A10A3B">
              <w:rPr>
                <w:rFonts w:eastAsiaTheme="minorEastAsia"/>
                <w:b/>
                <w:sz w:val="21"/>
                <w:lang w:eastAsia="en-AU"/>
              </w:rPr>
              <w:t xml:space="preserve">   </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b/>
                <w:sz w:val="21"/>
                <w:szCs w:val="22"/>
                <w:lang w:eastAsia="en-AU"/>
              </w:rPr>
            </w:pPr>
            <w:r w:rsidRPr="00A10A3B">
              <w:rPr>
                <w:rFonts w:eastAsiaTheme="minorEastAsia"/>
                <w:b/>
                <w:sz w:val="21"/>
                <w:lang w:eastAsia="en-AU"/>
              </w:rPr>
              <w:t xml:space="preserve">   </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Payments for employees</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sz w:val="21"/>
                <w:lang w:eastAsia="en-AU"/>
              </w:rPr>
              <w:t xml:space="preserve">148 </w:t>
            </w:r>
            <w:r w:rsidRPr="00A10A3B">
              <w:rPr>
                <w:rFonts w:eastAsiaTheme="minorEastAsia" w:cs="Calibri"/>
                <w:color w:val="000000"/>
                <w:szCs w:val="22"/>
                <w:lang w:eastAsia="en-AU"/>
              </w:rPr>
              <w:t>022)</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sz w:val="21"/>
                <w:lang w:eastAsia="en-AU"/>
              </w:rPr>
              <w:t xml:space="preserve">137 </w:t>
            </w:r>
            <w:r w:rsidRPr="00A10A3B">
              <w:rPr>
                <w:rFonts w:eastAsiaTheme="minorEastAsia" w:cs="Calibri"/>
                <w:color w:val="000000"/>
                <w:szCs w:val="22"/>
                <w:lang w:eastAsia="en-AU"/>
              </w:rPr>
              <w:t>211)</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Superannuation</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sz w:val="21"/>
                <w:lang w:eastAsia="en-AU"/>
              </w:rPr>
              <w:t xml:space="preserve">13 </w:t>
            </w:r>
            <w:r w:rsidRPr="00A10A3B">
              <w:rPr>
                <w:rFonts w:eastAsiaTheme="minorEastAsia" w:cs="Calibri"/>
                <w:color w:val="000000"/>
                <w:szCs w:val="22"/>
                <w:lang w:eastAsia="en-AU"/>
              </w:rPr>
              <w:t>257)</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sz w:val="21"/>
                <w:lang w:eastAsia="en-AU"/>
              </w:rPr>
              <w:t xml:space="preserve">11 </w:t>
            </w:r>
            <w:r w:rsidRPr="00A10A3B">
              <w:rPr>
                <w:rFonts w:eastAsiaTheme="minorEastAsia" w:cs="Calibri"/>
                <w:color w:val="000000"/>
                <w:szCs w:val="22"/>
                <w:lang w:eastAsia="en-AU"/>
              </w:rPr>
              <w:t>462)</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Interest paid</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sz w:val="21"/>
                <w:lang w:eastAsia="en-AU"/>
              </w:rPr>
              <w:t xml:space="preserve">5 </w:t>
            </w:r>
            <w:r w:rsidRPr="00A10A3B">
              <w:rPr>
                <w:rFonts w:eastAsiaTheme="minorEastAsia" w:cs="Calibri"/>
                <w:color w:val="000000"/>
                <w:szCs w:val="22"/>
                <w:lang w:eastAsia="en-AU"/>
              </w:rPr>
              <w:t>655)</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sz w:val="21"/>
                <w:lang w:eastAsia="en-AU"/>
              </w:rPr>
              <w:t xml:space="preserve">7 </w:t>
            </w:r>
            <w:r w:rsidRPr="00A10A3B">
              <w:rPr>
                <w:rFonts w:eastAsiaTheme="minorEastAsia" w:cs="Calibri"/>
                <w:color w:val="000000"/>
                <w:szCs w:val="22"/>
                <w:lang w:eastAsia="en-AU"/>
              </w:rPr>
              <w:t>654)</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Grants and subsidies</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(22 021 042)</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(22 318 600)</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cs="Calibri"/>
                <w:color w:val="000000"/>
                <w:szCs w:val="22"/>
                <w:vertAlign w:val="superscript"/>
                <w:lang w:eastAsia="en-AU"/>
              </w:rPr>
            </w:pPr>
            <w:r>
              <w:rPr>
                <w:rFonts w:eastAsiaTheme="minorEastAsia"/>
                <w:sz w:val="21"/>
                <w:lang w:eastAsia="en-AU"/>
              </w:rPr>
              <w:t>Goods and services</w:t>
            </w:r>
            <w:r w:rsidRPr="00E96950">
              <w:rPr>
                <w:rFonts w:eastAsiaTheme="minorEastAsia" w:cs="Calibri"/>
                <w:color w:val="000000"/>
                <w:szCs w:val="22"/>
                <w:vertAlign w:val="superscript"/>
                <w:lang w:eastAsia="en-AU"/>
              </w:rPr>
              <w:t xml:space="preserve"> (</w:t>
            </w:r>
            <w:r w:rsidRPr="00A10A3B">
              <w:rPr>
                <w:rFonts w:eastAsiaTheme="minorEastAsia" w:cs="Calibri"/>
                <w:color w:val="000000"/>
                <w:szCs w:val="22"/>
                <w:vertAlign w:val="superscript"/>
                <w:lang w:eastAsia="en-AU"/>
              </w:rPr>
              <w:t>a)</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(1 831 764)</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(1 722 226)</w:t>
            </w:r>
          </w:p>
        </w:tc>
      </w:tr>
      <w:tr w:rsidR="00336793" w:rsidRPr="00A10A3B" w:rsidTr="00DF0B96">
        <w:tc>
          <w:tcPr>
            <w:tcW w:w="7035" w:type="dxa"/>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Net cash flows from operating activities</w:t>
            </w:r>
            <w:r w:rsidRPr="00E96950">
              <w:rPr>
                <w:rFonts w:eastAsiaTheme="minorEastAsia"/>
                <w:b/>
                <w:bCs/>
                <w:sz w:val="21"/>
                <w:vertAlign w:val="superscript"/>
                <w:lang w:eastAsia="en-AU"/>
              </w:rPr>
              <w:t xml:space="preserve"> (</w:t>
            </w:r>
            <w:r w:rsidRPr="000C46EC">
              <w:rPr>
                <w:rFonts w:eastAsiaTheme="minorEastAsia"/>
                <w:b/>
                <w:bCs/>
                <w:sz w:val="21"/>
                <w:vertAlign w:val="superscript"/>
                <w:lang w:eastAsia="en-AU"/>
              </w:rPr>
              <w:t>a)</w:t>
            </w:r>
          </w:p>
        </w:tc>
        <w:tc>
          <w:tcPr>
            <w:tcW w:w="1301"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sz w:val="21"/>
                <w:lang w:eastAsia="en-AU"/>
              </w:rPr>
            </w:pPr>
            <w:r w:rsidRPr="00A10A3B">
              <w:rPr>
                <w:rFonts w:eastAsiaTheme="minorEastAsia"/>
                <w:b/>
                <w:bCs/>
                <w:sz w:val="21"/>
                <w:lang w:eastAsia="en-AU"/>
              </w:rPr>
              <w:t xml:space="preserve"> 715 215</w:t>
            </w:r>
          </w:p>
        </w:tc>
        <w:tc>
          <w:tcPr>
            <w:tcW w:w="1301"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sz w:val="21"/>
                <w:lang w:eastAsia="en-AU"/>
              </w:rPr>
            </w:pPr>
            <w:r>
              <w:rPr>
                <w:rFonts w:eastAsiaTheme="minorEastAsia"/>
                <w:b/>
                <w:bCs/>
                <w:sz w:val="21"/>
                <w:lang w:eastAsia="en-AU"/>
              </w:rPr>
              <w:t xml:space="preserve"> 83 856</w:t>
            </w:r>
          </w:p>
        </w:tc>
      </w:tr>
      <w:tr w:rsidR="00336793" w:rsidRPr="00A10A3B" w:rsidTr="00DF0B96">
        <w:trPr>
          <w:trHeight w:hRule="exact" w:val="120"/>
        </w:trPr>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 xml:space="preserve"> </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Cash flows from investing activities</w:t>
            </w:r>
          </w:p>
        </w:tc>
        <w:tc>
          <w:tcPr>
            <w:tcW w:w="1301" w:type="dxa"/>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301" w:type="dxa"/>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cs="Calibri"/>
                <w:color w:val="000000"/>
                <w:szCs w:val="22"/>
                <w:vertAlign w:val="superscript"/>
                <w:lang w:eastAsia="en-AU"/>
              </w:rPr>
            </w:pPr>
            <w:r w:rsidRPr="00A10A3B">
              <w:rPr>
                <w:rFonts w:eastAsiaTheme="minorEastAsia"/>
                <w:sz w:val="21"/>
                <w:lang w:eastAsia="en-AU"/>
              </w:rPr>
              <w:t>Purchase of non</w:t>
            </w:r>
            <w:r>
              <w:rPr>
                <w:rFonts w:eastAsiaTheme="minorEastAsia"/>
                <w:sz w:val="21"/>
                <w:lang w:eastAsia="en-AU"/>
              </w:rPr>
              <w:noBreakHyphen/>
              <w:t>financial assets</w:t>
            </w:r>
            <w:r w:rsidRPr="00E96950">
              <w:rPr>
                <w:rFonts w:eastAsiaTheme="minorEastAsia" w:cs="Calibri"/>
                <w:color w:val="000000"/>
                <w:szCs w:val="22"/>
                <w:vertAlign w:val="superscript"/>
                <w:lang w:eastAsia="en-AU"/>
              </w:rPr>
              <w:t xml:space="preserve"> (</w:t>
            </w:r>
            <w:r>
              <w:rPr>
                <w:rFonts w:eastAsiaTheme="minorEastAsia" w:cs="Calibri"/>
                <w:color w:val="000000"/>
                <w:szCs w:val="22"/>
                <w:vertAlign w:val="superscript"/>
                <w:lang w:eastAsia="en-AU"/>
              </w:rPr>
              <w:t>a</w:t>
            </w:r>
            <w:r w:rsidRPr="00A10A3B">
              <w:rPr>
                <w:rFonts w:eastAsiaTheme="minorEastAsia" w:cs="Calibri"/>
                <w:color w:val="000000"/>
                <w:szCs w:val="22"/>
                <w:vertAlign w:val="superscript"/>
                <w:lang w:eastAsia="en-AU"/>
              </w:rPr>
              <w:t>)</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sz w:val="21"/>
                <w:lang w:eastAsia="en-AU"/>
              </w:rPr>
              <w:t xml:space="preserve">8 </w:t>
            </w:r>
            <w:r w:rsidRPr="00A10A3B">
              <w:rPr>
                <w:rFonts w:eastAsiaTheme="minorEastAsia" w:cs="Calibri"/>
                <w:color w:val="000000"/>
                <w:szCs w:val="22"/>
                <w:lang w:eastAsia="en-AU"/>
              </w:rPr>
              <w:t>275)</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sz w:val="21"/>
                <w:lang w:eastAsia="en-AU"/>
              </w:rPr>
              <w:t xml:space="preserve">59 </w:t>
            </w:r>
            <w:r w:rsidRPr="00A10A3B">
              <w:rPr>
                <w:rFonts w:eastAsiaTheme="minorEastAsia" w:cs="Calibri"/>
                <w:color w:val="000000"/>
                <w:szCs w:val="22"/>
                <w:lang w:eastAsia="en-AU"/>
              </w:rPr>
              <w:t>439)</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Sales of non</w:t>
            </w:r>
            <w:r>
              <w:rPr>
                <w:rFonts w:eastAsiaTheme="minorEastAsia"/>
                <w:sz w:val="21"/>
                <w:lang w:eastAsia="en-AU"/>
              </w:rPr>
              <w:noBreakHyphen/>
            </w:r>
            <w:r w:rsidRPr="00A10A3B">
              <w:rPr>
                <w:rFonts w:eastAsiaTheme="minorEastAsia"/>
                <w:sz w:val="21"/>
                <w:lang w:eastAsia="en-AU"/>
              </w:rPr>
              <w:t>financial assets</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80 682</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62 495</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Net proceeds from customer loans</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sz w:val="21"/>
                <w:lang w:eastAsia="en-AU"/>
              </w:rPr>
              <w:t xml:space="preserve">5 </w:t>
            </w:r>
            <w:r w:rsidRPr="00A10A3B">
              <w:rPr>
                <w:rFonts w:eastAsiaTheme="minorEastAsia" w:cs="Calibri"/>
                <w:color w:val="000000"/>
                <w:szCs w:val="22"/>
                <w:lang w:eastAsia="en-AU"/>
              </w:rPr>
              <w:t>372)</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sz w:val="21"/>
                <w:lang w:eastAsia="en-AU"/>
              </w:rPr>
              <w:t xml:space="preserve">17 </w:t>
            </w:r>
            <w:r w:rsidRPr="00A10A3B">
              <w:rPr>
                <w:rFonts w:eastAsiaTheme="minorEastAsia" w:cs="Calibri"/>
                <w:color w:val="000000"/>
                <w:szCs w:val="22"/>
                <w:lang w:eastAsia="en-AU"/>
              </w:rPr>
              <w:t>896)</w:t>
            </w:r>
          </w:p>
        </w:tc>
      </w:tr>
      <w:tr w:rsidR="00336793" w:rsidRPr="00A10A3B" w:rsidTr="00DF0B96">
        <w:tc>
          <w:tcPr>
            <w:tcW w:w="7035" w:type="dxa"/>
            <w:tcBorders>
              <w:top w:val="nil"/>
              <w:left w:val="nil"/>
              <w:bottom w:val="single" w:sz="6" w:space="0" w:color="auto"/>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Other investing activities</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color w:val="000000"/>
                <w:szCs w:val="22"/>
                <w:lang w:eastAsia="en-AU"/>
              </w:rPr>
              <w:t>129 116)</w:t>
            </w:r>
          </w:p>
        </w:tc>
        <w:tc>
          <w:tcPr>
            <w:tcW w:w="1301" w:type="dxa"/>
            <w:tcBorders>
              <w:top w:val="nil"/>
              <w:left w:val="nil"/>
              <w:bottom w:val="nil"/>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sz w:val="21"/>
                <w:szCs w:val="22"/>
                <w:lang w:eastAsia="en-AU"/>
              </w:rPr>
              <w:t xml:space="preserve">78 </w:t>
            </w:r>
            <w:r w:rsidRPr="00A10A3B">
              <w:rPr>
                <w:rFonts w:eastAsiaTheme="minorEastAsia" w:cs="Calibri"/>
                <w:color w:val="000000"/>
                <w:szCs w:val="22"/>
                <w:lang w:eastAsia="en-AU"/>
              </w:rPr>
              <w:t>591)</w:t>
            </w:r>
          </w:p>
        </w:tc>
      </w:tr>
      <w:tr w:rsidR="00336793" w:rsidRPr="00A10A3B" w:rsidTr="00DF0B96">
        <w:tc>
          <w:tcPr>
            <w:tcW w:w="7035" w:type="dxa"/>
            <w:tcBorders>
              <w:top w:val="nil"/>
              <w:left w:val="nil"/>
              <w:bottom w:val="single" w:sz="6" w:space="0" w:color="auto"/>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Net cash flows from investing activities</w:t>
            </w:r>
            <w:r w:rsidRPr="00E96950">
              <w:rPr>
                <w:rFonts w:eastAsiaTheme="minorEastAsia"/>
                <w:b/>
                <w:bCs/>
                <w:sz w:val="21"/>
                <w:vertAlign w:val="superscript"/>
                <w:lang w:eastAsia="en-AU"/>
              </w:rPr>
              <w:t xml:space="preserve"> (</w:t>
            </w:r>
            <w:r w:rsidRPr="000C46EC">
              <w:rPr>
                <w:rFonts w:eastAsiaTheme="minorEastAsia"/>
                <w:b/>
                <w:bCs/>
                <w:sz w:val="21"/>
                <w:vertAlign w:val="superscript"/>
                <w:lang w:eastAsia="en-AU"/>
              </w:rPr>
              <w:t>a)</w:t>
            </w:r>
          </w:p>
        </w:tc>
        <w:tc>
          <w:tcPr>
            <w:tcW w:w="1301"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sz w:val="21"/>
                <w:lang w:eastAsia="en-AU"/>
              </w:rPr>
              <w:t>(</w:t>
            </w:r>
            <w:r w:rsidRPr="00A10A3B">
              <w:rPr>
                <w:rFonts w:eastAsiaTheme="minorEastAsia"/>
                <w:b/>
                <w:bCs/>
                <w:sz w:val="21"/>
                <w:lang w:eastAsia="en-AU"/>
              </w:rPr>
              <w:t xml:space="preserve">62 </w:t>
            </w:r>
            <w:r w:rsidRPr="00A10A3B">
              <w:rPr>
                <w:rFonts w:eastAsiaTheme="minorEastAsia" w:cs="Calibri"/>
                <w:b/>
                <w:bCs/>
                <w:color w:val="000000"/>
                <w:szCs w:val="22"/>
                <w:lang w:eastAsia="en-AU"/>
              </w:rPr>
              <w:t>081)</w:t>
            </w:r>
          </w:p>
        </w:tc>
        <w:tc>
          <w:tcPr>
            <w:tcW w:w="1301"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cs="Calibri"/>
                <w:b/>
                <w:bCs/>
                <w:color w:val="000000"/>
                <w:szCs w:val="22"/>
                <w:lang w:eastAsia="en-AU"/>
              </w:rPr>
            </w:pPr>
            <w:r>
              <w:rPr>
                <w:rFonts w:eastAsiaTheme="minorEastAsia"/>
                <w:b/>
                <w:bCs/>
                <w:sz w:val="21"/>
                <w:lang w:eastAsia="en-AU"/>
              </w:rPr>
              <w:t>(</w:t>
            </w:r>
            <w:r w:rsidRPr="00A10A3B">
              <w:rPr>
                <w:rFonts w:eastAsiaTheme="minorEastAsia" w:cs="Calibri"/>
                <w:b/>
                <w:bCs/>
                <w:sz w:val="21"/>
                <w:szCs w:val="22"/>
                <w:lang w:eastAsia="en-AU"/>
              </w:rPr>
              <w:t xml:space="preserve">93 </w:t>
            </w:r>
            <w:r w:rsidRPr="00A10A3B">
              <w:rPr>
                <w:rFonts w:eastAsiaTheme="minorEastAsia" w:cs="Calibri"/>
                <w:b/>
                <w:bCs/>
                <w:color w:val="000000"/>
                <w:szCs w:val="22"/>
                <w:lang w:eastAsia="en-AU"/>
              </w:rPr>
              <w:t>431)</w:t>
            </w:r>
          </w:p>
        </w:tc>
      </w:tr>
      <w:tr w:rsidR="00336793" w:rsidRPr="00A10A3B" w:rsidTr="00DF0B96">
        <w:trPr>
          <w:trHeight w:hRule="exact" w:val="120"/>
        </w:trPr>
        <w:tc>
          <w:tcPr>
            <w:tcW w:w="703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 xml:space="preserve"> </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c>
          <w:tcPr>
            <w:tcW w:w="1301"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w:t>
            </w:r>
          </w:p>
        </w:tc>
      </w:tr>
      <w:tr w:rsidR="00336793" w:rsidRPr="00A10A3B" w:rsidTr="00DF0B96">
        <w:tc>
          <w:tcPr>
            <w:tcW w:w="7035" w:type="dxa"/>
            <w:tcBorders>
              <w:top w:val="nil"/>
              <w:left w:val="nil"/>
              <w:bottom w:val="nil"/>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Cash flows from financing activities</w:t>
            </w:r>
          </w:p>
        </w:tc>
        <w:tc>
          <w:tcPr>
            <w:tcW w:w="1301" w:type="dxa"/>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c>
          <w:tcPr>
            <w:tcW w:w="1301" w:type="dxa"/>
            <w:tcBorders>
              <w:top w:val="nil"/>
              <w:left w:val="nil"/>
              <w:bottom w:val="nil"/>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w:t>
            </w:r>
          </w:p>
        </w:tc>
      </w:tr>
      <w:tr w:rsidR="00336793" w:rsidRPr="00A10A3B" w:rsidTr="00DF0B96">
        <w:tc>
          <w:tcPr>
            <w:tcW w:w="7035" w:type="dxa"/>
            <w:tcBorders>
              <w:top w:val="nil"/>
              <w:left w:val="nil"/>
              <w:bottom w:val="single" w:sz="6" w:space="0" w:color="auto"/>
              <w:right w:val="nil"/>
            </w:tcBorders>
          </w:tcPr>
          <w:p w:rsidR="00336793" w:rsidRPr="00A10A3B" w:rsidRDefault="00336793" w:rsidP="00DF0B96">
            <w:pPr>
              <w:pStyle w:val="Tabletext"/>
              <w:rPr>
                <w:rFonts w:eastAsiaTheme="minorEastAsia" w:cs="Calibri"/>
                <w:color w:val="000000"/>
                <w:szCs w:val="22"/>
                <w:vertAlign w:val="superscript"/>
                <w:lang w:eastAsia="en-AU"/>
              </w:rPr>
            </w:pPr>
            <w:r>
              <w:rPr>
                <w:rFonts w:eastAsiaTheme="minorEastAsia"/>
                <w:sz w:val="21"/>
                <w:lang w:eastAsia="en-AU"/>
              </w:rPr>
              <w:t>Net borrowings</w:t>
            </w:r>
            <w:r w:rsidRPr="00E96950">
              <w:rPr>
                <w:rFonts w:eastAsiaTheme="minorEastAsia" w:cs="Calibri"/>
                <w:color w:val="000000"/>
                <w:szCs w:val="22"/>
                <w:vertAlign w:val="superscript"/>
                <w:lang w:eastAsia="en-AU"/>
              </w:rPr>
              <w:t xml:space="preserve"> (</w:t>
            </w:r>
            <w:r>
              <w:rPr>
                <w:rFonts w:eastAsiaTheme="minorEastAsia" w:cs="Calibri"/>
                <w:color w:val="000000"/>
                <w:szCs w:val="22"/>
                <w:vertAlign w:val="superscript"/>
                <w:lang w:eastAsia="en-AU"/>
              </w:rPr>
              <w:t>a</w:t>
            </w:r>
            <w:r w:rsidRPr="00A10A3B">
              <w:rPr>
                <w:rFonts w:eastAsiaTheme="minorEastAsia" w:cs="Calibri"/>
                <w:color w:val="000000"/>
                <w:szCs w:val="22"/>
                <w:vertAlign w:val="superscript"/>
                <w:lang w:eastAsia="en-AU"/>
              </w:rPr>
              <w:t>)</w:t>
            </w:r>
          </w:p>
        </w:tc>
        <w:tc>
          <w:tcPr>
            <w:tcW w:w="1301" w:type="dxa"/>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318 238</w:t>
            </w:r>
          </w:p>
        </w:tc>
        <w:tc>
          <w:tcPr>
            <w:tcW w:w="1301" w:type="dxa"/>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A10A3B">
              <w:rPr>
                <w:rFonts w:eastAsiaTheme="minorEastAsia" w:cs="Calibri"/>
                <w:sz w:val="21"/>
                <w:szCs w:val="22"/>
                <w:lang w:eastAsia="en-AU"/>
              </w:rPr>
              <w:t xml:space="preserve">470 </w:t>
            </w:r>
            <w:r w:rsidRPr="00A10A3B">
              <w:rPr>
                <w:rFonts w:eastAsiaTheme="minorEastAsia" w:cs="Calibri"/>
                <w:color w:val="000000"/>
                <w:szCs w:val="22"/>
                <w:lang w:eastAsia="en-AU"/>
              </w:rPr>
              <w:t>794)</w:t>
            </w:r>
          </w:p>
        </w:tc>
      </w:tr>
      <w:tr w:rsidR="00336793" w:rsidRPr="000B5611" w:rsidTr="00DF0B96">
        <w:tc>
          <w:tcPr>
            <w:tcW w:w="7035" w:type="dxa"/>
            <w:tcBorders>
              <w:top w:val="nil"/>
              <w:left w:val="nil"/>
              <w:bottom w:val="single" w:sz="6" w:space="0" w:color="auto"/>
              <w:right w:val="nil"/>
            </w:tcBorders>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Net cash flows from financing activities</w:t>
            </w:r>
            <w:r w:rsidRPr="00E96950">
              <w:rPr>
                <w:rFonts w:eastAsiaTheme="minorEastAsia"/>
                <w:b/>
                <w:bCs/>
                <w:sz w:val="21"/>
                <w:vertAlign w:val="superscript"/>
                <w:lang w:eastAsia="en-AU"/>
              </w:rPr>
              <w:t xml:space="preserve"> (</w:t>
            </w:r>
            <w:r w:rsidRPr="000C46EC">
              <w:rPr>
                <w:rFonts w:eastAsiaTheme="minorEastAsia"/>
                <w:b/>
                <w:bCs/>
                <w:sz w:val="21"/>
                <w:vertAlign w:val="superscript"/>
                <w:lang w:eastAsia="en-AU"/>
              </w:rPr>
              <w:t>a)</w:t>
            </w:r>
          </w:p>
        </w:tc>
        <w:tc>
          <w:tcPr>
            <w:tcW w:w="1301" w:type="dxa"/>
            <w:tcBorders>
              <w:top w:val="nil"/>
              <w:left w:val="nil"/>
              <w:bottom w:val="single" w:sz="6" w:space="0" w:color="auto"/>
              <w:right w:val="nil"/>
            </w:tcBorders>
          </w:tcPr>
          <w:p w:rsidR="00336793" w:rsidRPr="00A10A3B" w:rsidRDefault="00336793" w:rsidP="00DF0B96">
            <w:pPr>
              <w:pStyle w:val="TableofFigures"/>
              <w:rPr>
                <w:rFonts w:eastAsiaTheme="minorEastAsia"/>
                <w:b/>
                <w:sz w:val="21"/>
                <w:lang w:eastAsia="en-AU"/>
              </w:rPr>
            </w:pPr>
            <w:r w:rsidRPr="00A10A3B">
              <w:rPr>
                <w:rFonts w:eastAsiaTheme="minorEastAsia"/>
                <w:b/>
                <w:sz w:val="21"/>
                <w:lang w:eastAsia="en-AU"/>
              </w:rPr>
              <w:t xml:space="preserve"> 318 238</w:t>
            </w:r>
          </w:p>
        </w:tc>
        <w:tc>
          <w:tcPr>
            <w:tcW w:w="1301" w:type="dxa"/>
            <w:tcBorders>
              <w:top w:val="nil"/>
              <w:left w:val="nil"/>
              <w:bottom w:val="single" w:sz="6" w:space="0" w:color="auto"/>
              <w:right w:val="nil"/>
            </w:tcBorders>
          </w:tcPr>
          <w:p w:rsidR="00336793" w:rsidRPr="000B5611" w:rsidRDefault="00336793" w:rsidP="00DF0B96">
            <w:pPr>
              <w:pStyle w:val="TableofFigures"/>
              <w:rPr>
                <w:rFonts w:eastAsiaTheme="minorEastAsia" w:cs="Calibri"/>
                <w:b/>
                <w:sz w:val="21"/>
                <w:szCs w:val="22"/>
                <w:lang w:eastAsia="en-AU"/>
              </w:rPr>
            </w:pPr>
            <w:r>
              <w:rPr>
                <w:rFonts w:eastAsiaTheme="minorEastAsia" w:cs="Calibri"/>
                <w:b/>
                <w:sz w:val="21"/>
                <w:szCs w:val="22"/>
                <w:lang w:eastAsia="en-AU"/>
              </w:rPr>
              <w:t>(</w:t>
            </w:r>
            <w:r w:rsidRPr="00A10A3B">
              <w:rPr>
                <w:rFonts w:eastAsiaTheme="minorEastAsia" w:cs="Calibri"/>
                <w:b/>
                <w:sz w:val="21"/>
                <w:szCs w:val="22"/>
                <w:lang w:eastAsia="en-AU"/>
              </w:rPr>
              <w:t xml:space="preserve">470 </w:t>
            </w:r>
            <w:r w:rsidRPr="000B5611">
              <w:rPr>
                <w:rFonts w:eastAsiaTheme="minorEastAsia" w:cs="Calibri"/>
                <w:b/>
                <w:sz w:val="21"/>
                <w:szCs w:val="22"/>
                <w:lang w:eastAsia="en-AU"/>
              </w:rPr>
              <w:t>794)</w:t>
            </w:r>
          </w:p>
        </w:tc>
      </w:tr>
      <w:tr w:rsidR="00336793" w:rsidRPr="000B5611" w:rsidTr="00DF0B96">
        <w:tc>
          <w:tcPr>
            <w:tcW w:w="7035"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Net increase/(decrease) in trust fund cash and deposits</w:t>
            </w:r>
          </w:p>
        </w:tc>
        <w:tc>
          <w:tcPr>
            <w:tcW w:w="1301"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 w:val="21"/>
                <w:lang w:eastAsia="en-AU"/>
              </w:rPr>
            </w:pPr>
            <w:r w:rsidRPr="00A10A3B">
              <w:rPr>
                <w:rFonts w:eastAsiaTheme="minorEastAsia"/>
                <w:b/>
                <w:bCs/>
                <w:sz w:val="21"/>
                <w:lang w:eastAsia="en-AU"/>
              </w:rPr>
              <w:t xml:space="preserve"> 971 373</w:t>
            </w:r>
          </w:p>
        </w:tc>
        <w:tc>
          <w:tcPr>
            <w:tcW w:w="1301" w:type="dxa"/>
            <w:tcBorders>
              <w:top w:val="single" w:sz="6" w:space="0" w:color="auto"/>
              <w:left w:val="nil"/>
              <w:bottom w:val="single" w:sz="12" w:space="0" w:color="000000"/>
              <w:right w:val="nil"/>
            </w:tcBorders>
            <w:shd w:val="clear" w:color="auto" w:fill="auto"/>
          </w:tcPr>
          <w:p w:rsidR="00336793" w:rsidRPr="000B5611" w:rsidRDefault="00336793" w:rsidP="00DF0B96">
            <w:pPr>
              <w:pStyle w:val="TableofFigures"/>
              <w:rPr>
                <w:rFonts w:eastAsiaTheme="minorEastAsia" w:cs="Calibri"/>
                <w:b/>
                <w:bCs/>
                <w:sz w:val="21"/>
                <w:szCs w:val="22"/>
                <w:lang w:eastAsia="en-AU"/>
              </w:rPr>
            </w:pPr>
            <w:r>
              <w:rPr>
                <w:rFonts w:eastAsiaTheme="minorEastAsia" w:cs="Calibri"/>
                <w:b/>
                <w:bCs/>
                <w:sz w:val="21"/>
                <w:szCs w:val="22"/>
                <w:lang w:eastAsia="en-AU"/>
              </w:rPr>
              <w:t>(</w:t>
            </w:r>
            <w:r w:rsidRPr="00A10A3B">
              <w:rPr>
                <w:rFonts w:eastAsiaTheme="minorEastAsia" w:cs="Calibri"/>
                <w:b/>
                <w:bCs/>
                <w:sz w:val="21"/>
                <w:szCs w:val="22"/>
                <w:lang w:eastAsia="en-AU"/>
              </w:rPr>
              <w:t xml:space="preserve">480 </w:t>
            </w:r>
            <w:r w:rsidRPr="000B5611">
              <w:rPr>
                <w:rFonts w:eastAsiaTheme="minorEastAsia" w:cs="Calibri"/>
                <w:b/>
                <w:bCs/>
                <w:sz w:val="21"/>
                <w:szCs w:val="22"/>
                <w:lang w:eastAsia="en-AU"/>
              </w:rPr>
              <w:t>3</w:t>
            </w:r>
            <w:r>
              <w:rPr>
                <w:rFonts w:eastAsiaTheme="minorEastAsia" w:cs="Calibri"/>
                <w:b/>
                <w:bCs/>
                <w:sz w:val="21"/>
                <w:szCs w:val="22"/>
                <w:lang w:eastAsia="en-AU"/>
              </w:rPr>
              <w:t>69</w:t>
            </w:r>
            <w:r w:rsidRPr="000B5611">
              <w:rPr>
                <w:rFonts w:eastAsiaTheme="minorEastAsia" w:cs="Calibri"/>
                <w:b/>
                <w:bCs/>
                <w:sz w:val="21"/>
                <w:szCs w:val="22"/>
                <w:lang w:eastAsia="en-AU"/>
              </w:rPr>
              <w:t>)</w:t>
            </w:r>
          </w:p>
        </w:tc>
      </w:tr>
    </w:tbl>
    <w:p w:rsidR="00336793" w:rsidRPr="006A75A2" w:rsidRDefault="00336793" w:rsidP="00DF0B96">
      <w:pPr>
        <w:pStyle w:val="Notes"/>
      </w:pPr>
      <w:r w:rsidRPr="006A75A2">
        <w:t>Note:</w:t>
      </w:r>
    </w:p>
    <w:p w:rsidR="00336793" w:rsidRDefault="00336793" w:rsidP="00DF0B96">
      <w:pPr>
        <w:pStyle w:val="Notes"/>
      </w:pPr>
      <w:r w:rsidRPr="006A75A2">
        <w:t xml:space="preserve">(a) </w:t>
      </w:r>
      <w:r w:rsidRPr="006A75A2">
        <w:tab/>
      </w:r>
      <w:r w:rsidRPr="00D02230">
        <w:t>June 2014 comparative figures have been reclassified to reflect more current information.</w:t>
      </w:r>
    </w:p>
    <w:p w:rsidR="00336793" w:rsidRPr="006A75A2" w:rsidRDefault="00336793" w:rsidP="00DF0B96"/>
    <w:p w:rsidR="00336793" w:rsidRDefault="00336793" w:rsidP="00D96F49">
      <w:pPr>
        <w:rPr>
          <w:rFonts w:ascii="Calibri" w:hAnsi="Calibri"/>
          <w:sz w:val="28"/>
          <w:szCs w:val="22"/>
        </w:rPr>
      </w:pPr>
      <w:r>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96F49">
      <w:pPr>
        <w:pStyle w:val="Tableheading"/>
      </w:pPr>
      <w:r w:rsidRPr="006A75A2">
        <w:t>(d)</w:t>
      </w:r>
      <w:r w:rsidRPr="006A75A2">
        <w:tab/>
        <w:t xml:space="preserve">Reconciliation of cash </w:t>
      </w:r>
      <w:r w:rsidRPr="00D96F49">
        <w:t>flows</w:t>
      </w:r>
      <w:r w:rsidRPr="006A75A2">
        <w:t xml:space="preserve"> to balances held</w:t>
      </w:r>
    </w:p>
    <w:p w:rsidR="00336793" w:rsidRPr="00496DC3" w:rsidRDefault="00336793" w:rsidP="00DF0B96">
      <w:pPr>
        <w:pStyle w:val="million"/>
        <w:rPr>
          <w:rFonts w:ascii="Times New Roman" w:hAnsi="Times New Roman"/>
          <w:lang w:eastAsia="en-AU"/>
        </w:rPr>
      </w:pPr>
      <w:r w:rsidRPr="006A75A2">
        <w:t>($</w:t>
      </w:r>
      <w:r>
        <w:t> thousand</w:t>
      </w:r>
      <w:r w:rsidRPr="006A75A2">
        <w:t>)</w:t>
      </w:r>
    </w:p>
    <w:tbl>
      <w:tblPr>
        <w:tblW w:w="9637" w:type="dxa"/>
        <w:tblInd w:w="28" w:type="dxa"/>
        <w:tblLayout w:type="fixed"/>
        <w:tblCellMar>
          <w:left w:w="43" w:type="dxa"/>
          <w:right w:w="43" w:type="dxa"/>
        </w:tblCellMar>
        <w:tblLook w:val="0000" w:firstRow="0" w:lastRow="0" w:firstColumn="0" w:lastColumn="0" w:noHBand="0" w:noVBand="0"/>
      </w:tblPr>
      <w:tblGrid>
        <w:gridCol w:w="5955"/>
        <w:gridCol w:w="1227"/>
        <w:gridCol w:w="1227"/>
        <w:gridCol w:w="1228"/>
      </w:tblGrid>
      <w:tr w:rsidR="00336793" w:rsidRPr="00496DC3" w:rsidTr="00DF0B96">
        <w:trPr>
          <w:tblHeader/>
        </w:trPr>
        <w:tc>
          <w:tcPr>
            <w:tcW w:w="5955" w:type="dxa"/>
            <w:tcBorders>
              <w:top w:val="single" w:sz="6" w:space="0" w:color="000000"/>
              <w:left w:val="single" w:sz="6" w:space="0" w:color="000000"/>
              <w:bottom w:val="nil"/>
              <w:right w:val="nil"/>
            </w:tcBorders>
            <w:shd w:val="clear" w:color="000000" w:fill="000000"/>
            <w:vAlign w:val="bottom"/>
          </w:tcPr>
          <w:p w:rsidR="00336793" w:rsidRPr="00496DC3" w:rsidRDefault="00336793" w:rsidP="00DF0B96">
            <w:pPr>
              <w:pStyle w:val="Tabletext"/>
              <w:rPr>
                <w:rFonts w:eastAsiaTheme="minorEastAsia"/>
                <w:sz w:val="21"/>
                <w:lang w:eastAsia="en-AU"/>
              </w:rPr>
            </w:pPr>
            <w:r w:rsidRPr="00496DC3">
              <w:rPr>
                <w:rFonts w:eastAsiaTheme="minorEastAsia"/>
                <w:sz w:val="21"/>
                <w:lang w:eastAsia="en-AU"/>
              </w:rPr>
              <w:t xml:space="preserve">  </w:t>
            </w:r>
          </w:p>
        </w:tc>
        <w:tc>
          <w:tcPr>
            <w:tcW w:w="1227" w:type="dxa"/>
            <w:tcBorders>
              <w:top w:val="single" w:sz="6" w:space="0" w:color="000000"/>
              <w:left w:val="nil"/>
              <w:bottom w:val="nil"/>
              <w:right w:val="nil"/>
            </w:tcBorders>
            <w:shd w:val="clear" w:color="000000" w:fill="000000"/>
            <w:vAlign w:val="bottom"/>
          </w:tcPr>
          <w:p w:rsidR="00336793" w:rsidRPr="00496DC3" w:rsidRDefault="00336793" w:rsidP="00DF0B96">
            <w:pPr>
              <w:pStyle w:val="Tabletextheading"/>
              <w:rPr>
                <w:rFonts w:eastAsiaTheme="minorEastAsia"/>
                <w:color w:val="FFFFFF"/>
                <w:sz w:val="21"/>
                <w:lang w:eastAsia="en-AU"/>
              </w:rPr>
            </w:pPr>
            <w:r w:rsidRPr="00496DC3">
              <w:rPr>
                <w:rFonts w:eastAsiaTheme="minorEastAsia"/>
                <w:color w:val="FFFFFF"/>
                <w:sz w:val="21"/>
                <w:lang w:eastAsia="en-AU"/>
              </w:rPr>
              <w:t xml:space="preserve">Balances </w:t>
            </w:r>
          </w:p>
        </w:tc>
        <w:tc>
          <w:tcPr>
            <w:tcW w:w="1227" w:type="dxa"/>
            <w:tcBorders>
              <w:top w:val="single" w:sz="6" w:space="0" w:color="000000"/>
              <w:left w:val="nil"/>
              <w:bottom w:val="nil"/>
              <w:right w:val="nil"/>
            </w:tcBorders>
            <w:shd w:val="clear" w:color="000000" w:fill="000000"/>
            <w:vAlign w:val="bottom"/>
          </w:tcPr>
          <w:p w:rsidR="00336793" w:rsidRPr="00496DC3" w:rsidRDefault="00336793" w:rsidP="00DF0B96">
            <w:pPr>
              <w:pStyle w:val="Tabletextheading"/>
              <w:rPr>
                <w:rFonts w:eastAsiaTheme="minorEastAsia"/>
                <w:color w:val="FFFFFF"/>
                <w:sz w:val="21"/>
                <w:lang w:eastAsia="en-AU"/>
              </w:rPr>
            </w:pPr>
            <w:r w:rsidRPr="00496DC3">
              <w:rPr>
                <w:rFonts w:eastAsiaTheme="minorEastAsia"/>
                <w:color w:val="FFFFFF"/>
                <w:sz w:val="21"/>
                <w:lang w:eastAsia="en-AU"/>
              </w:rPr>
              <w:t>Net</w:t>
            </w:r>
          </w:p>
        </w:tc>
        <w:tc>
          <w:tcPr>
            <w:tcW w:w="1228" w:type="dxa"/>
            <w:tcBorders>
              <w:top w:val="single" w:sz="6" w:space="0" w:color="000000"/>
              <w:left w:val="nil"/>
              <w:bottom w:val="nil"/>
              <w:right w:val="single" w:sz="6" w:space="0" w:color="000000"/>
            </w:tcBorders>
            <w:shd w:val="clear" w:color="000000" w:fill="000000"/>
            <w:vAlign w:val="bottom"/>
          </w:tcPr>
          <w:p w:rsidR="00336793" w:rsidRPr="00496DC3" w:rsidRDefault="00336793" w:rsidP="00DF0B96">
            <w:pPr>
              <w:pStyle w:val="Tabletextheading"/>
              <w:rPr>
                <w:rFonts w:eastAsiaTheme="minorEastAsia"/>
                <w:color w:val="FFFFFF"/>
                <w:sz w:val="21"/>
                <w:lang w:eastAsia="en-AU"/>
              </w:rPr>
            </w:pPr>
            <w:r w:rsidRPr="00496DC3">
              <w:rPr>
                <w:rFonts w:eastAsiaTheme="minorEastAsia"/>
                <w:color w:val="FFFFFF"/>
                <w:sz w:val="21"/>
                <w:lang w:eastAsia="en-AU"/>
              </w:rPr>
              <w:t xml:space="preserve">Balances </w:t>
            </w:r>
          </w:p>
        </w:tc>
      </w:tr>
      <w:tr w:rsidR="00336793" w:rsidRPr="00496DC3" w:rsidTr="00DF0B96">
        <w:trPr>
          <w:tblHeader/>
        </w:trPr>
        <w:tc>
          <w:tcPr>
            <w:tcW w:w="5955" w:type="dxa"/>
            <w:tcBorders>
              <w:top w:val="nil"/>
              <w:left w:val="single" w:sz="6" w:space="0" w:color="000000"/>
              <w:right w:val="nil"/>
            </w:tcBorders>
            <w:shd w:val="clear" w:color="000000" w:fill="000000"/>
            <w:vAlign w:val="bottom"/>
          </w:tcPr>
          <w:p w:rsidR="00336793" w:rsidRPr="00496DC3" w:rsidRDefault="00336793" w:rsidP="00DF0B96">
            <w:pPr>
              <w:pStyle w:val="Tabletext"/>
              <w:rPr>
                <w:rFonts w:eastAsiaTheme="minorEastAsia"/>
                <w:sz w:val="21"/>
                <w:lang w:eastAsia="en-AU"/>
              </w:rPr>
            </w:pPr>
            <w:r w:rsidRPr="00496DC3">
              <w:rPr>
                <w:rFonts w:eastAsiaTheme="minorEastAsia"/>
                <w:sz w:val="21"/>
                <w:lang w:eastAsia="en-AU"/>
              </w:rPr>
              <w:t xml:space="preserve">  </w:t>
            </w:r>
          </w:p>
        </w:tc>
        <w:tc>
          <w:tcPr>
            <w:tcW w:w="1227" w:type="dxa"/>
            <w:tcBorders>
              <w:top w:val="nil"/>
              <w:left w:val="nil"/>
              <w:right w:val="nil"/>
            </w:tcBorders>
            <w:shd w:val="clear" w:color="000000" w:fill="000000"/>
            <w:vAlign w:val="bottom"/>
          </w:tcPr>
          <w:p w:rsidR="00336793" w:rsidRPr="00496DC3" w:rsidRDefault="00336793" w:rsidP="00DF0B96">
            <w:pPr>
              <w:pStyle w:val="Tabletextheading"/>
              <w:rPr>
                <w:rFonts w:eastAsiaTheme="minorEastAsia"/>
                <w:color w:val="FFFFFF"/>
                <w:sz w:val="21"/>
                <w:lang w:eastAsia="en-AU"/>
              </w:rPr>
            </w:pPr>
            <w:r w:rsidRPr="00496DC3">
              <w:rPr>
                <w:rFonts w:eastAsiaTheme="minorEastAsia"/>
                <w:color w:val="FFFFFF"/>
                <w:sz w:val="21"/>
                <w:lang w:eastAsia="en-AU"/>
              </w:rPr>
              <w:t>held at</w:t>
            </w:r>
          </w:p>
        </w:tc>
        <w:tc>
          <w:tcPr>
            <w:tcW w:w="1227" w:type="dxa"/>
            <w:tcBorders>
              <w:top w:val="nil"/>
              <w:left w:val="nil"/>
              <w:right w:val="nil"/>
            </w:tcBorders>
            <w:shd w:val="clear" w:color="000000" w:fill="000000"/>
            <w:vAlign w:val="bottom"/>
          </w:tcPr>
          <w:p w:rsidR="00336793" w:rsidRPr="00496DC3" w:rsidRDefault="00336793" w:rsidP="00DF0B96">
            <w:pPr>
              <w:pStyle w:val="Tabletextheading"/>
              <w:rPr>
                <w:rFonts w:eastAsiaTheme="minorEastAsia"/>
                <w:color w:val="FFFFFF"/>
                <w:sz w:val="21"/>
                <w:lang w:eastAsia="en-AU"/>
              </w:rPr>
            </w:pPr>
            <w:r w:rsidRPr="00496DC3">
              <w:rPr>
                <w:rFonts w:eastAsiaTheme="minorEastAsia"/>
                <w:color w:val="FFFFFF"/>
                <w:sz w:val="21"/>
                <w:lang w:eastAsia="en-AU"/>
              </w:rPr>
              <w:t>movement</w:t>
            </w:r>
          </w:p>
        </w:tc>
        <w:tc>
          <w:tcPr>
            <w:tcW w:w="1228" w:type="dxa"/>
            <w:tcBorders>
              <w:top w:val="nil"/>
              <w:left w:val="nil"/>
              <w:right w:val="single" w:sz="6" w:space="0" w:color="000000"/>
            </w:tcBorders>
            <w:shd w:val="clear" w:color="000000" w:fill="000000"/>
            <w:vAlign w:val="bottom"/>
          </w:tcPr>
          <w:p w:rsidR="00336793" w:rsidRPr="00496DC3" w:rsidRDefault="00336793" w:rsidP="00DF0B96">
            <w:pPr>
              <w:pStyle w:val="Tabletextheading"/>
              <w:rPr>
                <w:rFonts w:eastAsiaTheme="minorEastAsia"/>
                <w:color w:val="FFFFFF"/>
                <w:sz w:val="21"/>
                <w:lang w:eastAsia="en-AU"/>
              </w:rPr>
            </w:pPr>
            <w:r w:rsidRPr="00496DC3">
              <w:rPr>
                <w:rFonts w:eastAsiaTheme="minorEastAsia"/>
                <w:color w:val="FFFFFF"/>
                <w:sz w:val="21"/>
                <w:lang w:eastAsia="en-AU"/>
              </w:rPr>
              <w:t>held at</w:t>
            </w:r>
          </w:p>
        </w:tc>
      </w:tr>
      <w:tr w:rsidR="00336793" w:rsidRPr="00496DC3" w:rsidTr="00DF0B96">
        <w:trPr>
          <w:tblHeader/>
        </w:trPr>
        <w:tc>
          <w:tcPr>
            <w:tcW w:w="5955" w:type="dxa"/>
            <w:tcBorders>
              <w:left w:val="single" w:sz="6" w:space="0" w:color="000000"/>
              <w:bottom w:val="single" w:sz="6" w:space="0" w:color="000000"/>
              <w:right w:val="nil"/>
            </w:tcBorders>
            <w:shd w:val="clear" w:color="000000" w:fill="000000"/>
            <w:vAlign w:val="bottom"/>
          </w:tcPr>
          <w:p w:rsidR="00336793" w:rsidRPr="00496DC3" w:rsidRDefault="00336793" w:rsidP="00DF0B96">
            <w:pPr>
              <w:pStyle w:val="Tabletext"/>
              <w:rPr>
                <w:rFonts w:eastAsiaTheme="minorEastAsia"/>
                <w:i/>
                <w:sz w:val="21"/>
                <w:lang w:eastAsia="en-AU"/>
              </w:rPr>
            </w:pPr>
            <w:r w:rsidRPr="00496DC3">
              <w:rPr>
                <w:rFonts w:eastAsiaTheme="minorEastAsia"/>
                <w:i/>
                <w:sz w:val="21"/>
                <w:lang w:eastAsia="en-AU"/>
              </w:rPr>
              <w:t xml:space="preserve">  </w:t>
            </w:r>
          </w:p>
        </w:tc>
        <w:tc>
          <w:tcPr>
            <w:tcW w:w="1227" w:type="dxa"/>
            <w:tcBorders>
              <w:left w:val="nil"/>
              <w:bottom w:val="single" w:sz="6" w:space="0" w:color="000000"/>
              <w:right w:val="nil"/>
            </w:tcBorders>
            <w:shd w:val="clear" w:color="000000" w:fill="000000"/>
            <w:vAlign w:val="bottom"/>
          </w:tcPr>
          <w:p w:rsidR="00336793" w:rsidRPr="00496DC3" w:rsidRDefault="00336793" w:rsidP="00DF0B96">
            <w:pPr>
              <w:pStyle w:val="Tabletextheading"/>
              <w:rPr>
                <w:rFonts w:eastAsiaTheme="minorEastAsia"/>
                <w:color w:val="FFFFFF"/>
                <w:sz w:val="21"/>
                <w:lang w:eastAsia="en-AU"/>
              </w:rPr>
            </w:pPr>
            <w:r w:rsidRPr="00496DC3">
              <w:rPr>
                <w:rFonts w:eastAsiaTheme="minorEastAsia"/>
                <w:color w:val="FFFFFF"/>
                <w:sz w:val="21"/>
                <w:lang w:eastAsia="en-AU"/>
              </w:rPr>
              <w:t>30 June 2014</w:t>
            </w:r>
          </w:p>
        </w:tc>
        <w:tc>
          <w:tcPr>
            <w:tcW w:w="1227" w:type="dxa"/>
            <w:tcBorders>
              <w:left w:val="nil"/>
              <w:bottom w:val="single" w:sz="6" w:space="0" w:color="000000"/>
              <w:right w:val="nil"/>
            </w:tcBorders>
            <w:shd w:val="clear" w:color="000000" w:fill="000000"/>
            <w:vAlign w:val="bottom"/>
          </w:tcPr>
          <w:p w:rsidR="00336793" w:rsidRPr="00496DC3" w:rsidRDefault="00336793" w:rsidP="00DF0B96">
            <w:pPr>
              <w:pStyle w:val="Tabletextheading"/>
              <w:rPr>
                <w:rFonts w:eastAsiaTheme="minorEastAsia"/>
                <w:color w:val="FFFFFF"/>
                <w:sz w:val="21"/>
                <w:lang w:eastAsia="en-AU"/>
              </w:rPr>
            </w:pPr>
            <w:r w:rsidRPr="00496DC3">
              <w:rPr>
                <w:rFonts w:eastAsiaTheme="minorEastAsia"/>
                <w:color w:val="FFFFFF"/>
                <w:sz w:val="21"/>
                <w:lang w:eastAsia="en-AU"/>
              </w:rPr>
              <w:t>for year</w:t>
            </w:r>
          </w:p>
        </w:tc>
        <w:tc>
          <w:tcPr>
            <w:tcW w:w="1228" w:type="dxa"/>
            <w:tcBorders>
              <w:left w:val="nil"/>
              <w:bottom w:val="single" w:sz="6" w:space="0" w:color="000000"/>
              <w:right w:val="single" w:sz="6" w:space="0" w:color="000000"/>
            </w:tcBorders>
            <w:shd w:val="clear" w:color="000000" w:fill="000000"/>
            <w:vAlign w:val="bottom"/>
          </w:tcPr>
          <w:p w:rsidR="00336793" w:rsidRPr="00496DC3" w:rsidRDefault="00336793" w:rsidP="00DF0B96">
            <w:pPr>
              <w:pStyle w:val="Tabletextheading"/>
              <w:rPr>
                <w:rFonts w:eastAsiaTheme="minorEastAsia"/>
                <w:color w:val="FFFFFF"/>
                <w:sz w:val="21"/>
                <w:lang w:eastAsia="en-AU"/>
              </w:rPr>
            </w:pPr>
            <w:r w:rsidRPr="00496DC3">
              <w:rPr>
                <w:rFonts w:eastAsiaTheme="minorEastAsia"/>
                <w:color w:val="FFFFFF"/>
                <w:sz w:val="21"/>
                <w:lang w:eastAsia="en-AU"/>
              </w:rPr>
              <w:t>30 June 2015</w:t>
            </w:r>
          </w:p>
        </w:tc>
      </w:tr>
      <w:tr w:rsidR="00336793" w:rsidRPr="00496DC3" w:rsidTr="00DF0B96">
        <w:tc>
          <w:tcPr>
            <w:tcW w:w="5955" w:type="dxa"/>
            <w:tcBorders>
              <w:top w:val="single" w:sz="6" w:space="0" w:color="000000"/>
              <w:left w:val="nil"/>
              <w:bottom w:val="nil"/>
              <w:right w:val="nil"/>
            </w:tcBorders>
          </w:tcPr>
          <w:p w:rsidR="00336793" w:rsidRPr="00496DC3" w:rsidRDefault="00336793" w:rsidP="00DF0B96">
            <w:pPr>
              <w:pStyle w:val="Tabletext"/>
              <w:rPr>
                <w:rFonts w:eastAsiaTheme="minorEastAsia"/>
                <w:b/>
                <w:bCs/>
                <w:sz w:val="21"/>
                <w:lang w:eastAsia="en-AU"/>
              </w:rPr>
            </w:pPr>
            <w:r w:rsidRPr="00496DC3">
              <w:rPr>
                <w:rFonts w:eastAsiaTheme="minorEastAsia"/>
                <w:b/>
                <w:bCs/>
                <w:sz w:val="21"/>
                <w:lang w:eastAsia="en-AU"/>
              </w:rPr>
              <w:t>Cash and deposits</w:t>
            </w:r>
          </w:p>
        </w:tc>
        <w:tc>
          <w:tcPr>
            <w:tcW w:w="1227" w:type="dxa"/>
            <w:tcBorders>
              <w:top w:val="single" w:sz="6" w:space="0" w:color="000000"/>
              <w:left w:val="nil"/>
              <w:bottom w:val="nil"/>
              <w:right w:val="nil"/>
            </w:tcBorders>
          </w:tcPr>
          <w:p w:rsidR="00336793" w:rsidRPr="00496DC3" w:rsidRDefault="00336793" w:rsidP="00DF0B96">
            <w:pPr>
              <w:pStyle w:val="TableofFigures"/>
              <w:rPr>
                <w:rFonts w:eastAsiaTheme="minorEastAsia"/>
                <w:b/>
                <w:sz w:val="21"/>
                <w:lang w:eastAsia="en-AU"/>
              </w:rPr>
            </w:pPr>
            <w:r w:rsidRPr="00496DC3">
              <w:rPr>
                <w:rFonts w:eastAsiaTheme="minorEastAsia"/>
                <w:b/>
                <w:sz w:val="21"/>
                <w:lang w:eastAsia="en-AU"/>
              </w:rPr>
              <w:t xml:space="preserve">  </w:t>
            </w:r>
          </w:p>
        </w:tc>
        <w:tc>
          <w:tcPr>
            <w:tcW w:w="1227" w:type="dxa"/>
            <w:tcBorders>
              <w:top w:val="single" w:sz="6" w:space="0" w:color="000000"/>
              <w:left w:val="nil"/>
              <w:bottom w:val="nil"/>
              <w:right w:val="nil"/>
            </w:tcBorders>
          </w:tcPr>
          <w:p w:rsidR="00336793" w:rsidRPr="00496DC3" w:rsidRDefault="00336793" w:rsidP="00DF0B96">
            <w:pPr>
              <w:pStyle w:val="TableofFigures"/>
              <w:rPr>
                <w:rFonts w:eastAsiaTheme="minorEastAsia"/>
                <w:b/>
                <w:bCs/>
                <w:sz w:val="21"/>
                <w:lang w:eastAsia="en-AU"/>
              </w:rPr>
            </w:pPr>
            <w:r w:rsidRPr="00496DC3">
              <w:rPr>
                <w:rFonts w:eastAsiaTheme="minorEastAsia"/>
                <w:b/>
                <w:bCs/>
                <w:sz w:val="21"/>
                <w:lang w:eastAsia="en-AU"/>
              </w:rPr>
              <w:t xml:space="preserve">  </w:t>
            </w:r>
          </w:p>
        </w:tc>
        <w:tc>
          <w:tcPr>
            <w:tcW w:w="1228" w:type="dxa"/>
            <w:tcBorders>
              <w:top w:val="single" w:sz="6" w:space="0" w:color="000000"/>
              <w:left w:val="nil"/>
              <w:bottom w:val="nil"/>
              <w:right w:val="nil"/>
            </w:tcBorders>
          </w:tcPr>
          <w:p w:rsidR="00336793" w:rsidRPr="00496DC3" w:rsidRDefault="00336793" w:rsidP="00DF0B96">
            <w:pPr>
              <w:pStyle w:val="TableofFigures"/>
              <w:rPr>
                <w:rFonts w:eastAsiaTheme="minorEastAsia"/>
                <w:b/>
                <w:bCs/>
                <w:sz w:val="21"/>
                <w:lang w:eastAsia="en-AU"/>
              </w:rPr>
            </w:pPr>
            <w:r w:rsidRPr="00496DC3">
              <w:rPr>
                <w:rFonts w:eastAsiaTheme="minorEastAsia"/>
                <w:b/>
                <w:bCs/>
                <w:sz w:val="21"/>
                <w:lang w:eastAsia="en-AU"/>
              </w:rPr>
              <w:t xml:space="preserve">  </w:t>
            </w:r>
          </w:p>
        </w:tc>
      </w:tr>
      <w:tr w:rsidR="00336793" w:rsidRPr="00496DC3" w:rsidTr="00DF0B96">
        <w:tc>
          <w:tcPr>
            <w:tcW w:w="5955" w:type="dxa"/>
            <w:tcBorders>
              <w:top w:val="nil"/>
              <w:left w:val="nil"/>
              <w:bottom w:val="nil"/>
              <w:right w:val="nil"/>
            </w:tcBorders>
          </w:tcPr>
          <w:p w:rsidR="00336793" w:rsidRPr="00496DC3" w:rsidRDefault="00336793" w:rsidP="00DF0B96">
            <w:pPr>
              <w:pStyle w:val="Tabletext"/>
              <w:rPr>
                <w:rFonts w:eastAsiaTheme="minorEastAsia"/>
                <w:sz w:val="21"/>
                <w:lang w:eastAsia="en-AU"/>
              </w:rPr>
            </w:pPr>
            <w:r w:rsidRPr="00496DC3">
              <w:rPr>
                <w:rFonts w:eastAsiaTheme="minorEastAsia"/>
                <w:sz w:val="21"/>
                <w:lang w:eastAsia="en-AU"/>
              </w:rPr>
              <w:t>Cash balances outside the Public Account</w:t>
            </w:r>
          </w:p>
        </w:tc>
        <w:tc>
          <w:tcPr>
            <w:tcW w:w="1227"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378</w:t>
            </w:r>
          </w:p>
        </w:tc>
        <w:tc>
          <w:tcPr>
            <w:tcW w:w="1227"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313</w:t>
            </w:r>
          </w:p>
        </w:tc>
        <w:tc>
          <w:tcPr>
            <w:tcW w:w="1228"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691</w:t>
            </w:r>
          </w:p>
        </w:tc>
      </w:tr>
      <w:tr w:rsidR="00336793" w:rsidRPr="00496DC3" w:rsidTr="00DF0B96">
        <w:tc>
          <w:tcPr>
            <w:tcW w:w="5955" w:type="dxa"/>
            <w:tcBorders>
              <w:top w:val="nil"/>
              <w:left w:val="nil"/>
              <w:bottom w:val="nil"/>
              <w:right w:val="nil"/>
            </w:tcBorders>
          </w:tcPr>
          <w:p w:rsidR="00336793" w:rsidRPr="00496DC3" w:rsidRDefault="00336793" w:rsidP="00DF0B96">
            <w:pPr>
              <w:pStyle w:val="Tabletext"/>
              <w:rPr>
                <w:rFonts w:eastAsiaTheme="minorEastAsia"/>
                <w:sz w:val="21"/>
                <w:lang w:eastAsia="en-AU"/>
              </w:rPr>
            </w:pPr>
            <w:r w:rsidRPr="00496DC3">
              <w:rPr>
                <w:rFonts w:eastAsiaTheme="minorEastAsia"/>
                <w:sz w:val="21"/>
                <w:lang w:eastAsia="en-AU"/>
              </w:rPr>
              <w:t>Deposits held with the Public Account</w:t>
            </w:r>
            <w:r>
              <w:rPr>
                <w:rFonts w:eastAsiaTheme="minorEastAsia"/>
                <w:sz w:val="21"/>
                <w:lang w:eastAsia="en-AU"/>
              </w:rPr>
              <w:t xml:space="preserve"> – </w:t>
            </w:r>
            <w:r w:rsidRPr="00496DC3">
              <w:rPr>
                <w:rFonts w:eastAsiaTheme="minorEastAsia"/>
                <w:sz w:val="21"/>
                <w:lang w:eastAsia="en-AU"/>
              </w:rPr>
              <w:t>specific trusts</w:t>
            </w:r>
          </w:p>
        </w:tc>
        <w:tc>
          <w:tcPr>
            <w:tcW w:w="1227"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550 118</w:t>
            </w:r>
          </w:p>
        </w:tc>
        <w:tc>
          <w:tcPr>
            <w:tcW w:w="1227"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255 943</w:t>
            </w:r>
          </w:p>
        </w:tc>
        <w:tc>
          <w:tcPr>
            <w:tcW w:w="1228"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806 060</w:t>
            </w:r>
          </w:p>
        </w:tc>
      </w:tr>
      <w:tr w:rsidR="00336793" w:rsidRPr="00496DC3" w:rsidTr="00DF0B96">
        <w:tc>
          <w:tcPr>
            <w:tcW w:w="5955" w:type="dxa"/>
            <w:tcBorders>
              <w:top w:val="nil"/>
              <w:left w:val="nil"/>
              <w:bottom w:val="single" w:sz="6" w:space="0" w:color="auto"/>
              <w:right w:val="nil"/>
            </w:tcBorders>
          </w:tcPr>
          <w:p w:rsidR="00336793" w:rsidRPr="00496DC3" w:rsidRDefault="00336793" w:rsidP="00DF0B96">
            <w:pPr>
              <w:pStyle w:val="Tabletext"/>
              <w:rPr>
                <w:rFonts w:eastAsiaTheme="minorEastAsia"/>
                <w:sz w:val="21"/>
                <w:lang w:eastAsia="en-AU"/>
              </w:rPr>
            </w:pPr>
            <w:r w:rsidRPr="00496DC3">
              <w:rPr>
                <w:rFonts w:eastAsiaTheme="minorEastAsia"/>
                <w:sz w:val="21"/>
                <w:lang w:eastAsia="en-AU"/>
              </w:rPr>
              <w:t>Other balances held in the Public Account</w:t>
            </w:r>
          </w:p>
        </w:tc>
        <w:tc>
          <w:tcPr>
            <w:tcW w:w="1227" w:type="dxa"/>
            <w:tcBorders>
              <w:top w:val="nil"/>
              <w:left w:val="nil"/>
              <w:bottom w:val="single" w:sz="6" w:space="0" w:color="auto"/>
              <w:right w:val="nil"/>
            </w:tcBorders>
          </w:tcPr>
          <w:p w:rsidR="00336793" w:rsidRPr="00496DC3" w:rsidRDefault="00336793" w:rsidP="00DF0B96">
            <w:pPr>
              <w:pStyle w:val="TableofFigures"/>
              <w:rPr>
                <w:rFonts w:eastAsiaTheme="minorEastAsia"/>
                <w:sz w:val="21"/>
              </w:rPr>
            </w:pPr>
            <w:r w:rsidRPr="00496DC3">
              <w:rPr>
                <w:rFonts w:eastAsiaTheme="minorEastAsia"/>
                <w:sz w:val="21"/>
              </w:rPr>
              <w:t>2 493 795</w:t>
            </w:r>
          </w:p>
        </w:tc>
        <w:tc>
          <w:tcPr>
            <w:tcW w:w="1227" w:type="dxa"/>
            <w:tcBorders>
              <w:top w:val="nil"/>
              <w:left w:val="nil"/>
              <w:bottom w:val="single" w:sz="6" w:space="0" w:color="auto"/>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903 595</w:t>
            </w:r>
          </w:p>
        </w:tc>
        <w:tc>
          <w:tcPr>
            <w:tcW w:w="1228" w:type="dxa"/>
            <w:tcBorders>
              <w:top w:val="nil"/>
              <w:left w:val="nil"/>
              <w:bottom w:val="single" w:sz="6" w:space="0" w:color="auto"/>
              <w:right w:val="nil"/>
            </w:tcBorders>
          </w:tcPr>
          <w:p w:rsidR="00336793" w:rsidRPr="00496DC3" w:rsidRDefault="00336793" w:rsidP="00DF0B96">
            <w:pPr>
              <w:pStyle w:val="TableofFigures"/>
              <w:rPr>
                <w:rFonts w:eastAsiaTheme="minorEastAsia"/>
                <w:sz w:val="21"/>
              </w:rPr>
            </w:pPr>
            <w:r w:rsidRPr="00496DC3">
              <w:rPr>
                <w:rFonts w:eastAsiaTheme="minorEastAsia"/>
                <w:sz w:val="21"/>
              </w:rPr>
              <w:t>3 397 389</w:t>
            </w:r>
          </w:p>
        </w:tc>
      </w:tr>
      <w:tr w:rsidR="00336793" w:rsidRPr="00496DC3" w:rsidTr="00DF0B96">
        <w:tc>
          <w:tcPr>
            <w:tcW w:w="5955" w:type="dxa"/>
            <w:tcBorders>
              <w:top w:val="nil"/>
              <w:left w:val="nil"/>
              <w:bottom w:val="nil"/>
              <w:right w:val="nil"/>
            </w:tcBorders>
          </w:tcPr>
          <w:p w:rsidR="00336793" w:rsidRPr="00496DC3" w:rsidRDefault="00336793" w:rsidP="00DF0B96">
            <w:pPr>
              <w:pStyle w:val="Tabletext"/>
              <w:rPr>
                <w:rFonts w:eastAsiaTheme="minorEastAsia"/>
                <w:b/>
                <w:bCs/>
                <w:sz w:val="21"/>
                <w:lang w:eastAsia="en-AU"/>
              </w:rPr>
            </w:pPr>
            <w:r w:rsidRPr="00496DC3">
              <w:rPr>
                <w:rFonts w:eastAsiaTheme="minorEastAsia"/>
                <w:b/>
                <w:bCs/>
                <w:sz w:val="21"/>
                <w:lang w:eastAsia="en-AU"/>
              </w:rPr>
              <w:t>Total cash and deposits</w:t>
            </w:r>
          </w:p>
        </w:tc>
        <w:tc>
          <w:tcPr>
            <w:tcW w:w="1227" w:type="dxa"/>
            <w:tcBorders>
              <w:top w:val="nil"/>
              <w:left w:val="nil"/>
              <w:bottom w:val="nil"/>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3 044 291</w:t>
            </w:r>
          </w:p>
        </w:tc>
        <w:tc>
          <w:tcPr>
            <w:tcW w:w="1227" w:type="dxa"/>
            <w:tcBorders>
              <w:top w:val="nil"/>
              <w:left w:val="nil"/>
              <w:bottom w:val="nil"/>
              <w:right w:val="nil"/>
            </w:tcBorders>
          </w:tcPr>
          <w:p w:rsidR="00336793" w:rsidRPr="00496DC3" w:rsidRDefault="00336793" w:rsidP="00DF0B96">
            <w:pPr>
              <w:pStyle w:val="TableofFigures"/>
              <w:rPr>
                <w:rFonts w:eastAsiaTheme="minorEastAsia" w:cs="Calibri"/>
                <w:b/>
                <w:bCs/>
                <w:sz w:val="21"/>
                <w:szCs w:val="22"/>
                <w:lang w:eastAsia="en-AU"/>
              </w:rPr>
            </w:pPr>
            <w:r w:rsidRPr="00496DC3">
              <w:rPr>
                <w:rFonts w:eastAsiaTheme="minorEastAsia"/>
                <w:b/>
                <w:sz w:val="21"/>
              </w:rPr>
              <w:t>1 159 850</w:t>
            </w:r>
          </w:p>
        </w:tc>
        <w:tc>
          <w:tcPr>
            <w:tcW w:w="1228" w:type="dxa"/>
            <w:tcBorders>
              <w:top w:val="nil"/>
              <w:left w:val="nil"/>
              <w:bottom w:val="nil"/>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4 204 141</w:t>
            </w:r>
          </w:p>
        </w:tc>
      </w:tr>
      <w:tr w:rsidR="00336793" w:rsidRPr="00496DC3" w:rsidTr="00DF0B96">
        <w:tc>
          <w:tcPr>
            <w:tcW w:w="5955" w:type="dxa"/>
            <w:tcBorders>
              <w:top w:val="nil"/>
              <w:left w:val="nil"/>
              <w:bottom w:val="nil"/>
              <w:right w:val="nil"/>
            </w:tcBorders>
          </w:tcPr>
          <w:p w:rsidR="00336793" w:rsidRPr="00496DC3" w:rsidRDefault="00336793" w:rsidP="00DF0B96">
            <w:pPr>
              <w:pStyle w:val="Tabletext"/>
              <w:rPr>
                <w:rFonts w:eastAsiaTheme="minorEastAsia"/>
                <w:b/>
                <w:bCs/>
                <w:sz w:val="21"/>
                <w:lang w:eastAsia="en-AU"/>
              </w:rPr>
            </w:pPr>
            <w:r w:rsidRPr="00496DC3">
              <w:rPr>
                <w:rFonts w:eastAsiaTheme="minorEastAsia"/>
                <w:b/>
                <w:bCs/>
                <w:sz w:val="21"/>
                <w:lang w:eastAsia="en-AU"/>
              </w:rPr>
              <w:t>Investments</w:t>
            </w:r>
          </w:p>
        </w:tc>
        <w:tc>
          <w:tcPr>
            <w:tcW w:w="1227" w:type="dxa"/>
            <w:tcBorders>
              <w:top w:val="nil"/>
              <w:left w:val="nil"/>
              <w:bottom w:val="nil"/>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w:t>
            </w:r>
          </w:p>
        </w:tc>
        <w:tc>
          <w:tcPr>
            <w:tcW w:w="1227" w:type="dxa"/>
            <w:tcBorders>
              <w:top w:val="nil"/>
              <w:left w:val="nil"/>
              <w:bottom w:val="nil"/>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w:t>
            </w:r>
          </w:p>
        </w:tc>
        <w:tc>
          <w:tcPr>
            <w:tcW w:w="1228" w:type="dxa"/>
            <w:tcBorders>
              <w:top w:val="nil"/>
              <w:left w:val="nil"/>
              <w:bottom w:val="nil"/>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w:t>
            </w:r>
          </w:p>
        </w:tc>
      </w:tr>
      <w:tr w:rsidR="00336793" w:rsidRPr="00496DC3" w:rsidTr="00DF0B96">
        <w:tc>
          <w:tcPr>
            <w:tcW w:w="5955" w:type="dxa"/>
            <w:tcBorders>
              <w:top w:val="nil"/>
              <w:left w:val="nil"/>
              <w:bottom w:val="nil"/>
              <w:right w:val="nil"/>
            </w:tcBorders>
          </w:tcPr>
          <w:p w:rsidR="00336793" w:rsidRPr="00496DC3" w:rsidRDefault="00336793" w:rsidP="00DF0B96">
            <w:pPr>
              <w:pStyle w:val="Tabletext"/>
              <w:rPr>
                <w:rFonts w:eastAsiaTheme="minorEastAsia"/>
                <w:sz w:val="21"/>
                <w:lang w:eastAsia="en-AU"/>
              </w:rPr>
            </w:pPr>
            <w:r w:rsidRPr="00496DC3">
              <w:rPr>
                <w:rFonts w:eastAsiaTheme="minorEastAsia"/>
                <w:sz w:val="21"/>
                <w:lang w:eastAsia="en-AU"/>
              </w:rPr>
              <w:t>Investments held with Victorian Funds Management Corporation – specific trusts</w:t>
            </w:r>
          </w:p>
        </w:tc>
        <w:tc>
          <w:tcPr>
            <w:tcW w:w="1227"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664 327</w:t>
            </w:r>
          </w:p>
        </w:tc>
        <w:tc>
          <w:tcPr>
            <w:tcW w:w="1227"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16 830</w:t>
            </w:r>
          </w:p>
        </w:tc>
        <w:tc>
          <w:tcPr>
            <w:tcW w:w="1228"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681 157</w:t>
            </w:r>
          </w:p>
        </w:tc>
      </w:tr>
      <w:tr w:rsidR="00336793" w:rsidRPr="00496DC3" w:rsidTr="00DF0B96">
        <w:tc>
          <w:tcPr>
            <w:tcW w:w="5955" w:type="dxa"/>
            <w:tcBorders>
              <w:top w:val="nil"/>
              <w:left w:val="nil"/>
              <w:bottom w:val="nil"/>
              <w:right w:val="nil"/>
            </w:tcBorders>
          </w:tcPr>
          <w:p w:rsidR="00336793" w:rsidRPr="00496DC3" w:rsidRDefault="00336793" w:rsidP="00DF0B96">
            <w:pPr>
              <w:pStyle w:val="Tabletext"/>
              <w:rPr>
                <w:rFonts w:eastAsiaTheme="minorEastAsia"/>
                <w:b/>
                <w:bCs/>
                <w:sz w:val="21"/>
                <w:lang w:eastAsia="en-AU"/>
              </w:rPr>
            </w:pPr>
            <w:r w:rsidRPr="00496DC3">
              <w:rPr>
                <w:rFonts w:eastAsiaTheme="minorEastAsia"/>
                <w:b/>
                <w:bCs/>
                <w:sz w:val="21"/>
                <w:lang w:eastAsia="en-AU"/>
              </w:rPr>
              <w:t>Total investments</w:t>
            </w:r>
          </w:p>
        </w:tc>
        <w:tc>
          <w:tcPr>
            <w:tcW w:w="1227" w:type="dxa"/>
            <w:tcBorders>
              <w:top w:val="nil"/>
              <w:left w:val="nil"/>
              <w:bottom w:val="single" w:sz="6" w:space="0" w:color="auto"/>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664 327</w:t>
            </w:r>
          </w:p>
        </w:tc>
        <w:tc>
          <w:tcPr>
            <w:tcW w:w="1227" w:type="dxa"/>
            <w:tcBorders>
              <w:top w:val="nil"/>
              <w:left w:val="nil"/>
              <w:bottom w:val="single" w:sz="6" w:space="0" w:color="auto"/>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16 830</w:t>
            </w:r>
          </w:p>
        </w:tc>
        <w:tc>
          <w:tcPr>
            <w:tcW w:w="1228" w:type="dxa"/>
            <w:tcBorders>
              <w:top w:val="nil"/>
              <w:left w:val="nil"/>
              <w:bottom w:val="single" w:sz="6" w:space="0" w:color="auto"/>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681 157</w:t>
            </w:r>
          </w:p>
        </w:tc>
      </w:tr>
      <w:tr w:rsidR="00336793" w:rsidRPr="00496DC3" w:rsidTr="00DF0B96">
        <w:tc>
          <w:tcPr>
            <w:tcW w:w="5955" w:type="dxa"/>
            <w:tcBorders>
              <w:top w:val="single" w:sz="6" w:space="0" w:color="auto"/>
              <w:left w:val="nil"/>
              <w:bottom w:val="nil"/>
              <w:right w:val="nil"/>
            </w:tcBorders>
          </w:tcPr>
          <w:p w:rsidR="00336793" w:rsidRPr="00496DC3" w:rsidRDefault="00336793" w:rsidP="00DF0B96">
            <w:pPr>
              <w:pStyle w:val="Tabletext"/>
              <w:rPr>
                <w:rFonts w:eastAsiaTheme="minorEastAsia"/>
                <w:b/>
                <w:bCs/>
                <w:sz w:val="21"/>
                <w:lang w:eastAsia="en-AU"/>
              </w:rPr>
            </w:pPr>
            <w:r w:rsidRPr="00496DC3">
              <w:rPr>
                <w:rFonts w:eastAsiaTheme="minorEastAsia"/>
                <w:b/>
                <w:bCs/>
                <w:sz w:val="21"/>
                <w:lang w:eastAsia="en-AU"/>
              </w:rPr>
              <w:t>Total fund balances</w:t>
            </w:r>
          </w:p>
        </w:tc>
        <w:tc>
          <w:tcPr>
            <w:tcW w:w="1227" w:type="dxa"/>
            <w:tcBorders>
              <w:top w:val="nil"/>
              <w:left w:val="nil"/>
              <w:bottom w:val="nil"/>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3 708 618</w:t>
            </w:r>
          </w:p>
        </w:tc>
        <w:tc>
          <w:tcPr>
            <w:tcW w:w="1227" w:type="dxa"/>
            <w:tcBorders>
              <w:top w:val="nil"/>
              <w:left w:val="nil"/>
              <w:bottom w:val="nil"/>
              <w:right w:val="nil"/>
            </w:tcBorders>
          </w:tcPr>
          <w:p w:rsidR="00336793" w:rsidRPr="00496DC3" w:rsidRDefault="00336793" w:rsidP="00DF0B96">
            <w:pPr>
              <w:pStyle w:val="TableofFigures"/>
              <w:rPr>
                <w:rFonts w:eastAsiaTheme="minorEastAsia" w:cs="Calibri"/>
                <w:b/>
                <w:bCs/>
                <w:sz w:val="21"/>
                <w:szCs w:val="22"/>
                <w:lang w:eastAsia="en-AU"/>
              </w:rPr>
            </w:pPr>
            <w:r w:rsidRPr="00496DC3">
              <w:rPr>
                <w:rFonts w:eastAsiaTheme="minorEastAsia"/>
                <w:b/>
                <w:sz w:val="21"/>
              </w:rPr>
              <w:t>1 176 680</w:t>
            </w:r>
          </w:p>
        </w:tc>
        <w:tc>
          <w:tcPr>
            <w:tcW w:w="1228" w:type="dxa"/>
            <w:tcBorders>
              <w:top w:val="nil"/>
              <w:left w:val="nil"/>
              <w:bottom w:val="nil"/>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4 885 298</w:t>
            </w:r>
          </w:p>
        </w:tc>
      </w:tr>
      <w:tr w:rsidR="00336793" w:rsidRPr="00496DC3" w:rsidTr="00DF0B96">
        <w:tc>
          <w:tcPr>
            <w:tcW w:w="5955" w:type="dxa"/>
            <w:tcBorders>
              <w:top w:val="nil"/>
              <w:left w:val="nil"/>
              <w:bottom w:val="nil"/>
              <w:right w:val="nil"/>
            </w:tcBorders>
          </w:tcPr>
          <w:p w:rsidR="00336793" w:rsidRPr="00496DC3" w:rsidRDefault="00336793" w:rsidP="00DF0B96">
            <w:pPr>
              <w:pStyle w:val="Tabletext"/>
              <w:rPr>
                <w:rFonts w:eastAsiaTheme="minorEastAsia"/>
                <w:b/>
                <w:bCs/>
                <w:sz w:val="21"/>
                <w:lang w:eastAsia="en-AU"/>
              </w:rPr>
            </w:pPr>
            <w:r w:rsidRPr="00496DC3">
              <w:rPr>
                <w:rFonts w:eastAsiaTheme="minorEastAsia"/>
                <w:b/>
                <w:bCs/>
                <w:sz w:val="21"/>
                <w:lang w:eastAsia="en-AU"/>
              </w:rPr>
              <w:t>Less funds held outside the Public Account</w:t>
            </w:r>
          </w:p>
        </w:tc>
        <w:tc>
          <w:tcPr>
            <w:tcW w:w="1227" w:type="dxa"/>
            <w:tcBorders>
              <w:top w:val="nil"/>
              <w:left w:val="nil"/>
              <w:bottom w:val="nil"/>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w:t>
            </w:r>
          </w:p>
        </w:tc>
        <w:tc>
          <w:tcPr>
            <w:tcW w:w="1227" w:type="dxa"/>
            <w:tcBorders>
              <w:top w:val="nil"/>
              <w:left w:val="nil"/>
              <w:bottom w:val="nil"/>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w:t>
            </w:r>
          </w:p>
        </w:tc>
        <w:tc>
          <w:tcPr>
            <w:tcW w:w="1228" w:type="dxa"/>
            <w:tcBorders>
              <w:top w:val="nil"/>
              <w:left w:val="nil"/>
              <w:bottom w:val="nil"/>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w:t>
            </w:r>
          </w:p>
        </w:tc>
      </w:tr>
      <w:tr w:rsidR="00336793" w:rsidRPr="00496DC3" w:rsidTr="00DF0B96">
        <w:tc>
          <w:tcPr>
            <w:tcW w:w="5955" w:type="dxa"/>
            <w:tcBorders>
              <w:top w:val="nil"/>
              <w:left w:val="nil"/>
              <w:bottom w:val="nil"/>
              <w:right w:val="nil"/>
            </w:tcBorders>
          </w:tcPr>
          <w:p w:rsidR="00336793" w:rsidRPr="00496DC3" w:rsidRDefault="00336793" w:rsidP="00DF0B96">
            <w:pPr>
              <w:pStyle w:val="Tabletext"/>
              <w:rPr>
                <w:rFonts w:eastAsiaTheme="minorEastAsia"/>
                <w:sz w:val="21"/>
                <w:lang w:eastAsia="en-AU"/>
              </w:rPr>
            </w:pPr>
            <w:r w:rsidRPr="00496DC3">
              <w:rPr>
                <w:rFonts w:eastAsiaTheme="minorEastAsia"/>
                <w:sz w:val="21"/>
                <w:lang w:eastAsia="en-AU"/>
              </w:rPr>
              <w:t>Cash</w:t>
            </w:r>
          </w:p>
        </w:tc>
        <w:tc>
          <w:tcPr>
            <w:tcW w:w="1227"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378</w:t>
            </w:r>
          </w:p>
        </w:tc>
        <w:tc>
          <w:tcPr>
            <w:tcW w:w="1227"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313</w:t>
            </w:r>
          </w:p>
        </w:tc>
        <w:tc>
          <w:tcPr>
            <w:tcW w:w="1228" w:type="dxa"/>
            <w:tcBorders>
              <w:top w:val="nil"/>
              <w:left w:val="nil"/>
              <w:bottom w:val="nil"/>
              <w:right w:val="nil"/>
            </w:tcBorders>
          </w:tcPr>
          <w:p w:rsidR="00336793" w:rsidRPr="00496DC3" w:rsidRDefault="00336793" w:rsidP="00DF0B96">
            <w:pPr>
              <w:pStyle w:val="TableofFigures"/>
              <w:rPr>
                <w:rFonts w:eastAsiaTheme="minorEastAsia"/>
                <w:sz w:val="21"/>
              </w:rPr>
            </w:pPr>
            <w:r w:rsidRPr="00496DC3">
              <w:rPr>
                <w:rFonts w:eastAsiaTheme="minorEastAsia"/>
                <w:sz w:val="21"/>
              </w:rPr>
              <w:t xml:space="preserve">  691</w:t>
            </w:r>
          </w:p>
        </w:tc>
      </w:tr>
      <w:tr w:rsidR="00336793" w:rsidRPr="00496DC3" w:rsidTr="00DF0B96">
        <w:tc>
          <w:tcPr>
            <w:tcW w:w="5955" w:type="dxa"/>
            <w:tcBorders>
              <w:top w:val="nil"/>
              <w:left w:val="nil"/>
              <w:bottom w:val="single" w:sz="6" w:space="0" w:color="auto"/>
              <w:right w:val="nil"/>
            </w:tcBorders>
          </w:tcPr>
          <w:p w:rsidR="00336793" w:rsidRPr="00496DC3" w:rsidRDefault="00336793" w:rsidP="00DF0B96">
            <w:pPr>
              <w:pStyle w:val="Tabletext"/>
              <w:rPr>
                <w:rFonts w:eastAsiaTheme="minorEastAsia"/>
                <w:b/>
                <w:bCs/>
                <w:sz w:val="21"/>
                <w:lang w:eastAsia="en-AU"/>
              </w:rPr>
            </w:pPr>
            <w:r w:rsidRPr="00496DC3">
              <w:rPr>
                <w:rFonts w:eastAsiaTheme="minorEastAsia"/>
                <w:b/>
                <w:bCs/>
                <w:sz w:val="21"/>
                <w:lang w:eastAsia="en-AU"/>
              </w:rPr>
              <w:t>Total fund balances held outside the Public Account</w:t>
            </w:r>
          </w:p>
        </w:tc>
        <w:tc>
          <w:tcPr>
            <w:tcW w:w="1227" w:type="dxa"/>
            <w:tcBorders>
              <w:top w:val="nil"/>
              <w:left w:val="nil"/>
              <w:bottom w:val="single" w:sz="6" w:space="0" w:color="auto"/>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378</w:t>
            </w:r>
          </w:p>
        </w:tc>
        <w:tc>
          <w:tcPr>
            <w:tcW w:w="1227" w:type="dxa"/>
            <w:tcBorders>
              <w:top w:val="nil"/>
              <w:left w:val="nil"/>
              <w:bottom w:val="single" w:sz="6" w:space="0" w:color="auto"/>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313</w:t>
            </w:r>
          </w:p>
        </w:tc>
        <w:tc>
          <w:tcPr>
            <w:tcW w:w="1228" w:type="dxa"/>
            <w:tcBorders>
              <w:top w:val="nil"/>
              <w:left w:val="nil"/>
              <w:bottom w:val="single" w:sz="6" w:space="0" w:color="auto"/>
              <w:right w:val="nil"/>
            </w:tcBorders>
          </w:tcPr>
          <w:p w:rsidR="00336793" w:rsidRPr="00496DC3" w:rsidRDefault="00336793" w:rsidP="00DF0B96">
            <w:pPr>
              <w:pStyle w:val="TableofFigures"/>
              <w:rPr>
                <w:rFonts w:eastAsiaTheme="minorEastAsia"/>
                <w:b/>
                <w:sz w:val="21"/>
              </w:rPr>
            </w:pPr>
            <w:r w:rsidRPr="00496DC3">
              <w:rPr>
                <w:rFonts w:eastAsiaTheme="minorEastAsia"/>
                <w:b/>
                <w:sz w:val="21"/>
              </w:rPr>
              <w:t xml:space="preserve">  691</w:t>
            </w:r>
          </w:p>
        </w:tc>
      </w:tr>
      <w:tr w:rsidR="00336793" w:rsidRPr="00496DC3" w:rsidTr="00DF0B96">
        <w:tc>
          <w:tcPr>
            <w:tcW w:w="5955" w:type="dxa"/>
            <w:tcBorders>
              <w:top w:val="single" w:sz="6" w:space="0" w:color="auto"/>
              <w:left w:val="nil"/>
              <w:bottom w:val="single" w:sz="12" w:space="0" w:color="000000"/>
              <w:right w:val="nil"/>
            </w:tcBorders>
            <w:shd w:val="clear" w:color="auto" w:fill="auto"/>
          </w:tcPr>
          <w:p w:rsidR="00336793" w:rsidRPr="00496DC3" w:rsidRDefault="00336793" w:rsidP="00DF0B96">
            <w:pPr>
              <w:pStyle w:val="Tabletext"/>
              <w:rPr>
                <w:rFonts w:eastAsiaTheme="minorEastAsia"/>
                <w:b/>
                <w:bCs/>
                <w:sz w:val="21"/>
                <w:vertAlign w:val="superscript"/>
                <w:lang w:eastAsia="en-AU"/>
              </w:rPr>
            </w:pPr>
            <w:r w:rsidRPr="00496DC3">
              <w:rPr>
                <w:rFonts w:eastAsiaTheme="minorEastAsia"/>
                <w:b/>
                <w:bCs/>
                <w:sz w:val="21"/>
                <w:lang w:eastAsia="en-AU"/>
              </w:rPr>
              <w:t>Total funds held in the Public Account</w:t>
            </w:r>
            <w:r w:rsidRPr="00E96950">
              <w:rPr>
                <w:rFonts w:eastAsiaTheme="minorEastAsia"/>
                <w:b/>
                <w:bCs/>
                <w:sz w:val="21"/>
                <w:vertAlign w:val="superscript"/>
                <w:lang w:eastAsia="en-AU"/>
              </w:rPr>
              <w:t xml:space="preserve"> </w:t>
            </w:r>
            <w:r w:rsidRPr="00496DC3">
              <w:rPr>
                <w:rFonts w:eastAsiaTheme="minorEastAsia"/>
                <w:b/>
                <w:bCs/>
                <w:sz w:val="21"/>
                <w:vertAlign w:val="superscript"/>
                <w:lang w:eastAsia="en-AU"/>
              </w:rPr>
              <w:t>(a)</w:t>
            </w:r>
          </w:p>
        </w:tc>
        <w:tc>
          <w:tcPr>
            <w:tcW w:w="1227" w:type="dxa"/>
            <w:tcBorders>
              <w:top w:val="single" w:sz="6" w:space="0" w:color="auto"/>
              <w:left w:val="nil"/>
              <w:bottom w:val="single" w:sz="12" w:space="0" w:color="000000"/>
              <w:right w:val="nil"/>
            </w:tcBorders>
            <w:shd w:val="clear" w:color="auto" w:fill="auto"/>
          </w:tcPr>
          <w:p w:rsidR="00336793" w:rsidRPr="00496DC3" w:rsidRDefault="00336793" w:rsidP="00DF0B96">
            <w:pPr>
              <w:pStyle w:val="TableofFigures"/>
              <w:rPr>
                <w:rFonts w:eastAsiaTheme="minorEastAsia"/>
                <w:b/>
                <w:sz w:val="21"/>
              </w:rPr>
            </w:pPr>
            <w:r w:rsidRPr="00496DC3">
              <w:rPr>
                <w:rFonts w:eastAsiaTheme="minorEastAsia"/>
                <w:b/>
                <w:sz w:val="21"/>
              </w:rPr>
              <w:t>3 708 240</w:t>
            </w:r>
          </w:p>
        </w:tc>
        <w:tc>
          <w:tcPr>
            <w:tcW w:w="1227" w:type="dxa"/>
            <w:tcBorders>
              <w:top w:val="single" w:sz="6" w:space="0" w:color="auto"/>
              <w:left w:val="nil"/>
              <w:bottom w:val="single" w:sz="12" w:space="0" w:color="000000"/>
              <w:right w:val="nil"/>
            </w:tcBorders>
            <w:shd w:val="clear" w:color="auto" w:fill="auto"/>
          </w:tcPr>
          <w:p w:rsidR="00336793" w:rsidRPr="00496DC3" w:rsidRDefault="00336793" w:rsidP="00DF0B96">
            <w:pPr>
              <w:pStyle w:val="TableofFigures"/>
              <w:rPr>
                <w:rFonts w:eastAsiaTheme="minorEastAsia" w:cs="Calibri"/>
                <w:b/>
                <w:bCs/>
                <w:sz w:val="21"/>
                <w:szCs w:val="22"/>
                <w:lang w:eastAsia="en-AU"/>
              </w:rPr>
            </w:pPr>
            <w:r w:rsidRPr="00496DC3">
              <w:rPr>
                <w:rFonts w:eastAsiaTheme="minorEastAsia"/>
                <w:b/>
                <w:sz w:val="21"/>
              </w:rPr>
              <w:t>1 176 367</w:t>
            </w:r>
          </w:p>
        </w:tc>
        <w:tc>
          <w:tcPr>
            <w:tcW w:w="1228" w:type="dxa"/>
            <w:tcBorders>
              <w:top w:val="single" w:sz="6" w:space="0" w:color="auto"/>
              <w:left w:val="nil"/>
              <w:bottom w:val="single" w:sz="12" w:space="0" w:color="000000"/>
              <w:right w:val="nil"/>
            </w:tcBorders>
            <w:shd w:val="clear" w:color="auto" w:fill="auto"/>
          </w:tcPr>
          <w:p w:rsidR="00336793" w:rsidRPr="00496DC3" w:rsidRDefault="00336793" w:rsidP="00DF0B96">
            <w:pPr>
              <w:pStyle w:val="TableofFigures"/>
              <w:rPr>
                <w:rFonts w:eastAsiaTheme="minorEastAsia"/>
                <w:b/>
                <w:sz w:val="21"/>
              </w:rPr>
            </w:pPr>
            <w:r w:rsidRPr="00496DC3">
              <w:rPr>
                <w:rFonts w:eastAsiaTheme="minorEastAsia"/>
                <w:b/>
                <w:sz w:val="21"/>
              </w:rPr>
              <w:t>4 884 607</w:t>
            </w:r>
          </w:p>
        </w:tc>
      </w:tr>
    </w:tbl>
    <w:p w:rsidR="00336793" w:rsidRPr="006A75A2" w:rsidRDefault="00336793" w:rsidP="00DF0B96">
      <w:pPr>
        <w:pStyle w:val="Notes"/>
      </w:pPr>
      <w:r w:rsidRPr="006A75A2">
        <w:t>Note:</w:t>
      </w:r>
    </w:p>
    <w:p w:rsidR="00336793" w:rsidRDefault="00336793" w:rsidP="00D96F49">
      <w:pPr>
        <w:pStyle w:val="Notes"/>
      </w:pPr>
      <w:r>
        <w:t xml:space="preserve">(a) </w:t>
      </w:r>
      <w:r>
        <w:tab/>
        <w:t>See Note 39</w:t>
      </w:r>
      <w:r w:rsidRPr="006A75A2">
        <w:t xml:space="preserve"> (f) for </w:t>
      </w:r>
      <w:r w:rsidRPr="00D96F49">
        <w:t>details</w:t>
      </w:r>
      <w:r w:rsidRPr="006A75A2">
        <w:t xml:space="preserve"> of securities and investments including amounts held in the Public Account on behalf of trust accounts.</w:t>
      </w:r>
    </w:p>
    <w:p w:rsidR="00336793" w:rsidRDefault="00336793" w:rsidP="00DF0B96"/>
    <w:p w:rsidR="00336793" w:rsidRPr="006A75A2" w:rsidRDefault="00336793" w:rsidP="00DF0B96"/>
    <w:p w:rsidR="00336793" w:rsidRPr="006A75A2" w:rsidRDefault="00336793" w:rsidP="00DF0B96">
      <w:pPr>
        <w:pStyle w:val="Tableheading"/>
      </w:pPr>
      <w:r w:rsidRPr="006A75A2">
        <w:t>(e)</w:t>
      </w:r>
      <w:r w:rsidRPr="006A75A2">
        <w:tab/>
        <w:t>Trust fund summary for the financial year ended 30 June</w:t>
      </w:r>
    </w:p>
    <w:p w:rsidR="00336793" w:rsidRDefault="00336793" w:rsidP="00DF0B96">
      <w:pPr>
        <w:pStyle w:val="million"/>
        <w:rPr>
          <w:rFonts w:ascii="Times New Roman" w:hAnsi="Times New Roman"/>
          <w:lang w:eastAsia="en-AU"/>
        </w:rPr>
      </w:pPr>
      <w:r w:rsidRPr="006A75A2">
        <w:t>($</w:t>
      </w:r>
      <w:r>
        <w:t> thousand</w:t>
      </w:r>
      <w:r w:rsidRPr="006A75A2">
        <w:t>)</w:t>
      </w:r>
    </w:p>
    <w:tbl>
      <w:tblPr>
        <w:tblW w:w="9637" w:type="dxa"/>
        <w:tblInd w:w="28" w:type="dxa"/>
        <w:tblLayout w:type="fixed"/>
        <w:tblCellMar>
          <w:left w:w="43" w:type="dxa"/>
          <w:right w:w="43" w:type="dxa"/>
        </w:tblCellMar>
        <w:tblLook w:val="0000" w:firstRow="0" w:lastRow="0" w:firstColumn="0" w:lastColumn="0" w:noHBand="0" w:noVBand="0"/>
      </w:tblPr>
      <w:tblGrid>
        <w:gridCol w:w="6945"/>
        <w:gridCol w:w="1346"/>
        <w:gridCol w:w="1346"/>
      </w:tblGrid>
      <w:tr w:rsidR="00336793" w:rsidRPr="00737C9B" w:rsidTr="00DF0B96">
        <w:tc>
          <w:tcPr>
            <w:tcW w:w="6945" w:type="dxa"/>
            <w:tcBorders>
              <w:top w:val="single" w:sz="6" w:space="0" w:color="000000"/>
              <w:left w:val="single" w:sz="6" w:space="0" w:color="000000"/>
              <w:bottom w:val="nil"/>
              <w:right w:val="nil"/>
            </w:tcBorders>
            <w:shd w:val="clear" w:color="auto" w:fill="000000"/>
          </w:tcPr>
          <w:p w:rsidR="00336793" w:rsidRPr="00737C9B" w:rsidRDefault="00336793" w:rsidP="00DF0B96">
            <w:pPr>
              <w:pStyle w:val="Tabletext"/>
              <w:rPr>
                <w:rFonts w:eastAsiaTheme="minorEastAsia"/>
                <w:lang w:eastAsia="en-AU"/>
              </w:rPr>
            </w:pPr>
            <w:r w:rsidRPr="00737C9B">
              <w:rPr>
                <w:rFonts w:eastAsiaTheme="minorEastAsia"/>
                <w:lang w:eastAsia="en-AU"/>
              </w:rPr>
              <w:t xml:space="preserve"> </w:t>
            </w:r>
          </w:p>
        </w:tc>
        <w:tc>
          <w:tcPr>
            <w:tcW w:w="1346" w:type="dxa"/>
            <w:tcBorders>
              <w:top w:val="single" w:sz="6" w:space="0" w:color="000000"/>
              <w:left w:val="nil"/>
              <w:bottom w:val="nil"/>
              <w:right w:val="nil"/>
            </w:tcBorders>
            <w:shd w:val="clear" w:color="auto" w:fill="000000"/>
          </w:tcPr>
          <w:p w:rsidR="00336793" w:rsidRPr="00737C9B" w:rsidRDefault="00336793" w:rsidP="00DF0B96">
            <w:pPr>
              <w:pStyle w:val="Tabletextheading"/>
              <w:rPr>
                <w:rFonts w:eastAsiaTheme="minorEastAsia"/>
                <w:color w:val="FFFFFF"/>
                <w:lang w:eastAsia="en-AU"/>
              </w:rPr>
            </w:pPr>
            <w:r w:rsidRPr="00737C9B">
              <w:rPr>
                <w:rFonts w:eastAsiaTheme="minorEastAsia"/>
                <w:color w:val="FFFFFF"/>
                <w:lang w:eastAsia="en-AU"/>
              </w:rPr>
              <w:t xml:space="preserve"> Balances </w:t>
            </w:r>
          </w:p>
        </w:tc>
        <w:tc>
          <w:tcPr>
            <w:tcW w:w="1346" w:type="dxa"/>
            <w:tcBorders>
              <w:top w:val="single" w:sz="6" w:space="0" w:color="000000"/>
              <w:left w:val="nil"/>
              <w:bottom w:val="nil"/>
              <w:right w:val="single" w:sz="6" w:space="0" w:color="000000"/>
            </w:tcBorders>
            <w:shd w:val="clear" w:color="auto" w:fill="000000"/>
          </w:tcPr>
          <w:p w:rsidR="00336793" w:rsidRPr="00737C9B" w:rsidRDefault="00336793" w:rsidP="00DF0B96">
            <w:pPr>
              <w:pStyle w:val="Tabletextheading"/>
              <w:rPr>
                <w:rFonts w:eastAsiaTheme="minorEastAsia"/>
                <w:color w:val="FFFFFF"/>
                <w:lang w:eastAsia="en-AU"/>
              </w:rPr>
            </w:pPr>
            <w:r w:rsidRPr="00737C9B">
              <w:rPr>
                <w:rFonts w:eastAsiaTheme="minorEastAsia"/>
                <w:color w:val="FFFFFF"/>
                <w:lang w:eastAsia="en-AU"/>
              </w:rPr>
              <w:t xml:space="preserve"> Balances </w:t>
            </w:r>
          </w:p>
        </w:tc>
      </w:tr>
      <w:tr w:rsidR="00336793" w:rsidRPr="00737C9B" w:rsidTr="00DF0B96">
        <w:tc>
          <w:tcPr>
            <w:tcW w:w="6945" w:type="dxa"/>
            <w:tcBorders>
              <w:top w:val="nil"/>
              <w:left w:val="single" w:sz="6" w:space="0" w:color="000000"/>
              <w:bottom w:val="single" w:sz="6" w:space="0" w:color="000000"/>
              <w:right w:val="nil"/>
            </w:tcBorders>
            <w:shd w:val="clear" w:color="auto" w:fill="000000"/>
          </w:tcPr>
          <w:p w:rsidR="00336793" w:rsidRPr="00737C9B" w:rsidRDefault="00336793" w:rsidP="00DF0B96">
            <w:pPr>
              <w:pStyle w:val="Tabletext"/>
              <w:rPr>
                <w:rFonts w:eastAsiaTheme="minorEastAsia"/>
                <w:lang w:eastAsia="en-AU"/>
              </w:rPr>
            </w:pPr>
            <w:r w:rsidRPr="00737C9B">
              <w:rPr>
                <w:rFonts w:eastAsiaTheme="minorEastAsia"/>
                <w:lang w:eastAsia="en-AU"/>
              </w:rPr>
              <w:t xml:space="preserve"> </w:t>
            </w:r>
          </w:p>
        </w:tc>
        <w:tc>
          <w:tcPr>
            <w:tcW w:w="1346" w:type="dxa"/>
            <w:tcBorders>
              <w:top w:val="nil"/>
              <w:left w:val="nil"/>
              <w:bottom w:val="single" w:sz="6" w:space="0" w:color="000000"/>
              <w:right w:val="nil"/>
            </w:tcBorders>
            <w:shd w:val="clear" w:color="auto" w:fill="000000"/>
          </w:tcPr>
          <w:p w:rsidR="00336793" w:rsidRPr="00737C9B" w:rsidRDefault="00336793" w:rsidP="00DF0B96">
            <w:pPr>
              <w:pStyle w:val="Tabletextheading"/>
              <w:rPr>
                <w:rFonts w:eastAsiaTheme="minorEastAsia"/>
                <w:color w:val="FFFFFF"/>
                <w:lang w:eastAsia="en-AU"/>
              </w:rPr>
            </w:pPr>
            <w:r w:rsidRPr="00737C9B">
              <w:rPr>
                <w:rFonts w:eastAsiaTheme="minorEastAsia"/>
                <w:color w:val="FFFFFF"/>
                <w:lang w:eastAsia="en-AU"/>
              </w:rPr>
              <w:t>held 2015</w:t>
            </w:r>
          </w:p>
        </w:tc>
        <w:tc>
          <w:tcPr>
            <w:tcW w:w="1346" w:type="dxa"/>
            <w:tcBorders>
              <w:top w:val="nil"/>
              <w:left w:val="nil"/>
              <w:bottom w:val="single" w:sz="6" w:space="0" w:color="000000"/>
              <w:right w:val="single" w:sz="6" w:space="0" w:color="000000"/>
            </w:tcBorders>
            <w:shd w:val="clear" w:color="auto" w:fill="000000"/>
          </w:tcPr>
          <w:p w:rsidR="00336793" w:rsidRPr="00737C9B" w:rsidRDefault="00336793" w:rsidP="00DF0B96">
            <w:pPr>
              <w:pStyle w:val="Tabletextheading"/>
              <w:rPr>
                <w:rFonts w:eastAsiaTheme="minorEastAsia"/>
                <w:color w:val="FFFFFF"/>
                <w:lang w:eastAsia="en-AU"/>
              </w:rPr>
            </w:pPr>
            <w:r w:rsidRPr="00737C9B">
              <w:rPr>
                <w:rFonts w:eastAsiaTheme="minorEastAsia"/>
                <w:color w:val="FFFFFF"/>
                <w:lang w:eastAsia="en-AU"/>
              </w:rPr>
              <w:t>held 2014</w:t>
            </w:r>
          </w:p>
        </w:tc>
      </w:tr>
      <w:tr w:rsidR="00336793" w:rsidRPr="00737C9B" w:rsidTr="00DF0B96">
        <w:tc>
          <w:tcPr>
            <w:tcW w:w="6945" w:type="dxa"/>
            <w:tcBorders>
              <w:top w:val="single" w:sz="6" w:space="0" w:color="000000"/>
              <w:left w:val="nil"/>
              <w:bottom w:val="nil"/>
              <w:right w:val="nil"/>
            </w:tcBorders>
          </w:tcPr>
          <w:p w:rsidR="00336793" w:rsidRPr="00737C9B" w:rsidRDefault="00336793" w:rsidP="00DF0B96">
            <w:pPr>
              <w:pStyle w:val="Tabletext"/>
              <w:rPr>
                <w:rFonts w:eastAsiaTheme="minorEastAsia"/>
                <w:b/>
                <w:lang w:eastAsia="en-AU"/>
              </w:rPr>
            </w:pPr>
            <w:r w:rsidRPr="00737C9B">
              <w:rPr>
                <w:rFonts w:eastAsiaTheme="minorEastAsia"/>
                <w:b/>
                <w:lang w:eastAsia="en-AU"/>
              </w:rPr>
              <w:t>State Government funds</w:t>
            </w:r>
          </w:p>
        </w:tc>
        <w:tc>
          <w:tcPr>
            <w:tcW w:w="1346" w:type="dxa"/>
            <w:tcBorders>
              <w:top w:val="single" w:sz="6" w:space="0" w:color="000000"/>
              <w:left w:val="nil"/>
              <w:bottom w:val="nil"/>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w:t>
            </w:r>
          </w:p>
        </w:tc>
        <w:tc>
          <w:tcPr>
            <w:tcW w:w="1346" w:type="dxa"/>
            <w:tcBorders>
              <w:top w:val="single" w:sz="6" w:space="0" w:color="000000"/>
              <w:left w:val="nil"/>
              <w:bottom w:val="nil"/>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w:t>
            </w:r>
          </w:p>
        </w:tc>
      </w:tr>
      <w:tr w:rsidR="00336793" w:rsidRPr="00737C9B" w:rsidTr="00DF0B96">
        <w:tc>
          <w:tcPr>
            <w:tcW w:w="6945" w:type="dxa"/>
            <w:tcBorders>
              <w:top w:val="nil"/>
              <w:left w:val="nil"/>
              <w:bottom w:val="nil"/>
              <w:right w:val="nil"/>
            </w:tcBorders>
          </w:tcPr>
          <w:p w:rsidR="00336793" w:rsidRPr="00737C9B" w:rsidRDefault="00336793" w:rsidP="00DF0B96">
            <w:pPr>
              <w:pStyle w:val="Tabletext"/>
              <w:rPr>
                <w:rFonts w:eastAsiaTheme="minorEastAsia"/>
                <w:lang w:eastAsia="en-AU"/>
              </w:rPr>
            </w:pPr>
            <w:r w:rsidRPr="00737C9B">
              <w:rPr>
                <w:rFonts w:eastAsiaTheme="minorEastAsia"/>
                <w:lang w:eastAsia="en-AU"/>
              </w:rPr>
              <w:t>Accounts established to receive levies imposed by Parliament and record the expenditure thereof</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568 978</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451 091</w:t>
            </w:r>
          </w:p>
        </w:tc>
      </w:tr>
      <w:tr w:rsidR="00336793" w:rsidRPr="00737C9B" w:rsidTr="00DF0B96">
        <w:tc>
          <w:tcPr>
            <w:tcW w:w="6945" w:type="dxa"/>
            <w:tcBorders>
              <w:top w:val="nil"/>
              <w:left w:val="nil"/>
              <w:bottom w:val="nil"/>
              <w:right w:val="nil"/>
            </w:tcBorders>
          </w:tcPr>
          <w:p w:rsidR="00336793" w:rsidRPr="00737C9B" w:rsidRDefault="00336793" w:rsidP="00DF0B96">
            <w:pPr>
              <w:pStyle w:val="Tabletext"/>
              <w:rPr>
                <w:rFonts w:eastAsiaTheme="minorEastAsia"/>
                <w:lang w:eastAsia="en-AU"/>
              </w:rPr>
            </w:pPr>
            <w:r w:rsidRPr="00737C9B">
              <w:rPr>
                <w:rFonts w:eastAsiaTheme="minorEastAsia"/>
                <w:lang w:eastAsia="en-AU"/>
              </w:rPr>
              <w:t>Accounts established to receive monies provided in the annual budget and record the expenditure thereof</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1 401 157</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1 187 816</w:t>
            </w:r>
          </w:p>
        </w:tc>
      </w:tr>
      <w:tr w:rsidR="00336793" w:rsidRPr="00737C9B" w:rsidTr="00DF0B96">
        <w:tc>
          <w:tcPr>
            <w:tcW w:w="6945" w:type="dxa"/>
            <w:tcBorders>
              <w:top w:val="nil"/>
              <w:left w:val="nil"/>
              <w:bottom w:val="nil"/>
              <w:right w:val="nil"/>
            </w:tcBorders>
          </w:tcPr>
          <w:p w:rsidR="00336793" w:rsidRPr="00737C9B" w:rsidRDefault="00336793" w:rsidP="00DF0B96">
            <w:pPr>
              <w:pStyle w:val="Tabletext"/>
              <w:rPr>
                <w:rFonts w:eastAsiaTheme="minorEastAsia"/>
                <w:lang w:eastAsia="en-AU"/>
              </w:rPr>
            </w:pPr>
            <w:r w:rsidRPr="00737C9B">
              <w:rPr>
                <w:rFonts w:eastAsiaTheme="minorEastAsia"/>
                <w:lang w:eastAsia="en-AU"/>
              </w:rPr>
              <w:t>Specific purpose operating accounts established for various authorities</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321 115</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355 045</w:t>
            </w:r>
          </w:p>
        </w:tc>
      </w:tr>
      <w:tr w:rsidR="00336793" w:rsidRPr="00737C9B" w:rsidTr="00DF0B96">
        <w:tc>
          <w:tcPr>
            <w:tcW w:w="6945" w:type="dxa"/>
            <w:tcBorders>
              <w:top w:val="nil"/>
              <w:left w:val="nil"/>
              <w:bottom w:val="nil"/>
              <w:right w:val="nil"/>
            </w:tcBorders>
          </w:tcPr>
          <w:p w:rsidR="00336793" w:rsidRPr="00737C9B" w:rsidRDefault="00336793" w:rsidP="00DF0B96">
            <w:pPr>
              <w:pStyle w:val="Tabletext"/>
              <w:rPr>
                <w:rFonts w:eastAsiaTheme="minorEastAsia"/>
                <w:lang w:eastAsia="en-AU"/>
              </w:rPr>
            </w:pPr>
            <w:r w:rsidRPr="00737C9B">
              <w:rPr>
                <w:rFonts w:eastAsiaTheme="minorEastAsia"/>
                <w:lang w:eastAsia="en-AU"/>
              </w:rPr>
              <w:t>Suspense and clearing accounts to facilitate accounting procedures</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461 565</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10 942</w:t>
            </w:r>
          </w:p>
        </w:tc>
      </w:tr>
      <w:tr w:rsidR="00336793" w:rsidRPr="00737C9B" w:rsidTr="00DF0B96">
        <w:tc>
          <w:tcPr>
            <w:tcW w:w="6945" w:type="dxa"/>
            <w:tcBorders>
              <w:top w:val="nil"/>
              <w:left w:val="nil"/>
              <w:bottom w:val="nil"/>
              <w:right w:val="nil"/>
            </w:tcBorders>
          </w:tcPr>
          <w:p w:rsidR="00336793" w:rsidRPr="00737C9B" w:rsidRDefault="00336793" w:rsidP="00DF0B96">
            <w:pPr>
              <w:pStyle w:val="Tabletext"/>
              <w:rPr>
                <w:rFonts w:eastAsiaTheme="minorEastAsia"/>
                <w:lang w:eastAsia="en-AU"/>
              </w:rPr>
            </w:pPr>
            <w:r w:rsidRPr="00737C9B">
              <w:rPr>
                <w:rFonts w:eastAsiaTheme="minorEastAsia"/>
                <w:lang w:eastAsia="en-AU"/>
              </w:rPr>
              <w:t>Treasury Trust Fund</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278 213</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269 301</w:t>
            </w:r>
          </w:p>
        </w:tc>
      </w:tr>
      <w:tr w:rsidR="00336793" w:rsidRPr="00737C9B" w:rsidTr="00DF0B96">
        <w:tc>
          <w:tcPr>
            <w:tcW w:w="6945" w:type="dxa"/>
            <w:tcBorders>
              <w:top w:val="nil"/>
              <w:left w:val="nil"/>
              <w:bottom w:val="nil"/>
              <w:right w:val="nil"/>
            </w:tcBorders>
          </w:tcPr>
          <w:p w:rsidR="00336793" w:rsidRPr="00737C9B" w:rsidRDefault="00336793" w:rsidP="00DF0B96">
            <w:pPr>
              <w:pStyle w:val="Tabletext"/>
              <w:rPr>
                <w:rFonts w:eastAsiaTheme="minorEastAsia"/>
                <w:lang w:eastAsia="en-AU"/>
              </w:rPr>
            </w:pPr>
            <w:r w:rsidRPr="00737C9B">
              <w:rPr>
                <w:rFonts w:eastAsiaTheme="minorEastAsia"/>
                <w:lang w:eastAsia="en-AU"/>
              </w:rPr>
              <w:t>Agency and deposit accounts</w:t>
            </w:r>
          </w:p>
        </w:tc>
        <w:tc>
          <w:tcPr>
            <w:tcW w:w="1346" w:type="dxa"/>
            <w:tcBorders>
              <w:top w:val="nil"/>
              <w:left w:val="nil"/>
              <w:bottom w:val="single" w:sz="6" w:space="0" w:color="auto"/>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572 499</w:t>
            </w:r>
          </w:p>
        </w:tc>
        <w:tc>
          <w:tcPr>
            <w:tcW w:w="1346" w:type="dxa"/>
            <w:tcBorders>
              <w:top w:val="nil"/>
              <w:left w:val="nil"/>
              <w:bottom w:val="single" w:sz="6" w:space="0" w:color="auto"/>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578 785</w:t>
            </w:r>
          </w:p>
        </w:tc>
      </w:tr>
      <w:tr w:rsidR="00336793" w:rsidRPr="00737C9B" w:rsidTr="00DF0B96">
        <w:tc>
          <w:tcPr>
            <w:tcW w:w="6945" w:type="dxa"/>
            <w:tcBorders>
              <w:top w:val="single" w:sz="6" w:space="0" w:color="auto"/>
              <w:left w:val="nil"/>
              <w:bottom w:val="nil"/>
              <w:right w:val="nil"/>
            </w:tcBorders>
          </w:tcPr>
          <w:p w:rsidR="00336793" w:rsidRPr="00737C9B" w:rsidRDefault="00336793" w:rsidP="00DF0B96">
            <w:pPr>
              <w:pStyle w:val="Tabletext"/>
              <w:rPr>
                <w:rFonts w:eastAsiaTheme="minorEastAsia"/>
                <w:b/>
                <w:lang w:eastAsia="en-AU"/>
              </w:rPr>
            </w:pPr>
            <w:r w:rsidRPr="00737C9B">
              <w:rPr>
                <w:rFonts w:eastAsiaTheme="minorEastAsia"/>
                <w:b/>
                <w:lang w:eastAsia="en-AU"/>
              </w:rPr>
              <w:t>Total State Government funds</w:t>
            </w:r>
          </w:p>
        </w:tc>
        <w:tc>
          <w:tcPr>
            <w:tcW w:w="1346" w:type="dxa"/>
            <w:tcBorders>
              <w:top w:val="nil"/>
              <w:left w:val="nil"/>
              <w:bottom w:val="nil"/>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3 603 527</w:t>
            </w:r>
          </w:p>
        </w:tc>
        <w:tc>
          <w:tcPr>
            <w:tcW w:w="1346" w:type="dxa"/>
            <w:tcBorders>
              <w:top w:val="nil"/>
              <w:left w:val="nil"/>
              <w:bottom w:val="nil"/>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2 852 979</w:t>
            </w:r>
          </w:p>
        </w:tc>
      </w:tr>
      <w:tr w:rsidR="00336793" w:rsidRPr="00737C9B" w:rsidTr="00DF0B96">
        <w:trPr>
          <w:trHeight w:hRule="exact" w:val="120"/>
        </w:trPr>
        <w:tc>
          <w:tcPr>
            <w:tcW w:w="6945" w:type="dxa"/>
            <w:tcBorders>
              <w:top w:val="nil"/>
              <w:left w:val="nil"/>
              <w:bottom w:val="nil"/>
              <w:right w:val="nil"/>
            </w:tcBorders>
          </w:tcPr>
          <w:p w:rsidR="00336793" w:rsidRPr="00737C9B" w:rsidRDefault="00336793" w:rsidP="00DF0B96">
            <w:pPr>
              <w:pStyle w:val="Tabletext"/>
              <w:rPr>
                <w:rFonts w:eastAsiaTheme="minorEastAsia"/>
                <w:b/>
                <w:lang w:eastAsia="en-AU"/>
              </w:rPr>
            </w:pPr>
            <w:r w:rsidRPr="00737C9B">
              <w:rPr>
                <w:rFonts w:eastAsiaTheme="minorEastAsia"/>
                <w:b/>
                <w:lang w:eastAsia="en-AU"/>
              </w:rPr>
              <w:t xml:space="preserve"> </w:t>
            </w:r>
          </w:p>
        </w:tc>
        <w:tc>
          <w:tcPr>
            <w:tcW w:w="1346" w:type="dxa"/>
            <w:tcBorders>
              <w:top w:val="nil"/>
              <w:left w:val="nil"/>
              <w:bottom w:val="nil"/>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w:t>
            </w:r>
          </w:p>
        </w:tc>
        <w:tc>
          <w:tcPr>
            <w:tcW w:w="1346" w:type="dxa"/>
            <w:tcBorders>
              <w:top w:val="nil"/>
              <w:left w:val="nil"/>
              <w:bottom w:val="nil"/>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w:t>
            </w:r>
          </w:p>
        </w:tc>
      </w:tr>
      <w:tr w:rsidR="00336793" w:rsidRPr="00737C9B" w:rsidTr="00DF0B96">
        <w:tc>
          <w:tcPr>
            <w:tcW w:w="6945" w:type="dxa"/>
            <w:tcBorders>
              <w:top w:val="nil"/>
              <w:left w:val="nil"/>
              <w:bottom w:val="single" w:sz="6" w:space="0" w:color="auto"/>
              <w:right w:val="nil"/>
            </w:tcBorders>
          </w:tcPr>
          <w:p w:rsidR="00336793" w:rsidRPr="00737C9B" w:rsidRDefault="00336793" w:rsidP="00DF0B96">
            <w:pPr>
              <w:pStyle w:val="Tabletext"/>
              <w:rPr>
                <w:rFonts w:eastAsiaTheme="minorEastAsia"/>
                <w:b/>
                <w:lang w:eastAsia="en-AU"/>
              </w:rPr>
            </w:pPr>
            <w:r w:rsidRPr="00737C9B">
              <w:rPr>
                <w:rFonts w:eastAsiaTheme="minorEastAsia"/>
                <w:b/>
                <w:lang w:eastAsia="en-AU"/>
              </w:rPr>
              <w:t>Joint Commonwealth and State funds</w:t>
            </w:r>
          </w:p>
        </w:tc>
        <w:tc>
          <w:tcPr>
            <w:tcW w:w="1346" w:type="dxa"/>
            <w:tcBorders>
              <w:top w:val="nil"/>
              <w:left w:val="nil"/>
              <w:bottom w:val="single" w:sz="6" w:space="0" w:color="auto"/>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384 032</w:t>
            </w:r>
          </w:p>
        </w:tc>
        <w:tc>
          <w:tcPr>
            <w:tcW w:w="1346" w:type="dxa"/>
            <w:tcBorders>
              <w:top w:val="nil"/>
              <w:left w:val="nil"/>
              <w:bottom w:val="single" w:sz="6" w:space="0" w:color="auto"/>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202 028</w:t>
            </w:r>
          </w:p>
        </w:tc>
      </w:tr>
      <w:tr w:rsidR="00336793" w:rsidRPr="00737C9B" w:rsidTr="00DF0B96">
        <w:trPr>
          <w:trHeight w:hRule="exact" w:val="120"/>
        </w:trPr>
        <w:tc>
          <w:tcPr>
            <w:tcW w:w="6945" w:type="dxa"/>
            <w:tcBorders>
              <w:top w:val="nil"/>
              <w:left w:val="nil"/>
              <w:bottom w:val="nil"/>
              <w:right w:val="nil"/>
            </w:tcBorders>
          </w:tcPr>
          <w:p w:rsidR="00336793" w:rsidRPr="00737C9B" w:rsidRDefault="00336793" w:rsidP="00DF0B96">
            <w:pPr>
              <w:pStyle w:val="Tabletext"/>
              <w:rPr>
                <w:rFonts w:eastAsiaTheme="minorEastAsia"/>
                <w:b/>
                <w:lang w:eastAsia="en-AU"/>
              </w:rPr>
            </w:pPr>
            <w:r w:rsidRPr="00737C9B">
              <w:rPr>
                <w:rFonts w:eastAsiaTheme="minorEastAsia"/>
                <w:b/>
                <w:lang w:eastAsia="en-AU"/>
              </w:rPr>
              <w:t xml:space="preserve"> </w:t>
            </w:r>
          </w:p>
        </w:tc>
        <w:tc>
          <w:tcPr>
            <w:tcW w:w="1346" w:type="dxa"/>
            <w:tcBorders>
              <w:top w:val="nil"/>
              <w:left w:val="nil"/>
              <w:bottom w:val="nil"/>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w:t>
            </w:r>
          </w:p>
        </w:tc>
        <w:tc>
          <w:tcPr>
            <w:tcW w:w="1346" w:type="dxa"/>
            <w:tcBorders>
              <w:top w:val="nil"/>
              <w:left w:val="nil"/>
              <w:bottom w:val="nil"/>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w:t>
            </w:r>
          </w:p>
        </w:tc>
      </w:tr>
      <w:tr w:rsidR="00336793" w:rsidRPr="00737C9B" w:rsidTr="00DF0B96">
        <w:tc>
          <w:tcPr>
            <w:tcW w:w="6945" w:type="dxa"/>
            <w:tcBorders>
              <w:top w:val="nil"/>
              <w:left w:val="nil"/>
              <w:bottom w:val="nil"/>
              <w:right w:val="nil"/>
            </w:tcBorders>
          </w:tcPr>
          <w:p w:rsidR="00336793" w:rsidRPr="00737C9B" w:rsidRDefault="00336793" w:rsidP="00DF0B96">
            <w:pPr>
              <w:pStyle w:val="Tabletext"/>
              <w:rPr>
                <w:rFonts w:eastAsiaTheme="minorEastAsia"/>
                <w:b/>
                <w:lang w:eastAsia="en-AU"/>
              </w:rPr>
            </w:pPr>
            <w:r w:rsidRPr="00737C9B">
              <w:rPr>
                <w:rFonts w:eastAsiaTheme="minorEastAsia"/>
                <w:b/>
                <w:lang w:eastAsia="en-AU"/>
              </w:rPr>
              <w:t>Commonwealth Government funds</w:t>
            </w:r>
          </w:p>
        </w:tc>
        <w:tc>
          <w:tcPr>
            <w:tcW w:w="1346" w:type="dxa"/>
            <w:tcBorders>
              <w:top w:val="nil"/>
              <w:left w:val="nil"/>
              <w:bottom w:val="nil"/>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w:t>
            </w:r>
          </w:p>
        </w:tc>
        <w:tc>
          <w:tcPr>
            <w:tcW w:w="1346" w:type="dxa"/>
            <w:tcBorders>
              <w:top w:val="nil"/>
              <w:left w:val="nil"/>
              <w:bottom w:val="nil"/>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w:t>
            </w:r>
          </w:p>
        </w:tc>
      </w:tr>
      <w:tr w:rsidR="00336793" w:rsidRPr="00737C9B" w:rsidTr="00DF0B96">
        <w:tc>
          <w:tcPr>
            <w:tcW w:w="6945" w:type="dxa"/>
            <w:tcBorders>
              <w:top w:val="nil"/>
              <w:left w:val="nil"/>
              <w:bottom w:val="nil"/>
              <w:right w:val="nil"/>
            </w:tcBorders>
          </w:tcPr>
          <w:p w:rsidR="00336793" w:rsidRPr="00737C9B" w:rsidRDefault="00336793" w:rsidP="00DF0B96">
            <w:pPr>
              <w:pStyle w:val="Tabletext"/>
              <w:rPr>
                <w:rFonts w:eastAsiaTheme="minorEastAsia"/>
                <w:lang w:eastAsia="en-AU"/>
              </w:rPr>
            </w:pPr>
            <w:r w:rsidRPr="00737C9B">
              <w:rPr>
                <w:rFonts w:eastAsiaTheme="minorEastAsia"/>
                <w:lang w:eastAsia="en-AU"/>
              </w:rPr>
              <w:t xml:space="preserve">Commonwealth Grants passed on to individuals and organisations </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61 871</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38 106</w:t>
            </w:r>
          </w:p>
        </w:tc>
      </w:tr>
      <w:tr w:rsidR="00336793" w:rsidRPr="00737C9B" w:rsidTr="00DF0B96">
        <w:trPr>
          <w:trHeight w:hRule="exact" w:val="120"/>
        </w:trPr>
        <w:tc>
          <w:tcPr>
            <w:tcW w:w="6945" w:type="dxa"/>
            <w:tcBorders>
              <w:top w:val="nil"/>
              <w:left w:val="nil"/>
              <w:bottom w:val="nil"/>
              <w:right w:val="nil"/>
            </w:tcBorders>
          </w:tcPr>
          <w:p w:rsidR="00336793" w:rsidRPr="00737C9B" w:rsidRDefault="00336793" w:rsidP="00DF0B96">
            <w:pPr>
              <w:pStyle w:val="Tabletext"/>
              <w:rPr>
                <w:rFonts w:eastAsiaTheme="minorEastAsia"/>
                <w:lang w:eastAsia="en-AU"/>
              </w:rPr>
            </w:pPr>
            <w:r w:rsidRPr="00737C9B">
              <w:rPr>
                <w:rFonts w:eastAsiaTheme="minorEastAsia"/>
                <w:lang w:eastAsia="en-AU"/>
              </w:rPr>
              <w:t xml:space="preserve"> </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w:t>
            </w:r>
          </w:p>
        </w:tc>
      </w:tr>
      <w:tr w:rsidR="00336793" w:rsidRPr="00737C9B" w:rsidTr="00DF0B96">
        <w:tc>
          <w:tcPr>
            <w:tcW w:w="6945" w:type="dxa"/>
            <w:tcBorders>
              <w:top w:val="single" w:sz="6" w:space="0" w:color="auto"/>
              <w:left w:val="nil"/>
              <w:bottom w:val="single" w:sz="6" w:space="0" w:color="auto"/>
              <w:right w:val="nil"/>
            </w:tcBorders>
          </w:tcPr>
          <w:p w:rsidR="00336793" w:rsidRPr="00737C9B" w:rsidRDefault="00336793" w:rsidP="00DF0B96">
            <w:pPr>
              <w:pStyle w:val="Tabletext"/>
              <w:rPr>
                <w:rFonts w:eastAsiaTheme="minorEastAsia"/>
                <w:b/>
                <w:lang w:eastAsia="en-AU"/>
              </w:rPr>
            </w:pPr>
            <w:r w:rsidRPr="00737C9B">
              <w:rPr>
                <w:rFonts w:eastAsiaTheme="minorEastAsia"/>
                <w:b/>
                <w:lang w:eastAsia="en-AU"/>
              </w:rPr>
              <w:t>Total Commonwealth Government funds</w:t>
            </w:r>
          </w:p>
        </w:tc>
        <w:tc>
          <w:tcPr>
            <w:tcW w:w="1346" w:type="dxa"/>
            <w:tcBorders>
              <w:top w:val="single" w:sz="6" w:space="0" w:color="auto"/>
              <w:left w:val="nil"/>
              <w:bottom w:val="single" w:sz="6" w:space="0" w:color="auto"/>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61 871</w:t>
            </w:r>
          </w:p>
        </w:tc>
        <w:tc>
          <w:tcPr>
            <w:tcW w:w="1346" w:type="dxa"/>
            <w:tcBorders>
              <w:top w:val="single" w:sz="6" w:space="0" w:color="auto"/>
              <w:left w:val="nil"/>
              <w:bottom w:val="single" w:sz="6" w:space="0" w:color="auto"/>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38 106</w:t>
            </w:r>
          </w:p>
        </w:tc>
      </w:tr>
      <w:tr w:rsidR="00336793" w:rsidRPr="00737C9B" w:rsidTr="00DF0B96">
        <w:trPr>
          <w:trHeight w:hRule="exact" w:val="120"/>
        </w:trPr>
        <w:tc>
          <w:tcPr>
            <w:tcW w:w="6945" w:type="dxa"/>
            <w:tcBorders>
              <w:top w:val="nil"/>
              <w:left w:val="nil"/>
              <w:bottom w:val="nil"/>
              <w:right w:val="nil"/>
            </w:tcBorders>
          </w:tcPr>
          <w:p w:rsidR="00336793" w:rsidRPr="00737C9B" w:rsidRDefault="00336793" w:rsidP="00DF0B96">
            <w:pPr>
              <w:pStyle w:val="Tabletext"/>
              <w:rPr>
                <w:rFonts w:eastAsiaTheme="minorEastAsia"/>
                <w:lang w:eastAsia="en-AU"/>
              </w:rPr>
            </w:pPr>
            <w:r w:rsidRPr="00737C9B">
              <w:rPr>
                <w:rFonts w:eastAsiaTheme="minorEastAsia"/>
                <w:lang w:eastAsia="en-AU"/>
              </w:rPr>
              <w:t xml:space="preserve"> </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w:t>
            </w:r>
          </w:p>
        </w:tc>
        <w:tc>
          <w:tcPr>
            <w:tcW w:w="1346" w:type="dxa"/>
            <w:tcBorders>
              <w:top w:val="nil"/>
              <w:left w:val="nil"/>
              <w:bottom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w:t>
            </w:r>
          </w:p>
        </w:tc>
      </w:tr>
      <w:tr w:rsidR="00336793" w:rsidRPr="00737C9B" w:rsidTr="00DF0B96">
        <w:tc>
          <w:tcPr>
            <w:tcW w:w="6945" w:type="dxa"/>
            <w:tcBorders>
              <w:top w:val="nil"/>
              <w:left w:val="nil"/>
              <w:bottom w:val="single" w:sz="6" w:space="0" w:color="auto"/>
              <w:right w:val="nil"/>
            </w:tcBorders>
          </w:tcPr>
          <w:p w:rsidR="00336793" w:rsidRPr="00737C9B" w:rsidRDefault="00336793" w:rsidP="00DF0B96">
            <w:pPr>
              <w:pStyle w:val="Tabletext"/>
              <w:rPr>
                <w:rFonts w:eastAsiaTheme="minorEastAsia"/>
                <w:b/>
                <w:lang w:eastAsia="en-AU"/>
              </w:rPr>
            </w:pPr>
            <w:r w:rsidRPr="00737C9B">
              <w:rPr>
                <w:rFonts w:eastAsiaTheme="minorEastAsia"/>
                <w:b/>
                <w:lang w:eastAsia="en-AU"/>
              </w:rPr>
              <w:t>Prizes, scholarships, research and private donations</w:t>
            </w:r>
          </w:p>
        </w:tc>
        <w:tc>
          <w:tcPr>
            <w:tcW w:w="1346" w:type="dxa"/>
            <w:tcBorders>
              <w:top w:val="nil"/>
              <w:left w:val="nil"/>
              <w:bottom w:val="single" w:sz="6" w:space="0" w:color="auto"/>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196 745</w:t>
            </w:r>
          </w:p>
        </w:tc>
        <w:tc>
          <w:tcPr>
            <w:tcW w:w="1346" w:type="dxa"/>
            <w:tcBorders>
              <w:top w:val="nil"/>
              <w:left w:val="nil"/>
              <w:bottom w:val="single" w:sz="6" w:space="0" w:color="auto"/>
              <w:right w:val="nil"/>
            </w:tcBorders>
          </w:tcPr>
          <w:p w:rsidR="00336793" w:rsidRPr="00737C9B" w:rsidRDefault="00336793" w:rsidP="00DF0B96">
            <w:pPr>
              <w:pStyle w:val="TableofFigures"/>
              <w:rPr>
                <w:rFonts w:eastAsiaTheme="minorEastAsia"/>
                <w:b/>
                <w:lang w:eastAsia="en-AU"/>
              </w:rPr>
            </w:pPr>
            <w:r w:rsidRPr="00737C9B">
              <w:rPr>
                <w:rFonts w:eastAsiaTheme="minorEastAsia"/>
                <w:b/>
                <w:lang w:eastAsia="en-AU"/>
              </w:rPr>
              <w:t xml:space="preserve"> 167 544</w:t>
            </w:r>
          </w:p>
        </w:tc>
      </w:tr>
      <w:tr w:rsidR="00336793" w:rsidRPr="00737C9B" w:rsidTr="00DF0B96">
        <w:trPr>
          <w:trHeight w:hRule="exact" w:val="120"/>
        </w:trPr>
        <w:tc>
          <w:tcPr>
            <w:tcW w:w="6945" w:type="dxa"/>
            <w:tcBorders>
              <w:top w:val="nil"/>
              <w:left w:val="nil"/>
              <w:right w:val="nil"/>
            </w:tcBorders>
          </w:tcPr>
          <w:p w:rsidR="00336793" w:rsidRPr="00737C9B" w:rsidRDefault="00336793" w:rsidP="00DF0B96">
            <w:pPr>
              <w:pStyle w:val="Tabletext"/>
              <w:rPr>
                <w:rFonts w:eastAsiaTheme="minorEastAsia"/>
                <w:lang w:eastAsia="en-AU"/>
              </w:rPr>
            </w:pPr>
            <w:r w:rsidRPr="00737C9B">
              <w:rPr>
                <w:rFonts w:eastAsiaTheme="minorEastAsia"/>
                <w:lang w:eastAsia="en-AU"/>
              </w:rPr>
              <w:t xml:space="preserve"> </w:t>
            </w:r>
          </w:p>
        </w:tc>
        <w:tc>
          <w:tcPr>
            <w:tcW w:w="1346" w:type="dxa"/>
            <w:tcBorders>
              <w:top w:val="nil"/>
              <w:left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w:t>
            </w:r>
          </w:p>
        </w:tc>
        <w:tc>
          <w:tcPr>
            <w:tcW w:w="1346" w:type="dxa"/>
            <w:tcBorders>
              <w:top w:val="nil"/>
              <w:left w:val="nil"/>
              <w:right w:val="nil"/>
            </w:tcBorders>
          </w:tcPr>
          <w:p w:rsidR="00336793" w:rsidRPr="00737C9B" w:rsidRDefault="00336793" w:rsidP="00DF0B96">
            <w:pPr>
              <w:pStyle w:val="TableofFigures"/>
              <w:rPr>
                <w:rFonts w:eastAsiaTheme="minorEastAsia"/>
                <w:lang w:eastAsia="en-AU"/>
              </w:rPr>
            </w:pPr>
            <w:r w:rsidRPr="00737C9B">
              <w:rPr>
                <w:rFonts w:eastAsiaTheme="minorEastAsia"/>
                <w:lang w:eastAsia="en-AU"/>
              </w:rPr>
              <w:t xml:space="preserve"> </w:t>
            </w:r>
          </w:p>
        </w:tc>
      </w:tr>
      <w:tr w:rsidR="00336793" w:rsidRPr="00737C9B" w:rsidTr="00DF0B96">
        <w:tc>
          <w:tcPr>
            <w:tcW w:w="6945" w:type="dxa"/>
            <w:tcBorders>
              <w:top w:val="nil"/>
              <w:left w:val="nil"/>
              <w:bottom w:val="single" w:sz="12" w:space="0" w:color="000000"/>
              <w:right w:val="nil"/>
            </w:tcBorders>
            <w:shd w:val="clear" w:color="auto" w:fill="auto"/>
          </w:tcPr>
          <w:p w:rsidR="00336793" w:rsidRPr="00737C9B" w:rsidRDefault="00336793" w:rsidP="00DF0B96">
            <w:pPr>
              <w:pStyle w:val="Tabletext"/>
              <w:rPr>
                <w:rFonts w:eastAsiaTheme="minorEastAsia"/>
                <w:b/>
                <w:lang w:eastAsia="en-AU"/>
              </w:rPr>
            </w:pPr>
            <w:r w:rsidRPr="00737C9B">
              <w:rPr>
                <w:rFonts w:eastAsiaTheme="minorEastAsia"/>
                <w:b/>
                <w:lang w:eastAsia="en-AU"/>
              </w:rPr>
              <w:t>Total trust fund</w:t>
            </w:r>
          </w:p>
        </w:tc>
        <w:tc>
          <w:tcPr>
            <w:tcW w:w="1346" w:type="dxa"/>
            <w:tcBorders>
              <w:top w:val="nil"/>
              <w:left w:val="nil"/>
              <w:bottom w:val="single" w:sz="12" w:space="0" w:color="000000"/>
              <w:right w:val="nil"/>
            </w:tcBorders>
            <w:shd w:val="clear" w:color="auto" w:fill="auto"/>
          </w:tcPr>
          <w:p w:rsidR="00336793" w:rsidRPr="00737C9B" w:rsidRDefault="00336793" w:rsidP="00DF0B96">
            <w:pPr>
              <w:pStyle w:val="TableofFigures"/>
              <w:rPr>
                <w:rFonts w:eastAsiaTheme="minorEastAsia"/>
                <w:b/>
                <w:lang w:eastAsia="en-AU"/>
              </w:rPr>
            </w:pPr>
            <w:r w:rsidRPr="00737C9B">
              <w:rPr>
                <w:rFonts w:eastAsiaTheme="minorEastAsia"/>
                <w:b/>
                <w:lang w:eastAsia="en-AU"/>
              </w:rPr>
              <w:t>4 246 176</w:t>
            </w:r>
          </w:p>
        </w:tc>
        <w:tc>
          <w:tcPr>
            <w:tcW w:w="1346" w:type="dxa"/>
            <w:tcBorders>
              <w:top w:val="nil"/>
              <w:left w:val="nil"/>
              <w:bottom w:val="single" w:sz="12" w:space="0" w:color="000000"/>
              <w:right w:val="nil"/>
            </w:tcBorders>
            <w:shd w:val="clear" w:color="auto" w:fill="auto"/>
          </w:tcPr>
          <w:p w:rsidR="00336793" w:rsidRPr="00737C9B" w:rsidRDefault="00336793" w:rsidP="00DF0B96">
            <w:pPr>
              <w:pStyle w:val="TableofFigures"/>
              <w:rPr>
                <w:rFonts w:eastAsiaTheme="minorEastAsia"/>
                <w:b/>
                <w:lang w:eastAsia="en-AU"/>
              </w:rPr>
            </w:pPr>
            <w:r w:rsidRPr="00737C9B">
              <w:rPr>
                <w:rFonts w:eastAsiaTheme="minorEastAsia"/>
                <w:b/>
                <w:lang w:eastAsia="en-AU"/>
              </w:rPr>
              <w:t>3 260 657</w:t>
            </w:r>
          </w:p>
        </w:tc>
      </w:tr>
    </w:tbl>
    <w:p w:rsidR="00336793" w:rsidRPr="006A75A2" w:rsidRDefault="00336793" w:rsidP="00DF0B96"/>
    <w:p w:rsidR="00336793" w:rsidRPr="006A75A2" w:rsidRDefault="00336793" w:rsidP="00DF0B96">
      <w:pPr>
        <w:spacing w:after="0"/>
        <w:rPr>
          <w:rFonts w:ascii="Calibri" w:hAnsi="Calibri"/>
          <w:b/>
        </w:rPr>
      </w:pPr>
      <w:r w:rsidRPr="006A75A2">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(f)</w:t>
      </w:r>
      <w:r w:rsidRPr="006A75A2">
        <w:tab/>
        <w:t>Details of securities held and included in the balances at 30 June</w:t>
      </w:r>
    </w:p>
    <w:p w:rsidR="00336793" w:rsidRPr="00F87AB8" w:rsidRDefault="00336793" w:rsidP="00DF0B96">
      <w:pPr>
        <w:pStyle w:val="million"/>
      </w:pPr>
      <w:r w:rsidRPr="006A75A2">
        <w:t>($</w:t>
      </w:r>
      <w:r>
        <w:t> thousand</w:t>
      </w:r>
      <w:r w:rsidRPr="006A75A2">
        <w:t>)</w:t>
      </w:r>
    </w:p>
    <w:tbl>
      <w:tblPr>
        <w:tblW w:w="9637" w:type="dxa"/>
        <w:tblInd w:w="28" w:type="dxa"/>
        <w:tblLayout w:type="fixed"/>
        <w:tblCellMar>
          <w:left w:w="43" w:type="dxa"/>
          <w:right w:w="43" w:type="dxa"/>
        </w:tblCellMar>
        <w:tblLook w:val="0000" w:firstRow="0" w:lastRow="0" w:firstColumn="0" w:lastColumn="0" w:noHBand="0" w:noVBand="0"/>
      </w:tblPr>
      <w:tblGrid>
        <w:gridCol w:w="6945"/>
        <w:gridCol w:w="1346"/>
        <w:gridCol w:w="1346"/>
      </w:tblGrid>
      <w:tr w:rsidR="00336793" w:rsidRPr="00F87AB8" w:rsidTr="00DF0B96">
        <w:tc>
          <w:tcPr>
            <w:tcW w:w="6945" w:type="dxa"/>
            <w:tcBorders>
              <w:top w:val="single" w:sz="6" w:space="0" w:color="000000"/>
              <w:left w:val="single" w:sz="6" w:space="0" w:color="000000"/>
              <w:bottom w:val="single" w:sz="6" w:space="0" w:color="000000"/>
              <w:right w:val="nil"/>
            </w:tcBorders>
            <w:shd w:val="clear" w:color="auto" w:fill="000000"/>
          </w:tcPr>
          <w:p w:rsidR="00336793" w:rsidRPr="00F87AB8" w:rsidRDefault="00336793" w:rsidP="00DF0B96">
            <w:pPr>
              <w:pStyle w:val="Tabletext"/>
              <w:rPr>
                <w:rFonts w:eastAsiaTheme="minorEastAsia" w:cs="Calibri"/>
                <w:szCs w:val="22"/>
                <w:lang w:eastAsia="en-AU"/>
              </w:rPr>
            </w:pPr>
            <w:r w:rsidRPr="00F87AB8">
              <w:rPr>
                <w:rFonts w:eastAsiaTheme="minorEastAsia"/>
                <w:lang w:eastAsia="en-AU"/>
              </w:rPr>
              <w:t xml:space="preserve">   </w:t>
            </w:r>
          </w:p>
        </w:tc>
        <w:tc>
          <w:tcPr>
            <w:tcW w:w="1346" w:type="dxa"/>
            <w:tcBorders>
              <w:top w:val="single" w:sz="6" w:space="0" w:color="000000"/>
              <w:left w:val="nil"/>
              <w:bottom w:val="single" w:sz="6" w:space="0" w:color="000000"/>
              <w:right w:val="nil"/>
            </w:tcBorders>
            <w:shd w:val="clear" w:color="auto" w:fill="000000"/>
          </w:tcPr>
          <w:p w:rsidR="00336793" w:rsidRPr="00F87AB8" w:rsidRDefault="00336793" w:rsidP="00DF0B96">
            <w:pPr>
              <w:pStyle w:val="Tabletextheading"/>
              <w:rPr>
                <w:rFonts w:eastAsiaTheme="minorEastAsia"/>
                <w:color w:val="FFFFFF"/>
                <w:lang w:eastAsia="en-AU"/>
              </w:rPr>
            </w:pPr>
            <w:r w:rsidRPr="00F87AB8">
              <w:rPr>
                <w:rFonts w:eastAsiaTheme="minorEastAsia"/>
                <w:color w:val="FFFFFF"/>
                <w:lang w:eastAsia="en-AU"/>
              </w:rPr>
              <w:t>2015</w:t>
            </w:r>
          </w:p>
        </w:tc>
        <w:tc>
          <w:tcPr>
            <w:tcW w:w="1346" w:type="dxa"/>
            <w:tcBorders>
              <w:top w:val="single" w:sz="6" w:space="0" w:color="000000"/>
              <w:left w:val="nil"/>
              <w:bottom w:val="single" w:sz="6" w:space="0" w:color="000000"/>
              <w:right w:val="single" w:sz="6" w:space="0" w:color="000000"/>
            </w:tcBorders>
            <w:shd w:val="clear" w:color="auto" w:fill="000000"/>
          </w:tcPr>
          <w:p w:rsidR="00336793" w:rsidRPr="00F87AB8" w:rsidRDefault="00336793" w:rsidP="00DF0B96">
            <w:pPr>
              <w:pStyle w:val="Tabletextheading"/>
              <w:rPr>
                <w:rFonts w:eastAsiaTheme="minorEastAsia"/>
                <w:color w:val="FFFFFF"/>
                <w:lang w:eastAsia="en-AU"/>
              </w:rPr>
            </w:pPr>
            <w:r w:rsidRPr="00F87AB8">
              <w:rPr>
                <w:rFonts w:eastAsiaTheme="minorEastAsia"/>
                <w:color w:val="FFFFFF"/>
                <w:lang w:eastAsia="en-AU"/>
              </w:rPr>
              <w:t>2014</w:t>
            </w:r>
          </w:p>
        </w:tc>
      </w:tr>
      <w:tr w:rsidR="00336793" w:rsidRPr="00F87AB8" w:rsidTr="00DF0B96">
        <w:tc>
          <w:tcPr>
            <w:tcW w:w="6945" w:type="dxa"/>
            <w:tcBorders>
              <w:top w:val="single" w:sz="6" w:space="0" w:color="000000"/>
              <w:left w:val="nil"/>
              <w:bottom w:val="nil"/>
              <w:right w:val="nil"/>
            </w:tcBorders>
          </w:tcPr>
          <w:p w:rsidR="00336793" w:rsidRPr="00F87AB8" w:rsidRDefault="00336793" w:rsidP="00DF0B96">
            <w:pPr>
              <w:pStyle w:val="Tabletext"/>
              <w:rPr>
                <w:rFonts w:eastAsiaTheme="minorEastAsia"/>
                <w:b/>
                <w:bCs/>
                <w:lang w:eastAsia="en-AU"/>
              </w:rPr>
            </w:pPr>
            <w:r w:rsidRPr="00F87AB8">
              <w:rPr>
                <w:rFonts w:eastAsiaTheme="minorEastAsia"/>
                <w:b/>
                <w:bCs/>
                <w:lang w:eastAsia="en-AU"/>
              </w:rPr>
              <w:t>Funds held at 30 June</w:t>
            </w:r>
          </w:p>
        </w:tc>
        <w:tc>
          <w:tcPr>
            <w:tcW w:w="1346" w:type="dxa"/>
            <w:tcBorders>
              <w:top w:val="single" w:sz="6" w:space="0" w:color="000000"/>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 xml:space="preserve"> </w:t>
            </w:r>
          </w:p>
        </w:tc>
        <w:tc>
          <w:tcPr>
            <w:tcW w:w="1346" w:type="dxa"/>
            <w:tcBorders>
              <w:top w:val="single" w:sz="6" w:space="0" w:color="000000"/>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 xml:space="preserve"> </w:t>
            </w:r>
          </w:p>
        </w:tc>
      </w:tr>
      <w:tr w:rsidR="00336793" w:rsidRPr="00F87AB8" w:rsidTr="00DF0B96">
        <w:tc>
          <w:tcPr>
            <w:tcW w:w="6945" w:type="dxa"/>
            <w:tcBorders>
              <w:top w:val="nil"/>
              <w:left w:val="nil"/>
              <w:bottom w:val="nil"/>
              <w:right w:val="nil"/>
            </w:tcBorders>
          </w:tcPr>
          <w:p w:rsidR="00336793" w:rsidRPr="00F87AB8" w:rsidRDefault="00336793" w:rsidP="00DF0B96">
            <w:pPr>
              <w:pStyle w:val="Tabletext"/>
              <w:rPr>
                <w:rFonts w:eastAsiaTheme="minorEastAsia"/>
                <w:b/>
                <w:bCs/>
                <w:lang w:eastAsia="en-AU"/>
              </w:rPr>
            </w:pPr>
            <w:r w:rsidRPr="00F87AB8">
              <w:rPr>
                <w:rFonts w:eastAsiaTheme="minorEastAsia"/>
                <w:b/>
                <w:bCs/>
                <w:lang w:eastAsia="en-AU"/>
              </w:rPr>
              <w:t>Trust accounts</w:t>
            </w:r>
          </w:p>
        </w:tc>
        <w:tc>
          <w:tcPr>
            <w:tcW w:w="1346" w:type="dxa"/>
            <w:tcBorders>
              <w:top w:val="nil"/>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 xml:space="preserve"> </w:t>
            </w:r>
          </w:p>
        </w:tc>
        <w:tc>
          <w:tcPr>
            <w:tcW w:w="1346" w:type="dxa"/>
            <w:tcBorders>
              <w:top w:val="nil"/>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 xml:space="preserve"> </w:t>
            </w:r>
          </w:p>
        </w:tc>
      </w:tr>
      <w:tr w:rsidR="00336793" w:rsidRPr="00F87AB8" w:rsidTr="00DF0B96">
        <w:tc>
          <w:tcPr>
            <w:tcW w:w="6945" w:type="dxa"/>
            <w:tcBorders>
              <w:top w:val="nil"/>
              <w:left w:val="nil"/>
              <w:bottom w:val="nil"/>
              <w:right w:val="nil"/>
            </w:tcBorders>
          </w:tcPr>
          <w:p w:rsidR="00336793" w:rsidRPr="00F87AB8" w:rsidRDefault="00336793" w:rsidP="00DF0B96">
            <w:pPr>
              <w:pStyle w:val="Tabletext"/>
              <w:rPr>
                <w:rFonts w:eastAsiaTheme="minorEastAsia"/>
                <w:lang w:eastAsia="en-AU"/>
              </w:rPr>
            </w:pPr>
            <w:r w:rsidRPr="00F87AB8">
              <w:rPr>
                <w:rFonts w:eastAsiaTheme="minorEastAsia"/>
                <w:lang w:eastAsia="en-AU"/>
              </w:rPr>
              <w:t>Amounts invested on behalf of specific trust accounts</w:t>
            </w:r>
          </w:p>
        </w:tc>
        <w:tc>
          <w:tcPr>
            <w:tcW w:w="1346" w:type="dxa"/>
            <w:tcBorders>
              <w:top w:val="nil"/>
              <w:left w:val="nil"/>
              <w:bottom w:val="nil"/>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1 487 218</w:t>
            </w:r>
          </w:p>
        </w:tc>
        <w:tc>
          <w:tcPr>
            <w:tcW w:w="1346" w:type="dxa"/>
            <w:tcBorders>
              <w:top w:val="nil"/>
              <w:left w:val="nil"/>
              <w:bottom w:val="nil"/>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1 214 445</w:t>
            </w:r>
          </w:p>
        </w:tc>
      </w:tr>
      <w:tr w:rsidR="00336793" w:rsidRPr="00F87AB8" w:rsidTr="00DF0B96">
        <w:tc>
          <w:tcPr>
            <w:tcW w:w="6945" w:type="dxa"/>
            <w:tcBorders>
              <w:top w:val="nil"/>
              <w:left w:val="nil"/>
              <w:bottom w:val="single" w:sz="6" w:space="0" w:color="auto"/>
              <w:right w:val="nil"/>
            </w:tcBorders>
          </w:tcPr>
          <w:p w:rsidR="00336793" w:rsidRPr="00F87AB8" w:rsidRDefault="00336793" w:rsidP="00DF0B96">
            <w:pPr>
              <w:pStyle w:val="Tabletext"/>
              <w:rPr>
                <w:rFonts w:eastAsiaTheme="minorEastAsia"/>
                <w:lang w:eastAsia="en-AU"/>
              </w:rPr>
            </w:pPr>
            <w:r w:rsidRPr="00F87AB8">
              <w:rPr>
                <w:rFonts w:eastAsiaTheme="minorEastAsia"/>
                <w:lang w:eastAsia="en-AU"/>
              </w:rPr>
              <w:t>General account balances</w:t>
            </w:r>
          </w:p>
        </w:tc>
        <w:tc>
          <w:tcPr>
            <w:tcW w:w="1346" w:type="dxa"/>
            <w:tcBorders>
              <w:top w:val="nil"/>
              <w:left w:val="nil"/>
              <w:bottom w:val="single" w:sz="6" w:space="0" w:color="auto"/>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2 758 958</w:t>
            </w:r>
          </w:p>
        </w:tc>
        <w:tc>
          <w:tcPr>
            <w:tcW w:w="1346" w:type="dxa"/>
            <w:tcBorders>
              <w:top w:val="nil"/>
              <w:left w:val="nil"/>
              <w:bottom w:val="single" w:sz="6" w:space="0" w:color="auto"/>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2 046 212</w:t>
            </w:r>
          </w:p>
        </w:tc>
      </w:tr>
      <w:tr w:rsidR="00336793" w:rsidRPr="00F87AB8" w:rsidTr="00DF0B96">
        <w:tc>
          <w:tcPr>
            <w:tcW w:w="6945" w:type="dxa"/>
            <w:tcBorders>
              <w:top w:val="nil"/>
              <w:left w:val="nil"/>
              <w:bottom w:val="nil"/>
              <w:right w:val="nil"/>
            </w:tcBorders>
          </w:tcPr>
          <w:p w:rsidR="00336793" w:rsidRPr="00F87AB8" w:rsidRDefault="00336793" w:rsidP="00DF0B96">
            <w:pPr>
              <w:pStyle w:val="Tabletext"/>
              <w:rPr>
                <w:rFonts w:eastAsiaTheme="minorEastAsia"/>
                <w:b/>
                <w:bCs/>
                <w:lang w:eastAsia="en-AU"/>
              </w:rPr>
            </w:pPr>
            <w:r w:rsidRPr="00F87AB8">
              <w:rPr>
                <w:rFonts w:eastAsiaTheme="minorEastAsia"/>
                <w:b/>
                <w:bCs/>
                <w:lang w:eastAsia="en-AU"/>
              </w:rPr>
              <w:t>Total trust accounts</w:t>
            </w:r>
          </w:p>
        </w:tc>
        <w:tc>
          <w:tcPr>
            <w:tcW w:w="1346" w:type="dxa"/>
            <w:tcBorders>
              <w:top w:val="nil"/>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4 246 176</w:t>
            </w:r>
          </w:p>
        </w:tc>
        <w:tc>
          <w:tcPr>
            <w:tcW w:w="1346" w:type="dxa"/>
            <w:tcBorders>
              <w:top w:val="nil"/>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3 260 657</w:t>
            </w:r>
          </w:p>
        </w:tc>
      </w:tr>
      <w:tr w:rsidR="00336793" w:rsidRPr="00F87AB8" w:rsidTr="00DF0B96">
        <w:tc>
          <w:tcPr>
            <w:tcW w:w="6945" w:type="dxa"/>
            <w:tcBorders>
              <w:top w:val="nil"/>
              <w:left w:val="nil"/>
              <w:bottom w:val="single" w:sz="6" w:space="0" w:color="auto"/>
              <w:right w:val="nil"/>
            </w:tcBorders>
          </w:tcPr>
          <w:p w:rsidR="00336793" w:rsidRPr="00F87AB8" w:rsidRDefault="00336793" w:rsidP="00DF0B96">
            <w:pPr>
              <w:pStyle w:val="Tabletext"/>
              <w:rPr>
                <w:rFonts w:eastAsiaTheme="minorEastAsia"/>
                <w:b/>
                <w:bCs/>
                <w:lang w:eastAsia="en-AU"/>
              </w:rPr>
            </w:pPr>
            <w:r w:rsidRPr="00F87AB8">
              <w:rPr>
                <w:rFonts w:eastAsiaTheme="minorEastAsia"/>
                <w:b/>
                <w:bCs/>
                <w:lang w:eastAsia="en-AU"/>
              </w:rPr>
              <w:t>Consolidated fund account balance</w:t>
            </w:r>
          </w:p>
        </w:tc>
        <w:tc>
          <w:tcPr>
            <w:tcW w:w="1346" w:type="dxa"/>
            <w:tcBorders>
              <w:top w:val="nil"/>
              <w:left w:val="nil"/>
              <w:bottom w:val="single" w:sz="6" w:space="0" w:color="auto"/>
              <w:right w:val="nil"/>
            </w:tcBorders>
          </w:tcPr>
          <w:p w:rsidR="00336793" w:rsidRPr="00F87AB8" w:rsidRDefault="00336793" w:rsidP="00DF0B96">
            <w:pPr>
              <w:pStyle w:val="TableofFigures"/>
              <w:rPr>
                <w:rFonts w:eastAsiaTheme="minorEastAsia" w:cs="Calibri"/>
                <w:b/>
                <w:bCs/>
                <w:szCs w:val="22"/>
                <w:lang w:eastAsia="en-AU"/>
              </w:rPr>
            </w:pPr>
            <w:r w:rsidRPr="00F87AB8">
              <w:rPr>
                <w:rFonts w:eastAsiaTheme="minorEastAsia"/>
                <w:b/>
                <w:bCs/>
                <w:lang w:eastAsia="en-AU"/>
              </w:rPr>
              <w:t xml:space="preserve"> 638 431</w:t>
            </w:r>
          </w:p>
        </w:tc>
        <w:tc>
          <w:tcPr>
            <w:tcW w:w="1346" w:type="dxa"/>
            <w:tcBorders>
              <w:top w:val="nil"/>
              <w:left w:val="nil"/>
              <w:bottom w:val="single" w:sz="6" w:space="0" w:color="auto"/>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 xml:space="preserve"> 447 582</w:t>
            </w:r>
          </w:p>
        </w:tc>
      </w:tr>
      <w:tr w:rsidR="00336793" w:rsidRPr="00F87AB8" w:rsidTr="00DF0B96">
        <w:tc>
          <w:tcPr>
            <w:tcW w:w="6945" w:type="dxa"/>
            <w:tcBorders>
              <w:top w:val="single" w:sz="6" w:space="0" w:color="auto"/>
              <w:left w:val="nil"/>
              <w:bottom w:val="single" w:sz="6" w:space="0" w:color="auto"/>
              <w:right w:val="nil"/>
            </w:tcBorders>
          </w:tcPr>
          <w:p w:rsidR="00336793" w:rsidRPr="00F87AB8" w:rsidRDefault="00336793" w:rsidP="00DF0B96">
            <w:pPr>
              <w:pStyle w:val="Tabletext"/>
              <w:rPr>
                <w:rFonts w:eastAsiaTheme="minorEastAsia"/>
                <w:b/>
                <w:bCs/>
                <w:lang w:eastAsia="en-AU"/>
              </w:rPr>
            </w:pPr>
            <w:r w:rsidRPr="00F87AB8">
              <w:rPr>
                <w:rFonts w:eastAsiaTheme="minorEastAsia"/>
                <w:b/>
                <w:bCs/>
                <w:lang w:eastAsia="en-AU"/>
              </w:rPr>
              <w:t>Total funds held in the public account</w:t>
            </w:r>
          </w:p>
        </w:tc>
        <w:tc>
          <w:tcPr>
            <w:tcW w:w="1346" w:type="dxa"/>
            <w:tcBorders>
              <w:top w:val="nil"/>
              <w:left w:val="nil"/>
              <w:bottom w:val="single" w:sz="6" w:space="0" w:color="auto"/>
              <w:right w:val="nil"/>
            </w:tcBorders>
          </w:tcPr>
          <w:p w:rsidR="00336793" w:rsidRPr="00F87AB8" w:rsidRDefault="00336793" w:rsidP="00DF0B96">
            <w:pPr>
              <w:pStyle w:val="TableofFigures"/>
              <w:rPr>
                <w:rFonts w:eastAsiaTheme="minorEastAsia" w:cs="Calibri"/>
                <w:b/>
                <w:bCs/>
                <w:szCs w:val="22"/>
                <w:lang w:eastAsia="en-AU"/>
              </w:rPr>
            </w:pPr>
            <w:r w:rsidRPr="00F87AB8">
              <w:rPr>
                <w:rFonts w:eastAsiaTheme="minorEastAsia"/>
                <w:b/>
                <w:bCs/>
                <w:lang w:eastAsia="en-AU"/>
              </w:rPr>
              <w:t xml:space="preserve">4 884 </w:t>
            </w:r>
            <w:r w:rsidRPr="00F87AB8">
              <w:rPr>
                <w:rFonts w:eastAsiaTheme="minorEastAsia" w:cs="Calibri"/>
                <w:b/>
                <w:bCs/>
                <w:szCs w:val="22"/>
                <w:lang w:eastAsia="en-AU"/>
              </w:rPr>
              <w:t>607</w:t>
            </w:r>
          </w:p>
        </w:tc>
        <w:tc>
          <w:tcPr>
            <w:tcW w:w="1346" w:type="dxa"/>
            <w:tcBorders>
              <w:top w:val="nil"/>
              <w:left w:val="nil"/>
              <w:bottom w:val="single" w:sz="6" w:space="0" w:color="auto"/>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3 708 240</w:t>
            </w:r>
          </w:p>
        </w:tc>
      </w:tr>
      <w:tr w:rsidR="00336793" w:rsidRPr="00F87AB8" w:rsidTr="00DF0B96">
        <w:trPr>
          <w:trHeight w:hRule="exact" w:val="120"/>
        </w:trPr>
        <w:tc>
          <w:tcPr>
            <w:tcW w:w="6945" w:type="dxa"/>
            <w:tcBorders>
              <w:top w:val="nil"/>
              <w:left w:val="nil"/>
              <w:bottom w:val="nil"/>
              <w:right w:val="nil"/>
            </w:tcBorders>
          </w:tcPr>
          <w:p w:rsidR="00336793" w:rsidRPr="00F87AB8" w:rsidRDefault="00336793" w:rsidP="00DF0B96">
            <w:pPr>
              <w:pStyle w:val="Tabletext"/>
              <w:rPr>
                <w:rFonts w:eastAsiaTheme="minorEastAsia"/>
                <w:lang w:eastAsia="en-AU"/>
              </w:rPr>
            </w:pPr>
            <w:r w:rsidRPr="00F87AB8">
              <w:rPr>
                <w:rFonts w:eastAsiaTheme="minorEastAsia"/>
                <w:lang w:eastAsia="en-AU"/>
              </w:rPr>
              <w:t xml:space="preserve"> </w:t>
            </w:r>
          </w:p>
        </w:tc>
        <w:tc>
          <w:tcPr>
            <w:tcW w:w="1346" w:type="dxa"/>
            <w:tcBorders>
              <w:top w:val="nil"/>
              <w:left w:val="nil"/>
              <w:bottom w:val="nil"/>
              <w:right w:val="nil"/>
            </w:tcBorders>
          </w:tcPr>
          <w:p w:rsidR="00336793" w:rsidRPr="00F87AB8" w:rsidRDefault="00336793" w:rsidP="00DF0B96">
            <w:pPr>
              <w:pStyle w:val="TableofFigures"/>
              <w:rPr>
                <w:rFonts w:eastAsiaTheme="minorEastAsia"/>
                <w:lang w:eastAsia="en-AU"/>
              </w:rPr>
            </w:pPr>
            <w:r w:rsidRPr="00F87AB8">
              <w:rPr>
                <w:rFonts w:eastAsiaTheme="minorEastAsia"/>
                <w:lang w:eastAsia="en-AU"/>
              </w:rPr>
              <w:t xml:space="preserve"> </w:t>
            </w:r>
          </w:p>
        </w:tc>
        <w:tc>
          <w:tcPr>
            <w:tcW w:w="1346" w:type="dxa"/>
            <w:tcBorders>
              <w:top w:val="nil"/>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 xml:space="preserve">   </w:t>
            </w:r>
          </w:p>
        </w:tc>
      </w:tr>
      <w:tr w:rsidR="00336793" w:rsidRPr="00F87AB8" w:rsidTr="00DF0B96">
        <w:tc>
          <w:tcPr>
            <w:tcW w:w="6945" w:type="dxa"/>
            <w:tcBorders>
              <w:top w:val="nil"/>
              <w:left w:val="nil"/>
              <w:bottom w:val="nil"/>
              <w:right w:val="nil"/>
            </w:tcBorders>
          </w:tcPr>
          <w:p w:rsidR="00336793" w:rsidRPr="00F87AB8" w:rsidRDefault="00336793" w:rsidP="00DF0B96">
            <w:pPr>
              <w:pStyle w:val="Tabletext"/>
              <w:rPr>
                <w:rFonts w:eastAsiaTheme="minorEastAsia"/>
                <w:b/>
                <w:bCs/>
                <w:lang w:eastAsia="en-AU"/>
              </w:rPr>
            </w:pPr>
            <w:r w:rsidRPr="00F87AB8">
              <w:rPr>
                <w:rFonts w:eastAsiaTheme="minorEastAsia"/>
                <w:b/>
                <w:bCs/>
                <w:lang w:eastAsia="en-AU"/>
              </w:rPr>
              <w:t>Represented by:</w:t>
            </w:r>
          </w:p>
        </w:tc>
        <w:tc>
          <w:tcPr>
            <w:tcW w:w="1346" w:type="dxa"/>
            <w:tcBorders>
              <w:top w:val="nil"/>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 xml:space="preserve"> </w:t>
            </w:r>
          </w:p>
        </w:tc>
        <w:tc>
          <w:tcPr>
            <w:tcW w:w="1346" w:type="dxa"/>
            <w:tcBorders>
              <w:top w:val="nil"/>
              <w:left w:val="nil"/>
              <w:bottom w:val="nil"/>
              <w:right w:val="nil"/>
            </w:tcBorders>
          </w:tcPr>
          <w:p w:rsidR="00336793" w:rsidRPr="00F87AB8" w:rsidRDefault="00336793" w:rsidP="00DF0B96">
            <w:pPr>
              <w:pStyle w:val="TableofFigures"/>
              <w:rPr>
                <w:rFonts w:eastAsiaTheme="minorEastAsia"/>
                <w:b/>
                <w:lang w:eastAsia="en-AU"/>
              </w:rPr>
            </w:pPr>
            <w:r w:rsidRPr="00F87AB8">
              <w:rPr>
                <w:rFonts w:eastAsiaTheme="minorEastAsia"/>
                <w:b/>
                <w:lang w:eastAsia="en-AU"/>
              </w:rPr>
              <w:t xml:space="preserve"> </w:t>
            </w:r>
          </w:p>
        </w:tc>
      </w:tr>
      <w:tr w:rsidR="00336793" w:rsidRPr="00F87AB8" w:rsidTr="00DF0B96">
        <w:tc>
          <w:tcPr>
            <w:tcW w:w="6945" w:type="dxa"/>
            <w:tcBorders>
              <w:top w:val="nil"/>
              <w:left w:val="nil"/>
              <w:bottom w:val="nil"/>
              <w:right w:val="nil"/>
            </w:tcBorders>
          </w:tcPr>
          <w:p w:rsidR="00336793" w:rsidRPr="00F87AB8" w:rsidRDefault="00336793" w:rsidP="00DF0B96">
            <w:pPr>
              <w:pStyle w:val="Tabletext"/>
              <w:rPr>
                <w:rFonts w:eastAsiaTheme="minorEastAsia"/>
                <w:b/>
                <w:bCs/>
                <w:lang w:eastAsia="en-AU"/>
              </w:rPr>
            </w:pPr>
            <w:r w:rsidRPr="00F87AB8">
              <w:rPr>
                <w:rFonts w:eastAsiaTheme="minorEastAsia"/>
                <w:b/>
                <w:bCs/>
                <w:lang w:eastAsia="en-AU"/>
              </w:rPr>
              <w:t>Stocks and securities held with/in –</w:t>
            </w:r>
          </w:p>
        </w:tc>
        <w:tc>
          <w:tcPr>
            <w:tcW w:w="1346" w:type="dxa"/>
            <w:tcBorders>
              <w:top w:val="nil"/>
              <w:left w:val="nil"/>
              <w:bottom w:val="nil"/>
              <w:right w:val="nil"/>
            </w:tcBorders>
          </w:tcPr>
          <w:p w:rsidR="00336793" w:rsidRPr="00F87AB8" w:rsidRDefault="00336793" w:rsidP="00DF0B96">
            <w:pPr>
              <w:pStyle w:val="TableofFigures"/>
              <w:rPr>
                <w:rFonts w:eastAsiaTheme="minorEastAsia"/>
                <w:b/>
                <w:lang w:eastAsia="en-AU"/>
              </w:rPr>
            </w:pPr>
            <w:r w:rsidRPr="00F87AB8">
              <w:rPr>
                <w:rFonts w:eastAsiaTheme="minorEastAsia"/>
                <w:b/>
                <w:lang w:eastAsia="en-AU"/>
              </w:rPr>
              <w:t xml:space="preserve"> </w:t>
            </w:r>
          </w:p>
        </w:tc>
        <w:tc>
          <w:tcPr>
            <w:tcW w:w="1346" w:type="dxa"/>
            <w:tcBorders>
              <w:top w:val="nil"/>
              <w:left w:val="nil"/>
              <w:bottom w:val="nil"/>
              <w:right w:val="nil"/>
            </w:tcBorders>
          </w:tcPr>
          <w:p w:rsidR="00336793" w:rsidRPr="00F87AB8" w:rsidRDefault="00336793" w:rsidP="00DF0B96">
            <w:pPr>
              <w:pStyle w:val="TableofFigures"/>
              <w:rPr>
                <w:rFonts w:eastAsiaTheme="minorEastAsia"/>
                <w:b/>
                <w:lang w:eastAsia="en-AU"/>
              </w:rPr>
            </w:pPr>
            <w:r w:rsidRPr="00F87AB8">
              <w:rPr>
                <w:rFonts w:eastAsiaTheme="minorEastAsia"/>
                <w:b/>
                <w:lang w:eastAsia="en-AU"/>
              </w:rPr>
              <w:t xml:space="preserve">   </w:t>
            </w:r>
          </w:p>
        </w:tc>
      </w:tr>
      <w:tr w:rsidR="00336793" w:rsidRPr="00F87AB8" w:rsidTr="00DF0B96">
        <w:tc>
          <w:tcPr>
            <w:tcW w:w="6945" w:type="dxa"/>
            <w:tcBorders>
              <w:top w:val="nil"/>
              <w:left w:val="nil"/>
              <w:bottom w:val="nil"/>
              <w:right w:val="nil"/>
            </w:tcBorders>
          </w:tcPr>
          <w:p w:rsidR="00336793" w:rsidRPr="00F87AB8" w:rsidRDefault="00336793" w:rsidP="00DF0B96">
            <w:pPr>
              <w:pStyle w:val="Tabletext"/>
              <w:rPr>
                <w:rFonts w:eastAsiaTheme="minorEastAsia"/>
                <w:lang w:eastAsia="en-AU"/>
              </w:rPr>
            </w:pPr>
            <w:r w:rsidRPr="00F87AB8">
              <w:rPr>
                <w:rFonts w:eastAsiaTheme="minorEastAsia"/>
                <w:lang w:eastAsia="en-AU"/>
              </w:rPr>
              <w:t xml:space="preserve">Managed Investments </w:t>
            </w:r>
          </w:p>
        </w:tc>
        <w:tc>
          <w:tcPr>
            <w:tcW w:w="1346" w:type="dxa"/>
            <w:tcBorders>
              <w:top w:val="nil"/>
              <w:left w:val="nil"/>
              <w:bottom w:val="nil"/>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 xml:space="preserve"> 617 574</w:t>
            </w:r>
          </w:p>
        </w:tc>
        <w:tc>
          <w:tcPr>
            <w:tcW w:w="1346" w:type="dxa"/>
            <w:tcBorders>
              <w:top w:val="nil"/>
              <w:left w:val="nil"/>
              <w:bottom w:val="nil"/>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 xml:space="preserve"> 626 305</w:t>
            </w:r>
          </w:p>
        </w:tc>
      </w:tr>
      <w:tr w:rsidR="00336793" w:rsidRPr="00F87AB8" w:rsidTr="00DF0B96">
        <w:tc>
          <w:tcPr>
            <w:tcW w:w="6945" w:type="dxa"/>
            <w:tcBorders>
              <w:top w:val="nil"/>
              <w:left w:val="nil"/>
              <w:bottom w:val="single" w:sz="6" w:space="0" w:color="auto"/>
              <w:right w:val="nil"/>
            </w:tcBorders>
          </w:tcPr>
          <w:p w:rsidR="00336793" w:rsidRPr="00F87AB8" w:rsidRDefault="00336793" w:rsidP="00DF0B96">
            <w:pPr>
              <w:pStyle w:val="Tabletext"/>
              <w:rPr>
                <w:rFonts w:eastAsiaTheme="minorEastAsia"/>
                <w:lang w:eastAsia="en-AU"/>
              </w:rPr>
            </w:pPr>
            <w:r w:rsidRPr="00F87AB8">
              <w:rPr>
                <w:rFonts w:eastAsiaTheme="minorEastAsia"/>
                <w:lang w:eastAsia="en-AU"/>
              </w:rPr>
              <w:t>Treasury Corporation of Victoria</w:t>
            </w:r>
          </w:p>
        </w:tc>
        <w:tc>
          <w:tcPr>
            <w:tcW w:w="1346" w:type="dxa"/>
            <w:tcBorders>
              <w:top w:val="nil"/>
              <w:left w:val="nil"/>
              <w:bottom w:val="nil"/>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 xml:space="preserve"> 869 644</w:t>
            </w:r>
          </w:p>
        </w:tc>
        <w:tc>
          <w:tcPr>
            <w:tcW w:w="1346" w:type="dxa"/>
            <w:tcBorders>
              <w:top w:val="nil"/>
              <w:left w:val="nil"/>
              <w:bottom w:val="nil"/>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 xml:space="preserve"> 587 701</w:t>
            </w:r>
          </w:p>
        </w:tc>
      </w:tr>
      <w:tr w:rsidR="00336793" w:rsidRPr="00F87AB8" w:rsidTr="00DF0B96">
        <w:tc>
          <w:tcPr>
            <w:tcW w:w="6945" w:type="dxa"/>
            <w:tcBorders>
              <w:top w:val="nil"/>
              <w:left w:val="nil"/>
              <w:bottom w:val="nil"/>
              <w:right w:val="nil"/>
            </w:tcBorders>
          </w:tcPr>
          <w:p w:rsidR="00336793" w:rsidRPr="00F87AB8" w:rsidRDefault="00336793" w:rsidP="00DF0B96">
            <w:pPr>
              <w:pStyle w:val="Tabletext"/>
              <w:rPr>
                <w:rFonts w:eastAsiaTheme="minorEastAsia"/>
                <w:lang w:eastAsia="en-AU"/>
              </w:rPr>
            </w:pPr>
            <w:r w:rsidRPr="00F87AB8">
              <w:rPr>
                <w:rFonts w:eastAsiaTheme="minorEastAsia"/>
                <w:lang w:eastAsia="en-AU"/>
              </w:rPr>
              <w:t xml:space="preserve"> </w:t>
            </w:r>
          </w:p>
        </w:tc>
        <w:tc>
          <w:tcPr>
            <w:tcW w:w="1346" w:type="dxa"/>
            <w:tcBorders>
              <w:top w:val="single" w:sz="6" w:space="0" w:color="auto"/>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1 487 218</w:t>
            </w:r>
          </w:p>
        </w:tc>
        <w:tc>
          <w:tcPr>
            <w:tcW w:w="1346" w:type="dxa"/>
            <w:tcBorders>
              <w:top w:val="single" w:sz="6" w:space="0" w:color="auto"/>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1 214 005</w:t>
            </w:r>
          </w:p>
        </w:tc>
      </w:tr>
      <w:tr w:rsidR="00336793" w:rsidRPr="00F87AB8" w:rsidTr="00DF0B96">
        <w:tc>
          <w:tcPr>
            <w:tcW w:w="6945" w:type="dxa"/>
            <w:tcBorders>
              <w:top w:val="nil"/>
              <w:left w:val="nil"/>
              <w:bottom w:val="nil"/>
              <w:right w:val="nil"/>
            </w:tcBorders>
          </w:tcPr>
          <w:p w:rsidR="00336793" w:rsidRPr="00F87AB8" w:rsidRDefault="00336793" w:rsidP="00DF0B96">
            <w:pPr>
              <w:pStyle w:val="Tabletext"/>
              <w:rPr>
                <w:rFonts w:eastAsiaTheme="minorEastAsia"/>
                <w:b/>
                <w:bCs/>
                <w:lang w:eastAsia="en-AU"/>
              </w:rPr>
            </w:pPr>
            <w:r w:rsidRPr="00F87AB8">
              <w:rPr>
                <w:rFonts w:eastAsiaTheme="minorEastAsia"/>
                <w:b/>
                <w:bCs/>
                <w:lang w:eastAsia="en-AU"/>
              </w:rPr>
              <w:t>Cash and investments held with/in –</w:t>
            </w:r>
          </w:p>
        </w:tc>
        <w:tc>
          <w:tcPr>
            <w:tcW w:w="1346" w:type="dxa"/>
            <w:tcBorders>
              <w:top w:val="nil"/>
              <w:left w:val="nil"/>
              <w:bottom w:val="nil"/>
              <w:right w:val="nil"/>
            </w:tcBorders>
          </w:tcPr>
          <w:p w:rsidR="00336793" w:rsidRPr="00F87AB8" w:rsidRDefault="00336793" w:rsidP="00DF0B96">
            <w:pPr>
              <w:pStyle w:val="TableofFigures"/>
              <w:rPr>
                <w:rFonts w:eastAsiaTheme="minorEastAsia"/>
                <w:b/>
                <w:lang w:eastAsia="en-AU"/>
              </w:rPr>
            </w:pPr>
            <w:r w:rsidRPr="00F87AB8">
              <w:rPr>
                <w:rFonts w:eastAsiaTheme="minorEastAsia"/>
                <w:b/>
                <w:lang w:eastAsia="en-AU"/>
              </w:rPr>
              <w:t xml:space="preserve">   </w:t>
            </w:r>
          </w:p>
        </w:tc>
        <w:tc>
          <w:tcPr>
            <w:tcW w:w="1346" w:type="dxa"/>
            <w:tcBorders>
              <w:top w:val="nil"/>
              <w:left w:val="nil"/>
              <w:bottom w:val="nil"/>
              <w:right w:val="nil"/>
            </w:tcBorders>
          </w:tcPr>
          <w:p w:rsidR="00336793" w:rsidRPr="00F87AB8" w:rsidRDefault="00336793" w:rsidP="00DF0B96">
            <w:pPr>
              <w:pStyle w:val="TableofFigures"/>
              <w:rPr>
                <w:rFonts w:eastAsiaTheme="minorEastAsia"/>
                <w:b/>
                <w:lang w:eastAsia="en-AU"/>
              </w:rPr>
            </w:pPr>
            <w:r w:rsidRPr="00F87AB8">
              <w:rPr>
                <w:rFonts w:eastAsiaTheme="minorEastAsia"/>
                <w:b/>
                <w:lang w:eastAsia="en-AU"/>
              </w:rPr>
              <w:t xml:space="preserve">   </w:t>
            </w:r>
          </w:p>
        </w:tc>
      </w:tr>
      <w:tr w:rsidR="00336793" w:rsidRPr="00F87AB8" w:rsidTr="00DF0B96">
        <w:tc>
          <w:tcPr>
            <w:tcW w:w="6945" w:type="dxa"/>
            <w:tcBorders>
              <w:top w:val="nil"/>
              <w:left w:val="nil"/>
              <w:bottom w:val="nil"/>
              <w:right w:val="nil"/>
            </w:tcBorders>
          </w:tcPr>
          <w:p w:rsidR="00336793" w:rsidRPr="00F87AB8" w:rsidRDefault="00336793" w:rsidP="00DF0B96">
            <w:pPr>
              <w:pStyle w:val="Tabletext"/>
              <w:rPr>
                <w:rFonts w:eastAsiaTheme="minorEastAsia"/>
                <w:lang w:eastAsia="en-AU"/>
              </w:rPr>
            </w:pPr>
            <w:r w:rsidRPr="00F87AB8">
              <w:rPr>
                <w:rFonts w:eastAsiaTheme="minorEastAsia"/>
                <w:lang w:eastAsia="en-AU"/>
              </w:rPr>
              <w:t xml:space="preserve">Treasury Corporation of Victoria </w:t>
            </w:r>
          </w:p>
        </w:tc>
        <w:tc>
          <w:tcPr>
            <w:tcW w:w="1346" w:type="dxa"/>
            <w:tcBorders>
              <w:top w:val="nil"/>
              <w:left w:val="nil"/>
              <w:bottom w:val="nil"/>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1 915 820</w:t>
            </w:r>
          </w:p>
        </w:tc>
        <w:tc>
          <w:tcPr>
            <w:tcW w:w="1346" w:type="dxa"/>
            <w:tcBorders>
              <w:top w:val="nil"/>
              <w:left w:val="nil"/>
              <w:bottom w:val="nil"/>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1 870 794</w:t>
            </w:r>
          </w:p>
        </w:tc>
      </w:tr>
      <w:tr w:rsidR="00336793" w:rsidRPr="00F87AB8" w:rsidTr="00DF0B96">
        <w:tc>
          <w:tcPr>
            <w:tcW w:w="6945" w:type="dxa"/>
            <w:tcBorders>
              <w:top w:val="nil"/>
              <w:left w:val="nil"/>
              <w:bottom w:val="single" w:sz="6" w:space="0" w:color="auto"/>
              <w:right w:val="nil"/>
            </w:tcBorders>
          </w:tcPr>
          <w:p w:rsidR="00336793" w:rsidRPr="00F87AB8" w:rsidRDefault="00336793" w:rsidP="00DF0B96">
            <w:pPr>
              <w:pStyle w:val="Tabletext"/>
              <w:rPr>
                <w:rFonts w:eastAsiaTheme="minorEastAsia"/>
                <w:lang w:eastAsia="en-AU"/>
              </w:rPr>
            </w:pPr>
            <w:r w:rsidRPr="00F87AB8">
              <w:rPr>
                <w:rFonts w:eastAsiaTheme="minorEastAsia"/>
                <w:lang w:eastAsia="en-AU"/>
              </w:rPr>
              <w:t>Cash at bank balances held in Australia</w:t>
            </w:r>
          </w:p>
        </w:tc>
        <w:tc>
          <w:tcPr>
            <w:tcW w:w="1346" w:type="dxa"/>
            <w:tcBorders>
              <w:top w:val="nil"/>
              <w:left w:val="nil"/>
              <w:bottom w:val="nil"/>
              <w:right w:val="nil"/>
            </w:tcBorders>
          </w:tcPr>
          <w:p w:rsidR="00336793" w:rsidRPr="00F87AB8" w:rsidRDefault="00336793" w:rsidP="00DF0B96">
            <w:pPr>
              <w:pStyle w:val="TableofFigures"/>
              <w:rPr>
                <w:rFonts w:eastAsiaTheme="minorEastAsia"/>
                <w:lang w:eastAsia="en-AU"/>
              </w:rPr>
            </w:pPr>
            <w:r w:rsidRPr="00F87AB8">
              <w:rPr>
                <w:rFonts w:eastAsiaTheme="minorEastAsia"/>
                <w:lang w:eastAsia="en-AU"/>
              </w:rPr>
              <w:t xml:space="preserve"> 171 431</w:t>
            </w:r>
          </w:p>
        </w:tc>
        <w:tc>
          <w:tcPr>
            <w:tcW w:w="1346" w:type="dxa"/>
            <w:tcBorders>
              <w:top w:val="nil"/>
              <w:left w:val="nil"/>
              <w:bottom w:val="nil"/>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 xml:space="preserve"> 408 170</w:t>
            </w:r>
          </w:p>
        </w:tc>
      </w:tr>
      <w:tr w:rsidR="00336793" w:rsidRPr="00F87AB8" w:rsidTr="00DF0B96">
        <w:tc>
          <w:tcPr>
            <w:tcW w:w="6945" w:type="dxa"/>
            <w:tcBorders>
              <w:top w:val="nil"/>
              <w:left w:val="nil"/>
              <w:bottom w:val="single" w:sz="6" w:space="0" w:color="auto"/>
              <w:right w:val="nil"/>
            </w:tcBorders>
          </w:tcPr>
          <w:p w:rsidR="00336793" w:rsidRPr="00F87AB8" w:rsidRDefault="00336793" w:rsidP="00DF0B96">
            <w:pPr>
              <w:pStyle w:val="Tabletext"/>
              <w:rPr>
                <w:rFonts w:eastAsiaTheme="minorEastAsia"/>
                <w:lang w:eastAsia="en-AU"/>
              </w:rPr>
            </w:pPr>
            <w:r w:rsidRPr="00F87AB8">
              <w:rPr>
                <w:rFonts w:eastAsiaTheme="minorEastAsia"/>
                <w:lang w:eastAsia="en-AU"/>
              </w:rPr>
              <w:t xml:space="preserve"> </w:t>
            </w:r>
          </w:p>
        </w:tc>
        <w:tc>
          <w:tcPr>
            <w:tcW w:w="1346" w:type="dxa"/>
            <w:tcBorders>
              <w:top w:val="single" w:sz="6" w:space="0" w:color="auto"/>
              <w:left w:val="nil"/>
              <w:bottom w:val="single" w:sz="6" w:space="0" w:color="auto"/>
              <w:right w:val="nil"/>
            </w:tcBorders>
            <w:shd w:val="solid" w:color="FFFFFF" w:fill="auto"/>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2 087 251</w:t>
            </w:r>
          </w:p>
        </w:tc>
        <w:tc>
          <w:tcPr>
            <w:tcW w:w="1346" w:type="dxa"/>
            <w:tcBorders>
              <w:top w:val="single" w:sz="6" w:space="0" w:color="auto"/>
              <w:left w:val="nil"/>
              <w:bottom w:val="single" w:sz="6" w:space="0" w:color="auto"/>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2 278 965</w:t>
            </w:r>
          </w:p>
        </w:tc>
      </w:tr>
      <w:tr w:rsidR="00336793" w:rsidRPr="00F87AB8" w:rsidTr="00DF0B96">
        <w:tc>
          <w:tcPr>
            <w:tcW w:w="6945" w:type="dxa"/>
            <w:tcBorders>
              <w:top w:val="nil"/>
              <w:left w:val="nil"/>
              <w:bottom w:val="nil"/>
              <w:right w:val="nil"/>
            </w:tcBorders>
          </w:tcPr>
          <w:p w:rsidR="00336793" w:rsidRPr="00F87AB8" w:rsidRDefault="00336793" w:rsidP="00DF0B96">
            <w:pPr>
              <w:pStyle w:val="Tabletext"/>
              <w:rPr>
                <w:rFonts w:eastAsiaTheme="minorEastAsia"/>
                <w:b/>
                <w:bCs/>
                <w:lang w:eastAsia="en-AU"/>
              </w:rPr>
            </w:pPr>
            <w:r w:rsidRPr="00F87AB8">
              <w:rPr>
                <w:rFonts w:eastAsiaTheme="minorEastAsia"/>
                <w:b/>
                <w:bCs/>
                <w:lang w:eastAsia="en-AU"/>
              </w:rPr>
              <w:t>Total stock, securities, cash and investments</w:t>
            </w:r>
          </w:p>
        </w:tc>
        <w:tc>
          <w:tcPr>
            <w:tcW w:w="1346" w:type="dxa"/>
            <w:tcBorders>
              <w:top w:val="nil"/>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3 574 469</w:t>
            </w:r>
          </w:p>
        </w:tc>
        <w:tc>
          <w:tcPr>
            <w:tcW w:w="1346" w:type="dxa"/>
            <w:tcBorders>
              <w:top w:val="nil"/>
              <w:left w:val="nil"/>
              <w:bottom w:val="nil"/>
              <w:right w:val="nil"/>
            </w:tcBorders>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3 492 970</w:t>
            </w:r>
          </w:p>
        </w:tc>
      </w:tr>
      <w:tr w:rsidR="00336793" w:rsidRPr="00F87AB8" w:rsidTr="00DF0B96">
        <w:tc>
          <w:tcPr>
            <w:tcW w:w="6945" w:type="dxa"/>
            <w:tcBorders>
              <w:top w:val="nil"/>
              <w:left w:val="nil"/>
              <w:bottom w:val="single" w:sz="6" w:space="0" w:color="auto"/>
              <w:right w:val="nil"/>
            </w:tcBorders>
          </w:tcPr>
          <w:p w:rsidR="00336793" w:rsidRPr="00F87AB8" w:rsidRDefault="00336793" w:rsidP="00DF0B96">
            <w:pPr>
              <w:pStyle w:val="Tabletext"/>
              <w:rPr>
                <w:rFonts w:eastAsiaTheme="minorEastAsia" w:cs="Calibri"/>
                <w:color w:val="000000"/>
                <w:szCs w:val="22"/>
                <w:lang w:eastAsia="en-AU"/>
              </w:rPr>
            </w:pPr>
            <w:r w:rsidRPr="00F87AB8">
              <w:rPr>
                <w:rFonts w:eastAsiaTheme="minorEastAsia"/>
                <w:lang w:eastAsia="en-AU"/>
              </w:rPr>
              <w:t>Add cash advanced pursuant to Sections 36 and 37 of the</w:t>
            </w:r>
            <w:r w:rsidRPr="00F87AB8">
              <w:rPr>
                <w:rFonts w:eastAsiaTheme="minorEastAsia"/>
                <w:i/>
                <w:lang w:eastAsia="en-AU"/>
              </w:rPr>
              <w:t xml:space="preserve"> Financial Management Act, </w:t>
            </w:r>
            <w:r w:rsidRPr="00062260">
              <w:rPr>
                <w:rFonts w:eastAsiaTheme="minorEastAsia"/>
                <w:i/>
                <w:lang w:eastAsia="en-AU"/>
              </w:rPr>
              <w:t>No. 18 of 1994</w:t>
            </w:r>
          </w:p>
        </w:tc>
        <w:tc>
          <w:tcPr>
            <w:tcW w:w="1346" w:type="dxa"/>
            <w:tcBorders>
              <w:top w:val="nil"/>
              <w:left w:val="nil"/>
              <w:bottom w:val="single" w:sz="6" w:space="0" w:color="auto"/>
              <w:right w:val="nil"/>
            </w:tcBorders>
          </w:tcPr>
          <w:p w:rsidR="00336793" w:rsidRPr="00F87AB8" w:rsidRDefault="00336793" w:rsidP="00DF0B96">
            <w:pPr>
              <w:pStyle w:val="TableofFigures"/>
              <w:rPr>
                <w:rFonts w:eastAsiaTheme="minorEastAsia" w:cs="Calibri"/>
                <w:szCs w:val="22"/>
                <w:lang w:eastAsia="en-AU"/>
              </w:rPr>
            </w:pPr>
            <w:r w:rsidRPr="00F87AB8">
              <w:rPr>
                <w:rFonts w:eastAsiaTheme="minorEastAsia"/>
                <w:lang w:eastAsia="en-AU"/>
              </w:rPr>
              <w:t>1 310 138</w:t>
            </w:r>
          </w:p>
        </w:tc>
        <w:tc>
          <w:tcPr>
            <w:tcW w:w="1346" w:type="dxa"/>
            <w:tcBorders>
              <w:top w:val="nil"/>
              <w:left w:val="nil"/>
              <w:bottom w:val="single" w:sz="6" w:space="0" w:color="auto"/>
              <w:right w:val="nil"/>
            </w:tcBorders>
            <w:shd w:val="solid" w:color="FFFFFF" w:fill="auto"/>
          </w:tcPr>
          <w:p w:rsidR="00336793" w:rsidRPr="00F87AB8" w:rsidRDefault="00336793" w:rsidP="00DF0B96">
            <w:pPr>
              <w:pStyle w:val="TableofFigures"/>
              <w:rPr>
                <w:rFonts w:eastAsiaTheme="minorEastAsia"/>
                <w:lang w:eastAsia="en-AU"/>
              </w:rPr>
            </w:pPr>
            <w:r w:rsidRPr="00F87AB8">
              <w:rPr>
                <w:rFonts w:eastAsiaTheme="minorEastAsia"/>
                <w:lang w:eastAsia="en-AU"/>
              </w:rPr>
              <w:t xml:space="preserve"> 215 270</w:t>
            </w:r>
          </w:p>
        </w:tc>
      </w:tr>
      <w:tr w:rsidR="00336793" w:rsidRPr="00F87AB8" w:rsidTr="00DF0B96">
        <w:tc>
          <w:tcPr>
            <w:tcW w:w="6945" w:type="dxa"/>
            <w:tcBorders>
              <w:top w:val="single" w:sz="6" w:space="0" w:color="auto"/>
              <w:left w:val="nil"/>
              <w:bottom w:val="single" w:sz="12" w:space="0" w:color="000000"/>
              <w:right w:val="nil"/>
            </w:tcBorders>
            <w:shd w:val="clear" w:color="auto" w:fill="auto"/>
          </w:tcPr>
          <w:p w:rsidR="00336793" w:rsidRPr="00F87AB8" w:rsidRDefault="00336793" w:rsidP="00DF0B96">
            <w:pPr>
              <w:pStyle w:val="Tabletext"/>
              <w:rPr>
                <w:rFonts w:eastAsiaTheme="minorEastAsia"/>
                <w:b/>
                <w:bCs/>
                <w:lang w:eastAsia="en-AU"/>
              </w:rPr>
            </w:pPr>
            <w:r w:rsidRPr="00F87AB8">
              <w:rPr>
                <w:rFonts w:eastAsiaTheme="minorEastAsia"/>
                <w:b/>
                <w:bCs/>
                <w:lang w:eastAsia="en-AU"/>
              </w:rPr>
              <w:t>Total funds held in the public account</w:t>
            </w:r>
          </w:p>
        </w:tc>
        <w:tc>
          <w:tcPr>
            <w:tcW w:w="1346" w:type="dxa"/>
            <w:tcBorders>
              <w:top w:val="single" w:sz="6" w:space="0" w:color="auto"/>
              <w:left w:val="nil"/>
              <w:bottom w:val="single" w:sz="12" w:space="0" w:color="000000"/>
              <w:right w:val="nil"/>
            </w:tcBorders>
            <w:shd w:val="clear" w:color="auto" w:fill="auto"/>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4 884 607</w:t>
            </w:r>
          </w:p>
        </w:tc>
        <w:tc>
          <w:tcPr>
            <w:tcW w:w="1346" w:type="dxa"/>
            <w:tcBorders>
              <w:top w:val="single" w:sz="6" w:space="0" w:color="auto"/>
              <w:left w:val="nil"/>
              <w:bottom w:val="single" w:sz="12" w:space="0" w:color="000000"/>
              <w:right w:val="nil"/>
            </w:tcBorders>
            <w:shd w:val="clear" w:color="auto" w:fill="auto"/>
          </w:tcPr>
          <w:p w:rsidR="00336793" w:rsidRPr="00F87AB8" w:rsidRDefault="00336793" w:rsidP="00DF0B96">
            <w:pPr>
              <w:pStyle w:val="TableofFigures"/>
              <w:rPr>
                <w:rFonts w:eastAsiaTheme="minorEastAsia"/>
                <w:b/>
                <w:bCs/>
                <w:lang w:eastAsia="en-AU"/>
              </w:rPr>
            </w:pPr>
            <w:r w:rsidRPr="00F87AB8">
              <w:rPr>
                <w:rFonts w:eastAsiaTheme="minorEastAsia"/>
                <w:b/>
                <w:bCs/>
                <w:lang w:eastAsia="en-AU"/>
              </w:rPr>
              <w:t>3 708 240</w:t>
            </w:r>
          </w:p>
        </w:tc>
      </w:tr>
    </w:tbl>
    <w:p w:rsidR="00336793" w:rsidRPr="006A75A2" w:rsidRDefault="00336793" w:rsidP="00DF0B96">
      <w:pPr>
        <w:pStyle w:val="Source"/>
      </w:pPr>
    </w:p>
    <w:p w:rsidR="00336793" w:rsidRPr="006A75A2" w:rsidRDefault="00336793" w:rsidP="00DF0B96"/>
    <w:p w:rsidR="00336793" w:rsidRPr="006A75A2" w:rsidRDefault="00336793" w:rsidP="00DF0B96">
      <w:pPr>
        <w:pStyle w:val="Tableheading"/>
      </w:pPr>
      <w:r w:rsidRPr="006A75A2">
        <w:t>(g)</w:t>
      </w:r>
      <w:r w:rsidRPr="006A75A2">
        <w:tab/>
        <w:t xml:space="preserve">Amounts paid into working accounts pursuant to </w:t>
      </w:r>
      <w:r>
        <w:t>Section </w:t>
      </w:r>
      <w:r w:rsidRPr="006A75A2">
        <w:t xml:space="preserve">23 of the </w:t>
      </w:r>
      <w:r w:rsidRPr="002A34B3">
        <w:rPr>
          <w:i/>
        </w:rPr>
        <w:t>Financial Management Act 1994</w:t>
      </w:r>
      <w:r w:rsidRPr="006A75A2">
        <w:t xml:space="preserve"> for the year ended 30 June</w:t>
      </w:r>
    </w:p>
    <w:p w:rsidR="00336793" w:rsidRPr="00A10A3B" w:rsidRDefault="00336793" w:rsidP="00DF0B96">
      <w:pPr>
        <w:pStyle w:val="million"/>
        <w:rPr>
          <w:rFonts w:ascii="Times New Roman" w:hAnsi="Times New Roman"/>
          <w:lang w:eastAsia="en-AU"/>
        </w:rPr>
      </w:pPr>
      <w:r w:rsidRPr="006A75A2">
        <w:t>($</w:t>
      </w:r>
      <w:r>
        <w:t> thousand</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1120"/>
      </w:tblGrid>
      <w:tr w:rsidR="00336793" w:rsidRPr="00A10A3B" w:rsidTr="00DF0B96">
        <w:trPr>
          <w:tblHeader/>
        </w:trPr>
        <w:tc>
          <w:tcPr>
            <w:tcW w:w="7397"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2015</w:t>
            </w:r>
          </w:p>
        </w:tc>
        <w:tc>
          <w:tcPr>
            <w:tcW w:w="1120"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iCs/>
                <w:color w:val="FFFFFF"/>
                <w:lang w:eastAsia="en-AU"/>
              </w:rPr>
            </w:pPr>
            <w:r w:rsidRPr="00A10A3B">
              <w:rPr>
                <w:rFonts w:eastAsiaTheme="minorEastAsia"/>
                <w:iCs/>
                <w:color w:val="FFFFFF"/>
                <w:lang w:eastAsia="en-AU"/>
              </w:rPr>
              <w:t>2014</w:t>
            </w:r>
          </w:p>
        </w:tc>
      </w:tr>
      <w:tr w:rsidR="00336793" w:rsidRPr="00A10A3B" w:rsidTr="00DF0B96">
        <w:tc>
          <w:tcPr>
            <w:tcW w:w="7397"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Appropriation transfer equivalent to consolidated fund receipts</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11 456</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10 841</w:t>
            </w:r>
          </w:p>
        </w:tc>
      </w:tr>
      <w:tr w:rsidR="00336793" w:rsidRPr="00A10A3B" w:rsidTr="00DF0B96">
        <w:tc>
          <w:tcPr>
            <w:tcW w:w="739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Interest received on credit balances</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160</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138</w:t>
            </w:r>
          </w:p>
        </w:tc>
      </w:tr>
      <w:tr w:rsidR="00336793" w:rsidRPr="00A10A3B" w:rsidTr="00DF0B96">
        <w:tc>
          <w:tcPr>
            <w:tcW w:w="739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amounts paid into working accounts</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11 615</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10 979</w:t>
            </w:r>
          </w:p>
        </w:tc>
      </w:tr>
    </w:tbl>
    <w:p w:rsidR="00336793" w:rsidRPr="006A75A2" w:rsidRDefault="00336793" w:rsidP="00DF0B96">
      <w:pPr>
        <w:pStyle w:val="Notes"/>
      </w:pPr>
    </w:p>
    <w:p w:rsidR="00336793" w:rsidRPr="006A75A2" w:rsidRDefault="00336793" w:rsidP="00DF0B96"/>
    <w:p w:rsidR="00336793" w:rsidRPr="006A75A2" w:rsidRDefault="00336793" w:rsidP="00DF0B96">
      <w:pPr>
        <w:pStyle w:val="Tableheading"/>
      </w:pPr>
      <w:r w:rsidRPr="006A75A2">
        <w:t>(h)</w:t>
      </w:r>
      <w:r w:rsidRPr="006A75A2">
        <w:tab/>
        <w:t xml:space="preserve">Allocations pursuant to </w:t>
      </w:r>
      <w:r>
        <w:t>Section </w:t>
      </w:r>
      <w:r w:rsidRPr="006A75A2">
        <w:t xml:space="preserve">28 of the </w:t>
      </w:r>
      <w:r w:rsidRPr="002A34B3">
        <w:rPr>
          <w:i/>
        </w:rPr>
        <w:t>Financial Management Act 1994</w:t>
      </w:r>
      <w:r w:rsidRPr="006A75A2">
        <w:t xml:space="preserve"> for the financial year ended 30 June</w:t>
      </w:r>
    </w:p>
    <w:p w:rsidR="00336793" w:rsidRDefault="00336793" w:rsidP="00DF0B96">
      <w:pPr>
        <w:pStyle w:val="million"/>
        <w:rPr>
          <w:rFonts w:ascii="Times New Roman" w:hAnsi="Times New Roman"/>
          <w:i w:val="0"/>
          <w:szCs w:val="20"/>
          <w:lang w:eastAsia="en-AU"/>
        </w:rPr>
      </w:pPr>
      <w:r w:rsidRPr="006A75A2">
        <w:t>($</w:t>
      </w:r>
      <w:r>
        <w:t> thousand</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1120"/>
      </w:tblGrid>
      <w:tr w:rsidR="00336793" w:rsidRPr="00A10A3B" w:rsidTr="00DF0B96">
        <w:trPr>
          <w:tblHeader/>
        </w:trPr>
        <w:tc>
          <w:tcPr>
            <w:tcW w:w="7397"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b/>
                <w:lang w:eastAsia="en-AU"/>
              </w:rPr>
            </w:pPr>
            <w:r w:rsidRPr="00A10A3B">
              <w:rPr>
                <w:rFonts w:eastAsiaTheme="minorEastAsia"/>
                <w:b/>
                <w:lang w:eastAsia="en-AU"/>
              </w:rPr>
              <w:t xml:space="preserve"> </w:t>
            </w:r>
          </w:p>
        </w:tc>
        <w:tc>
          <w:tcPr>
            <w:tcW w:w="1120" w:type="dxa"/>
            <w:tcBorders>
              <w:top w:val="single" w:sz="6" w:space="0" w:color="auto"/>
              <w:left w:val="nil"/>
              <w:bottom w:val="single" w:sz="6" w:space="0" w:color="auto"/>
              <w:right w:val="nil"/>
            </w:tcBorders>
            <w:shd w:val="clear" w:color="000000" w:fill="000000"/>
            <w:vAlign w:val="bottom"/>
          </w:tcPr>
          <w:p w:rsidR="00336793" w:rsidRPr="001E5736" w:rsidRDefault="00336793" w:rsidP="00DF0B96">
            <w:pPr>
              <w:pStyle w:val="Tabletextheading"/>
              <w:rPr>
                <w:rFonts w:eastAsiaTheme="minorEastAsia"/>
                <w:iCs/>
                <w:color w:val="FFFFFF"/>
                <w:lang w:eastAsia="en-AU"/>
              </w:rPr>
            </w:pPr>
            <w:r w:rsidRPr="001E5736">
              <w:rPr>
                <w:rFonts w:eastAsiaTheme="minorEastAsia"/>
                <w:iCs/>
                <w:color w:val="FFFFFF"/>
                <w:lang w:eastAsia="en-AU"/>
              </w:rPr>
              <w:t>2015</w:t>
            </w:r>
          </w:p>
        </w:tc>
        <w:tc>
          <w:tcPr>
            <w:tcW w:w="1120" w:type="dxa"/>
            <w:tcBorders>
              <w:top w:val="single" w:sz="6" w:space="0" w:color="auto"/>
              <w:left w:val="nil"/>
              <w:bottom w:val="single" w:sz="6" w:space="0" w:color="auto"/>
              <w:right w:val="single" w:sz="6" w:space="0" w:color="auto"/>
            </w:tcBorders>
            <w:shd w:val="clear" w:color="000000" w:fill="000000"/>
            <w:vAlign w:val="bottom"/>
          </w:tcPr>
          <w:p w:rsidR="00336793" w:rsidRPr="001E5736" w:rsidRDefault="00336793" w:rsidP="00DF0B96">
            <w:pPr>
              <w:pStyle w:val="Tabletextheading"/>
              <w:rPr>
                <w:rFonts w:eastAsiaTheme="minorEastAsia"/>
                <w:iCs/>
                <w:color w:val="FFFFFF"/>
                <w:lang w:eastAsia="en-AU"/>
              </w:rPr>
            </w:pPr>
            <w:r w:rsidRPr="001E5736">
              <w:rPr>
                <w:rFonts w:eastAsiaTheme="minorEastAsia"/>
                <w:iCs/>
                <w:color w:val="FFFFFF"/>
                <w:lang w:eastAsia="en-AU"/>
              </w:rPr>
              <w:t>2014</w:t>
            </w:r>
          </w:p>
        </w:tc>
      </w:tr>
      <w:tr w:rsidR="00336793" w:rsidRPr="00A10A3B" w:rsidTr="00DF0B96">
        <w:tc>
          <w:tcPr>
            <w:tcW w:w="7397" w:type="dxa"/>
            <w:tcBorders>
              <w:top w:val="single" w:sz="6" w:space="0" w:color="auto"/>
              <w:left w:val="nil"/>
              <w:bottom w:val="nil"/>
              <w:right w:val="nil"/>
            </w:tcBorders>
          </w:tcPr>
          <w:p w:rsidR="00336793" w:rsidRPr="00A10A3B" w:rsidRDefault="00336793" w:rsidP="00DF0B96">
            <w:pPr>
              <w:pStyle w:val="Tabletext"/>
              <w:rPr>
                <w:rFonts w:eastAsiaTheme="minorEastAsia"/>
                <w:b/>
                <w:lang w:eastAsia="en-AU"/>
              </w:rPr>
            </w:pPr>
            <w:r w:rsidRPr="00A10A3B">
              <w:rPr>
                <w:rFonts w:eastAsiaTheme="minorEastAsia"/>
                <w:b/>
                <w:lang w:eastAsia="en-AU"/>
              </w:rPr>
              <w:t>Section 28 allocations</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7397" w:type="dxa"/>
            <w:tcBorders>
              <w:top w:val="nil"/>
              <w:left w:val="nil"/>
              <w:bottom w:val="nil"/>
              <w:right w:val="nil"/>
            </w:tcBorders>
          </w:tcPr>
          <w:p w:rsidR="00336793" w:rsidRPr="00A10A3B" w:rsidRDefault="00336793" w:rsidP="00DF0B96">
            <w:pPr>
              <w:pStyle w:val="Tabletext"/>
              <w:rPr>
                <w:rFonts w:eastAsiaTheme="minorEastAsia"/>
                <w:b/>
                <w:lang w:eastAsia="en-AU"/>
              </w:rPr>
            </w:pPr>
            <w:r w:rsidRPr="00A10A3B">
              <w:rPr>
                <w:rFonts w:eastAsiaTheme="minorEastAsia"/>
                <w:b/>
                <w:lang w:eastAsia="en-AU"/>
              </w:rPr>
              <w:t>(Appropriation for borrowing against future appropriation)</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7397" w:type="dxa"/>
            <w:tcBorders>
              <w:top w:val="nil"/>
              <w:left w:val="nil"/>
              <w:bottom w:val="nil"/>
              <w:right w:val="nil"/>
            </w:tcBorders>
          </w:tcPr>
          <w:p w:rsidR="00336793" w:rsidRPr="007A196C" w:rsidRDefault="00336793" w:rsidP="00DF0B96">
            <w:pPr>
              <w:pStyle w:val="Tabletext"/>
              <w:rPr>
                <w:rFonts w:eastAsiaTheme="minorEastAsia"/>
                <w:b/>
                <w:vertAlign w:val="superscript"/>
                <w:lang w:eastAsia="en-AU"/>
              </w:rPr>
            </w:pPr>
            <w:r w:rsidRPr="00A10A3B">
              <w:rPr>
                <w:rFonts w:eastAsiaTheme="minorEastAsia"/>
                <w:b/>
                <w:lang w:eastAsia="en-AU"/>
              </w:rPr>
              <w:t>Department of Environment, Land, Water and Planning</w:t>
            </w:r>
            <w:r w:rsidRPr="00E96950">
              <w:rPr>
                <w:rFonts w:eastAsiaTheme="minorEastAsia"/>
                <w:b/>
                <w:vertAlign w:val="superscript"/>
                <w:lang w:eastAsia="en-AU"/>
              </w:rPr>
              <w:t xml:space="preserve"> (</w:t>
            </w:r>
            <w:r>
              <w:rPr>
                <w:rFonts w:eastAsiaTheme="minorEastAsia"/>
                <w:b/>
                <w:vertAlign w:val="superscript"/>
                <w:lang w:eastAsia="en-AU"/>
              </w:rPr>
              <w:t>a)</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739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Addition to net asset base</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1 600</w:t>
            </w:r>
          </w:p>
        </w:tc>
      </w:tr>
      <w:tr w:rsidR="00336793" w:rsidRPr="00A10A3B" w:rsidTr="00DF0B96">
        <w:tc>
          <w:tcPr>
            <w:tcW w:w="739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lang w:eastAsia="en-AU"/>
              </w:rPr>
            </w:pPr>
            <w:r w:rsidRPr="00A10A3B">
              <w:rPr>
                <w:rFonts w:eastAsiaTheme="minorEastAsia"/>
                <w:b/>
                <w:lang w:eastAsia="en-AU"/>
              </w:rPr>
              <w:t>Total Section 28 allocations</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1 600</w:t>
            </w:r>
          </w:p>
        </w:tc>
      </w:tr>
    </w:tbl>
    <w:p w:rsidR="00336793" w:rsidRPr="006A75A2" w:rsidRDefault="00336793" w:rsidP="00DF0B96">
      <w:pPr>
        <w:pStyle w:val="Notes"/>
      </w:pPr>
      <w:r w:rsidRPr="006A75A2">
        <w:t>Note:</w:t>
      </w:r>
    </w:p>
    <w:p w:rsidR="00336793" w:rsidRDefault="00336793" w:rsidP="00DF0B96">
      <w:pPr>
        <w:pStyle w:val="Notes"/>
      </w:pPr>
      <w:r w:rsidRPr="006A75A2">
        <w:t xml:space="preserve">(a) </w:t>
      </w:r>
      <w:r w:rsidRPr="006A75A2">
        <w:tab/>
      </w:r>
      <w:r>
        <w:t>Effective 1 January 2015, the Department of Environment and Primary Industries was renamed the Department of Environment, Land, Water and Planning due to machinery of government changes.</w:t>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(i)</w:t>
      </w:r>
      <w:r w:rsidRPr="006A75A2">
        <w:tab/>
        <w:t xml:space="preserve">Transfers pursuant to Sections 30 and 31 of the </w:t>
      </w:r>
      <w:r>
        <w:rPr>
          <w:i/>
        </w:rPr>
        <w:t>Financial Management Act </w:t>
      </w:r>
      <w:r w:rsidRPr="002A34B3">
        <w:rPr>
          <w:i/>
        </w:rPr>
        <w:t>1994</w:t>
      </w:r>
      <w:r w:rsidRPr="006A75A2">
        <w:t xml:space="preserve"> for the financial year ended 30 June</w:t>
      </w:r>
    </w:p>
    <w:p w:rsidR="00336793" w:rsidRPr="003437F2" w:rsidRDefault="00336793" w:rsidP="00DF0B96">
      <w:pPr>
        <w:pStyle w:val="million"/>
        <w:rPr>
          <w:rFonts w:ascii="Times New Roman" w:hAnsi="Times New Roman"/>
          <w:i w:val="0"/>
          <w:szCs w:val="20"/>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7577"/>
        <w:gridCol w:w="940"/>
        <w:gridCol w:w="1120"/>
      </w:tblGrid>
      <w:tr w:rsidR="00336793" w:rsidRPr="003437F2" w:rsidTr="00DF0B96">
        <w:tc>
          <w:tcPr>
            <w:tcW w:w="7577" w:type="dxa"/>
            <w:tcBorders>
              <w:top w:val="single" w:sz="6" w:space="0" w:color="auto"/>
              <w:left w:val="single" w:sz="6" w:space="0" w:color="auto"/>
              <w:bottom w:val="single" w:sz="6" w:space="0" w:color="auto"/>
              <w:right w:val="nil"/>
            </w:tcBorders>
            <w:shd w:val="clear" w:color="000000" w:fill="000000"/>
          </w:tcPr>
          <w:p w:rsidR="00336793" w:rsidRPr="003437F2" w:rsidRDefault="00336793" w:rsidP="00DF0B96">
            <w:pPr>
              <w:pStyle w:val="Tabletext"/>
              <w:rPr>
                <w:rFonts w:eastAsiaTheme="minorEastAsia"/>
                <w:i/>
                <w:lang w:eastAsia="en-AU"/>
              </w:rPr>
            </w:pPr>
            <w:r w:rsidRPr="003437F2">
              <w:rPr>
                <w:rFonts w:eastAsiaTheme="minorEastAsia"/>
                <w:i/>
                <w:lang w:eastAsia="en-AU"/>
              </w:rPr>
              <w:t xml:space="preserve"> </w:t>
            </w:r>
          </w:p>
        </w:tc>
        <w:tc>
          <w:tcPr>
            <w:tcW w:w="940" w:type="dxa"/>
            <w:tcBorders>
              <w:top w:val="single" w:sz="6" w:space="0" w:color="auto"/>
              <w:left w:val="nil"/>
              <w:bottom w:val="single" w:sz="6" w:space="0" w:color="auto"/>
              <w:right w:val="nil"/>
            </w:tcBorders>
            <w:shd w:val="clear" w:color="000000" w:fill="000000"/>
          </w:tcPr>
          <w:p w:rsidR="00336793" w:rsidRPr="003437F2" w:rsidRDefault="00336793" w:rsidP="00DF0B96">
            <w:pPr>
              <w:pStyle w:val="Tabletextheading"/>
              <w:rPr>
                <w:rFonts w:eastAsiaTheme="minorEastAsia"/>
                <w:color w:val="FFFFFF"/>
                <w:lang w:eastAsia="en-AU"/>
              </w:rPr>
            </w:pPr>
            <w:r w:rsidRPr="003437F2">
              <w:rPr>
                <w:rFonts w:eastAsiaTheme="minorEastAsia"/>
                <w:color w:val="FFFFFF"/>
                <w:lang w:eastAsia="en-AU"/>
              </w:rPr>
              <w:t>Decrease</w:t>
            </w:r>
          </w:p>
        </w:tc>
        <w:tc>
          <w:tcPr>
            <w:tcW w:w="1120" w:type="dxa"/>
            <w:tcBorders>
              <w:top w:val="single" w:sz="6" w:space="0" w:color="auto"/>
              <w:left w:val="nil"/>
              <w:bottom w:val="single" w:sz="6" w:space="0" w:color="auto"/>
              <w:right w:val="single" w:sz="6" w:space="0" w:color="auto"/>
            </w:tcBorders>
            <w:shd w:val="clear" w:color="000000" w:fill="000000"/>
          </w:tcPr>
          <w:p w:rsidR="00336793" w:rsidRPr="003437F2" w:rsidRDefault="00336793" w:rsidP="00DF0B96">
            <w:pPr>
              <w:pStyle w:val="Tabletextheading"/>
              <w:rPr>
                <w:rFonts w:eastAsiaTheme="minorEastAsia"/>
                <w:color w:val="FFFFFF"/>
                <w:lang w:eastAsia="en-AU"/>
              </w:rPr>
            </w:pPr>
            <w:r w:rsidRPr="003437F2">
              <w:rPr>
                <w:rFonts w:eastAsiaTheme="minorEastAsia"/>
                <w:color w:val="FFFFFF"/>
                <w:lang w:eastAsia="en-AU"/>
              </w:rPr>
              <w:t>Increase</w:t>
            </w:r>
          </w:p>
        </w:tc>
      </w:tr>
      <w:tr w:rsidR="00336793" w:rsidRPr="003437F2" w:rsidTr="00DF0B96">
        <w:tc>
          <w:tcPr>
            <w:tcW w:w="7577" w:type="dxa"/>
            <w:tcBorders>
              <w:top w:val="single" w:sz="6" w:space="0" w:color="auto"/>
              <w:left w:val="nil"/>
              <w:bottom w:val="nil"/>
              <w:right w:val="nil"/>
            </w:tcBorders>
          </w:tcPr>
          <w:p w:rsidR="00336793" w:rsidRPr="003437F2" w:rsidRDefault="00336793" w:rsidP="00DF0B96">
            <w:pPr>
              <w:pStyle w:val="Tabletext"/>
              <w:rPr>
                <w:rFonts w:eastAsiaTheme="minorEastAsia"/>
                <w:b/>
                <w:bCs/>
                <w:lang w:eastAsia="en-AU"/>
              </w:rPr>
            </w:pPr>
            <w:r>
              <w:rPr>
                <w:rFonts w:eastAsiaTheme="minorEastAsia"/>
                <w:b/>
                <w:bCs/>
                <w:lang w:eastAsia="en-AU"/>
              </w:rPr>
              <w:t>Section 30 transfers</w:t>
            </w:r>
            <w:r w:rsidRPr="00E96950">
              <w:rPr>
                <w:rFonts w:eastAsiaTheme="minorEastAsia"/>
                <w:b/>
                <w:bCs/>
                <w:vertAlign w:val="superscript"/>
                <w:lang w:eastAsia="en-AU"/>
              </w:rPr>
              <w:t xml:space="preserve"> (</w:t>
            </w:r>
            <w:r w:rsidRPr="0097678F">
              <w:rPr>
                <w:rFonts w:eastAsiaTheme="minorEastAsia"/>
                <w:b/>
                <w:bCs/>
                <w:vertAlign w:val="superscript"/>
                <w:lang w:eastAsia="en-AU"/>
              </w:rPr>
              <w:t>a)</w:t>
            </w:r>
          </w:p>
        </w:tc>
        <w:tc>
          <w:tcPr>
            <w:tcW w:w="940" w:type="dxa"/>
            <w:tcBorders>
              <w:top w:val="single" w:sz="6" w:space="0" w:color="auto"/>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c>
          <w:tcPr>
            <w:tcW w:w="1120" w:type="dxa"/>
            <w:tcBorders>
              <w:top w:val="single" w:sz="6" w:space="0" w:color="auto"/>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b/>
                <w:bCs/>
                <w:lang w:eastAsia="en-AU"/>
              </w:rPr>
            </w:pPr>
            <w:r w:rsidRPr="003437F2">
              <w:rPr>
                <w:rFonts w:eastAsiaTheme="minorEastAsia"/>
                <w:b/>
                <w:bCs/>
                <w:lang w:eastAsia="en-AU"/>
              </w:rPr>
              <w:t>(Transfers between items of departmental appropriations)</w:t>
            </w:r>
          </w:p>
        </w:tc>
        <w:tc>
          <w:tcPr>
            <w:tcW w:w="94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c>
          <w:tcPr>
            <w:tcW w:w="112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b/>
                <w:bCs/>
                <w:lang w:eastAsia="en-AU"/>
              </w:rPr>
            </w:pPr>
            <w:r w:rsidRPr="003437F2">
              <w:rPr>
                <w:rFonts w:eastAsiaTheme="minorEastAsia"/>
                <w:b/>
                <w:bCs/>
                <w:lang w:eastAsia="en-AU"/>
              </w:rPr>
              <w:t>Department of Economic Development, Jobs, Transport and Resources</w:t>
            </w:r>
          </w:p>
        </w:tc>
        <w:tc>
          <w:tcPr>
            <w:tcW w:w="94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c>
          <w:tcPr>
            <w:tcW w:w="112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Provision of outputs</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63 500</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Additions to the net asset base</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63 500</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b/>
                <w:bCs/>
                <w:lang w:eastAsia="en-AU"/>
              </w:rPr>
            </w:pPr>
            <w:r w:rsidRPr="003437F2">
              <w:rPr>
                <w:rFonts w:eastAsiaTheme="minorEastAsia"/>
                <w:b/>
                <w:bCs/>
                <w:lang w:eastAsia="en-AU"/>
              </w:rPr>
              <w:t>Department of Environment, Land, Water and Planning</w:t>
            </w:r>
          </w:p>
        </w:tc>
        <w:tc>
          <w:tcPr>
            <w:tcW w:w="94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c>
          <w:tcPr>
            <w:tcW w:w="112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 xml:space="preserve">Provision of outputs </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215</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 xml:space="preserve">Additions to the net asset base </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4 153</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 xml:space="preserve">Payments made on behalf of the State </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3 938</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b/>
                <w:bCs/>
                <w:lang w:eastAsia="en-AU"/>
              </w:rPr>
            </w:pPr>
            <w:r w:rsidRPr="003437F2">
              <w:rPr>
                <w:rFonts w:eastAsiaTheme="minorEastAsia"/>
                <w:b/>
                <w:bCs/>
                <w:lang w:eastAsia="en-AU"/>
              </w:rPr>
              <w:t>Department of Health and Human Services</w:t>
            </w:r>
          </w:p>
        </w:tc>
        <w:tc>
          <w:tcPr>
            <w:tcW w:w="94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c>
          <w:tcPr>
            <w:tcW w:w="112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 xml:space="preserve">Provision of outputs </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18 375</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Additions to the net asset base</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18 375</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b/>
                <w:bCs/>
                <w:lang w:eastAsia="en-AU"/>
              </w:rPr>
            </w:pPr>
            <w:r w:rsidRPr="003437F2">
              <w:rPr>
                <w:rFonts w:eastAsiaTheme="minorEastAsia"/>
                <w:b/>
                <w:bCs/>
                <w:lang w:eastAsia="en-AU"/>
              </w:rPr>
              <w:t>Department of Justice and Regulation</w:t>
            </w:r>
          </w:p>
        </w:tc>
        <w:tc>
          <w:tcPr>
            <w:tcW w:w="94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c>
          <w:tcPr>
            <w:tcW w:w="112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Provision of outputs</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28 015</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Additions to the net asset base</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28 015</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b/>
                <w:bCs/>
                <w:lang w:eastAsia="en-AU"/>
              </w:rPr>
            </w:pPr>
            <w:r w:rsidRPr="003437F2">
              <w:rPr>
                <w:rFonts w:eastAsiaTheme="minorEastAsia"/>
                <w:b/>
                <w:bCs/>
                <w:lang w:eastAsia="en-AU"/>
              </w:rPr>
              <w:t>Department of Premier and Cabinet</w:t>
            </w:r>
          </w:p>
        </w:tc>
        <w:tc>
          <w:tcPr>
            <w:tcW w:w="94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c>
          <w:tcPr>
            <w:tcW w:w="1120" w:type="dxa"/>
            <w:tcBorders>
              <w:top w:val="nil"/>
              <w:left w:val="nil"/>
              <w:bottom w:val="nil"/>
              <w:right w:val="nil"/>
            </w:tcBorders>
          </w:tcPr>
          <w:p w:rsidR="00336793" w:rsidRPr="003437F2" w:rsidRDefault="00336793" w:rsidP="00DF0B96">
            <w:pPr>
              <w:pStyle w:val="TableofFigures"/>
              <w:rPr>
                <w:rFonts w:eastAsiaTheme="minorEastAsia"/>
                <w:b/>
                <w:lang w:eastAsia="en-AU"/>
              </w:rPr>
            </w:pPr>
            <w:r w:rsidRPr="003437F2">
              <w:rPr>
                <w:rFonts w:eastAsiaTheme="minorEastAsia"/>
                <w:b/>
                <w:lang w:eastAsia="en-AU"/>
              </w:rPr>
              <w:t xml:space="preserve">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Provision of outputs</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945</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Additions to the net asset base</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945</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r>
      <w:tr w:rsidR="00336793" w:rsidRPr="003437F2" w:rsidTr="00DF0B96">
        <w:tc>
          <w:tcPr>
            <w:tcW w:w="7577" w:type="dxa"/>
            <w:tcBorders>
              <w:top w:val="nil"/>
              <w:left w:val="nil"/>
              <w:bottom w:val="nil"/>
              <w:right w:val="nil"/>
            </w:tcBorders>
          </w:tcPr>
          <w:p w:rsidR="00336793" w:rsidRPr="00ED4FCC" w:rsidRDefault="00336793" w:rsidP="00DF0B96">
            <w:pPr>
              <w:pStyle w:val="Tabletext"/>
              <w:rPr>
                <w:rFonts w:eastAsiaTheme="minorEastAsia"/>
                <w:b/>
                <w:lang w:eastAsia="en-AU"/>
              </w:rPr>
            </w:pPr>
            <w:r w:rsidRPr="00ED4FCC">
              <w:rPr>
                <w:rFonts w:eastAsiaTheme="minorEastAsia"/>
                <w:b/>
                <w:lang w:eastAsia="en-AU"/>
              </w:rPr>
              <w:t xml:space="preserve">Department of Transport, Planning and Local Infrastructure </w:t>
            </w:r>
          </w:p>
          <w:p w:rsidR="00336793" w:rsidRPr="00ED4FCC" w:rsidRDefault="00336793" w:rsidP="00DF0B96">
            <w:pPr>
              <w:pStyle w:val="Tabletext"/>
              <w:rPr>
                <w:rFonts w:eastAsiaTheme="minorEastAsia"/>
                <w:bCs/>
                <w:lang w:eastAsia="en-AU"/>
              </w:rPr>
            </w:pPr>
            <w:r w:rsidRPr="00ED4FCC">
              <w:rPr>
                <w:rFonts w:eastAsiaTheme="minorEastAsia"/>
                <w:bCs/>
                <w:lang w:eastAsia="en-AU"/>
              </w:rPr>
              <w:t>Provision of outputs</w:t>
            </w:r>
          </w:p>
          <w:p w:rsidR="00336793" w:rsidRPr="00ED4FCC" w:rsidRDefault="00336793" w:rsidP="00DF0B96">
            <w:pPr>
              <w:pStyle w:val="Tabletext"/>
              <w:rPr>
                <w:rFonts w:eastAsiaTheme="minorEastAsia"/>
                <w:bCs/>
                <w:lang w:eastAsia="en-AU"/>
              </w:rPr>
            </w:pPr>
            <w:r w:rsidRPr="00ED4FCC">
              <w:rPr>
                <w:rFonts w:eastAsiaTheme="minorEastAsia"/>
                <w:bCs/>
                <w:lang w:eastAsia="en-AU"/>
              </w:rPr>
              <w:t>Additions  to net asset base</w:t>
            </w:r>
          </w:p>
          <w:p w:rsidR="00336793" w:rsidRPr="003437F2" w:rsidRDefault="00336793" w:rsidP="00DF0B96">
            <w:pPr>
              <w:pStyle w:val="Tabletext"/>
              <w:rPr>
                <w:rFonts w:eastAsiaTheme="minorEastAsia"/>
                <w:b/>
                <w:bCs/>
                <w:lang w:eastAsia="en-AU"/>
              </w:rPr>
            </w:pPr>
            <w:r w:rsidRPr="003437F2">
              <w:rPr>
                <w:rFonts w:eastAsiaTheme="minorEastAsia"/>
                <w:b/>
                <w:bCs/>
                <w:lang w:eastAsia="en-AU"/>
              </w:rPr>
              <w:t>Courts</w:t>
            </w:r>
          </w:p>
        </w:tc>
        <w:tc>
          <w:tcPr>
            <w:tcW w:w="940" w:type="dxa"/>
            <w:tcBorders>
              <w:top w:val="nil"/>
              <w:left w:val="nil"/>
              <w:bottom w:val="nil"/>
              <w:right w:val="nil"/>
            </w:tcBorders>
          </w:tcPr>
          <w:p w:rsidR="00336793" w:rsidRPr="00ED4FCC" w:rsidRDefault="00336793" w:rsidP="00DF0B96">
            <w:pPr>
              <w:pStyle w:val="TableofFigures"/>
              <w:rPr>
                <w:rFonts w:eastAsiaTheme="minorEastAsia"/>
                <w:lang w:eastAsia="en-AU"/>
              </w:rPr>
            </w:pPr>
          </w:p>
          <w:p w:rsidR="00336793" w:rsidRPr="00ED4FCC" w:rsidRDefault="00336793" w:rsidP="00DF0B96">
            <w:pPr>
              <w:pStyle w:val="TableofFigures"/>
              <w:rPr>
                <w:rFonts w:eastAsiaTheme="minorEastAsia"/>
                <w:lang w:eastAsia="en-AU"/>
              </w:rPr>
            </w:pPr>
          </w:p>
          <w:p w:rsidR="00336793" w:rsidRPr="00ED4FCC" w:rsidRDefault="00336793" w:rsidP="00DF0B96">
            <w:pPr>
              <w:pStyle w:val="TableofFigures"/>
              <w:rPr>
                <w:rFonts w:eastAsiaTheme="minorEastAsia"/>
                <w:lang w:eastAsia="en-AU"/>
              </w:rPr>
            </w:pPr>
            <w:r w:rsidRPr="00ED4FCC">
              <w:rPr>
                <w:rFonts w:eastAsiaTheme="minorEastAsia"/>
                <w:lang w:eastAsia="en-AU"/>
              </w:rPr>
              <w:t xml:space="preserve">4 908 </w:t>
            </w:r>
          </w:p>
        </w:tc>
        <w:tc>
          <w:tcPr>
            <w:tcW w:w="1120" w:type="dxa"/>
            <w:tcBorders>
              <w:top w:val="nil"/>
              <w:left w:val="nil"/>
              <w:bottom w:val="nil"/>
              <w:right w:val="nil"/>
            </w:tcBorders>
          </w:tcPr>
          <w:p w:rsidR="00336793" w:rsidRPr="00ED4FCC" w:rsidRDefault="00336793" w:rsidP="00DF0B96">
            <w:pPr>
              <w:pStyle w:val="TableofFigures"/>
              <w:rPr>
                <w:rFonts w:eastAsiaTheme="minorEastAsia"/>
                <w:lang w:eastAsia="en-AU"/>
              </w:rPr>
            </w:pPr>
          </w:p>
          <w:p w:rsidR="00336793" w:rsidRPr="00ED4FCC" w:rsidRDefault="00336793" w:rsidP="00DF0B96">
            <w:pPr>
              <w:pStyle w:val="TableofFigures"/>
              <w:rPr>
                <w:rFonts w:eastAsiaTheme="minorEastAsia"/>
                <w:lang w:eastAsia="en-AU"/>
              </w:rPr>
            </w:pPr>
            <w:r w:rsidRPr="00ED4FCC">
              <w:rPr>
                <w:rFonts w:eastAsiaTheme="minorEastAsia"/>
                <w:lang w:eastAsia="en-AU"/>
              </w:rPr>
              <w:t xml:space="preserve">4 908 </w:t>
            </w:r>
          </w:p>
        </w:tc>
      </w:tr>
      <w:tr w:rsidR="00336793" w:rsidRPr="003437F2" w:rsidTr="00DF0B96">
        <w:tc>
          <w:tcPr>
            <w:tcW w:w="7577" w:type="dxa"/>
            <w:tcBorders>
              <w:top w:val="nil"/>
              <w:left w:val="nil"/>
              <w:bottom w:val="nil"/>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Provision of outputs</w:t>
            </w:r>
          </w:p>
        </w:tc>
        <w:tc>
          <w:tcPr>
            <w:tcW w:w="94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2 707</w:t>
            </w:r>
          </w:p>
        </w:tc>
        <w:tc>
          <w:tcPr>
            <w:tcW w:w="1120" w:type="dxa"/>
            <w:tcBorders>
              <w:top w:val="nil"/>
              <w:left w:val="nil"/>
              <w:bottom w:val="nil"/>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r>
      <w:tr w:rsidR="00336793" w:rsidRPr="003437F2" w:rsidTr="00DF0B96">
        <w:tc>
          <w:tcPr>
            <w:tcW w:w="7577" w:type="dxa"/>
            <w:tcBorders>
              <w:top w:val="nil"/>
              <w:left w:val="nil"/>
              <w:bottom w:val="single" w:sz="6" w:space="0" w:color="auto"/>
              <w:right w:val="nil"/>
            </w:tcBorders>
          </w:tcPr>
          <w:p w:rsidR="00336793" w:rsidRPr="003437F2" w:rsidRDefault="00336793" w:rsidP="00DF0B96">
            <w:pPr>
              <w:pStyle w:val="Tabletext"/>
              <w:rPr>
                <w:rFonts w:eastAsiaTheme="minorEastAsia"/>
                <w:lang w:eastAsia="en-AU"/>
              </w:rPr>
            </w:pPr>
            <w:r w:rsidRPr="003437F2">
              <w:rPr>
                <w:rFonts w:eastAsiaTheme="minorEastAsia"/>
                <w:lang w:eastAsia="en-AU"/>
              </w:rPr>
              <w:t>Additions to the net asset base</w:t>
            </w:r>
          </w:p>
        </w:tc>
        <w:tc>
          <w:tcPr>
            <w:tcW w:w="940" w:type="dxa"/>
            <w:tcBorders>
              <w:top w:val="nil"/>
              <w:left w:val="nil"/>
              <w:bottom w:val="single" w:sz="6" w:space="0" w:color="auto"/>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w:t>
            </w:r>
          </w:p>
        </w:tc>
        <w:tc>
          <w:tcPr>
            <w:tcW w:w="1120" w:type="dxa"/>
            <w:tcBorders>
              <w:top w:val="nil"/>
              <w:left w:val="nil"/>
              <w:bottom w:val="single" w:sz="6" w:space="0" w:color="auto"/>
              <w:right w:val="nil"/>
            </w:tcBorders>
          </w:tcPr>
          <w:p w:rsidR="00336793" w:rsidRPr="003437F2" w:rsidRDefault="00336793" w:rsidP="00DF0B96">
            <w:pPr>
              <w:pStyle w:val="TableofFigures"/>
              <w:rPr>
                <w:rFonts w:eastAsiaTheme="minorEastAsia"/>
                <w:lang w:eastAsia="en-AU"/>
              </w:rPr>
            </w:pPr>
            <w:r w:rsidRPr="003437F2">
              <w:rPr>
                <w:rFonts w:eastAsiaTheme="minorEastAsia"/>
                <w:lang w:eastAsia="en-AU"/>
              </w:rPr>
              <w:t xml:space="preserve"> 2 707</w:t>
            </w:r>
          </w:p>
        </w:tc>
      </w:tr>
      <w:tr w:rsidR="00336793" w:rsidRPr="003437F2" w:rsidTr="00DF0B96">
        <w:tc>
          <w:tcPr>
            <w:tcW w:w="7577" w:type="dxa"/>
            <w:tcBorders>
              <w:top w:val="single" w:sz="6" w:space="0" w:color="auto"/>
              <w:left w:val="nil"/>
              <w:bottom w:val="single" w:sz="12" w:space="0" w:color="000000"/>
              <w:right w:val="nil"/>
            </w:tcBorders>
            <w:shd w:val="clear" w:color="auto" w:fill="auto"/>
          </w:tcPr>
          <w:p w:rsidR="00336793" w:rsidRPr="003437F2" w:rsidRDefault="00336793" w:rsidP="00DF0B96">
            <w:pPr>
              <w:pStyle w:val="Tabletext"/>
              <w:rPr>
                <w:rFonts w:eastAsiaTheme="minorEastAsia"/>
                <w:b/>
                <w:bCs/>
                <w:lang w:eastAsia="en-AU"/>
              </w:rPr>
            </w:pPr>
            <w:r w:rsidRPr="003437F2">
              <w:rPr>
                <w:rFonts w:eastAsiaTheme="minorEastAsia"/>
                <w:b/>
                <w:bCs/>
                <w:lang w:eastAsia="en-AU"/>
              </w:rPr>
              <w:t>Total Section 30 transfers</w:t>
            </w:r>
          </w:p>
        </w:tc>
        <w:tc>
          <w:tcPr>
            <w:tcW w:w="940" w:type="dxa"/>
            <w:tcBorders>
              <w:top w:val="single" w:sz="6" w:space="0" w:color="auto"/>
              <w:left w:val="nil"/>
              <w:bottom w:val="single" w:sz="12" w:space="0" w:color="000000"/>
              <w:right w:val="nil"/>
            </w:tcBorders>
            <w:shd w:val="clear" w:color="auto" w:fill="auto"/>
          </w:tcPr>
          <w:p w:rsidR="00336793" w:rsidRPr="003437F2" w:rsidRDefault="00336793" w:rsidP="00DF0B96">
            <w:pPr>
              <w:pStyle w:val="TableofFigures"/>
              <w:rPr>
                <w:rFonts w:eastAsiaTheme="minorEastAsia"/>
                <w:b/>
                <w:bCs/>
                <w:lang w:eastAsia="en-AU"/>
              </w:rPr>
            </w:pPr>
            <w:r>
              <w:rPr>
                <w:rFonts w:eastAsiaTheme="minorEastAsia"/>
                <w:b/>
                <w:bCs/>
                <w:lang w:eastAsia="en-AU"/>
              </w:rPr>
              <w:t xml:space="preserve"> 122 603</w:t>
            </w:r>
          </w:p>
        </w:tc>
        <w:tc>
          <w:tcPr>
            <w:tcW w:w="1120" w:type="dxa"/>
            <w:tcBorders>
              <w:top w:val="single" w:sz="6" w:space="0" w:color="auto"/>
              <w:left w:val="nil"/>
              <w:bottom w:val="single" w:sz="12" w:space="0" w:color="000000"/>
              <w:right w:val="nil"/>
            </w:tcBorders>
            <w:shd w:val="clear" w:color="auto" w:fill="auto"/>
          </w:tcPr>
          <w:p w:rsidR="00336793" w:rsidRPr="003437F2" w:rsidRDefault="00336793" w:rsidP="00DF0B96">
            <w:pPr>
              <w:pStyle w:val="TableofFigures"/>
              <w:rPr>
                <w:rFonts w:eastAsiaTheme="minorEastAsia"/>
                <w:b/>
                <w:bCs/>
                <w:lang w:eastAsia="en-AU"/>
              </w:rPr>
            </w:pPr>
            <w:r>
              <w:rPr>
                <w:rFonts w:eastAsiaTheme="minorEastAsia"/>
                <w:b/>
                <w:bCs/>
                <w:lang w:eastAsia="en-AU"/>
              </w:rPr>
              <w:t xml:space="preserve"> 122 603</w:t>
            </w:r>
          </w:p>
        </w:tc>
      </w:tr>
    </w:tbl>
    <w:p w:rsidR="00336793" w:rsidRPr="006A75A2" w:rsidRDefault="00336793" w:rsidP="00DF0B96">
      <w:pPr>
        <w:pStyle w:val="Notes"/>
      </w:pPr>
      <w:r w:rsidRPr="006A75A2">
        <w:t>Note:</w:t>
      </w:r>
    </w:p>
    <w:p w:rsidR="00336793" w:rsidRPr="006A75A2" w:rsidRDefault="00336793" w:rsidP="00DF0B96">
      <w:pPr>
        <w:pStyle w:val="Notes"/>
      </w:pPr>
      <w:r w:rsidRPr="0097678F">
        <w:rPr>
          <w:i w:val="0"/>
        </w:rPr>
        <w:t>(a</w:t>
      </w:r>
      <w:r>
        <w:t>)</w:t>
      </w:r>
      <w:r>
        <w:tab/>
      </w:r>
      <w:r w:rsidRPr="0097678F">
        <w:t xml:space="preserve">Section 29 of the </w:t>
      </w:r>
      <w:r w:rsidRPr="009C1F0A">
        <w:rPr>
          <w:i w:val="0"/>
        </w:rPr>
        <w:t>Financial Management Act, No. 18 of 1994</w:t>
      </w:r>
      <w:r>
        <w:t xml:space="preserve"> applies.</w:t>
      </w:r>
    </w:p>
    <w:p w:rsidR="00336793" w:rsidRPr="006A75A2" w:rsidRDefault="00336793" w:rsidP="00DF0B96">
      <w:pPr>
        <w:spacing w:after="0"/>
        <w:rPr>
          <w:rFonts w:ascii="Calibri" w:hAnsi="Calibri"/>
          <w:b/>
        </w:rPr>
      </w:pPr>
      <w:r w:rsidRPr="006A75A2">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(j)</w:t>
      </w:r>
      <w:r w:rsidRPr="006A75A2">
        <w:tab/>
        <w:t xml:space="preserve">Appropriation of revenue and asset sales proceeds pursuant to </w:t>
      </w:r>
      <w:r>
        <w:t>Section </w:t>
      </w:r>
      <w:r w:rsidRPr="006A75A2">
        <w:t xml:space="preserve">29 of the </w:t>
      </w:r>
      <w:r w:rsidRPr="002A34B3">
        <w:rPr>
          <w:i/>
        </w:rPr>
        <w:t>Financial Management Act 1994</w:t>
      </w:r>
      <w:r w:rsidRPr="006A75A2">
        <w:t xml:space="preserve"> for the f</w:t>
      </w:r>
      <w:r>
        <w:t>inancial year ended 30 June 2015</w:t>
      </w:r>
    </w:p>
    <w:p w:rsidR="00336793" w:rsidRPr="00A10A3B" w:rsidRDefault="00336793" w:rsidP="00DF0B96">
      <w:pPr>
        <w:pStyle w:val="million"/>
      </w:pPr>
      <w:r w:rsidRPr="006A75A2">
        <w:t>($</w:t>
      </w:r>
      <w:r>
        <w:t> thousand</w:t>
      </w:r>
      <w:r w:rsidRPr="006A75A2">
        <w:t>)</w:t>
      </w:r>
    </w:p>
    <w:tbl>
      <w:tblPr>
        <w:tblW w:w="9637" w:type="dxa"/>
        <w:tblInd w:w="28" w:type="dxa"/>
        <w:tblLayout w:type="fixed"/>
        <w:tblCellMar>
          <w:left w:w="43" w:type="dxa"/>
          <w:right w:w="43" w:type="dxa"/>
        </w:tblCellMar>
        <w:tblLook w:val="0000" w:firstRow="0" w:lastRow="0" w:firstColumn="0" w:lastColumn="0" w:noHBand="0" w:noVBand="0"/>
      </w:tblPr>
      <w:tblGrid>
        <w:gridCol w:w="4965"/>
        <w:gridCol w:w="900"/>
        <w:gridCol w:w="106"/>
        <w:gridCol w:w="1426"/>
        <w:gridCol w:w="1120"/>
        <w:gridCol w:w="1014"/>
        <w:gridCol w:w="106"/>
      </w:tblGrid>
      <w:tr w:rsidR="00336793" w:rsidRPr="00A10A3B" w:rsidTr="00DF0B96">
        <w:trPr>
          <w:tblHeader/>
        </w:trPr>
        <w:tc>
          <w:tcPr>
            <w:tcW w:w="4965" w:type="dxa"/>
            <w:tcBorders>
              <w:top w:val="single" w:sz="6" w:space="0" w:color="000000"/>
              <w:left w:val="single" w:sz="6" w:space="0" w:color="000000"/>
              <w:bottom w:val="nil"/>
              <w:right w:val="nil"/>
            </w:tcBorders>
            <w:shd w:val="clear" w:color="auto" w:fill="000000"/>
            <w:vAlign w:val="bottom"/>
          </w:tcPr>
          <w:p w:rsidR="00336793" w:rsidRPr="00A10A3B" w:rsidRDefault="00336793" w:rsidP="00DF0B96">
            <w:pPr>
              <w:pStyle w:val="Tabletext"/>
              <w:rPr>
                <w:rFonts w:eastAsiaTheme="minorEastAsia"/>
                <w:i/>
                <w:sz w:val="21"/>
                <w:lang w:eastAsia="en-AU"/>
              </w:rPr>
            </w:pPr>
            <w:r w:rsidRPr="00A10A3B">
              <w:rPr>
                <w:rFonts w:eastAsiaTheme="minorEastAsia"/>
                <w:i/>
                <w:sz w:val="21"/>
                <w:lang w:eastAsia="en-AU"/>
              </w:rPr>
              <w:t xml:space="preserve"> </w:t>
            </w:r>
          </w:p>
        </w:tc>
        <w:tc>
          <w:tcPr>
            <w:tcW w:w="900" w:type="dxa"/>
            <w:tcBorders>
              <w:top w:val="single" w:sz="6" w:space="0" w:color="000000"/>
              <w:left w:val="nil"/>
              <w:bottom w:val="nil"/>
              <w:right w:val="nil"/>
            </w:tcBorders>
            <w:shd w:val="clear" w:color="auto" w:fill="000000"/>
            <w:vAlign w:val="bottom"/>
          </w:tcPr>
          <w:p w:rsidR="00336793" w:rsidRPr="00A10A3B" w:rsidRDefault="00336793" w:rsidP="00DF0B96">
            <w:pPr>
              <w:pStyle w:val="TabletextheadingCentred"/>
              <w:rPr>
                <w:rFonts w:eastAsiaTheme="minorEastAsia"/>
                <w:color w:val="FFFFFF" w:themeColor="background1"/>
                <w:sz w:val="21"/>
                <w:lang w:eastAsia="en-AU"/>
              </w:rPr>
            </w:pPr>
            <w:r w:rsidRPr="00A10A3B">
              <w:rPr>
                <w:rFonts w:eastAsiaTheme="minorEastAsia"/>
                <w:color w:val="FFFFFF" w:themeColor="background1"/>
                <w:sz w:val="21"/>
                <w:lang w:eastAsia="en-AU"/>
              </w:rPr>
              <w:t xml:space="preserve"> </w:t>
            </w:r>
          </w:p>
        </w:tc>
        <w:tc>
          <w:tcPr>
            <w:tcW w:w="106" w:type="dxa"/>
            <w:tcBorders>
              <w:top w:val="single" w:sz="6" w:space="0" w:color="000000"/>
              <w:left w:val="nil"/>
              <w:bottom w:val="nil"/>
              <w:right w:val="nil"/>
            </w:tcBorders>
            <w:shd w:val="clear" w:color="auto" w:fill="000000"/>
            <w:vAlign w:val="bottom"/>
          </w:tcPr>
          <w:p w:rsidR="00336793" w:rsidRPr="00A10A3B" w:rsidRDefault="00336793" w:rsidP="00DF0B96">
            <w:pPr>
              <w:pStyle w:val="TabletextheadingCentred"/>
              <w:rPr>
                <w:rFonts w:eastAsiaTheme="minorEastAsia"/>
                <w:color w:val="FFFFFF" w:themeColor="background1"/>
                <w:sz w:val="21"/>
                <w:lang w:eastAsia="en-AU"/>
              </w:rPr>
            </w:pPr>
            <w:r w:rsidRPr="00A10A3B">
              <w:rPr>
                <w:rFonts w:eastAsiaTheme="minorEastAsia"/>
                <w:color w:val="FFFFFF" w:themeColor="background1"/>
                <w:sz w:val="21"/>
                <w:lang w:eastAsia="en-AU"/>
              </w:rPr>
              <w:t xml:space="preserve"> </w:t>
            </w:r>
          </w:p>
        </w:tc>
        <w:tc>
          <w:tcPr>
            <w:tcW w:w="3560" w:type="dxa"/>
            <w:gridSpan w:val="3"/>
            <w:tcBorders>
              <w:top w:val="single" w:sz="6" w:space="0" w:color="000000"/>
              <w:left w:val="nil"/>
              <w:bottom w:val="nil"/>
              <w:right w:val="nil"/>
            </w:tcBorders>
            <w:shd w:val="clear" w:color="auto" w:fill="000000"/>
            <w:vAlign w:val="bottom"/>
          </w:tcPr>
          <w:p w:rsidR="00336793" w:rsidRPr="00A10A3B" w:rsidRDefault="00336793" w:rsidP="00DF0B96">
            <w:pPr>
              <w:pStyle w:val="TabletextheadingCentred"/>
              <w:rPr>
                <w:rFonts w:eastAsiaTheme="minorEastAsia"/>
                <w:color w:val="FFFFFF" w:themeColor="background1"/>
                <w:sz w:val="21"/>
                <w:lang w:eastAsia="en-AU"/>
              </w:rPr>
            </w:pPr>
            <w:r w:rsidRPr="00A10A3B">
              <w:rPr>
                <w:rFonts w:eastAsiaTheme="minorEastAsia"/>
                <w:color w:val="FFFFFF" w:themeColor="background1"/>
                <w:sz w:val="21"/>
                <w:lang w:eastAsia="en-AU"/>
              </w:rPr>
              <w:t xml:space="preserve"> Source</w:t>
            </w:r>
          </w:p>
        </w:tc>
        <w:tc>
          <w:tcPr>
            <w:tcW w:w="106" w:type="dxa"/>
            <w:tcBorders>
              <w:top w:val="single" w:sz="6" w:space="0" w:color="000000"/>
              <w:left w:val="nil"/>
              <w:bottom w:val="nil"/>
              <w:right w:val="single" w:sz="6" w:space="0" w:color="000000"/>
            </w:tcBorders>
            <w:shd w:val="clear" w:color="auto"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w:t>
            </w:r>
          </w:p>
        </w:tc>
      </w:tr>
      <w:tr w:rsidR="00336793" w:rsidRPr="00A10A3B" w:rsidTr="00DF0B96">
        <w:trPr>
          <w:tblHeader/>
        </w:trPr>
        <w:tc>
          <w:tcPr>
            <w:tcW w:w="4965" w:type="dxa"/>
            <w:tcBorders>
              <w:top w:val="nil"/>
              <w:left w:val="single" w:sz="6" w:space="0" w:color="000000"/>
              <w:bottom w:val="single" w:sz="6" w:space="0" w:color="000000"/>
              <w:right w:val="nil"/>
            </w:tcBorders>
            <w:shd w:val="clear" w:color="auto" w:fill="000000"/>
            <w:vAlign w:val="bottom"/>
          </w:tcPr>
          <w:p w:rsidR="00336793" w:rsidRPr="00A10A3B" w:rsidRDefault="00336793" w:rsidP="00DF0B96">
            <w:pPr>
              <w:pStyle w:val="Tabletext"/>
              <w:rPr>
                <w:rFonts w:eastAsiaTheme="minorEastAsia" w:cs="Calibri"/>
                <w:i/>
                <w:iCs/>
                <w:sz w:val="21"/>
                <w:szCs w:val="22"/>
                <w:vertAlign w:val="superscript"/>
                <w:lang w:eastAsia="en-AU"/>
              </w:rPr>
            </w:pPr>
            <w:r w:rsidRPr="00A10A3B">
              <w:rPr>
                <w:rFonts w:eastAsiaTheme="minorEastAsia"/>
                <w:i/>
                <w:sz w:val="21"/>
                <w:lang w:eastAsia="en-AU"/>
              </w:rPr>
              <w:t>Department</w:t>
            </w:r>
            <w:r w:rsidRPr="00E96950">
              <w:rPr>
                <w:rFonts w:eastAsiaTheme="minorEastAsia"/>
                <w:i/>
                <w:sz w:val="21"/>
                <w:vertAlign w:val="superscript"/>
                <w:lang w:eastAsia="en-AU"/>
              </w:rPr>
              <w:t xml:space="preserve"> </w:t>
            </w:r>
            <w:r w:rsidRPr="00A10A3B">
              <w:rPr>
                <w:rFonts w:eastAsiaTheme="minorEastAsia" w:cs="Calibri"/>
                <w:i/>
                <w:iCs/>
                <w:sz w:val="21"/>
                <w:szCs w:val="22"/>
                <w:vertAlign w:val="superscript"/>
                <w:lang w:eastAsia="en-AU"/>
              </w:rPr>
              <w:t>(a)</w:t>
            </w:r>
          </w:p>
        </w:tc>
        <w:tc>
          <w:tcPr>
            <w:tcW w:w="900" w:type="dxa"/>
            <w:tcBorders>
              <w:top w:val="nil"/>
              <w:left w:val="nil"/>
              <w:bottom w:val="single" w:sz="6" w:space="0" w:color="000000"/>
              <w:right w:val="nil"/>
            </w:tcBorders>
            <w:shd w:val="clear" w:color="auto" w:fill="000000"/>
            <w:vAlign w:val="bottom"/>
          </w:tcPr>
          <w:p w:rsidR="00336793" w:rsidRPr="00A10A3B" w:rsidRDefault="00336793" w:rsidP="00DF0B96">
            <w:pPr>
              <w:pStyle w:val="Tabletextheading"/>
              <w:rPr>
                <w:rFonts w:eastAsiaTheme="minorEastAsia"/>
                <w:iCs/>
                <w:color w:val="FFFFFF"/>
                <w:sz w:val="21"/>
                <w:lang w:eastAsia="en-AU"/>
              </w:rPr>
            </w:pPr>
            <w:r w:rsidRPr="00A10A3B">
              <w:rPr>
                <w:rFonts w:eastAsiaTheme="minorEastAsia"/>
                <w:iCs/>
                <w:color w:val="FFFFFF"/>
                <w:sz w:val="21"/>
                <w:lang w:eastAsia="en-AU"/>
              </w:rPr>
              <w:t>Outputs</w:t>
            </w:r>
          </w:p>
        </w:tc>
        <w:tc>
          <w:tcPr>
            <w:tcW w:w="1532" w:type="dxa"/>
            <w:gridSpan w:val="2"/>
            <w:tcBorders>
              <w:top w:val="nil"/>
              <w:left w:val="nil"/>
              <w:bottom w:val="single" w:sz="6" w:space="0" w:color="000000"/>
              <w:right w:val="nil"/>
            </w:tcBorders>
            <w:shd w:val="clear" w:color="auto"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Commonwealth</w:t>
            </w:r>
          </w:p>
        </w:tc>
        <w:tc>
          <w:tcPr>
            <w:tcW w:w="1120" w:type="dxa"/>
            <w:tcBorders>
              <w:top w:val="nil"/>
              <w:left w:val="nil"/>
              <w:bottom w:val="single" w:sz="6" w:space="0" w:color="000000"/>
              <w:right w:val="nil"/>
            </w:tcBorders>
            <w:shd w:val="clear" w:color="auto"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Other </w:t>
            </w:r>
          </w:p>
        </w:tc>
        <w:tc>
          <w:tcPr>
            <w:tcW w:w="1120" w:type="dxa"/>
            <w:gridSpan w:val="2"/>
            <w:tcBorders>
              <w:top w:val="nil"/>
              <w:left w:val="nil"/>
              <w:bottom w:val="single" w:sz="6" w:space="0" w:color="000000"/>
              <w:right w:val="single" w:sz="6" w:space="0" w:color="000000"/>
            </w:tcBorders>
            <w:shd w:val="clear" w:color="auto" w:fill="000000"/>
            <w:vAlign w:val="bottom"/>
          </w:tcPr>
          <w:p w:rsidR="00336793" w:rsidRPr="00A10A3B" w:rsidRDefault="00336793" w:rsidP="00DF0B96">
            <w:pPr>
              <w:pStyle w:val="Tabletextheading"/>
              <w:rPr>
                <w:rFonts w:eastAsiaTheme="minorEastAsia"/>
                <w:color w:val="FFFFFF"/>
                <w:sz w:val="21"/>
                <w:lang w:eastAsia="en-AU"/>
              </w:rPr>
            </w:pPr>
            <w:r w:rsidRPr="00A10A3B">
              <w:rPr>
                <w:rFonts w:eastAsiaTheme="minorEastAsia"/>
                <w:color w:val="FFFFFF"/>
                <w:sz w:val="21"/>
                <w:lang w:eastAsia="en-AU"/>
              </w:rPr>
              <w:t xml:space="preserve"> Total </w:t>
            </w:r>
          </w:p>
        </w:tc>
      </w:tr>
      <w:tr w:rsidR="00336793" w:rsidRPr="00A10A3B" w:rsidTr="00DF0B96">
        <w:tc>
          <w:tcPr>
            <w:tcW w:w="4965" w:type="dxa"/>
            <w:tcBorders>
              <w:top w:val="single" w:sz="6" w:space="0" w:color="000000"/>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 xml:space="preserve">Economic Development, Jobs, Transport and Resources </w:t>
            </w:r>
          </w:p>
        </w:tc>
        <w:tc>
          <w:tcPr>
            <w:tcW w:w="900" w:type="dxa"/>
            <w:tcBorders>
              <w:top w:val="single" w:sz="6" w:space="0" w:color="000000"/>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50 964</w:t>
            </w:r>
          </w:p>
        </w:tc>
        <w:tc>
          <w:tcPr>
            <w:tcW w:w="1532" w:type="dxa"/>
            <w:gridSpan w:val="2"/>
            <w:tcBorders>
              <w:top w:val="single" w:sz="6" w:space="0" w:color="000000"/>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291 467</w:t>
            </w:r>
          </w:p>
        </w:tc>
        <w:tc>
          <w:tcPr>
            <w:tcW w:w="1120" w:type="dxa"/>
            <w:tcBorders>
              <w:top w:val="single" w:sz="6" w:space="0" w:color="000000"/>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2"/>
            <w:tcBorders>
              <w:top w:val="single" w:sz="6" w:space="0" w:color="000000"/>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342 431</w:t>
            </w:r>
          </w:p>
        </w:tc>
      </w:tr>
      <w:tr w:rsidR="00336793" w:rsidRPr="00A10A3B" w:rsidTr="00DF0B96">
        <w:tc>
          <w:tcPr>
            <w:tcW w:w="496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Education and Training</w:t>
            </w:r>
          </w:p>
        </w:tc>
        <w:tc>
          <w:tcPr>
            <w:tcW w:w="90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532"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453 162</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145 640</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598 802</w:t>
            </w:r>
          </w:p>
        </w:tc>
      </w:tr>
      <w:tr w:rsidR="00336793" w:rsidRPr="00A10A3B" w:rsidTr="00DF0B96">
        <w:tc>
          <w:tcPr>
            <w:tcW w:w="496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Environment, Land, Water and Planning</w:t>
            </w:r>
          </w:p>
        </w:tc>
        <w:tc>
          <w:tcPr>
            <w:tcW w:w="90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71 235</w:t>
            </w:r>
          </w:p>
        </w:tc>
        <w:tc>
          <w:tcPr>
            <w:tcW w:w="1532"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98 839</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3 097</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173 171</w:t>
            </w:r>
          </w:p>
        </w:tc>
      </w:tr>
      <w:tr w:rsidR="00336793" w:rsidRPr="00A10A3B" w:rsidTr="00DF0B96">
        <w:tc>
          <w:tcPr>
            <w:tcW w:w="496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 xml:space="preserve">Health and Human Services </w:t>
            </w:r>
          </w:p>
        </w:tc>
        <w:tc>
          <w:tcPr>
            <w:tcW w:w="90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295 584</w:t>
            </w:r>
          </w:p>
        </w:tc>
        <w:tc>
          <w:tcPr>
            <w:tcW w:w="1532"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662 618</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1 442</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959 644</w:t>
            </w:r>
          </w:p>
        </w:tc>
      </w:tr>
      <w:tr w:rsidR="00336793" w:rsidRPr="00A10A3B" w:rsidTr="00DF0B96">
        <w:tc>
          <w:tcPr>
            <w:tcW w:w="496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Human Services</w:t>
            </w:r>
          </w:p>
        </w:tc>
        <w:tc>
          <w:tcPr>
            <w:tcW w:w="90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12 802</w:t>
            </w:r>
          </w:p>
        </w:tc>
        <w:tc>
          <w:tcPr>
            <w:tcW w:w="1532"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Pr>
                <w:rFonts w:eastAsiaTheme="minorEastAsia"/>
                <w:sz w:val="21"/>
                <w:lang w:eastAsia="en-AU"/>
              </w:rPr>
              <w:t xml:space="preserve"> 42 136</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Pr>
                <w:rFonts w:eastAsiaTheme="minorEastAsia"/>
                <w:sz w:val="21"/>
                <w:lang w:eastAsia="en-AU"/>
              </w:rPr>
              <w:t xml:space="preserve">  ..</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54 938</w:t>
            </w:r>
          </w:p>
        </w:tc>
      </w:tr>
      <w:tr w:rsidR="00336793" w:rsidRPr="00A10A3B" w:rsidTr="00DF0B96">
        <w:tc>
          <w:tcPr>
            <w:tcW w:w="4965" w:type="dxa"/>
            <w:tcBorders>
              <w:top w:val="nil"/>
              <w:left w:val="nil"/>
              <w:bottom w:val="nil"/>
              <w:right w:val="nil"/>
            </w:tcBorders>
          </w:tcPr>
          <w:p w:rsidR="00336793" w:rsidRPr="00A10A3B" w:rsidRDefault="00336793" w:rsidP="00DF0B96">
            <w:pPr>
              <w:pStyle w:val="Tabletext"/>
              <w:rPr>
                <w:rFonts w:eastAsiaTheme="minorEastAsia" w:cs="Calibri"/>
                <w:sz w:val="21"/>
                <w:szCs w:val="22"/>
                <w:lang w:eastAsia="en-AU"/>
              </w:rPr>
            </w:pPr>
            <w:r w:rsidRPr="00A10A3B">
              <w:rPr>
                <w:rFonts w:eastAsiaTheme="minorEastAsia"/>
                <w:sz w:val="21"/>
                <w:lang w:eastAsia="en-AU"/>
              </w:rPr>
              <w:t xml:space="preserve">Justice and Regulation </w:t>
            </w:r>
          </w:p>
        </w:tc>
        <w:tc>
          <w:tcPr>
            <w:tcW w:w="900" w:type="dxa"/>
            <w:tcBorders>
              <w:top w:val="nil"/>
              <w:left w:val="nil"/>
              <w:bottom w:val="nil"/>
              <w:right w:val="nil"/>
            </w:tcBorders>
          </w:tcPr>
          <w:p w:rsidR="00336793" w:rsidRPr="00A10A3B" w:rsidRDefault="00336793" w:rsidP="00DF0B96">
            <w:pPr>
              <w:pStyle w:val="TableofFigures"/>
              <w:rPr>
                <w:rFonts w:eastAsiaTheme="minorEastAsia" w:cs="Calibri"/>
                <w:sz w:val="21"/>
                <w:szCs w:val="22"/>
                <w:lang w:eastAsia="en-AU"/>
              </w:rPr>
            </w:pPr>
            <w:r w:rsidRPr="00A10A3B">
              <w:rPr>
                <w:rFonts w:eastAsiaTheme="minorEastAsia"/>
                <w:sz w:val="21"/>
                <w:lang w:eastAsia="en-AU"/>
              </w:rPr>
              <w:t xml:space="preserve"> 146 </w:t>
            </w:r>
            <w:r w:rsidRPr="00A10A3B">
              <w:rPr>
                <w:rFonts w:eastAsiaTheme="minorEastAsia" w:cs="Calibri"/>
                <w:sz w:val="21"/>
                <w:szCs w:val="22"/>
                <w:lang w:eastAsia="en-AU"/>
              </w:rPr>
              <w:t>155</w:t>
            </w:r>
          </w:p>
        </w:tc>
        <w:tc>
          <w:tcPr>
            <w:tcW w:w="1532" w:type="dxa"/>
            <w:gridSpan w:val="2"/>
            <w:tcBorders>
              <w:top w:val="nil"/>
              <w:left w:val="nil"/>
              <w:bottom w:val="nil"/>
              <w:right w:val="nil"/>
            </w:tcBorders>
          </w:tcPr>
          <w:p w:rsidR="00336793" w:rsidRPr="00A10A3B" w:rsidRDefault="00336793" w:rsidP="00DF0B96">
            <w:pPr>
              <w:pStyle w:val="TableofFigures"/>
              <w:rPr>
                <w:rFonts w:eastAsiaTheme="minorEastAsia" w:cs="Calibri"/>
                <w:sz w:val="21"/>
                <w:szCs w:val="22"/>
                <w:lang w:eastAsia="en-AU"/>
              </w:rPr>
            </w:pPr>
            <w:r w:rsidRPr="00A10A3B">
              <w:rPr>
                <w:rFonts w:eastAsiaTheme="minorEastAsia"/>
                <w:sz w:val="21"/>
                <w:lang w:eastAsia="en-AU"/>
              </w:rPr>
              <w:t xml:space="preserve"> 53 </w:t>
            </w:r>
            <w:r w:rsidRPr="00A10A3B">
              <w:rPr>
                <w:rFonts w:eastAsiaTheme="minorEastAsia" w:cs="Calibri"/>
                <w:sz w:val="21"/>
                <w:szCs w:val="22"/>
                <w:lang w:eastAsia="en-AU"/>
              </w:rPr>
              <w:t>317</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935</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cs="Calibri"/>
                <w:sz w:val="21"/>
                <w:szCs w:val="22"/>
                <w:lang w:eastAsia="en-AU"/>
              </w:rPr>
            </w:pPr>
            <w:r w:rsidRPr="00A10A3B">
              <w:rPr>
                <w:rFonts w:eastAsiaTheme="minorEastAsia"/>
                <w:sz w:val="21"/>
                <w:lang w:eastAsia="en-AU"/>
              </w:rPr>
              <w:t xml:space="preserve"> 200 </w:t>
            </w:r>
            <w:r w:rsidRPr="00A10A3B">
              <w:rPr>
                <w:rFonts w:eastAsiaTheme="minorEastAsia" w:cs="Calibri"/>
                <w:sz w:val="21"/>
                <w:szCs w:val="22"/>
                <w:lang w:eastAsia="en-AU"/>
              </w:rPr>
              <w:t>407</w:t>
            </w:r>
          </w:p>
        </w:tc>
      </w:tr>
      <w:tr w:rsidR="00336793" w:rsidRPr="00A10A3B" w:rsidTr="00DF0B96">
        <w:tc>
          <w:tcPr>
            <w:tcW w:w="496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Premier and Cabinet</w:t>
            </w:r>
          </w:p>
        </w:tc>
        <w:tc>
          <w:tcPr>
            <w:tcW w:w="90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523</w:t>
            </w:r>
          </w:p>
        </w:tc>
        <w:tc>
          <w:tcPr>
            <w:tcW w:w="1532"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523</w:t>
            </w:r>
          </w:p>
        </w:tc>
      </w:tr>
      <w:tr w:rsidR="00336793" w:rsidRPr="00A10A3B" w:rsidTr="00DF0B96">
        <w:tc>
          <w:tcPr>
            <w:tcW w:w="4965" w:type="dxa"/>
            <w:tcBorders>
              <w:top w:val="nil"/>
              <w:left w:val="nil"/>
              <w:bottom w:val="nil"/>
              <w:right w:val="nil"/>
            </w:tcBorders>
          </w:tcPr>
          <w:p w:rsidR="00336793" w:rsidRPr="00A10A3B" w:rsidRDefault="00336793" w:rsidP="00DF0B96">
            <w:pPr>
              <w:pStyle w:val="Tabletext"/>
              <w:rPr>
                <w:rFonts w:eastAsiaTheme="minorEastAsia" w:cs="Calibri"/>
                <w:sz w:val="21"/>
                <w:szCs w:val="22"/>
                <w:lang w:eastAsia="en-AU"/>
              </w:rPr>
            </w:pPr>
            <w:r w:rsidRPr="00A10A3B">
              <w:rPr>
                <w:rFonts w:eastAsiaTheme="minorEastAsia"/>
                <w:sz w:val="21"/>
                <w:lang w:eastAsia="en-AU"/>
              </w:rPr>
              <w:t xml:space="preserve">Transport </w:t>
            </w:r>
            <w:r w:rsidRPr="00A10A3B">
              <w:rPr>
                <w:rFonts w:eastAsiaTheme="minorEastAsia" w:cs="Calibri"/>
                <w:sz w:val="21"/>
                <w:szCs w:val="22"/>
                <w:lang w:eastAsia="en-AU"/>
              </w:rPr>
              <w:t xml:space="preserve">Planning and Local Infrastructure </w:t>
            </w:r>
          </w:p>
        </w:tc>
        <w:tc>
          <w:tcPr>
            <w:tcW w:w="90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19 044</w:t>
            </w:r>
          </w:p>
        </w:tc>
        <w:tc>
          <w:tcPr>
            <w:tcW w:w="1532" w:type="dxa"/>
            <w:gridSpan w:val="2"/>
            <w:tcBorders>
              <w:top w:val="nil"/>
              <w:left w:val="nil"/>
              <w:bottom w:val="nil"/>
              <w:right w:val="nil"/>
            </w:tcBorders>
          </w:tcPr>
          <w:p w:rsidR="00336793" w:rsidRPr="00A10A3B" w:rsidRDefault="00336793" w:rsidP="00DF0B96">
            <w:pPr>
              <w:pStyle w:val="TableofFigures"/>
              <w:rPr>
                <w:rFonts w:eastAsiaTheme="minorEastAsia" w:cs="Calibri"/>
                <w:sz w:val="21"/>
                <w:szCs w:val="22"/>
                <w:lang w:eastAsia="en-AU"/>
              </w:rPr>
            </w:pPr>
            <w:r w:rsidRPr="00A10A3B">
              <w:rPr>
                <w:rFonts w:eastAsiaTheme="minorEastAsia"/>
                <w:sz w:val="21"/>
                <w:lang w:eastAsia="en-AU"/>
              </w:rPr>
              <w:t xml:space="preserve"> 70 </w:t>
            </w:r>
            <w:r w:rsidRPr="00A10A3B">
              <w:rPr>
                <w:rFonts w:eastAsiaTheme="minorEastAsia" w:cs="Calibri"/>
                <w:sz w:val="21"/>
                <w:szCs w:val="22"/>
                <w:lang w:eastAsia="en-AU"/>
              </w:rPr>
              <w:t>474</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89 518</w:t>
            </w:r>
          </w:p>
        </w:tc>
      </w:tr>
      <w:tr w:rsidR="00336793" w:rsidRPr="00A10A3B" w:rsidTr="00DF0B96">
        <w:tc>
          <w:tcPr>
            <w:tcW w:w="4965" w:type="dxa"/>
            <w:tcBorders>
              <w:top w:val="nil"/>
              <w:left w:val="nil"/>
              <w:bottom w:val="nil"/>
              <w:right w:val="nil"/>
            </w:tcBorders>
            <w:shd w:val="clear" w:color="auto" w:fill="auto"/>
          </w:tcPr>
          <w:p w:rsidR="00336793" w:rsidRPr="00A10A3B" w:rsidRDefault="00336793" w:rsidP="00DF0B96">
            <w:pPr>
              <w:pStyle w:val="Tabletext"/>
              <w:rPr>
                <w:rFonts w:eastAsiaTheme="minorEastAsia" w:cs="Calibri"/>
                <w:sz w:val="21"/>
                <w:szCs w:val="22"/>
                <w:lang w:eastAsia="en-AU"/>
              </w:rPr>
            </w:pPr>
            <w:r w:rsidRPr="00A10A3B">
              <w:rPr>
                <w:rFonts w:eastAsiaTheme="minorEastAsia"/>
                <w:sz w:val="21"/>
                <w:lang w:eastAsia="en-AU"/>
              </w:rPr>
              <w:t xml:space="preserve">Treasury </w:t>
            </w:r>
            <w:r w:rsidRPr="00A10A3B">
              <w:rPr>
                <w:rFonts w:eastAsiaTheme="minorEastAsia" w:cs="Calibri"/>
                <w:sz w:val="21"/>
                <w:szCs w:val="22"/>
                <w:lang w:eastAsia="en-AU"/>
              </w:rPr>
              <w:t>and Finance</w:t>
            </w:r>
          </w:p>
        </w:tc>
        <w:tc>
          <w:tcPr>
            <w:tcW w:w="900" w:type="dxa"/>
            <w:tcBorders>
              <w:top w:val="nil"/>
              <w:left w:val="nil"/>
              <w:bottom w:val="nil"/>
              <w:right w:val="nil"/>
            </w:tcBorders>
            <w:shd w:val="clear" w:color="auto"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8 583</w:t>
            </w:r>
          </w:p>
        </w:tc>
        <w:tc>
          <w:tcPr>
            <w:tcW w:w="1532" w:type="dxa"/>
            <w:gridSpan w:val="2"/>
            <w:tcBorders>
              <w:top w:val="nil"/>
              <w:left w:val="nil"/>
              <w:bottom w:val="nil"/>
              <w:right w:val="nil"/>
            </w:tcBorders>
            <w:shd w:val="clear" w:color="auto"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tcBorders>
              <w:top w:val="nil"/>
              <w:left w:val="nil"/>
              <w:bottom w:val="nil"/>
              <w:right w:val="nil"/>
            </w:tcBorders>
            <w:shd w:val="clear" w:color="auto"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2"/>
            <w:tcBorders>
              <w:top w:val="nil"/>
              <w:left w:val="nil"/>
              <w:bottom w:val="nil"/>
              <w:right w:val="nil"/>
            </w:tcBorders>
            <w:shd w:val="clear" w:color="auto" w:fill="auto"/>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8 583</w:t>
            </w:r>
          </w:p>
        </w:tc>
      </w:tr>
      <w:tr w:rsidR="00336793" w:rsidRPr="00A10A3B" w:rsidTr="00DF0B96">
        <w:tc>
          <w:tcPr>
            <w:tcW w:w="4965" w:type="dxa"/>
            <w:tcBorders>
              <w:top w:val="nil"/>
              <w:left w:val="nil"/>
              <w:bottom w:val="nil"/>
              <w:right w:val="nil"/>
            </w:tcBorders>
          </w:tcPr>
          <w:p w:rsidR="00336793" w:rsidRPr="00A10A3B" w:rsidRDefault="00336793" w:rsidP="00DF0B96">
            <w:pPr>
              <w:pStyle w:val="Tabletext"/>
              <w:rPr>
                <w:rFonts w:eastAsiaTheme="minorEastAsia"/>
                <w:sz w:val="21"/>
                <w:lang w:eastAsia="en-AU"/>
              </w:rPr>
            </w:pPr>
            <w:r w:rsidRPr="00A10A3B">
              <w:rPr>
                <w:rFonts w:eastAsiaTheme="minorEastAsia"/>
                <w:sz w:val="21"/>
                <w:lang w:eastAsia="en-AU"/>
              </w:rPr>
              <w:t>Parliament</w:t>
            </w:r>
          </w:p>
        </w:tc>
        <w:tc>
          <w:tcPr>
            <w:tcW w:w="90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23 616</w:t>
            </w:r>
          </w:p>
        </w:tc>
        <w:tc>
          <w:tcPr>
            <w:tcW w:w="1532"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2"/>
            <w:tcBorders>
              <w:top w:val="nil"/>
              <w:left w:val="nil"/>
              <w:bottom w:val="nil"/>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23 616</w:t>
            </w:r>
          </w:p>
        </w:tc>
      </w:tr>
      <w:tr w:rsidR="00336793" w:rsidRPr="00A10A3B" w:rsidTr="00DF0B96">
        <w:tc>
          <w:tcPr>
            <w:tcW w:w="4965" w:type="dxa"/>
            <w:tcBorders>
              <w:top w:val="nil"/>
              <w:left w:val="nil"/>
              <w:bottom w:val="single" w:sz="6" w:space="0" w:color="auto"/>
              <w:right w:val="nil"/>
            </w:tcBorders>
          </w:tcPr>
          <w:p w:rsidR="00336793" w:rsidRPr="007A196C" w:rsidRDefault="00336793" w:rsidP="00DF0B96">
            <w:pPr>
              <w:pStyle w:val="Tabletext"/>
              <w:rPr>
                <w:rFonts w:eastAsiaTheme="minorEastAsia"/>
                <w:sz w:val="21"/>
                <w:vertAlign w:val="superscript"/>
                <w:lang w:eastAsia="en-AU"/>
              </w:rPr>
            </w:pPr>
            <w:r w:rsidRPr="00A10A3B">
              <w:rPr>
                <w:rFonts w:eastAsiaTheme="minorEastAsia"/>
                <w:sz w:val="21"/>
                <w:lang w:eastAsia="en-AU"/>
              </w:rPr>
              <w:t>Courts</w:t>
            </w:r>
            <w:r w:rsidRPr="00E96950">
              <w:rPr>
                <w:rFonts w:eastAsiaTheme="minorEastAsia"/>
                <w:sz w:val="21"/>
                <w:vertAlign w:val="superscript"/>
                <w:lang w:eastAsia="en-AU"/>
              </w:rPr>
              <w:t xml:space="preserve"> (</w:t>
            </w:r>
            <w:r>
              <w:rPr>
                <w:rFonts w:eastAsiaTheme="minorEastAsia"/>
                <w:sz w:val="21"/>
                <w:vertAlign w:val="superscript"/>
                <w:lang w:eastAsia="en-AU"/>
              </w:rPr>
              <w:t>b)</w:t>
            </w:r>
          </w:p>
        </w:tc>
        <w:tc>
          <w:tcPr>
            <w:tcW w:w="900" w:type="dxa"/>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68 602</w:t>
            </w:r>
          </w:p>
        </w:tc>
        <w:tc>
          <w:tcPr>
            <w:tcW w:w="1532"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w:t>
            </w:r>
          </w:p>
        </w:tc>
        <w:tc>
          <w:tcPr>
            <w:tcW w:w="1120" w:type="dxa"/>
            <w:gridSpan w:val="2"/>
            <w:tcBorders>
              <w:top w:val="nil"/>
              <w:left w:val="nil"/>
              <w:bottom w:val="single" w:sz="6" w:space="0" w:color="auto"/>
              <w:right w:val="nil"/>
            </w:tcBorders>
          </w:tcPr>
          <w:p w:rsidR="00336793" w:rsidRPr="00A10A3B" w:rsidRDefault="00336793" w:rsidP="00DF0B96">
            <w:pPr>
              <w:pStyle w:val="TableofFigures"/>
              <w:rPr>
                <w:rFonts w:eastAsiaTheme="minorEastAsia"/>
                <w:sz w:val="21"/>
                <w:lang w:eastAsia="en-AU"/>
              </w:rPr>
            </w:pPr>
            <w:r w:rsidRPr="00A10A3B">
              <w:rPr>
                <w:rFonts w:eastAsiaTheme="minorEastAsia"/>
                <w:sz w:val="21"/>
                <w:lang w:eastAsia="en-AU"/>
              </w:rPr>
              <w:t xml:space="preserve"> 68 602</w:t>
            </w:r>
          </w:p>
        </w:tc>
      </w:tr>
      <w:tr w:rsidR="00336793" w:rsidRPr="00A10A3B" w:rsidTr="00DF0B96">
        <w:tc>
          <w:tcPr>
            <w:tcW w:w="4965"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sz w:val="21"/>
                <w:lang w:eastAsia="en-AU"/>
              </w:rPr>
            </w:pPr>
            <w:r w:rsidRPr="00A10A3B">
              <w:rPr>
                <w:rFonts w:eastAsiaTheme="minorEastAsia"/>
                <w:b/>
                <w:bCs/>
                <w:sz w:val="21"/>
                <w:lang w:eastAsia="en-AU"/>
              </w:rPr>
              <w:t xml:space="preserve">Total appropriation </w:t>
            </w:r>
          </w:p>
        </w:tc>
        <w:tc>
          <w:tcPr>
            <w:tcW w:w="90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 w:val="21"/>
                <w:lang w:eastAsia="en-AU"/>
              </w:rPr>
            </w:pPr>
            <w:r w:rsidRPr="00A10A3B">
              <w:rPr>
                <w:rFonts w:eastAsiaTheme="minorEastAsia"/>
                <w:b/>
                <w:bCs/>
                <w:sz w:val="21"/>
                <w:lang w:eastAsia="en-AU"/>
              </w:rPr>
              <w:t xml:space="preserve"> 697 108</w:t>
            </w:r>
          </w:p>
        </w:tc>
        <w:tc>
          <w:tcPr>
            <w:tcW w:w="1532"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sz w:val="21"/>
                <w:szCs w:val="22"/>
                <w:lang w:eastAsia="en-AU"/>
              </w:rPr>
            </w:pPr>
            <w:r w:rsidRPr="00A10A3B">
              <w:rPr>
                <w:rFonts w:eastAsiaTheme="minorEastAsia"/>
                <w:b/>
                <w:bCs/>
                <w:sz w:val="21"/>
                <w:lang w:eastAsia="en-AU"/>
              </w:rPr>
              <w:t>1 671 960</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sz w:val="21"/>
                <w:lang w:eastAsia="en-AU"/>
              </w:rPr>
            </w:pPr>
            <w:r w:rsidRPr="00A10A3B">
              <w:rPr>
                <w:rFonts w:eastAsiaTheme="minorEastAsia"/>
                <w:b/>
                <w:bCs/>
                <w:sz w:val="21"/>
                <w:lang w:eastAsia="en-AU"/>
              </w:rPr>
              <w:t xml:space="preserve"> 151 167</w:t>
            </w:r>
          </w:p>
        </w:tc>
        <w:tc>
          <w:tcPr>
            <w:tcW w:w="1120"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cs="Calibri"/>
                <w:b/>
                <w:bCs/>
                <w:sz w:val="21"/>
                <w:szCs w:val="22"/>
                <w:lang w:eastAsia="en-AU"/>
              </w:rPr>
            </w:pPr>
            <w:r w:rsidRPr="00A10A3B">
              <w:rPr>
                <w:rFonts w:eastAsiaTheme="minorEastAsia"/>
                <w:b/>
                <w:bCs/>
                <w:sz w:val="21"/>
                <w:lang w:eastAsia="en-AU"/>
              </w:rPr>
              <w:t>2 520 235</w:t>
            </w:r>
          </w:p>
        </w:tc>
      </w:tr>
    </w:tbl>
    <w:p w:rsidR="00336793" w:rsidRPr="006A75A2" w:rsidRDefault="00336793" w:rsidP="00DF0B96">
      <w:pPr>
        <w:pStyle w:val="Notes"/>
      </w:pPr>
      <w:r w:rsidRPr="006A75A2">
        <w:t>Note</w:t>
      </w:r>
      <w:r>
        <w:t>s</w:t>
      </w:r>
      <w:r w:rsidRPr="006A75A2">
        <w:t>:</w:t>
      </w:r>
    </w:p>
    <w:p w:rsidR="00336793" w:rsidRDefault="00336793" w:rsidP="00DF0B96">
      <w:pPr>
        <w:pStyle w:val="Notes"/>
      </w:pPr>
      <w:r>
        <w:t>(a)</w:t>
      </w:r>
      <w:r w:rsidRPr="006A75A2">
        <w:tab/>
      </w:r>
      <w:r>
        <w:t>Effective 1 January 2015, several departments were renamed due to machinery of government changes:</w:t>
      </w:r>
    </w:p>
    <w:p w:rsidR="00336793" w:rsidRDefault="00336793" w:rsidP="00DF0B96">
      <w:pPr>
        <w:pStyle w:val="NotesDash"/>
      </w:pPr>
      <w:r>
        <w:t xml:space="preserve">the </w:t>
      </w:r>
      <w:r w:rsidRPr="00192C39">
        <w:t>Department</w:t>
      </w:r>
      <w:r>
        <w:t xml:space="preserve"> of Education and Early Childhood Development was renamed the Department of Education and Training;</w:t>
      </w:r>
    </w:p>
    <w:p w:rsidR="00336793" w:rsidRDefault="00336793" w:rsidP="00DF0B96">
      <w:pPr>
        <w:pStyle w:val="NotesDash"/>
      </w:pPr>
      <w:r>
        <w:t>the Department of Environment and Primary Industries was renamed the Department of Environment, Land, Water and Planning;</w:t>
      </w:r>
    </w:p>
    <w:p w:rsidR="00336793" w:rsidRDefault="00336793" w:rsidP="00DF0B96">
      <w:pPr>
        <w:pStyle w:val="NotesDash"/>
      </w:pPr>
      <w:r>
        <w:t>the Department of Health was renamed the Department of Health and Human Services;</w:t>
      </w:r>
    </w:p>
    <w:p w:rsidR="00336793" w:rsidRDefault="00336793" w:rsidP="00DF0B96">
      <w:pPr>
        <w:pStyle w:val="NotesDash"/>
      </w:pPr>
      <w:r>
        <w:t xml:space="preserve">the Department of Justice was renamed the Department of Justice and Regulation; </w:t>
      </w:r>
    </w:p>
    <w:p w:rsidR="00336793" w:rsidRDefault="00336793" w:rsidP="00DF0B96">
      <w:pPr>
        <w:pStyle w:val="NotesDash"/>
      </w:pPr>
      <w:r>
        <w:t xml:space="preserve">the Department of State Development, Business and Innovation was renamed the Department of Economic Development, Jobs, Transport and Resources; </w:t>
      </w:r>
    </w:p>
    <w:p w:rsidR="00336793" w:rsidRDefault="00336793" w:rsidP="00DF0B96">
      <w:pPr>
        <w:pStyle w:val="NotesDash"/>
      </w:pPr>
      <w:r>
        <w:t xml:space="preserve">the Department of Human Services was abolished; and </w:t>
      </w:r>
    </w:p>
    <w:p w:rsidR="00336793" w:rsidRDefault="00336793" w:rsidP="00DF0B96">
      <w:pPr>
        <w:pStyle w:val="NotesDash"/>
      </w:pPr>
      <w:r>
        <w:t xml:space="preserve">the Department of Transport, Planning and Local Infrastructure was abolished. </w:t>
      </w:r>
    </w:p>
    <w:p w:rsidR="00336793" w:rsidRPr="006A75A2" w:rsidRDefault="00336793" w:rsidP="00DF0B96">
      <w:pPr>
        <w:pStyle w:val="Notes"/>
      </w:pPr>
      <w:r>
        <w:tab/>
        <w:t>The two abolished departments had their functions and operations transferred to other Victorian government departments. Functions and operations of the Department of Human Services were transferred to the Department of Health and Human Services and to the Department of Premier and Cabinet. Functions and operations of the Department of Transport, Planning and Local Infrastructure were transferred to the Department of Environment, Land, Water and Planning, the Department of Health and Humans Services and to the Department of Economic Development, Jobs, Transport and Resources. Certain functions and operations of continuing Victorian government departments were also transferred amongst departments as part of the machinery of government changes. Controlled entities which have been transferred as part of the machinery of government changes are listed under their new portfolio departments.</w:t>
      </w:r>
    </w:p>
    <w:p w:rsidR="00336793" w:rsidRDefault="00336793" w:rsidP="00DF0B96">
      <w:pPr>
        <w:pStyle w:val="Notes"/>
      </w:pPr>
      <w:r>
        <w:t>(b</w:t>
      </w:r>
      <w:r w:rsidRPr="006A75A2">
        <w:t>)</w:t>
      </w:r>
      <w:r w:rsidRPr="006A75A2">
        <w:tab/>
      </w:r>
      <w:r>
        <w:t>Courts, which was former</w:t>
      </w:r>
      <w:r w:rsidRPr="00EF122D">
        <w:t>ly part of the Department of Justice, came into operation from 1 July 2014.</w:t>
      </w:r>
    </w:p>
    <w:p w:rsidR="00336793" w:rsidRPr="006A75A2" w:rsidRDefault="00336793" w:rsidP="00DF0B96">
      <w:pPr>
        <w:pStyle w:val="Notes"/>
      </w:pPr>
    </w:p>
    <w:p w:rsidR="00336793" w:rsidRPr="006A75A2" w:rsidRDefault="00336793" w:rsidP="00DF0B96"/>
    <w:p w:rsidR="00336793" w:rsidRDefault="00336793" w:rsidP="00DF0B96">
      <w:pPr>
        <w:spacing w:after="0"/>
        <w:rPr>
          <w:rFonts w:ascii="Calibri" w:hAnsi="Calibri"/>
          <w:b/>
        </w:rPr>
      </w:pPr>
      <w:r>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F60598" w:rsidRDefault="00336793" w:rsidP="00DF0B96">
      <w:pPr>
        <w:pStyle w:val="Tableheading"/>
        <w:rPr>
          <w:vertAlign w:val="superscript"/>
        </w:rPr>
      </w:pPr>
      <w:r w:rsidRPr="006A75A2">
        <w:t>(k)</w:t>
      </w:r>
      <w:r w:rsidRPr="006A75A2">
        <w:tab/>
      </w:r>
      <w:r w:rsidRPr="00B74921">
        <w:t>Section</w:t>
      </w:r>
      <w:r w:rsidRPr="002A1F2F">
        <w:t xml:space="preserve"> 32 carryovers – </w:t>
      </w:r>
      <w:r w:rsidRPr="00590F0A">
        <w:rPr>
          <w:i/>
        </w:rPr>
        <w:t>Financial Management Act 1994</w:t>
      </w:r>
      <w:r w:rsidRPr="002A1F2F">
        <w:t xml:space="preserve"> for the f</w:t>
      </w:r>
      <w:r>
        <w:t>inancial year ended 30 June 2015</w:t>
      </w:r>
      <w:r>
        <w:rPr>
          <w:vertAlign w:val="superscript"/>
        </w:rPr>
        <w:t xml:space="preserve"> (a)</w:t>
      </w:r>
    </w:p>
    <w:p w:rsidR="00336793" w:rsidRPr="0098550D" w:rsidRDefault="00336793" w:rsidP="00DF0B96">
      <w:pPr>
        <w:rPr>
          <w:rFonts w:asciiTheme="minorHAnsi" w:hAnsiTheme="minorHAnsi"/>
          <w:b/>
        </w:rPr>
      </w:pPr>
      <w:r w:rsidRPr="0098550D">
        <w:rPr>
          <w:rFonts w:asciiTheme="minorHAnsi" w:hAnsiTheme="minorHAnsi"/>
          <w:b/>
        </w:rPr>
        <w:t>Amounts approved for carryover to 2014</w:t>
      </w:r>
      <w:r>
        <w:rPr>
          <w:rFonts w:asciiTheme="minorHAnsi" w:hAnsiTheme="minorHAnsi"/>
          <w:b/>
        </w:rPr>
        <w:noBreakHyphen/>
      </w:r>
      <w:r w:rsidRPr="0098550D">
        <w:rPr>
          <w:rFonts w:asciiTheme="minorHAnsi" w:hAnsiTheme="minorHAnsi"/>
          <w:b/>
        </w:rPr>
        <w:t xml:space="preserve">15 </w:t>
      </w:r>
    </w:p>
    <w:p w:rsidR="00336793" w:rsidRPr="00F86434" w:rsidRDefault="00336793" w:rsidP="00DF0B96">
      <w:pPr>
        <w:pStyle w:val="million"/>
        <w:rPr>
          <w:rFonts w:ascii="Times New Roman" w:hAnsi="Times New Roman"/>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4517"/>
        <w:gridCol w:w="1170"/>
        <w:gridCol w:w="1350"/>
        <w:gridCol w:w="1480"/>
        <w:gridCol w:w="1120"/>
      </w:tblGrid>
      <w:tr w:rsidR="00336793" w:rsidRPr="00F86434" w:rsidTr="00DF0B96">
        <w:tc>
          <w:tcPr>
            <w:tcW w:w="4517" w:type="dxa"/>
            <w:tcBorders>
              <w:top w:val="single" w:sz="6" w:space="0" w:color="auto"/>
              <w:left w:val="single" w:sz="6" w:space="0" w:color="auto"/>
              <w:bottom w:val="single" w:sz="6" w:space="0" w:color="auto"/>
              <w:right w:val="nil"/>
            </w:tcBorders>
            <w:shd w:val="clear" w:color="000000" w:fill="000000"/>
          </w:tcPr>
          <w:p w:rsidR="00336793" w:rsidRPr="00F86434" w:rsidRDefault="00336793" w:rsidP="00DF0B96">
            <w:pPr>
              <w:pStyle w:val="Tabletext"/>
              <w:rPr>
                <w:rFonts w:eastAsiaTheme="minorEastAsia"/>
                <w:i/>
                <w:lang w:eastAsia="en-AU"/>
              </w:rPr>
            </w:pPr>
          </w:p>
          <w:p w:rsidR="00336793" w:rsidRPr="00F86434" w:rsidRDefault="00336793" w:rsidP="00DF0B96">
            <w:pPr>
              <w:pStyle w:val="Tabletext"/>
              <w:rPr>
                <w:rFonts w:eastAsiaTheme="minorEastAsia"/>
                <w:i/>
                <w:lang w:eastAsia="en-AU"/>
              </w:rPr>
            </w:pPr>
          </w:p>
          <w:p w:rsidR="00336793" w:rsidRPr="00F86434" w:rsidRDefault="00336793" w:rsidP="00DF0B96">
            <w:pPr>
              <w:pStyle w:val="Tabletext"/>
              <w:rPr>
                <w:rFonts w:eastAsiaTheme="minorEastAsia"/>
                <w:i/>
                <w:vertAlign w:val="superscript"/>
                <w:lang w:eastAsia="en-AU"/>
              </w:rPr>
            </w:pPr>
            <w:r w:rsidRPr="00F86434">
              <w:rPr>
                <w:rFonts w:eastAsiaTheme="minorEastAsia"/>
                <w:i/>
                <w:lang w:eastAsia="en-AU"/>
              </w:rPr>
              <w:t xml:space="preserve">Department </w:t>
            </w:r>
          </w:p>
        </w:tc>
        <w:tc>
          <w:tcPr>
            <w:tcW w:w="1170" w:type="dxa"/>
            <w:tcBorders>
              <w:top w:val="single" w:sz="6" w:space="0" w:color="auto"/>
              <w:left w:val="nil"/>
              <w:bottom w:val="single" w:sz="6" w:space="0" w:color="auto"/>
              <w:right w:val="nil"/>
            </w:tcBorders>
            <w:shd w:val="clear" w:color="000000" w:fill="000000"/>
          </w:tcPr>
          <w:p w:rsidR="00336793" w:rsidRPr="00F86434" w:rsidRDefault="00336793" w:rsidP="00DF0B96">
            <w:pPr>
              <w:pStyle w:val="Tabletextheading"/>
              <w:rPr>
                <w:color w:val="FFFFFF"/>
              </w:rPr>
            </w:pPr>
          </w:p>
          <w:p w:rsidR="00336793" w:rsidRPr="00F86434" w:rsidRDefault="00336793" w:rsidP="00DF0B96">
            <w:pPr>
              <w:pStyle w:val="Tabletextheading"/>
              <w:rPr>
                <w:color w:val="FFFFFF"/>
              </w:rPr>
            </w:pPr>
            <w:r w:rsidRPr="00F86434">
              <w:rPr>
                <w:color w:val="FFFFFF"/>
              </w:rPr>
              <w:t>Provision of outputs</w:t>
            </w:r>
          </w:p>
        </w:tc>
        <w:tc>
          <w:tcPr>
            <w:tcW w:w="1350" w:type="dxa"/>
            <w:tcBorders>
              <w:top w:val="single" w:sz="6" w:space="0" w:color="auto"/>
              <w:left w:val="nil"/>
              <w:bottom w:val="single" w:sz="6" w:space="0" w:color="auto"/>
              <w:right w:val="nil"/>
            </w:tcBorders>
            <w:shd w:val="clear" w:color="000000" w:fill="000000"/>
          </w:tcPr>
          <w:p w:rsidR="00336793" w:rsidRPr="00F86434" w:rsidRDefault="00336793" w:rsidP="00DF0B96">
            <w:pPr>
              <w:pStyle w:val="Tabletextheading"/>
              <w:rPr>
                <w:color w:val="FFFFFF"/>
              </w:rPr>
            </w:pPr>
          </w:p>
          <w:p w:rsidR="00336793" w:rsidRPr="00F86434" w:rsidRDefault="00336793" w:rsidP="00DF0B96">
            <w:pPr>
              <w:pStyle w:val="Tabletextheading"/>
              <w:rPr>
                <w:color w:val="FFFFFF"/>
              </w:rPr>
            </w:pPr>
            <w:r w:rsidRPr="00F86434">
              <w:rPr>
                <w:color w:val="FFFFFF"/>
              </w:rPr>
              <w:t>Additions to net assets</w:t>
            </w:r>
          </w:p>
        </w:tc>
        <w:tc>
          <w:tcPr>
            <w:tcW w:w="1480" w:type="dxa"/>
            <w:tcBorders>
              <w:top w:val="single" w:sz="6" w:space="0" w:color="auto"/>
              <w:left w:val="nil"/>
              <w:bottom w:val="single" w:sz="6" w:space="0" w:color="auto"/>
              <w:right w:val="nil"/>
            </w:tcBorders>
            <w:shd w:val="clear" w:color="000000" w:fill="000000"/>
          </w:tcPr>
          <w:p w:rsidR="00336793" w:rsidRPr="00F86434" w:rsidRDefault="00336793" w:rsidP="00DF0B96">
            <w:pPr>
              <w:pStyle w:val="Tabletextheading"/>
              <w:rPr>
                <w:color w:val="FFFFFF"/>
              </w:rPr>
            </w:pPr>
            <w:r w:rsidRPr="00F86434">
              <w:rPr>
                <w:color w:val="FFFFFF"/>
              </w:rPr>
              <w:t xml:space="preserve">Payments made on </w:t>
            </w:r>
          </w:p>
          <w:p w:rsidR="00336793" w:rsidRPr="00F86434" w:rsidRDefault="00336793" w:rsidP="00DF0B96">
            <w:pPr>
              <w:pStyle w:val="Tabletextheading"/>
              <w:rPr>
                <w:color w:val="FFFFFF"/>
              </w:rPr>
            </w:pPr>
            <w:r w:rsidRPr="00F86434">
              <w:rPr>
                <w:color w:val="FFFFFF"/>
              </w:rPr>
              <w:t>behalf of State</w:t>
            </w:r>
          </w:p>
        </w:tc>
        <w:tc>
          <w:tcPr>
            <w:tcW w:w="1120" w:type="dxa"/>
            <w:tcBorders>
              <w:top w:val="single" w:sz="6" w:space="0" w:color="auto"/>
              <w:left w:val="nil"/>
              <w:bottom w:val="single" w:sz="6" w:space="0" w:color="auto"/>
              <w:right w:val="single" w:sz="6" w:space="0" w:color="auto"/>
            </w:tcBorders>
            <w:shd w:val="clear" w:color="000000" w:fill="000000"/>
          </w:tcPr>
          <w:p w:rsidR="00336793" w:rsidRPr="00F86434" w:rsidRDefault="00336793" w:rsidP="00DF0B96">
            <w:pPr>
              <w:pStyle w:val="Tabletextheading"/>
              <w:rPr>
                <w:color w:val="FFFFFF"/>
              </w:rPr>
            </w:pPr>
          </w:p>
          <w:p w:rsidR="00336793" w:rsidRPr="00F86434" w:rsidRDefault="00336793" w:rsidP="00DF0B96">
            <w:pPr>
              <w:pStyle w:val="Tabletextheading"/>
              <w:rPr>
                <w:color w:val="FFFFFF"/>
              </w:rPr>
            </w:pPr>
            <w:r w:rsidRPr="00F86434">
              <w:rPr>
                <w:color w:val="FFFFFF"/>
              </w:rPr>
              <w:t>Total carryover</w:t>
            </w:r>
          </w:p>
        </w:tc>
      </w:tr>
      <w:tr w:rsidR="00336793" w:rsidRPr="00F86434" w:rsidTr="00DF0B96">
        <w:tc>
          <w:tcPr>
            <w:tcW w:w="4517" w:type="dxa"/>
            <w:tcBorders>
              <w:top w:val="single" w:sz="6" w:space="0" w:color="auto"/>
              <w:left w:val="nil"/>
              <w:bottom w:val="nil"/>
              <w:right w:val="nil"/>
            </w:tcBorders>
          </w:tcPr>
          <w:p w:rsidR="00336793" w:rsidRPr="00F86434" w:rsidRDefault="00336793" w:rsidP="00DF0B96">
            <w:pPr>
              <w:pStyle w:val="Tabletext"/>
              <w:rPr>
                <w:rFonts w:eastAsiaTheme="minorEastAsia"/>
                <w:lang w:eastAsia="en-AU"/>
              </w:rPr>
            </w:pPr>
            <w:r w:rsidRPr="00F86434">
              <w:rPr>
                <w:rFonts w:eastAsiaTheme="minorEastAsia"/>
                <w:lang w:eastAsia="en-AU"/>
              </w:rPr>
              <w:t xml:space="preserve">Economic Development, Jobs, Transport and Resources </w:t>
            </w:r>
          </w:p>
        </w:tc>
        <w:tc>
          <w:tcPr>
            <w:tcW w:w="1170" w:type="dxa"/>
            <w:tcBorders>
              <w:top w:val="single" w:sz="6" w:space="0" w:color="auto"/>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96 136</w:t>
            </w:r>
          </w:p>
        </w:tc>
        <w:tc>
          <w:tcPr>
            <w:tcW w:w="1350" w:type="dxa"/>
            <w:tcBorders>
              <w:top w:val="single" w:sz="6" w:space="0" w:color="auto"/>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87 591</w:t>
            </w:r>
          </w:p>
        </w:tc>
        <w:tc>
          <w:tcPr>
            <w:tcW w:w="1480" w:type="dxa"/>
            <w:tcBorders>
              <w:top w:val="single" w:sz="6" w:space="0" w:color="auto"/>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656</w:t>
            </w:r>
          </w:p>
        </w:tc>
        <w:tc>
          <w:tcPr>
            <w:tcW w:w="1120" w:type="dxa"/>
            <w:tcBorders>
              <w:top w:val="single" w:sz="6" w:space="0" w:color="auto"/>
              <w:left w:val="nil"/>
              <w:bottom w:val="nil"/>
              <w:right w:val="nil"/>
            </w:tcBorders>
          </w:tcPr>
          <w:p w:rsidR="00336793" w:rsidRPr="00F86434" w:rsidRDefault="00336793" w:rsidP="00DF0B96">
            <w:pPr>
              <w:pStyle w:val="TableofFigures"/>
              <w:rPr>
                <w:rFonts w:eastAsiaTheme="minorEastAsia" w:cs="Calibri"/>
                <w:b/>
                <w:bCs/>
                <w:color w:val="000000"/>
                <w:szCs w:val="22"/>
                <w:lang w:eastAsia="en-AU"/>
              </w:rPr>
            </w:pPr>
            <w:r w:rsidRPr="00F86434">
              <w:rPr>
                <w:rFonts w:eastAsiaTheme="minorEastAsia"/>
                <w:b/>
                <w:bCs/>
                <w:lang w:eastAsia="en-AU"/>
              </w:rPr>
              <w:t xml:space="preserve"> 184 384</w:t>
            </w:r>
          </w:p>
        </w:tc>
      </w:tr>
      <w:tr w:rsidR="00336793" w:rsidRPr="00F86434" w:rsidTr="00DF0B96">
        <w:tc>
          <w:tcPr>
            <w:tcW w:w="4517" w:type="dxa"/>
            <w:tcBorders>
              <w:top w:val="nil"/>
              <w:left w:val="nil"/>
              <w:bottom w:val="nil"/>
              <w:right w:val="nil"/>
            </w:tcBorders>
          </w:tcPr>
          <w:p w:rsidR="00336793" w:rsidRPr="00F86434" w:rsidRDefault="00336793" w:rsidP="00DF0B96">
            <w:pPr>
              <w:pStyle w:val="Tabletext"/>
              <w:rPr>
                <w:rFonts w:eastAsiaTheme="minorEastAsia"/>
                <w:lang w:eastAsia="en-AU"/>
              </w:rPr>
            </w:pPr>
            <w:r w:rsidRPr="00F86434">
              <w:rPr>
                <w:rFonts w:eastAsiaTheme="minorEastAsia"/>
                <w:lang w:eastAsia="en-AU"/>
              </w:rPr>
              <w:t>Education and Training</w:t>
            </w:r>
          </w:p>
        </w:tc>
        <w:tc>
          <w:tcPr>
            <w:tcW w:w="117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229 191</w:t>
            </w:r>
          </w:p>
        </w:tc>
        <w:tc>
          <w:tcPr>
            <w:tcW w:w="135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10 184</w:t>
            </w:r>
          </w:p>
        </w:tc>
        <w:tc>
          <w:tcPr>
            <w:tcW w:w="148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w:t>
            </w:r>
          </w:p>
        </w:tc>
        <w:tc>
          <w:tcPr>
            <w:tcW w:w="1120" w:type="dxa"/>
            <w:tcBorders>
              <w:top w:val="nil"/>
              <w:left w:val="nil"/>
              <w:bottom w:val="nil"/>
              <w:right w:val="nil"/>
            </w:tcBorders>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239 375</w:t>
            </w:r>
          </w:p>
        </w:tc>
      </w:tr>
      <w:tr w:rsidR="00336793" w:rsidRPr="00F86434" w:rsidTr="00DF0B96">
        <w:tc>
          <w:tcPr>
            <w:tcW w:w="4517" w:type="dxa"/>
            <w:tcBorders>
              <w:top w:val="nil"/>
              <w:left w:val="nil"/>
              <w:bottom w:val="nil"/>
              <w:right w:val="nil"/>
            </w:tcBorders>
          </w:tcPr>
          <w:p w:rsidR="00336793" w:rsidRPr="00F86434" w:rsidRDefault="00336793" w:rsidP="00DF0B96">
            <w:pPr>
              <w:pStyle w:val="Tabletext"/>
              <w:rPr>
                <w:rFonts w:eastAsiaTheme="minorEastAsia"/>
                <w:lang w:eastAsia="en-AU"/>
              </w:rPr>
            </w:pPr>
            <w:r w:rsidRPr="00F86434">
              <w:rPr>
                <w:rFonts w:eastAsiaTheme="minorEastAsia"/>
                <w:lang w:eastAsia="en-AU"/>
              </w:rPr>
              <w:t>Environment, Land, Water and Planning</w:t>
            </w:r>
          </w:p>
        </w:tc>
        <w:tc>
          <w:tcPr>
            <w:tcW w:w="117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154 117</w:t>
            </w:r>
          </w:p>
        </w:tc>
        <w:tc>
          <w:tcPr>
            <w:tcW w:w="135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39 683</w:t>
            </w:r>
          </w:p>
        </w:tc>
        <w:tc>
          <w:tcPr>
            <w:tcW w:w="148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18 088</w:t>
            </w:r>
          </w:p>
        </w:tc>
        <w:tc>
          <w:tcPr>
            <w:tcW w:w="1120" w:type="dxa"/>
            <w:tcBorders>
              <w:top w:val="nil"/>
              <w:left w:val="nil"/>
              <w:bottom w:val="nil"/>
              <w:right w:val="nil"/>
            </w:tcBorders>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211 888</w:t>
            </w:r>
          </w:p>
        </w:tc>
      </w:tr>
      <w:tr w:rsidR="00336793" w:rsidRPr="00F86434" w:rsidTr="00DF0B96">
        <w:tc>
          <w:tcPr>
            <w:tcW w:w="4517" w:type="dxa"/>
            <w:tcBorders>
              <w:top w:val="nil"/>
              <w:left w:val="nil"/>
              <w:bottom w:val="nil"/>
              <w:right w:val="nil"/>
            </w:tcBorders>
          </w:tcPr>
          <w:p w:rsidR="00336793" w:rsidRPr="00F86434" w:rsidRDefault="00336793" w:rsidP="00DF0B96">
            <w:pPr>
              <w:pStyle w:val="Tabletext"/>
              <w:rPr>
                <w:rFonts w:eastAsiaTheme="minorEastAsia"/>
                <w:lang w:eastAsia="en-AU"/>
              </w:rPr>
            </w:pPr>
            <w:r w:rsidRPr="00F86434">
              <w:rPr>
                <w:rFonts w:eastAsiaTheme="minorEastAsia"/>
                <w:lang w:eastAsia="en-AU"/>
              </w:rPr>
              <w:t xml:space="preserve">Health and Human Services </w:t>
            </w:r>
          </w:p>
        </w:tc>
        <w:tc>
          <w:tcPr>
            <w:tcW w:w="117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100 992</w:t>
            </w:r>
          </w:p>
        </w:tc>
        <w:tc>
          <w:tcPr>
            <w:tcW w:w="135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128 205</w:t>
            </w:r>
          </w:p>
        </w:tc>
        <w:tc>
          <w:tcPr>
            <w:tcW w:w="148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w:t>
            </w:r>
          </w:p>
        </w:tc>
        <w:tc>
          <w:tcPr>
            <w:tcW w:w="1120" w:type="dxa"/>
            <w:tcBorders>
              <w:top w:val="nil"/>
              <w:left w:val="nil"/>
              <w:bottom w:val="nil"/>
              <w:right w:val="nil"/>
            </w:tcBorders>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229 198</w:t>
            </w:r>
          </w:p>
        </w:tc>
      </w:tr>
      <w:tr w:rsidR="00336793" w:rsidRPr="00F86434" w:rsidTr="00DF0B96">
        <w:tc>
          <w:tcPr>
            <w:tcW w:w="4517" w:type="dxa"/>
            <w:tcBorders>
              <w:top w:val="nil"/>
              <w:left w:val="nil"/>
              <w:bottom w:val="nil"/>
              <w:right w:val="nil"/>
            </w:tcBorders>
          </w:tcPr>
          <w:p w:rsidR="00336793" w:rsidRPr="00F86434" w:rsidRDefault="00336793" w:rsidP="00DF0B96">
            <w:pPr>
              <w:pStyle w:val="Tabletext"/>
              <w:rPr>
                <w:rFonts w:eastAsiaTheme="minorEastAsia"/>
                <w:lang w:eastAsia="en-AU"/>
              </w:rPr>
            </w:pPr>
            <w:r w:rsidRPr="00F86434">
              <w:rPr>
                <w:rFonts w:eastAsiaTheme="minorEastAsia"/>
                <w:lang w:eastAsia="en-AU"/>
              </w:rPr>
              <w:t>Human Services</w:t>
            </w:r>
          </w:p>
        </w:tc>
        <w:tc>
          <w:tcPr>
            <w:tcW w:w="117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w:t>
            </w:r>
          </w:p>
        </w:tc>
        <w:tc>
          <w:tcPr>
            <w:tcW w:w="135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5 393</w:t>
            </w:r>
          </w:p>
        </w:tc>
        <w:tc>
          <w:tcPr>
            <w:tcW w:w="148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w:t>
            </w:r>
          </w:p>
        </w:tc>
        <w:tc>
          <w:tcPr>
            <w:tcW w:w="1120" w:type="dxa"/>
            <w:tcBorders>
              <w:top w:val="nil"/>
              <w:left w:val="nil"/>
              <w:bottom w:val="nil"/>
              <w:right w:val="nil"/>
            </w:tcBorders>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5 393</w:t>
            </w:r>
          </w:p>
        </w:tc>
      </w:tr>
      <w:tr w:rsidR="00336793" w:rsidRPr="00F86434" w:rsidTr="00DF0B96">
        <w:tc>
          <w:tcPr>
            <w:tcW w:w="4517" w:type="dxa"/>
            <w:tcBorders>
              <w:top w:val="nil"/>
              <w:left w:val="nil"/>
              <w:bottom w:val="nil"/>
              <w:right w:val="nil"/>
            </w:tcBorders>
          </w:tcPr>
          <w:p w:rsidR="00336793" w:rsidRPr="00F86434" w:rsidRDefault="00336793" w:rsidP="00DF0B96">
            <w:pPr>
              <w:pStyle w:val="Tabletext"/>
              <w:rPr>
                <w:rFonts w:eastAsiaTheme="minorEastAsia"/>
                <w:lang w:eastAsia="en-AU"/>
              </w:rPr>
            </w:pPr>
            <w:r w:rsidRPr="00F86434">
              <w:rPr>
                <w:rFonts w:eastAsiaTheme="minorEastAsia"/>
                <w:lang w:eastAsia="en-AU"/>
              </w:rPr>
              <w:t xml:space="preserve">Justice and Regulation </w:t>
            </w:r>
          </w:p>
        </w:tc>
        <w:tc>
          <w:tcPr>
            <w:tcW w:w="117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129 861</w:t>
            </w:r>
          </w:p>
        </w:tc>
        <w:tc>
          <w:tcPr>
            <w:tcW w:w="1350" w:type="dxa"/>
            <w:tcBorders>
              <w:top w:val="nil"/>
              <w:left w:val="nil"/>
              <w:bottom w:val="nil"/>
              <w:right w:val="nil"/>
            </w:tcBorders>
          </w:tcPr>
          <w:p w:rsidR="00336793" w:rsidRPr="00F86434" w:rsidRDefault="00336793" w:rsidP="00DF0B96">
            <w:pPr>
              <w:pStyle w:val="TableofFigures"/>
              <w:rPr>
                <w:rFonts w:eastAsiaTheme="minorEastAsia" w:cs="Calibri"/>
                <w:color w:val="000000"/>
                <w:szCs w:val="22"/>
                <w:lang w:eastAsia="en-AU"/>
              </w:rPr>
            </w:pPr>
            <w:r w:rsidRPr="00F86434">
              <w:rPr>
                <w:rFonts w:eastAsiaTheme="minorEastAsia"/>
                <w:lang w:eastAsia="en-AU"/>
              </w:rPr>
              <w:t xml:space="preserve"> 105 649</w:t>
            </w:r>
          </w:p>
        </w:tc>
        <w:tc>
          <w:tcPr>
            <w:tcW w:w="148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w:t>
            </w:r>
          </w:p>
        </w:tc>
        <w:tc>
          <w:tcPr>
            <w:tcW w:w="1120" w:type="dxa"/>
            <w:tcBorders>
              <w:top w:val="nil"/>
              <w:left w:val="nil"/>
              <w:bottom w:val="nil"/>
              <w:right w:val="nil"/>
            </w:tcBorders>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235 510</w:t>
            </w:r>
          </w:p>
        </w:tc>
      </w:tr>
      <w:tr w:rsidR="00336793" w:rsidRPr="00F86434" w:rsidTr="00DF0B96">
        <w:tc>
          <w:tcPr>
            <w:tcW w:w="4517" w:type="dxa"/>
            <w:tcBorders>
              <w:top w:val="nil"/>
              <w:left w:val="nil"/>
              <w:bottom w:val="nil"/>
              <w:right w:val="nil"/>
            </w:tcBorders>
          </w:tcPr>
          <w:p w:rsidR="00336793" w:rsidRPr="00F86434" w:rsidRDefault="00336793" w:rsidP="00DF0B96">
            <w:pPr>
              <w:pStyle w:val="Tabletext"/>
              <w:rPr>
                <w:rFonts w:eastAsiaTheme="minorEastAsia"/>
                <w:lang w:eastAsia="en-AU"/>
              </w:rPr>
            </w:pPr>
            <w:r w:rsidRPr="00F86434">
              <w:rPr>
                <w:rFonts w:eastAsiaTheme="minorEastAsia"/>
                <w:lang w:eastAsia="en-AU"/>
              </w:rPr>
              <w:t>Premier and Cabinet</w:t>
            </w:r>
          </w:p>
        </w:tc>
        <w:tc>
          <w:tcPr>
            <w:tcW w:w="117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13 900</w:t>
            </w:r>
          </w:p>
        </w:tc>
        <w:tc>
          <w:tcPr>
            <w:tcW w:w="135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3 807</w:t>
            </w:r>
          </w:p>
        </w:tc>
        <w:tc>
          <w:tcPr>
            <w:tcW w:w="148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w:t>
            </w:r>
          </w:p>
        </w:tc>
        <w:tc>
          <w:tcPr>
            <w:tcW w:w="1120" w:type="dxa"/>
            <w:tcBorders>
              <w:top w:val="nil"/>
              <w:left w:val="nil"/>
              <w:bottom w:val="nil"/>
              <w:right w:val="nil"/>
            </w:tcBorders>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17 707</w:t>
            </w:r>
          </w:p>
        </w:tc>
      </w:tr>
      <w:tr w:rsidR="00336793" w:rsidRPr="00F86434" w:rsidTr="00DF0B96">
        <w:tc>
          <w:tcPr>
            <w:tcW w:w="4517" w:type="dxa"/>
            <w:tcBorders>
              <w:top w:val="nil"/>
              <w:left w:val="nil"/>
              <w:bottom w:val="nil"/>
              <w:right w:val="nil"/>
            </w:tcBorders>
          </w:tcPr>
          <w:p w:rsidR="00336793" w:rsidRPr="00F86434" w:rsidRDefault="00336793" w:rsidP="00DF0B96">
            <w:pPr>
              <w:pStyle w:val="Tabletext"/>
              <w:rPr>
                <w:rFonts w:eastAsiaTheme="minorEastAsia"/>
                <w:lang w:eastAsia="en-AU"/>
              </w:rPr>
            </w:pPr>
            <w:r w:rsidRPr="00F86434">
              <w:rPr>
                <w:rFonts w:eastAsiaTheme="minorEastAsia"/>
                <w:lang w:eastAsia="en-AU"/>
              </w:rPr>
              <w:t>Transport, Planning and Local Infrastructure</w:t>
            </w:r>
          </w:p>
        </w:tc>
        <w:tc>
          <w:tcPr>
            <w:tcW w:w="1170" w:type="dxa"/>
            <w:tcBorders>
              <w:top w:val="nil"/>
              <w:left w:val="nil"/>
              <w:bottom w:val="nil"/>
              <w:right w:val="nil"/>
            </w:tcBorders>
          </w:tcPr>
          <w:p w:rsidR="00336793" w:rsidRPr="00F86434" w:rsidRDefault="00336793" w:rsidP="00DF0B96">
            <w:pPr>
              <w:pStyle w:val="TableofFigures"/>
              <w:rPr>
                <w:rFonts w:eastAsiaTheme="minorEastAsia" w:cs="Calibri"/>
                <w:color w:val="000000"/>
                <w:szCs w:val="22"/>
                <w:lang w:eastAsia="en-AU"/>
              </w:rPr>
            </w:pPr>
            <w:r w:rsidRPr="00F86434">
              <w:rPr>
                <w:rFonts w:eastAsiaTheme="minorEastAsia"/>
                <w:lang w:eastAsia="en-AU"/>
              </w:rPr>
              <w:t xml:space="preserve"> 39 823</w:t>
            </w:r>
          </w:p>
        </w:tc>
        <w:tc>
          <w:tcPr>
            <w:tcW w:w="1350" w:type="dxa"/>
            <w:tcBorders>
              <w:top w:val="nil"/>
              <w:left w:val="nil"/>
              <w:bottom w:val="nil"/>
              <w:right w:val="nil"/>
            </w:tcBorders>
          </w:tcPr>
          <w:p w:rsidR="00336793" w:rsidRPr="00F86434" w:rsidRDefault="00336793" w:rsidP="00DF0B96">
            <w:pPr>
              <w:pStyle w:val="TableofFigures"/>
              <w:rPr>
                <w:rFonts w:eastAsiaTheme="minorEastAsia" w:cs="Calibri"/>
                <w:color w:val="000000"/>
                <w:szCs w:val="22"/>
                <w:lang w:eastAsia="en-AU"/>
              </w:rPr>
            </w:pPr>
            <w:r w:rsidRPr="00F86434">
              <w:rPr>
                <w:rFonts w:eastAsiaTheme="minorEastAsia"/>
                <w:lang w:eastAsia="en-AU"/>
              </w:rPr>
              <w:t xml:space="preserve"> 319 065</w:t>
            </w:r>
          </w:p>
        </w:tc>
        <w:tc>
          <w:tcPr>
            <w:tcW w:w="148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w:t>
            </w:r>
          </w:p>
        </w:tc>
        <w:tc>
          <w:tcPr>
            <w:tcW w:w="1120" w:type="dxa"/>
            <w:tcBorders>
              <w:top w:val="nil"/>
              <w:left w:val="nil"/>
              <w:bottom w:val="nil"/>
              <w:right w:val="nil"/>
            </w:tcBorders>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358 888</w:t>
            </w:r>
          </w:p>
        </w:tc>
      </w:tr>
      <w:tr w:rsidR="00336793" w:rsidRPr="00F86434" w:rsidTr="00DF0B96">
        <w:tc>
          <w:tcPr>
            <w:tcW w:w="4517" w:type="dxa"/>
            <w:tcBorders>
              <w:top w:val="nil"/>
              <w:left w:val="nil"/>
              <w:bottom w:val="nil"/>
              <w:right w:val="nil"/>
            </w:tcBorders>
          </w:tcPr>
          <w:p w:rsidR="00336793" w:rsidRPr="00F86434" w:rsidRDefault="00336793" w:rsidP="00DF0B96">
            <w:pPr>
              <w:pStyle w:val="Tabletext"/>
              <w:rPr>
                <w:rFonts w:eastAsiaTheme="minorEastAsia"/>
                <w:lang w:eastAsia="en-AU"/>
              </w:rPr>
            </w:pPr>
            <w:r w:rsidRPr="00F86434">
              <w:rPr>
                <w:rFonts w:eastAsiaTheme="minorEastAsia"/>
                <w:lang w:eastAsia="en-AU"/>
              </w:rPr>
              <w:t>Treasury and Finance</w:t>
            </w:r>
          </w:p>
        </w:tc>
        <w:tc>
          <w:tcPr>
            <w:tcW w:w="117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1 922</w:t>
            </w:r>
          </w:p>
        </w:tc>
        <w:tc>
          <w:tcPr>
            <w:tcW w:w="135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2 757</w:t>
            </w:r>
          </w:p>
        </w:tc>
        <w:tc>
          <w:tcPr>
            <w:tcW w:w="1480" w:type="dxa"/>
            <w:tcBorders>
              <w:top w:val="nil"/>
              <w:left w:val="nil"/>
              <w:bottom w:val="nil"/>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2 600</w:t>
            </w:r>
          </w:p>
        </w:tc>
        <w:tc>
          <w:tcPr>
            <w:tcW w:w="1120" w:type="dxa"/>
            <w:tcBorders>
              <w:top w:val="nil"/>
              <w:left w:val="nil"/>
              <w:bottom w:val="nil"/>
              <w:right w:val="nil"/>
            </w:tcBorders>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7 279</w:t>
            </w:r>
          </w:p>
        </w:tc>
      </w:tr>
      <w:tr w:rsidR="00336793" w:rsidRPr="00F86434" w:rsidTr="00DF0B96">
        <w:tc>
          <w:tcPr>
            <w:tcW w:w="4517" w:type="dxa"/>
            <w:tcBorders>
              <w:top w:val="nil"/>
              <w:left w:val="nil"/>
              <w:bottom w:val="single" w:sz="6" w:space="0" w:color="auto"/>
              <w:right w:val="nil"/>
            </w:tcBorders>
          </w:tcPr>
          <w:p w:rsidR="00336793" w:rsidRPr="00F86434" w:rsidRDefault="00336793" w:rsidP="00DF0B96">
            <w:pPr>
              <w:pStyle w:val="Tabletext"/>
              <w:rPr>
                <w:rFonts w:eastAsiaTheme="minorEastAsia"/>
                <w:lang w:eastAsia="en-AU"/>
              </w:rPr>
            </w:pPr>
            <w:r w:rsidRPr="00F86434">
              <w:rPr>
                <w:rFonts w:eastAsiaTheme="minorEastAsia"/>
                <w:lang w:eastAsia="en-AU"/>
              </w:rPr>
              <w:t>Parliament</w:t>
            </w:r>
          </w:p>
        </w:tc>
        <w:tc>
          <w:tcPr>
            <w:tcW w:w="1170" w:type="dxa"/>
            <w:tcBorders>
              <w:top w:val="nil"/>
              <w:left w:val="nil"/>
              <w:bottom w:val="single" w:sz="6" w:space="0" w:color="auto"/>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 xml:space="preserve"> 3 163</w:t>
            </w:r>
          </w:p>
        </w:tc>
        <w:tc>
          <w:tcPr>
            <w:tcW w:w="1350" w:type="dxa"/>
            <w:tcBorders>
              <w:top w:val="nil"/>
              <w:left w:val="nil"/>
              <w:bottom w:val="single" w:sz="6" w:space="0" w:color="auto"/>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w:t>
            </w:r>
          </w:p>
        </w:tc>
        <w:tc>
          <w:tcPr>
            <w:tcW w:w="1480" w:type="dxa"/>
            <w:tcBorders>
              <w:top w:val="nil"/>
              <w:left w:val="nil"/>
              <w:bottom w:val="single" w:sz="6" w:space="0" w:color="auto"/>
              <w:right w:val="nil"/>
            </w:tcBorders>
          </w:tcPr>
          <w:p w:rsidR="00336793" w:rsidRPr="00F86434" w:rsidRDefault="00336793" w:rsidP="00DF0B96">
            <w:pPr>
              <w:pStyle w:val="TableofFigures"/>
              <w:rPr>
                <w:rFonts w:eastAsiaTheme="minorEastAsia"/>
                <w:lang w:eastAsia="en-AU"/>
              </w:rPr>
            </w:pPr>
            <w:r w:rsidRPr="00F86434">
              <w:rPr>
                <w:rFonts w:eastAsiaTheme="minorEastAsia"/>
                <w:lang w:eastAsia="en-AU"/>
              </w:rPr>
              <w:t>..</w:t>
            </w:r>
          </w:p>
        </w:tc>
        <w:tc>
          <w:tcPr>
            <w:tcW w:w="1120" w:type="dxa"/>
            <w:tcBorders>
              <w:top w:val="nil"/>
              <w:left w:val="nil"/>
              <w:bottom w:val="single" w:sz="6" w:space="0" w:color="auto"/>
              <w:right w:val="nil"/>
            </w:tcBorders>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3 163</w:t>
            </w:r>
          </w:p>
        </w:tc>
      </w:tr>
      <w:tr w:rsidR="00336793" w:rsidRPr="00F86434" w:rsidTr="00DF0B96">
        <w:tc>
          <w:tcPr>
            <w:tcW w:w="4517" w:type="dxa"/>
            <w:tcBorders>
              <w:top w:val="single" w:sz="6" w:space="0" w:color="auto"/>
              <w:left w:val="nil"/>
              <w:bottom w:val="single" w:sz="12" w:space="0" w:color="000000"/>
              <w:right w:val="nil"/>
            </w:tcBorders>
            <w:shd w:val="clear" w:color="auto" w:fill="auto"/>
          </w:tcPr>
          <w:p w:rsidR="00336793" w:rsidRPr="00F86434" w:rsidRDefault="00336793" w:rsidP="00DF0B96">
            <w:pPr>
              <w:pStyle w:val="Tabletext"/>
              <w:rPr>
                <w:rFonts w:eastAsiaTheme="minorEastAsia"/>
                <w:b/>
                <w:bCs/>
                <w:lang w:eastAsia="en-AU"/>
              </w:rPr>
            </w:pPr>
            <w:r w:rsidRPr="00F86434">
              <w:rPr>
                <w:rFonts w:eastAsiaTheme="minorEastAsia"/>
                <w:b/>
                <w:bCs/>
                <w:lang w:eastAsia="en-AU"/>
              </w:rPr>
              <w:t>Total carryovers by department</w:t>
            </w:r>
          </w:p>
        </w:tc>
        <w:tc>
          <w:tcPr>
            <w:tcW w:w="1170" w:type="dxa"/>
            <w:tcBorders>
              <w:top w:val="single" w:sz="6" w:space="0" w:color="auto"/>
              <w:left w:val="nil"/>
              <w:bottom w:val="single" w:sz="12" w:space="0" w:color="000000"/>
              <w:right w:val="nil"/>
            </w:tcBorders>
            <w:shd w:val="clear" w:color="auto" w:fill="auto"/>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769 106</w:t>
            </w:r>
          </w:p>
        </w:tc>
        <w:tc>
          <w:tcPr>
            <w:tcW w:w="1350" w:type="dxa"/>
            <w:tcBorders>
              <w:top w:val="single" w:sz="6" w:space="0" w:color="auto"/>
              <w:left w:val="nil"/>
              <w:bottom w:val="single" w:sz="12" w:space="0" w:color="000000"/>
              <w:right w:val="nil"/>
            </w:tcBorders>
            <w:shd w:val="clear" w:color="auto" w:fill="auto"/>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702 334</w:t>
            </w:r>
          </w:p>
        </w:tc>
        <w:tc>
          <w:tcPr>
            <w:tcW w:w="1480" w:type="dxa"/>
            <w:tcBorders>
              <w:top w:val="single" w:sz="6" w:space="0" w:color="auto"/>
              <w:left w:val="nil"/>
              <w:bottom w:val="single" w:sz="12" w:space="0" w:color="000000"/>
              <w:right w:val="nil"/>
            </w:tcBorders>
            <w:shd w:val="clear" w:color="auto" w:fill="auto"/>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 xml:space="preserve"> 21 344</w:t>
            </w:r>
          </w:p>
        </w:tc>
        <w:tc>
          <w:tcPr>
            <w:tcW w:w="1120" w:type="dxa"/>
            <w:tcBorders>
              <w:top w:val="single" w:sz="6" w:space="0" w:color="auto"/>
              <w:left w:val="nil"/>
              <w:bottom w:val="single" w:sz="12" w:space="0" w:color="000000"/>
              <w:right w:val="nil"/>
            </w:tcBorders>
            <w:shd w:val="clear" w:color="auto" w:fill="auto"/>
          </w:tcPr>
          <w:p w:rsidR="00336793" w:rsidRPr="00F86434" w:rsidRDefault="00336793" w:rsidP="00DF0B96">
            <w:pPr>
              <w:pStyle w:val="TableofFigures"/>
              <w:rPr>
                <w:rFonts w:eastAsiaTheme="minorEastAsia"/>
                <w:b/>
                <w:bCs/>
                <w:lang w:eastAsia="en-AU"/>
              </w:rPr>
            </w:pPr>
            <w:r w:rsidRPr="00F86434">
              <w:rPr>
                <w:rFonts w:eastAsiaTheme="minorEastAsia"/>
                <w:b/>
                <w:bCs/>
                <w:lang w:eastAsia="en-AU"/>
              </w:rPr>
              <w:t>1 492 783</w:t>
            </w:r>
          </w:p>
        </w:tc>
      </w:tr>
    </w:tbl>
    <w:p w:rsidR="00336793" w:rsidRPr="006A75A2" w:rsidRDefault="00336793" w:rsidP="00DF0B96">
      <w:pPr>
        <w:pStyle w:val="Notes"/>
      </w:pPr>
    </w:p>
    <w:p w:rsidR="00336793" w:rsidRDefault="00336793" w:rsidP="00DF0B96">
      <w:pPr>
        <w:rPr>
          <w:rFonts w:asciiTheme="minorHAnsi" w:hAnsiTheme="minorHAnsi"/>
          <w:b/>
        </w:rPr>
      </w:pPr>
    </w:p>
    <w:p w:rsidR="00336793" w:rsidRPr="0098550D" w:rsidRDefault="00336793" w:rsidP="00DF0B96">
      <w:pPr>
        <w:rPr>
          <w:rFonts w:asciiTheme="minorHAnsi" w:hAnsiTheme="minorHAnsi"/>
          <w:b/>
        </w:rPr>
      </w:pPr>
      <w:r w:rsidRPr="0098550D">
        <w:rPr>
          <w:rFonts w:asciiTheme="minorHAnsi" w:hAnsiTheme="minorHAnsi"/>
          <w:b/>
        </w:rPr>
        <w:t>Amounts applied against carryover of appropriations in 2014</w:t>
      </w:r>
      <w:r>
        <w:rPr>
          <w:rFonts w:asciiTheme="minorHAnsi" w:hAnsiTheme="minorHAnsi"/>
          <w:b/>
        </w:rPr>
        <w:noBreakHyphen/>
      </w:r>
      <w:r w:rsidRPr="0098550D">
        <w:rPr>
          <w:rFonts w:asciiTheme="minorHAnsi" w:hAnsiTheme="minorHAnsi"/>
          <w:b/>
        </w:rPr>
        <w:t xml:space="preserve">15 </w:t>
      </w:r>
    </w:p>
    <w:p w:rsidR="00336793" w:rsidRPr="00A10A3B" w:rsidRDefault="00336793" w:rsidP="00DF0B96">
      <w:pPr>
        <w:pStyle w:val="million"/>
        <w:rPr>
          <w:rFonts w:ascii="Times New Roman" w:hAnsi="Times New Roman"/>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4553"/>
        <w:gridCol w:w="1134"/>
        <w:gridCol w:w="1276"/>
        <w:gridCol w:w="1579"/>
        <w:gridCol w:w="1095"/>
      </w:tblGrid>
      <w:tr w:rsidR="00336793" w:rsidRPr="00A10A3B" w:rsidTr="00DF0B96">
        <w:trPr>
          <w:trHeight w:val="450"/>
          <w:tblHeader/>
        </w:trPr>
        <w:tc>
          <w:tcPr>
            <w:tcW w:w="4553"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p>
          <w:p w:rsidR="00336793" w:rsidRPr="00A10A3B" w:rsidRDefault="00336793" w:rsidP="00DF0B96">
            <w:pPr>
              <w:pStyle w:val="Tabletext"/>
              <w:rPr>
                <w:rFonts w:eastAsiaTheme="minorEastAsia"/>
                <w:i/>
                <w:lang w:eastAsia="en-AU"/>
              </w:rPr>
            </w:pPr>
          </w:p>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Department </w:t>
            </w:r>
          </w:p>
        </w:tc>
        <w:tc>
          <w:tcPr>
            <w:tcW w:w="1134"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p>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Provision of outputs</w:t>
            </w:r>
          </w:p>
        </w:tc>
        <w:tc>
          <w:tcPr>
            <w:tcW w:w="1276"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p>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Additions to net assets</w:t>
            </w:r>
          </w:p>
        </w:tc>
        <w:tc>
          <w:tcPr>
            <w:tcW w:w="1579"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Payments made on behalf of State</w:t>
            </w:r>
          </w:p>
        </w:tc>
        <w:tc>
          <w:tcPr>
            <w:tcW w:w="1095"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p>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Total carryover</w:t>
            </w:r>
          </w:p>
        </w:tc>
      </w:tr>
      <w:tr w:rsidR="00336793" w:rsidRPr="00A10A3B" w:rsidTr="00DF0B96">
        <w:tc>
          <w:tcPr>
            <w:tcW w:w="4553"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Economic Development, Jobs, Transport and Resources</w:t>
            </w:r>
          </w:p>
        </w:tc>
        <w:tc>
          <w:tcPr>
            <w:tcW w:w="1134"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90 395</w:t>
            </w:r>
          </w:p>
        </w:tc>
        <w:tc>
          <w:tcPr>
            <w:tcW w:w="1276"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72 417</w:t>
            </w:r>
          </w:p>
        </w:tc>
        <w:tc>
          <w:tcPr>
            <w:tcW w:w="1579"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656</w:t>
            </w:r>
          </w:p>
        </w:tc>
        <w:tc>
          <w:tcPr>
            <w:tcW w:w="1095" w:type="dxa"/>
            <w:tcBorders>
              <w:top w:val="single" w:sz="6" w:space="0" w:color="auto"/>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163 468</w:t>
            </w:r>
          </w:p>
        </w:tc>
      </w:tr>
      <w:tr w:rsidR="00336793" w:rsidRPr="00A10A3B" w:rsidTr="00DF0B96">
        <w:tc>
          <w:tcPr>
            <w:tcW w:w="4553"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Education and Training</w:t>
            </w:r>
          </w:p>
        </w:tc>
        <w:tc>
          <w:tcPr>
            <w:tcW w:w="1134"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229 191</w:t>
            </w:r>
          </w:p>
        </w:tc>
        <w:tc>
          <w:tcPr>
            <w:tcW w:w="1276"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10 184</w:t>
            </w:r>
          </w:p>
        </w:tc>
        <w:tc>
          <w:tcPr>
            <w:tcW w:w="1579"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09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239 375</w:t>
            </w:r>
          </w:p>
        </w:tc>
      </w:tr>
      <w:tr w:rsidR="00336793" w:rsidRPr="00A10A3B" w:rsidTr="00DF0B96">
        <w:tc>
          <w:tcPr>
            <w:tcW w:w="4553"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Environment, Land, Water and Planning</w:t>
            </w:r>
          </w:p>
        </w:tc>
        <w:tc>
          <w:tcPr>
            <w:tcW w:w="1134"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147 456</w:t>
            </w:r>
          </w:p>
        </w:tc>
        <w:tc>
          <w:tcPr>
            <w:tcW w:w="1276"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39 682</w:t>
            </w:r>
          </w:p>
        </w:tc>
        <w:tc>
          <w:tcPr>
            <w:tcW w:w="1579"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3 288</w:t>
            </w:r>
          </w:p>
        </w:tc>
        <w:tc>
          <w:tcPr>
            <w:tcW w:w="109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190 426</w:t>
            </w:r>
          </w:p>
        </w:tc>
      </w:tr>
      <w:tr w:rsidR="00336793" w:rsidRPr="00A10A3B" w:rsidTr="00DF0B96">
        <w:tc>
          <w:tcPr>
            <w:tcW w:w="4553"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Health and Human Services</w:t>
            </w:r>
          </w:p>
        </w:tc>
        <w:tc>
          <w:tcPr>
            <w:tcW w:w="1134"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100 992</w:t>
            </w:r>
          </w:p>
        </w:tc>
        <w:tc>
          <w:tcPr>
            <w:tcW w:w="1276"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116 690</w:t>
            </w:r>
          </w:p>
        </w:tc>
        <w:tc>
          <w:tcPr>
            <w:tcW w:w="1579"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09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217 682</w:t>
            </w:r>
          </w:p>
        </w:tc>
      </w:tr>
      <w:tr w:rsidR="00336793" w:rsidRPr="00A10A3B" w:rsidTr="00DF0B96">
        <w:tc>
          <w:tcPr>
            <w:tcW w:w="4553"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Human Services</w:t>
            </w:r>
          </w:p>
        </w:tc>
        <w:tc>
          <w:tcPr>
            <w:tcW w:w="1134"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276" w:type="dxa"/>
            <w:tcBorders>
              <w:top w:val="nil"/>
              <w:left w:val="nil"/>
              <w:bottom w:val="nil"/>
              <w:right w:val="nil"/>
            </w:tcBorders>
          </w:tcPr>
          <w:p w:rsidR="00336793" w:rsidRPr="00A10A3B" w:rsidRDefault="00336793" w:rsidP="00DF0B96">
            <w:pPr>
              <w:pStyle w:val="TableofFigures"/>
              <w:rPr>
                <w:rFonts w:eastAsiaTheme="minorEastAsia"/>
                <w:lang w:eastAsia="en-AU"/>
              </w:rPr>
            </w:pPr>
            <w:r>
              <w:rPr>
                <w:rFonts w:eastAsiaTheme="minorEastAsia"/>
                <w:lang w:eastAsia="en-AU"/>
              </w:rPr>
              <w:t>5 393</w:t>
            </w:r>
          </w:p>
        </w:tc>
        <w:tc>
          <w:tcPr>
            <w:tcW w:w="1579"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09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5 393</w:t>
            </w:r>
          </w:p>
        </w:tc>
      </w:tr>
      <w:tr w:rsidR="00336793" w:rsidRPr="00A10A3B" w:rsidTr="00DF0B96">
        <w:tc>
          <w:tcPr>
            <w:tcW w:w="4553"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Justice and Regulation</w:t>
            </w:r>
          </w:p>
        </w:tc>
        <w:tc>
          <w:tcPr>
            <w:tcW w:w="1134"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129 861</w:t>
            </w:r>
          </w:p>
        </w:tc>
        <w:tc>
          <w:tcPr>
            <w:tcW w:w="1276"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94 334</w:t>
            </w:r>
          </w:p>
        </w:tc>
        <w:tc>
          <w:tcPr>
            <w:tcW w:w="1579"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09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224 195</w:t>
            </w:r>
          </w:p>
        </w:tc>
      </w:tr>
      <w:tr w:rsidR="00336793" w:rsidRPr="00A10A3B" w:rsidTr="00DF0B96">
        <w:tc>
          <w:tcPr>
            <w:tcW w:w="4553"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Premier and Cabinet</w:t>
            </w:r>
          </w:p>
        </w:tc>
        <w:tc>
          <w:tcPr>
            <w:tcW w:w="1134"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13 900</w:t>
            </w:r>
          </w:p>
        </w:tc>
        <w:tc>
          <w:tcPr>
            <w:tcW w:w="1276"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3 807</w:t>
            </w:r>
          </w:p>
        </w:tc>
        <w:tc>
          <w:tcPr>
            <w:tcW w:w="1579"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09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17 707</w:t>
            </w:r>
          </w:p>
        </w:tc>
      </w:tr>
      <w:tr w:rsidR="00336793" w:rsidRPr="00A10A3B" w:rsidTr="00DF0B96">
        <w:tc>
          <w:tcPr>
            <w:tcW w:w="4553"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Transport, Planning and Local Infrastructure</w:t>
            </w:r>
          </w:p>
        </w:tc>
        <w:tc>
          <w:tcPr>
            <w:tcW w:w="1134"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39 823</w:t>
            </w:r>
          </w:p>
        </w:tc>
        <w:tc>
          <w:tcPr>
            <w:tcW w:w="1276"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319 065</w:t>
            </w:r>
          </w:p>
        </w:tc>
        <w:tc>
          <w:tcPr>
            <w:tcW w:w="1579"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09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358 888</w:t>
            </w:r>
          </w:p>
        </w:tc>
      </w:tr>
      <w:tr w:rsidR="00336793" w:rsidRPr="00A10A3B" w:rsidTr="00DF0B96">
        <w:tc>
          <w:tcPr>
            <w:tcW w:w="4553"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Treasury and Finance</w:t>
            </w:r>
          </w:p>
        </w:tc>
        <w:tc>
          <w:tcPr>
            <w:tcW w:w="1134"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1 921</w:t>
            </w:r>
          </w:p>
        </w:tc>
        <w:tc>
          <w:tcPr>
            <w:tcW w:w="1276"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579"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2 600</w:t>
            </w:r>
          </w:p>
        </w:tc>
        <w:tc>
          <w:tcPr>
            <w:tcW w:w="109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4 521</w:t>
            </w:r>
          </w:p>
        </w:tc>
      </w:tr>
      <w:tr w:rsidR="00336793" w:rsidRPr="00A10A3B" w:rsidTr="00DF0B96">
        <w:tc>
          <w:tcPr>
            <w:tcW w:w="4553"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Parliament</w:t>
            </w:r>
          </w:p>
        </w:tc>
        <w:tc>
          <w:tcPr>
            <w:tcW w:w="1134"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3 162</w:t>
            </w:r>
          </w:p>
        </w:tc>
        <w:tc>
          <w:tcPr>
            <w:tcW w:w="1276" w:type="dxa"/>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c>
          <w:tcPr>
            <w:tcW w:w="1579" w:type="dxa"/>
            <w:tcBorders>
              <w:top w:val="nil"/>
              <w:left w:val="nil"/>
              <w:bottom w:val="single" w:sz="6" w:space="0" w:color="auto"/>
              <w:right w:val="nil"/>
            </w:tcBorders>
          </w:tcPr>
          <w:p w:rsidR="00336793" w:rsidRPr="00A10A3B" w:rsidRDefault="00336793" w:rsidP="00DF0B96">
            <w:pPr>
              <w:pStyle w:val="TableofFigures"/>
              <w:rPr>
                <w:rFonts w:eastAsiaTheme="minorEastAsia" w:cs="Calibri"/>
                <w:color w:val="000000"/>
                <w:szCs w:val="22"/>
                <w:lang w:eastAsia="en-AU"/>
              </w:rPr>
            </w:pPr>
            <w:r w:rsidRPr="00A10A3B">
              <w:rPr>
                <w:rFonts w:eastAsiaTheme="minorEastAsia"/>
                <w:lang w:eastAsia="en-AU"/>
              </w:rPr>
              <w:t>..</w:t>
            </w:r>
          </w:p>
        </w:tc>
        <w:tc>
          <w:tcPr>
            <w:tcW w:w="1095"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3 162</w:t>
            </w:r>
          </w:p>
        </w:tc>
      </w:tr>
      <w:tr w:rsidR="00336793" w:rsidRPr="00A10A3B" w:rsidTr="00DF0B96">
        <w:tc>
          <w:tcPr>
            <w:tcW w:w="4553"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carryovers by department</w:t>
            </w:r>
          </w:p>
        </w:tc>
        <w:tc>
          <w:tcPr>
            <w:tcW w:w="1134"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756 702</w:t>
            </w:r>
          </w:p>
        </w:tc>
        <w:tc>
          <w:tcPr>
            <w:tcW w:w="1276"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Pr>
                <w:rFonts w:eastAsiaTheme="minorEastAsia"/>
                <w:b/>
                <w:bCs/>
                <w:lang w:eastAsia="en-AU"/>
              </w:rPr>
              <w:t xml:space="preserve"> 661 571</w:t>
            </w:r>
          </w:p>
        </w:tc>
        <w:tc>
          <w:tcPr>
            <w:tcW w:w="1579"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6 545</w:t>
            </w:r>
          </w:p>
        </w:tc>
        <w:tc>
          <w:tcPr>
            <w:tcW w:w="1095"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Pr>
                <w:rFonts w:eastAsiaTheme="minorEastAsia"/>
                <w:b/>
                <w:bCs/>
                <w:lang w:eastAsia="en-AU"/>
              </w:rPr>
              <w:t>1 424 818</w:t>
            </w:r>
          </w:p>
        </w:tc>
      </w:tr>
    </w:tbl>
    <w:p w:rsidR="00336793" w:rsidRPr="006A75A2" w:rsidRDefault="00336793" w:rsidP="00DF0B96">
      <w:pPr>
        <w:pStyle w:val="Notes"/>
      </w:pPr>
    </w:p>
    <w:p w:rsidR="00336793" w:rsidRDefault="00336793" w:rsidP="00DF0B96">
      <w:pPr>
        <w:rPr>
          <w:lang w:eastAsia="en-AU"/>
        </w:rPr>
      </w:pPr>
    </w:p>
    <w:p w:rsidR="00336793" w:rsidRDefault="00336793" w:rsidP="00DF0B96">
      <w:pPr>
        <w:spacing w:after="0"/>
        <w:rPr>
          <w:rFonts w:ascii="Calibri" w:hAnsi="Calibri"/>
          <w:b/>
        </w:rPr>
      </w:pPr>
      <w:r>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(k)</w:t>
      </w:r>
      <w:r w:rsidRPr="006A75A2">
        <w:tab/>
      </w:r>
      <w:r w:rsidRPr="002A1F2F">
        <w:t xml:space="preserve">Section 32 carryovers – </w:t>
      </w:r>
      <w:r w:rsidRPr="00590F0A">
        <w:rPr>
          <w:i/>
        </w:rPr>
        <w:t>Financial Management Act 1994</w:t>
      </w:r>
      <w:r w:rsidRPr="002A1F2F">
        <w:t xml:space="preserve"> for the f</w:t>
      </w:r>
      <w:r>
        <w:t>inancial year ended 30 June 2015</w:t>
      </w:r>
      <w:r>
        <w:rPr>
          <w:vertAlign w:val="superscript"/>
        </w:rPr>
        <w:t xml:space="preserve"> (a)</w:t>
      </w:r>
      <w:r w:rsidRPr="006A75A2">
        <w:rPr>
          <w:i/>
        </w:rPr>
        <w:t xml:space="preserve"> (continued)</w:t>
      </w:r>
    </w:p>
    <w:p w:rsidR="00336793" w:rsidRPr="0098550D" w:rsidRDefault="00336793" w:rsidP="00DF0B96">
      <w:pPr>
        <w:rPr>
          <w:rFonts w:asciiTheme="minorHAnsi" w:hAnsiTheme="minorHAnsi"/>
          <w:b/>
          <w:lang w:eastAsia="en-AU"/>
        </w:rPr>
      </w:pPr>
      <w:r w:rsidRPr="0098550D">
        <w:rPr>
          <w:rFonts w:asciiTheme="minorHAnsi" w:hAnsiTheme="minorHAnsi"/>
          <w:b/>
          <w:lang w:eastAsia="en-AU"/>
        </w:rPr>
        <w:t>Amounts approved for carryover to 2015</w:t>
      </w:r>
      <w:r>
        <w:rPr>
          <w:rFonts w:asciiTheme="minorHAnsi" w:hAnsiTheme="minorHAnsi"/>
          <w:b/>
          <w:lang w:eastAsia="en-AU"/>
        </w:rPr>
        <w:noBreakHyphen/>
      </w:r>
      <w:r w:rsidRPr="0098550D">
        <w:rPr>
          <w:rFonts w:asciiTheme="minorHAnsi" w:hAnsiTheme="minorHAnsi"/>
          <w:b/>
          <w:lang w:eastAsia="en-AU"/>
        </w:rPr>
        <w:t>16</w:t>
      </w:r>
    </w:p>
    <w:p w:rsidR="00336793" w:rsidRPr="00A10A3B" w:rsidRDefault="00336793" w:rsidP="00DF0B96">
      <w:pPr>
        <w:pStyle w:val="million"/>
        <w:rPr>
          <w:rFonts w:ascii="Times New Roman" w:hAnsi="Times New Roman"/>
          <w:lang w:eastAsia="en-AU"/>
        </w:rPr>
      </w:pPr>
      <w:r>
        <w:rPr>
          <w:lang w:eastAsia="en-AU"/>
        </w:rPr>
        <w:t>($ thousand)</w:t>
      </w:r>
    </w:p>
    <w:tbl>
      <w:tblPr>
        <w:tblW w:w="9637" w:type="dxa"/>
        <w:tblInd w:w="28" w:type="dxa"/>
        <w:tblLayout w:type="fixed"/>
        <w:tblCellMar>
          <w:left w:w="45" w:type="dxa"/>
          <w:right w:w="45" w:type="dxa"/>
        </w:tblCellMar>
        <w:tblLook w:val="0000" w:firstRow="0" w:lastRow="0" w:firstColumn="0" w:lastColumn="0" w:noHBand="0" w:noVBand="0"/>
      </w:tblPr>
      <w:tblGrid>
        <w:gridCol w:w="4247"/>
        <w:gridCol w:w="1260"/>
        <w:gridCol w:w="1440"/>
        <w:gridCol w:w="1575"/>
        <w:gridCol w:w="1115"/>
      </w:tblGrid>
      <w:tr w:rsidR="00336793" w:rsidRPr="00A10A3B" w:rsidTr="00DF0B96">
        <w:trPr>
          <w:tblHeader/>
        </w:trPr>
        <w:tc>
          <w:tcPr>
            <w:tcW w:w="4247"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p>
          <w:p w:rsidR="00336793" w:rsidRPr="00A10A3B" w:rsidRDefault="00336793" w:rsidP="00DF0B96">
            <w:pPr>
              <w:pStyle w:val="Tabletext"/>
              <w:rPr>
                <w:rFonts w:eastAsiaTheme="minorEastAsia"/>
                <w:i/>
                <w:lang w:eastAsia="en-AU"/>
              </w:rPr>
            </w:pPr>
          </w:p>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Department </w:t>
            </w:r>
          </w:p>
        </w:tc>
        <w:tc>
          <w:tcPr>
            <w:tcW w:w="126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p>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Provision of outputs</w:t>
            </w:r>
          </w:p>
        </w:tc>
        <w:tc>
          <w:tcPr>
            <w:tcW w:w="144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p>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Additions to net assets</w:t>
            </w:r>
          </w:p>
        </w:tc>
        <w:tc>
          <w:tcPr>
            <w:tcW w:w="1575"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s="Calibri"/>
                <w:iCs/>
                <w:color w:val="FFFFFF"/>
                <w:szCs w:val="22"/>
                <w:lang w:eastAsia="en-AU"/>
              </w:rPr>
            </w:pPr>
            <w:r w:rsidRPr="00A10A3B">
              <w:rPr>
                <w:rFonts w:eastAsiaTheme="minorEastAsia"/>
                <w:color w:val="FFFFFF"/>
                <w:lang w:eastAsia="en-AU"/>
              </w:rPr>
              <w:t>Payments made on behalf of</w:t>
            </w:r>
            <w:r w:rsidRPr="00A10A3B">
              <w:rPr>
                <w:rFonts w:eastAsiaTheme="minorEastAsia" w:cs="Calibri"/>
                <w:iCs/>
                <w:color w:val="FFFFFF"/>
                <w:szCs w:val="22"/>
                <w:lang w:eastAsia="en-AU"/>
              </w:rPr>
              <w:t xml:space="preserve"> State</w:t>
            </w:r>
          </w:p>
        </w:tc>
        <w:tc>
          <w:tcPr>
            <w:tcW w:w="1115"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p>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Total carryover</w:t>
            </w:r>
          </w:p>
        </w:tc>
      </w:tr>
      <w:tr w:rsidR="00336793" w:rsidRPr="00A10A3B" w:rsidTr="00DF0B96">
        <w:tc>
          <w:tcPr>
            <w:tcW w:w="4247"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Economic Development, Jobs, Transport and Resources</w:t>
            </w:r>
          </w:p>
        </w:tc>
        <w:tc>
          <w:tcPr>
            <w:tcW w:w="126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135 622</w:t>
            </w:r>
          </w:p>
        </w:tc>
        <w:tc>
          <w:tcPr>
            <w:tcW w:w="144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Pr>
                <w:rFonts w:eastAsiaTheme="minorEastAsia"/>
                <w:lang w:eastAsia="en-AU"/>
              </w:rPr>
              <w:t xml:space="preserve"> 97 622</w:t>
            </w:r>
          </w:p>
        </w:tc>
        <w:tc>
          <w:tcPr>
            <w:tcW w:w="1575"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2 736</w:t>
            </w:r>
          </w:p>
        </w:tc>
        <w:tc>
          <w:tcPr>
            <w:tcW w:w="1115" w:type="dxa"/>
            <w:tcBorders>
              <w:top w:val="single" w:sz="6" w:space="0" w:color="auto"/>
              <w:left w:val="nil"/>
              <w:bottom w:val="nil"/>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 xml:space="preserve"> 235 980</w:t>
            </w:r>
          </w:p>
        </w:tc>
      </w:tr>
      <w:tr w:rsidR="00336793" w:rsidRPr="00A10A3B" w:rsidTr="00DF0B96">
        <w:tc>
          <w:tcPr>
            <w:tcW w:w="424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Education and Training</w:t>
            </w:r>
          </w:p>
        </w:tc>
        <w:tc>
          <w:tcPr>
            <w:tcW w:w="126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325 064</w:t>
            </w:r>
          </w:p>
        </w:tc>
        <w:tc>
          <w:tcPr>
            <w:tcW w:w="144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575"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1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325 064</w:t>
            </w:r>
          </w:p>
        </w:tc>
      </w:tr>
      <w:tr w:rsidR="00336793" w:rsidRPr="00A10A3B" w:rsidTr="00DF0B96">
        <w:tc>
          <w:tcPr>
            <w:tcW w:w="424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Environment, Land, Water and Planning</w:t>
            </w:r>
          </w:p>
        </w:tc>
        <w:tc>
          <w:tcPr>
            <w:tcW w:w="126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81 432</w:t>
            </w:r>
          </w:p>
        </w:tc>
        <w:tc>
          <w:tcPr>
            <w:tcW w:w="1440" w:type="dxa"/>
            <w:tcBorders>
              <w:top w:val="nil"/>
              <w:left w:val="nil"/>
              <w:bottom w:val="nil"/>
              <w:right w:val="nil"/>
            </w:tcBorders>
          </w:tcPr>
          <w:p w:rsidR="00336793" w:rsidRPr="00A10A3B" w:rsidRDefault="00336793" w:rsidP="00DF0B96">
            <w:pPr>
              <w:pStyle w:val="TableofFigures"/>
              <w:rPr>
                <w:rFonts w:eastAsiaTheme="minorEastAsia"/>
                <w:lang w:eastAsia="en-AU"/>
              </w:rPr>
            </w:pPr>
            <w:r>
              <w:rPr>
                <w:rFonts w:eastAsiaTheme="minorEastAsia"/>
                <w:lang w:eastAsia="en-AU"/>
              </w:rPr>
              <w:t xml:space="preserve"> 24 746</w:t>
            </w:r>
          </w:p>
        </w:tc>
        <w:tc>
          <w:tcPr>
            <w:tcW w:w="1575"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8 712</w:t>
            </w:r>
          </w:p>
        </w:tc>
        <w:tc>
          <w:tcPr>
            <w:tcW w:w="111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 xml:space="preserve"> 114 89</w:t>
            </w:r>
            <w:r w:rsidRPr="00A10A3B">
              <w:rPr>
                <w:rFonts w:eastAsiaTheme="minorEastAsia"/>
                <w:b/>
                <w:bCs/>
                <w:lang w:eastAsia="en-AU"/>
              </w:rPr>
              <w:t>0</w:t>
            </w:r>
          </w:p>
        </w:tc>
      </w:tr>
      <w:tr w:rsidR="00336793" w:rsidRPr="00A10A3B" w:rsidTr="00DF0B96">
        <w:tc>
          <w:tcPr>
            <w:tcW w:w="424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Health and Human Services</w:t>
            </w:r>
          </w:p>
        </w:tc>
        <w:tc>
          <w:tcPr>
            <w:tcW w:w="126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158 918</w:t>
            </w:r>
          </w:p>
        </w:tc>
        <w:tc>
          <w:tcPr>
            <w:tcW w:w="144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3 000</w:t>
            </w:r>
          </w:p>
        </w:tc>
        <w:tc>
          <w:tcPr>
            <w:tcW w:w="1575"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1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161 918</w:t>
            </w:r>
          </w:p>
        </w:tc>
      </w:tr>
      <w:tr w:rsidR="00336793" w:rsidRPr="00A10A3B" w:rsidTr="00DF0B96">
        <w:tc>
          <w:tcPr>
            <w:tcW w:w="424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Justice and Regulation</w:t>
            </w:r>
          </w:p>
        </w:tc>
        <w:tc>
          <w:tcPr>
            <w:tcW w:w="126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99 468</w:t>
            </w:r>
          </w:p>
        </w:tc>
        <w:tc>
          <w:tcPr>
            <w:tcW w:w="144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119 608</w:t>
            </w:r>
          </w:p>
        </w:tc>
        <w:tc>
          <w:tcPr>
            <w:tcW w:w="1575"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1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219 076</w:t>
            </w:r>
          </w:p>
        </w:tc>
      </w:tr>
      <w:tr w:rsidR="00336793" w:rsidRPr="00A10A3B" w:rsidTr="00DF0B96">
        <w:tc>
          <w:tcPr>
            <w:tcW w:w="424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Premier and Cabinet</w:t>
            </w:r>
          </w:p>
        </w:tc>
        <w:tc>
          <w:tcPr>
            <w:tcW w:w="126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20 302</w:t>
            </w:r>
          </w:p>
        </w:tc>
        <w:tc>
          <w:tcPr>
            <w:tcW w:w="144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2 200</w:t>
            </w:r>
          </w:p>
        </w:tc>
        <w:tc>
          <w:tcPr>
            <w:tcW w:w="1575"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1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22 502</w:t>
            </w:r>
          </w:p>
        </w:tc>
      </w:tr>
      <w:tr w:rsidR="00336793" w:rsidRPr="00A10A3B" w:rsidTr="00DF0B96">
        <w:tc>
          <w:tcPr>
            <w:tcW w:w="424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Treasury and Finance</w:t>
            </w:r>
          </w:p>
        </w:tc>
        <w:tc>
          <w:tcPr>
            <w:tcW w:w="126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2 202</w:t>
            </w:r>
          </w:p>
        </w:tc>
        <w:tc>
          <w:tcPr>
            <w:tcW w:w="144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398</w:t>
            </w:r>
          </w:p>
        </w:tc>
        <w:tc>
          <w:tcPr>
            <w:tcW w:w="1575"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9 255</w:t>
            </w:r>
          </w:p>
        </w:tc>
        <w:tc>
          <w:tcPr>
            <w:tcW w:w="111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11 855</w:t>
            </w:r>
          </w:p>
        </w:tc>
      </w:tr>
      <w:tr w:rsidR="00336793" w:rsidRPr="00A10A3B" w:rsidTr="00DF0B96">
        <w:tc>
          <w:tcPr>
            <w:tcW w:w="424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Parliament</w:t>
            </w:r>
          </w:p>
        </w:tc>
        <w:tc>
          <w:tcPr>
            <w:tcW w:w="126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2 872</w:t>
            </w:r>
          </w:p>
        </w:tc>
        <w:tc>
          <w:tcPr>
            <w:tcW w:w="144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575"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15"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2 872</w:t>
            </w:r>
          </w:p>
        </w:tc>
      </w:tr>
      <w:tr w:rsidR="00336793" w:rsidRPr="00A10A3B" w:rsidTr="00DF0B96">
        <w:tc>
          <w:tcPr>
            <w:tcW w:w="4247" w:type="dxa"/>
            <w:tcBorders>
              <w:top w:val="nil"/>
              <w:left w:val="nil"/>
              <w:bottom w:val="single" w:sz="6" w:space="0" w:color="auto"/>
              <w:right w:val="nil"/>
            </w:tcBorders>
          </w:tcPr>
          <w:p w:rsidR="00336793" w:rsidRPr="007A196C" w:rsidRDefault="00336793" w:rsidP="00DF0B96">
            <w:pPr>
              <w:pStyle w:val="Tabletext"/>
              <w:rPr>
                <w:rFonts w:eastAsiaTheme="minorEastAsia"/>
                <w:vertAlign w:val="superscript"/>
                <w:lang w:eastAsia="en-AU"/>
              </w:rPr>
            </w:pPr>
            <w:r w:rsidRPr="00A10A3B">
              <w:rPr>
                <w:rFonts w:eastAsiaTheme="minorEastAsia"/>
                <w:lang w:eastAsia="en-AU"/>
              </w:rPr>
              <w:t>Courts</w:t>
            </w:r>
            <w:r w:rsidRPr="00E96950">
              <w:rPr>
                <w:rFonts w:eastAsiaTheme="minorEastAsia"/>
                <w:vertAlign w:val="superscript"/>
                <w:lang w:eastAsia="en-AU"/>
              </w:rPr>
              <w:t xml:space="preserve"> (</w:t>
            </w:r>
            <w:r>
              <w:rPr>
                <w:rFonts w:eastAsiaTheme="minorEastAsia"/>
                <w:vertAlign w:val="superscript"/>
                <w:lang w:eastAsia="en-AU"/>
              </w:rPr>
              <w:t>b)</w:t>
            </w:r>
          </w:p>
        </w:tc>
        <w:tc>
          <w:tcPr>
            <w:tcW w:w="126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4 803</w:t>
            </w:r>
          </w:p>
        </w:tc>
        <w:tc>
          <w:tcPr>
            <w:tcW w:w="144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5 235</w:t>
            </w:r>
          </w:p>
        </w:tc>
        <w:tc>
          <w:tcPr>
            <w:tcW w:w="1575"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15"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10 038</w:t>
            </w:r>
          </w:p>
        </w:tc>
      </w:tr>
      <w:tr w:rsidR="00336793" w:rsidRPr="00A10A3B" w:rsidTr="00DF0B96">
        <w:tc>
          <w:tcPr>
            <w:tcW w:w="424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carryovers by department</w:t>
            </w:r>
          </w:p>
        </w:tc>
        <w:tc>
          <w:tcPr>
            <w:tcW w:w="126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830 683</w:t>
            </w:r>
          </w:p>
        </w:tc>
        <w:tc>
          <w:tcPr>
            <w:tcW w:w="144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252 808</w:t>
            </w:r>
          </w:p>
        </w:tc>
        <w:tc>
          <w:tcPr>
            <w:tcW w:w="1575"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20 703</w:t>
            </w:r>
          </w:p>
        </w:tc>
        <w:tc>
          <w:tcPr>
            <w:tcW w:w="1115"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1 104 194</w:t>
            </w:r>
          </w:p>
        </w:tc>
      </w:tr>
    </w:tbl>
    <w:p w:rsidR="00336793" w:rsidRPr="006A75A2" w:rsidRDefault="00336793" w:rsidP="00DF0B96">
      <w:pPr>
        <w:pStyle w:val="Notes"/>
      </w:pPr>
      <w:r w:rsidRPr="006A75A2">
        <w:t>Note</w:t>
      </w:r>
      <w:r>
        <w:t>s</w:t>
      </w:r>
      <w:r w:rsidRPr="006A75A2">
        <w:t>:</w:t>
      </w:r>
    </w:p>
    <w:p w:rsidR="00336793" w:rsidRDefault="00336793" w:rsidP="00DF0B96">
      <w:pPr>
        <w:pStyle w:val="Notes"/>
      </w:pPr>
      <w:r>
        <w:t>(a)</w:t>
      </w:r>
      <w:r w:rsidRPr="006A75A2">
        <w:tab/>
      </w:r>
      <w:r>
        <w:t>Effective 1 January 2015 several departments were renamed due to machinery of government changes:</w:t>
      </w:r>
    </w:p>
    <w:p w:rsidR="00336793" w:rsidRDefault="00336793" w:rsidP="00DF0B96">
      <w:pPr>
        <w:pStyle w:val="NotesDash"/>
      </w:pPr>
      <w:r>
        <w:t>the Department of Education and Early Childhood Development was renamed the Department of Education and Training;</w:t>
      </w:r>
    </w:p>
    <w:p w:rsidR="00336793" w:rsidRDefault="00336793" w:rsidP="00DF0B96">
      <w:pPr>
        <w:pStyle w:val="NotesDash"/>
      </w:pPr>
      <w:r>
        <w:t>the Department of Environment and Primary Industries was renamed the Department of Environment, Land, Water and Planning;</w:t>
      </w:r>
    </w:p>
    <w:p w:rsidR="00336793" w:rsidRDefault="00336793" w:rsidP="00DF0B96">
      <w:pPr>
        <w:pStyle w:val="NotesDash"/>
      </w:pPr>
      <w:r>
        <w:t>the Department of Health was renamed the Department of Health and Human Services;</w:t>
      </w:r>
    </w:p>
    <w:p w:rsidR="00336793" w:rsidRDefault="00336793" w:rsidP="00DF0B96">
      <w:pPr>
        <w:pStyle w:val="NotesDash"/>
      </w:pPr>
      <w:r>
        <w:t xml:space="preserve">the Department of Justice was renamed the Department of Justice and Regulation; </w:t>
      </w:r>
    </w:p>
    <w:p w:rsidR="00336793" w:rsidRDefault="00336793" w:rsidP="00DF0B96">
      <w:pPr>
        <w:pStyle w:val="NotesDash"/>
      </w:pPr>
      <w:r>
        <w:t xml:space="preserve">the Department of State Development, Business and Innovation was renamed the Department of Economic Development, Jobs, Transport and Resources; </w:t>
      </w:r>
    </w:p>
    <w:p w:rsidR="00336793" w:rsidRDefault="00336793" w:rsidP="00DF0B96">
      <w:pPr>
        <w:pStyle w:val="NotesDash"/>
      </w:pPr>
      <w:r>
        <w:t xml:space="preserve">the Department of Human Services was abolished; and </w:t>
      </w:r>
    </w:p>
    <w:p w:rsidR="00336793" w:rsidRDefault="00336793" w:rsidP="00DF0B96">
      <w:pPr>
        <w:pStyle w:val="NotesDash"/>
      </w:pPr>
      <w:r>
        <w:t xml:space="preserve">the Department of Transport, Planning and Local Infrastructure was abolished. </w:t>
      </w:r>
    </w:p>
    <w:p w:rsidR="00336793" w:rsidRPr="006A75A2" w:rsidRDefault="00336793" w:rsidP="00DF0B96">
      <w:pPr>
        <w:pStyle w:val="Notes"/>
      </w:pPr>
      <w:r>
        <w:tab/>
        <w:t xml:space="preserve">The two abolished departments had their functions and operations transferred to other Victorian government departments. Functions and operations of the Department of Human Services were transferred to the Department of Health and Human Services and to the Department of Premier and Cabinet. Functions and operations of the </w:t>
      </w:r>
      <w:r w:rsidRPr="000C2AEC">
        <w:t>Department</w:t>
      </w:r>
      <w:r>
        <w:t xml:space="preserve"> of Transport, Planning and Local Infrastructure were transferred to the Department of Environment, Land, Water and Planning, the Department of Health and Humans Services and to the Department of Economic Development, Jobs, Transport and Resources. Certain functions and operations of continuing Victorian government departments were also transferred amongst departments as part of the machinery of government changes. Controlled entities which have been transferred as part of the machinery of government changes are listed under their new portfolio departments.</w:t>
      </w:r>
    </w:p>
    <w:p w:rsidR="00336793" w:rsidRDefault="00336793" w:rsidP="00DF0B96">
      <w:pPr>
        <w:pStyle w:val="Notes"/>
      </w:pPr>
      <w:r>
        <w:t>(b</w:t>
      </w:r>
      <w:r w:rsidRPr="006A75A2">
        <w:t>)</w:t>
      </w:r>
      <w:r w:rsidRPr="006A75A2">
        <w:tab/>
      </w:r>
      <w:r>
        <w:t>Courts, which was former</w:t>
      </w:r>
      <w:r w:rsidRPr="00EF122D">
        <w:t>ly part of the Department of Justice, came into operation from 1 July 2014.</w:t>
      </w:r>
    </w:p>
    <w:p w:rsidR="00336793" w:rsidRPr="007A196C" w:rsidRDefault="00336793" w:rsidP="00DF0B96">
      <w:pPr>
        <w:pStyle w:val="Notes"/>
        <w:rPr>
          <w:b/>
        </w:rPr>
      </w:pPr>
    </w:p>
    <w:p w:rsidR="00336793" w:rsidRPr="006A75A2" w:rsidRDefault="00336793" w:rsidP="00DF0B96">
      <w:pPr>
        <w:pStyle w:val="Notes"/>
      </w:pPr>
    </w:p>
    <w:p w:rsidR="00336793" w:rsidRPr="006A75A2" w:rsidRDefault="00336793" w:rsidP="00DF0B96">
      <w:pPr>
        <w:spacing w:after="0"/>
        <w:rPr>
          <w:rFonts w:ascii="Calibri" w:hAnsi="Calibri"/>
          <w:b/>
          <w:sz w:val="28"/>
          <w:szCs w:val="22"/>
        </w:rPr>
      </w:pPr>
      <w:r w:rsidRPr="006A75A2">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(l)</w:t>
      </w:r>
      <w:r w:rsidRPr="006A75A2">
        <w:tab/>
        <w:t>Payments from Advance to Treasurer for the financial year ended 30 June</w:t>
      </w:r>
    </w:p>
    <w:p w:rsidR="00336793" w:rsidRPr="00A10A3B" w:rsidRDefault="00336793" w:rsidP="00DF0B96">
      <w:pPr>
        <w:pStyle w:val="million"/>
        <w:rPr>
          <w:rFonts w:ascii="Times New Roman" w:hAnsi="Times New Roman"/>
          <w:i w:val="0"/>
          <w:szCs w:val="20"/>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2627"/>
        <w:gridCol w:w="5890"/>
        <w:gridCol w:w="1120"/>
      </w:tblGrid>
      <w:tr w:rsidR="00336793" w:rsidRPr="00A10A3B" w:rsidTr="00DF0B96">
        <w:trPr>
          <w:cantSplit/>
          <w:tblHeader/>
        </w:trPr>
        <w:tc>
          <w:tcPr>
            <w:tcW w:w="2627"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vertAlign w:val="superscript"/>
                <w:lang w:eastAsia="en-AU"/>
              </w:rPr>
            </w:pPr>
            <w:r w:rsidRPr="00A10A3B">
              <w:rPr>
                <w:rFonts w:eastAsiaTheme="minorEastAsia"/>
                <w:i/>
                <w:lang w:eastAsia="en-AU"/>
              </w:rPr>
              <w:t>Department</w:t>
            </w:r>
            <w:r w:rsidRPr="00E96950">
              <w:rPr>
                <w:rFonts w:eastAsiaTheme="minorEastAsia"/>
                <w:i/>
                <w:vertAlign w:val="superscript"/>
                <w:lang w:eastAsia="en-AU"/>
              </w:rPr>
              <w:t xml:space="preserve"> </w:t>
            </w:r>
            <w:r w:rsidRPr="00A10A3B">
              <w:rPr>
                <w:rFonts w:eastAsiaTheme="minorEastAsia"/>
                <w:i/>
                <w:vertAlign w:val="superscript"/>
                <w:lang w:eastAsia="en-AU"/>
              </w:rPr>
              <w:t>(a)</w:t>
            </w:r>
          </w:p>
        </w:tc>
        <w:tc>
          <w:tcPr>
            <w:tcW w:w="5890" w:type="dxa"/>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Left"/>
              <w:rPr>
                <w:rFonts w:eastAsiaTheme="minorEastAsia"/>
                <w:lang w:eastAsia="en-AU"/>
              </w:rPr>
            </w:pPr>
            <w:r w:rsidRPr="00A10A3B">
              <w:rPr>
                <w:rFonts w:eastAsiaTheme="minorEastAsia"/>
                <w:lang w:eastAsia="en-AU"/>
              </w:rPr>
              <w:t>Purpose</w:t>
            </w:r>
          </w:p>
        </w:tc>
        <w:tc>
          <w:tcPr>
            <w:tcW w:w="1120"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r>
              <w:rPr>
                <w:rFonts w:eastAsiaTheme="minorEastAsia"/>
                <w:color w:val="FFFFFF"/>
                <w:lang w:eastAsia="en-AU"/>
              </w:rPr>
              <w:noBreakHyphen/>
            </w:r>
            <w:r w:rsidRPr="00A10A3B">
              <w:rPr>
                <w:rFonts w:eastAsiaTheme="minorEastAsia"/>
                <w:color w:val="FFFFFF"/>
                <w:lang w:eastAsia="en-AU"/>
              </w:rPr>
              <w:t>15</w:t>
            </w:r>
          </w:p>
        </w:tc>
      </w:tr>
      <w:tr w:rsidR="00336793" w:rsidRPr="00A10A3B" w:rsidTr="00DF0B96">
        <w:trPr>
          <w:cantSplit/>
        </w:trPr>
        <w:tc>
          <w:tcPr>
            <w:tcW w:w="262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Economic Development,</w:t>
            </w:r>
          </w:p>
        </w:tc>
        <w:tc>
          <w:tcPr>
            <w:tcW w:w="5890"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State Library of Victoria redevelopment</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300</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Jobs, Transport and</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West Gate Distributor</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893</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Resources</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Ethical Clothing</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500</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Getting on with it – Drysdale Bypass, Murray Basin Rail Project and Flinders Street Station Redevelopment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5 265</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Protective Services Officers Infrastructure</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319</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On</w:t>
            </w:r>
            <w:r>
              <w:rPr>
                <w:rFonts w:eastAsiaTheme="minorEastAsia"/>
                <w:lang w:eastAsia="en-AU"/>
              </w:rPr>
              <w:noBreakHyphen/>
            </w:r>
            <w:r w:rsidRPr="00A10A3B">
              <w:rPr>
                <w:rFonts w:eastAsiaTheme="minorEastAsia"/>
                <w:lang w:eastAsia="en-AU"/>
              </w:rPr>
              <w:t>the</w:t>
            </w:r>
            <w:r>
              <w:rPr>
                <w:rFonts w:eastAsiaTheme="minorEastAsia"/>
                <w:lang w:eastAsia="en-AU"/>
              </w:rPr>
              <w:noBreakHyphen/>
            </w:r>
            <w:r w:rsidRPr="00A10A3B">
              <w:rPr>
                <w:rFonts w:eastAsiaTheme="minorEastAsia"/>
                <w:lang w:eastAsia="en-AU"/>
              </w:rPr>
              <w:t>spot penalty fares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1 394</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Baw Baw Shire Council flood repair</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655</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National Heavy Vehicle Regulator</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10 000</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Affordable Public Transport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9 822</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Regional Growth Fund – Regional Growth Plan and Flying Squad</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3 623</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Building on Reform of Illegal Puppy and Kitten Farms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750</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National Biosecurity Cost Sharing Commitments and Victorian Biosecurity Incursions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3 603</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Western Distributor – Assessment of unsolicited proposal 2014</w:t>
            </w:r>
            <w:r>
              <w:rPr>
                <w:rFonts w:eastAsiaTheme="minorEastAsia"/>
                <w:lang w:eastAsia="en-AU"/>
              </w:rPr>
              <w:noBreakHyphen/>
            </w:r>
            <w:r w:rsidRPr="00A10A3B">
              <w:rPr>
                <w:rFonts w:eastAsiaTheme="minorEastAsia"/>
                <w:lang w:eastAsia="en-AU"/>
              </w:rPr>
              <w:t>15 costs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812</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Working Capital Requirements</w:t>
            </w:r>
            <w:r>
              <w:rPr>
                <w:rFonts w:eastAsiaTheme="minorEastAsia"/>
                <w:lang w:eastAsia="en-AU"/>
              </w:rPr>
              <w:t xml:space="preserve"> – V/Line</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15 000</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City Link</w:t>
            </w:r>
            <w:r>
              <w:rPr>
                <w:rFonts w:eastAsiaTheme="minorEastAsia"/>
                <w:lang w:eastAsia="en-AU"/>
              </w:rPr>
              <w:noBreakHyphen/>
            </w:r>
            <w:r w:rsidRPr="00A10A3B">
              <w:rPr>
                <w:rFonts w:eastAsiaTheme="minorEastAsia"/>
                <w:lang w:eastAsia="en-AU"/>
              </w:rPr>
              <w:t xml:space="preserve">Tullamarine Widening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19 382</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Cranbourne Pakenham Rail Corridor</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31 878</w:t>
            </w:r>
          </w:p>
        </w:tc>
      </w:tr>
      <w:tr w:rsidR="00336793" w:rsidRPr="00A10A3B" w:rsidTr="00DF0B96">
        <w:trPr>
          <w:cantSplit/>
        </w:trPr>
        <w:tc>
          <w:tcPr>
            <w:tcW w:w="262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104 196</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Education and Training</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School enrolment based funding</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68 431</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Kindergarden enrolment based funding</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5 321</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Resourcing schools to raise performance</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8 000</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TAFE structural adjustment fund</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19 152</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Implementation of fair</w:t>
            </w:r>
            <w:r>
              <w:rPr>
                <w:rFonts w:eastAsiaTheme="minorEastAsia"/>
                <w:lang w:eastAsia="en-AU"/>
              </w:rPr>
              <w:noBreakHyphen/>
            </w:r>
            <w:r w:rsidRPr="00A10A3B">
              <w:rPr>
                <w:rFonts w:eastAsiaTheme="minorEastAsia"/>
                <w:lang w:eastAsia="en-AU"/>
              </w:rPr>
              <w:t>value poli</w:t>
            </w:r>
            <w:r>
              <w:rPr>
                <w:rFonts w:eastAsiaTheme="minorEastAsia"/>
                <w:lang w:eastAsia="en-AU"/>
              </w:rPr>
              <w:t>cy on schools economic obsolescence</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12 000</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TAFE Rescue Fund</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20 000</w:t>
            </w:r>
          </w:p>
        </w:tc>
      </w:tr>
      <w:tr w:rsidR="00336793" w:rsidRPr="00A10A3B" w:rsidTr="00DF0B96">
        <w:trPr>
          <w:cantSplit/>
        </w:trPr>
        <w:tc>
          <w:tcPr>
            <w:tcW w:w="262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132 904</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Environment, Land, Water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Environment Protection Authority Victoria</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546</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and Planning</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Urban Water Reform</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8 500</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Fire Aircraft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5 559</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Rapid Response Air Monitoring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374</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DataVic Access Policy</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533</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Portarlington Safe Harbour</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100</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Development of Local Government Emergency Management Capability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175</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Building on Reform of Illegal Puppy and Kitten Farms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1 501</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Small Alpine Resort – Mt Baw Baw and Lake Mountain</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6 768</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Frankston Nature Conservation Reserve</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1 248</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Land Victoria</w:t>
            </w:r>
            <w:r>
              <w:rPr>
                <w:rFonts w:eastAsiaTheme="minorEastAsia"/>
                <w:lang w:eastAsia="en-AU"/>
              </w:rPr>
              <w:t xml:space="preserve"> – </w:t>
            </w:r>
            <w:r w:rsidRPr="00A10A3B">
              <w:rPr>
                <w:rFonts w:eastAsiaTheme="minorEastAsia"/>
                <w:lang w:eastAsia="en-AU"/>
              </w:rPr>
              <w:t>Land Compensation and Litigation Costs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3 793</w:t>
            </w:r>
          </w:p>
        </w:tc>
      </w:tr>
      <w:tr w:rsidR="00336793" w:rsidRPr="00A10A3B" w:rsidTr="00DF0B96">
        <w:trPr>
          <w:cantSplit/>
        </w:trPr>
        <w:tc>
          <w:tcPr>
            <w:tcW w:w="262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29 097</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Justice and Regulation</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Additional Protective Service Officers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6 208</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Passive Alert Detection Dogs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499</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Countering Violent Extremism</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455</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Hazelwood Mine Fire Inquiry</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566</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Compressed air foam systems and District 27</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747</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Ending Violence against Women and Children</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800</w:t>
            </w:r>
          </w:p>
        </w:tc>
      </w:tr>
    </w:tbl>
    <w:p w:rsidR="00336793" w:rsidRDefault="00336793">
      <w:pPr>
        <w:spacing w:after="0"/>
        <w:rPr>
          <w:rFonts w:ascii="Calibri" w:hAnsi="Calibri"/>
          <w:b/>
          <w:sz w:val="25"/>
        </w:rPr>
      </w:pPr>
      <w:r>
        <w:br w:type="page"/>
      </w:r>
    </w:p>
    <w:p w:rsidR="00336793" w:rsidRPr="006A75A2" w:rsidRDefault="00336793" w:rsidP="00146F9C">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Default="00336793" w:rsidP="00146F9C">
      <w:pPr>
        <w:pStyle w:val="Tableheadingcontinued"/>
      </w:pPr>
      <w:r>
        <w:t>(l)</w:t>
      </w:r>
      <w:r>
        <w:tab/>
        <w:t xml:space="preserve">Payments from Advance to Treasurer for the financial year ended 30 June </w:t>
      </w:r>
      <w:r w:rsidRPr="00146F9C">
        <w:rPr>
          <w:i/>
        </w:rPr>
        <w:t>(continued)</w:t>
      </w:r>
    </w:p>
    <w:p w:rsidR="00336793" w:rsidRDefault="00336793" w:rsidP="00146F9C">
      <w:pPr>
        <w:pStyle w:val="million"/>
      </w:pP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2627"/>
        <w:gridCol w:w="3960"/>
        <w:gridCol w:w="1930"/>
        <w:gridCol w:w="1120"/>
      </w:tblGrid>
      <w:tr w:rsidR="00336793" w:rsidRPr="00A10A3B" w:rsidTr="00DF0B96">
        <w:trPr>
          <w:cantSplit/>
          <w:tblHeader/>
        </w:trPr>
        <w:tc>
          <w:tcPr>
            <w:tcW w:w="2627"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vertAlign w:val="superscript"/>
                <w:lang w:eastAsia="en-AU"/>
              </w:rPr>
            </w:pPr>
            <w:r w:rsidRPr="00A10A3B">
              <w:rPr>
                <w:rFonts w:eastAsiaTheme="minorEastAsia"/>
                <w:i/>
                <w:lang w:eastAsia="en-AU"/>
              </w:rPr>
              <w:t>Department</w:t>
            </w:r>
            <w:r w:rsidRPr="00E96950">
              <w:rPr>
                <w:rFonts w:eastAsiaTheme="minorEastAsia"/>
                <w:i/>
                <w:vertAlign w:val="superscript"/>
                <w:lang w:eastAsia="en-AU"/>
              </w:rPr>
              <w:t xml:space="preserve"> </w:t>
            </w:r>
            <w:r w:rsidRPr="00A10A3B">
              <w:rPr>
                <w:rFonts w:eastAsiaTheme="minorEastAsia"/>
                <w:i/>
                <w:vertAlign w:val="superscript"/>
                <w:lang w:eastAsia="en-AU"/>
              </w:rPr>
              <w:t>(a)</w:t>
            </w:r>
          </w:p>
        </w:tc>
        <w:tc>
          <w:tcPr>
            <w:tcW w:w="5890" w:type="dxa"/>
            <w:gridSpan w:val="2"/>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Left"/>
              <w:rPr>
                <w:rFonts w:eastAsiaTheme="minorEastAsia"/>
                <w:lang w:eastAsia="en-AU"/>
              </w:rPr>
            </w:pPr>
            <w:r w:rsidRPr="00A10A3B">
              <w:rPr>
                <w:rFonts w:eastAsiaTheme="minorEastAsia"/>
                <w:lang w:eastAsia="en-AU"/>
              </w:rPr>
              <w:t>Purpose</w:t>
            </w:r>
          </w:p>
        </w:tc>
        <w:tc>
          <w:tcPr>
            <w:tcW w:w="1120"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r>
              <w:rPr>
                <w:rFonts w:eastAsiaTheme="minorEastAsia"/>
                <w:color w:val="FFFFFF"/>
                <w:lang w:eastAsia="en-AU"/>
              </w:rPr>
              <w:noBreakHyphen/>
            </w:r>
            <w:r w:rsidRPr="00A10A3B">
              <w:rPr>
                <w:rFonts w:eastAsiaTheme="minorEastAsia"/>
                <w:color w:val="FFFFFF"/>
                <w:lang w:eastAsia="en-AU"/>
              </w:rPr>
              <w:t>15</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Funding for community development committees betrayal of trust report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148</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Reforming collection and enforcement of legal debt in Victoria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3 237</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2014</w:t>
            </w:r>
            <w:r>
              <w:rPr>
                <w:rFonts w:eastAsiaTheme="minorEastAsia"/>
                <w:lang w:eastAsia="en-AU"/>
              </w:rPr>
              <w:noBreakHyphen/>
            </w:r>
            <w:r w:rsidRPr="00A10A3B">
              <w:rPr>
                <w:rFonts w:eastAsiaTheme="minorEastAsia"/>
                <w:lang w:eastAsia="en-AU"/>
              </w:rPr>
              <w:t>15 Fire Season</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5 900</w:t>
            </w:r>
          </w:p>
        </w:tc>
      </w:tr>
      <w:tr w:rsidR="00336793" w:rsidRPr="00A10A3B" w:rsidTr="00DF0B96">
        <w:trPr>
          <w:cantSplit/>
        </w:trPr>
        <w:tc>
          <w:tcPr>
            <w:tcW w:w="2627" w:type="dxa"/>
            <w:tcBorders>
              <w:top w:val="nil"/>
              <w:left w:val="nil"/>
              <w:bottom w:val="single" w:sz="6" w:space="0" w:color="auto"/>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18 560</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Premier and Cabinet</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Implementation of the Hazelwood Coal Mine Fire Inquiry Report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886</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Strengthening Victoria</w:t>
            </w:r>
            <w:r>
              <w:rPr>
                <w:rFonts w:eastAsiaTheme="minorEastAsia"/>
                <w:lang w:eastAsia="en-AU"/>
              </w:rPr>
              <w:t>’</w:t>
            </w:r>
            <w:r w:rsidRPr="00A10A3B">
              <w:rPr>
                <w:rFonts w:eastAsiaTheme="minorEastAsia"/>
                <w:lang w:eastAsia="en-AU"/>
              </w:rPr>
              <w:t>s Social Cohesion</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1 045</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Municipal and Essential Services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900</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Information Campaign and Sister State Relationships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1 000</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Establishment of Infrastructure </w:t>
            </w:r>
            <w:r>
              <w:rPr>
                <w:rFonts w:eastAsiaTheme="minorEastAsia"/>
                <w:lang w:eastAsia="en-AU"/>
              </w:rPr>
              <w:t>Victoria</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1 061</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cs="Calibri"/>
                <w:color w:val="000000"/>
                <w:szCs w:val="22"/>
                <w:lang w:eastAsia="en-AU"/>
              </w:rPr>
            </w:pPr>
            <w:r w:rsidRPr="00A10A3B">
              <w:rPr>
                <w:rFonts w:eastAsiaTheme="minorEastAsia"/>
                <w:lang w:eastAsia="en-AU"/>
              </w:rPr>
              <w:t xml:space="preserve">Costs associated with the </w:t>
            </w:r>
            <w:r w:rsidRPr="00A10A3B">
              <w:rPr>
                <w:rFonts w:eastAsiaTheme="minorEastAsia" w:cs="Calibri"/>
                <w:color w:val="000000"/>
                <w:szCs w:val="22"/>
                <w:lang w:eastAsia="en-AU"/>
              </w:rPr>
              <w:t>change in Government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9 552</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Shrine of Remembrance</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25</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Family Violence</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250</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Donation to Nepal Region Earthquake Appeal</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500</w:t>
            </w:r>
          </w:p>
        </w:tc>
      </w:tr>
      <w:tr w:rsidR="00336793" w:rsidRPr="00A10A3B" w:rsidTr="00DF0B96">
        <w:trPr>
          <w:cantSplit/>
        </w:trPr>
        <w:tc>
          <w:tcPr>
            <w:tcW w:w="262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15 219</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Treasury and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Pr>
                <w:rFonts w:eastAsiaTheme="minorEastAsia"/>
                <w:lang w:eastAsia="en-AU"/>
              </w:rPr>
              <w:t>State Revenue Office – assessment and c</w:t>
            </w:r>
            <w:r w:rsidRPr="00A10A3B">
              <w:rPr>
                <w:rFonts w:eastAsiaTheme="minorEastAsia"/>
                <w:lang w:eastAsia="en-AU"/>
              </w:rPr>
              <w:t>ompliance</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2 483</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Finance</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Port of Melbourne Transaction Unit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18 343</w:t>
            </w:r>
          </w:p>
        </w:tc>
      </w:tr>
      <w:tr w:rsidR="00336793" w:rsidRPr="00A10A3B" w:rsidTr="00DF0B96">
        <w:trPr>
          <w:cantSplit/>
        </w:trPr>
        <w:tc>
          <w:tcPr>
            <w:tcW w:w="2627" w:type="dxa"/>
            <w:tcBorders>
              <w:top w:val="nil"/>
              <w:left w:val="nil"/>
              <w:bottom w:val="single" w:sz="6" w:space="0" w:color="auto"/>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20 826</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Parliament</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Parliamentary Advisors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34</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2014‐15 State Election Costs</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708</w:t>
            </w:r>
          </w:p>
        </w:tc>
      </w:tr>
      <w:tr w:rsidR="00336793" w:rsidRPr="00A10A3B" w:rsidTr="00DF0B96">
        <w:trPr>
          <w:cantSplit/>
        </w:trPr>
        <w:tc>
          <w:tcPr>
            <w:tcW w:w="2627" w:type="dxa"/>
            <w:tcBorders>
              <w:top w:val="nil"/>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Parliament House Security Upgrade</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1 894</w:t>
            </w:r>
          </w:p>
        </w:tc>
      </w:tr>
      <w:tr w:rsidR="00336793" w:rsidRPr="00A10A3B" w:rsidTr="00DF0B96">
        <w:trPr>
          <w:cantSplit/>
        </w:trPr>
        <w:tc>
          <w:tcPr>
            <w:tcW w:w="2627" w:type="dxa"/>
            <w:tcBorders>
              <w:top w:val="nil"/>
              <w:left w:val="nil"/>
              <w:bottom w:val="single" w:sz="6" w:space="0" w:color="auto"/>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2 636</w:t>
            </w:r>
          </w:p>
        </w:tc>
      </w:tr>
      <w:tr w:rsidR="00336793" w:rsidRPr="00A10A3B" w:rsidTr="00DF0B96">
        <w:trPr>
          <w:cantSplit/>
        </w:trPr>
        <w:tc>
          <w:tcPr>
            <w:tcW w:w="2627" w:type="dxa"/>
            <w:tcBorders>
              <w:top w:val="nil"/>
              <w:left w:val="nil"/>
              <w:bottom w:val="nil"/>
              <w:right w:val="nil"/>
            </w:tcBorders>
            <w:shd w:val="solid" w:color="FFFFFF" w:fill="auto"/>
          </w:tcPr>
          <w:p w:rsidR="00336793" w:rsidRPr="007A196C" w:rsidRDefault="00336793" w:rsidP="00DF0B96">
            <w:pPr>
              <w:pStyle w:val="Tabletext"/>
              <w:rPr>
                <w:rFonts w:eastAsiaTheme="minorEastAsia"/>
                <w:vertAlign w:val="superscript"/>
                <w:lang w:eastAsia="en-AU"/>
              </w:rPr>
            </w:pPr>
            <w:r w:rsidRPr="00A10A3B">
              <w:rPr>
                <w:rFonts w:eastAsiaTheme="minorEastAsia"/>
                <w:lang w:eastAsia="en-AU"/>
              </w:rPr>
              <w:t>Courts</w:t>
            </w:r>
            <w:r>
              <w:rPr>
                <w:rFonts w:eastAsiaTheme="minorEastAsia"/>
                <w:vertAlign w:val="superscript"/>
                <w:lang w:eastAsia="en-AU"/>
              </w:rPr>
              <w:t>(b)</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Specialist Family Violence Court Program Expansion</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1 069</w:t>
            </w:r>
          </w:p>
        </w:tc>
      </w:tr>
      <w:tr w:rsidR="00336793" w:rsidRPr="00A10A3B" w:rsidTr="00DF0B96">
        <w:trPr>
          <w:cantSplit/>
        </w:trPr>
        <w:tc>
          <w:tcPr>
            <w:tcW w:w="262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Heidelberg Court Re</w:t>
            </w:r>
            <w:r>
              <w:rPr>
                <w:rFonts w:eastAsiaTheme="minorEastAsia"/>
                <w:lang w:eastAsia="en-AU"/>
              </w:rPr>
              <w:t>mediation</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995</w:t>
            </w:r>
          </w:p>
        </w:tc>
      </w:tr>
      <w:tr w:rsidR="00336793" w:rsidRPr="00A10A3B" w:rsidTr="00DF0B96">
        <w:trPr>
          <w:cantSplit/>
        </w:trPr>
        <w:tc>
          <w:tcPr>
            <w:tcW w:w="262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2 064</w:t>
            </w:r>
          </w:p>
        </w:tc>
      </w:tr>
      <w:tr w:rsidR="00336793" w:rsidRPr="00A10A3B" w:rsidTr="00DF0B96">
        <w:trPr>
          <w:cantSplit/>
        </w:trPr>
        <w:tc>
          <w:tcPr>
            <w:tcW w:w="6587" w:type="dxa"/>
            <w:gridSpan w:val="2"/>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Payments from Advance to the Treasurer</w:t>
            </w:r>
          </w:p>
        </w:tc>
        <w:tc>
          <w:tcPr>
            <w:tcW w:w="193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325 502</w:t>
            </w:r>
          </w:p>
        </w:tc>
      </w:tr>
    </w:tbl>
    <w:p w:rsidR="00336793" w:rsidRPr="006A75A2" w:rsidRDefault="00336793" w:rsidP="00DF0B96">
      <w:pPr>
        <w:pStyle w:val="Notes"/>
      </w:pPr>
      <w:r w:rsidRPr="006A75A2">
        <w:t>Note</w:t>
      </w:r>
      <w:r>
        <w:t>s</w:t>
      </w:r>
      <w:r w:rsidRPr="006A75A2">
        <w:t>:</w:t>
      </w:r>
    </w:p>
    <w:p w:rsidR="00336793" w:rsidRDefault="00336793" w:rsidP="00DF0B96">
      <w:pPr>
        <w:pStyle w:val="Notes"/>
      </w:pPr>
      <w:r w:rsidRPr="006A75A2">
        <w:t>(a)</w:t>
      </w:r>
      <w:r>
        <w:tab/>
        <w:t>Effective 1 January 2015 several departments were renamed due to machinery of government changes:</w:t>
      </w:r>
    </w:p>
    <w:p w:rsidR="00336793" w:rsidRDefault="00336793" w:rsidP="00DF0B96">
      <w:pPr>
        <w:pStyle w:val="NotesDash"/>
      </w:pPr>
      <w:r>
        <w:t>the Department of Education and Early Childhood Development was renamed the Department of Education and Training;</w:t>
      </w:r>
    </w:p>
    <w:p w:rsidR="00336793" w:rsidRDefault="00336793" w:rsidP="00DF0B96">
      <w:pPr>
        <w:pStyle w:val="NotesDash"/>
      </w:pPr>
      <w:r>
        <w:t>the Department of Environment and Primary Industries was renamed the Department of Environment, Land, Water and Planning;</w:t>
      </w:r>
    </w:p>
    <w:p w:rsidR="00336793" w:rsidRDefault="00336793" w:rsidP="00DF0B96">
      <w:pPr>
        <w:pStyle w:val="NotesDash"/>
      </w:pPr>
      <w:r>
        <w:t>the Department of Health was renamed the Department of Health and Human Services;</w:t>
      </w:r>
    </w:p>
    <w:p w:rsidR="00336793" w:rsidRDefault="00336793" w:rsidP="00DF0B96">
      <w:pPr>
        <w:pStyle w:val="NotesDash"/>
      </w:pPr>
      <w:r>
        <w:t xml:space="preserve">the Department of Justice was renamed the Department of Justice and Regulation; </w:t>
      </w:r>
    </w:p>
    <w:p w:rsidR="00336793" w:rsidRDefault="00336793" w:rsidP="00DF0B96">
      <w:pPr>
        <w:pStyle w:val="NotesDash"/>
      </w:pPr>
      <w:r>
        <w:t xml:space="preserve">the Department of State Development, Business and Innovation was renamed the Department of Economic Development, Jobs, Transport and Resources; </w:t>
      </w:r>
    </w:p>
    <w:p w:rsidR="00336793" w:rsidRDefault="00336793" w:rsidP="00DF0B96">
      <w:pPr>
        <w:pStyle w:val="NotesDash"/>
      </w:pPr>
      <w:r>
        <w:t xml:space="preserve">the Department of Human Services was abolished; and </w:t>
      </w:r>
    </w:p>
    <w:p w:rsidR="00336793" w:rsidRDefault="00336793" w:rsidP="00DF0B96">
      <w:pPr>
        <w:pStyle w:val="NotesDash"/>
      </w:pPr>
      <w:r>
        <w:t xml:space="preserve">the Department of Transport, Planning and Local Infrastructure was abolished. </w:t>
      </w:r>
    </w:p>
    <w:p w:rsidR="00336793" w:rsidRPr="006A75A2" w:rsidRDefault="00336793" w:rsidP="00DF0B96">
      <w:pPr>
        <w:pStyle w:val="Notes"/>
      </w:pPr>
      <w:r>
        <w:tab/>
        <w:t xml:space="preserve">The two abolished departments had their functions and operations transferred to other Victorian government departments. Functions and operations of the Department of Human Services were transferred to the Department of Health and Human Services and to the Department of Premier and </w:t>
      </w:r>
      <w:r w:rsidRPr="000C2AEC">
        <w:t>Cabinet</w:t>
      </w:r>
      <w:r>
        <w:t>. Functions and operations of the Department of Transport, Planning and Local Infrastructure were transferred to the Department of Environment, Land, Water and Planning, the Department of Health and Humans Services and to the Department of Economic Development, Jobs, Transport and Resources. Certain functions and operations of continuing Victorian government departments were also transferred amongst departments as part of the machinery of government changes. Controlled entities which have been transferred as part of the machinery of government changes are listed under their new portfolio departments.</w:t>
      </w:r>
    </w:p>
    <w:p w:rsidR="00336793" w:rsidRDefault="00336793" w:rsidP="00DF0B96">
      <w:pPr>
        <w:pStyle w:val="Notes"/>
      </w:pPr>
      <w:r>
        <w:t>(b</w:t>
      </w:r>
      <w:r w:rsidRPr="006A75A2">
        <w:t>)</w:t>
      </w:r>
      <w:r w:rsidRPr="006A75A2">
        <w:tab/>
      </w:r>
      <w:r>
        <w:t>Courts, which was former</w:t>
      </w:r>
      <w:r w:rsidRPr="00EF122D">
        <w:t>ly part of the Department of Justice, came into operation from 1 July 2014.</w:t>
      </w:r>
    </w:p>
    <w:p w:rsidR="00336793" w:rsidRDefault="00336793" w:rsidP="00DF0B96"/>
    <w:p w:rsidR="00336793" w:rsidRDefault="00336793">
      <w:pPr>
        <w:spacing w:after="0"/>
        <w:rPr>
          <w:rFonts w:ascii="Calibri" w:hAnsi="Calibri"/>
          <w:b/>
          <w:sz w:val="25"/>
        </w:rPr>
      </w:pPr>
      <w:r>
        <w:br w:type="page"/>
      </w:r>
    </w:p>
    <w:p w:rsidR="00336793" w:rsidRPr="006A75A2" w:rsidRDefault="00336793" w:rsidP="00146F9C">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(m)</w:t>
      </w:r>
      <w:r w:rsidRPr="006A75A2">
        <w:tab/>
        <w:t xml:space="preserve">Payments from advances pursuant to </w:t>
      </w:r>
      <w:r>
        <w:t>Section </w:t>
      </w:r>
      <w:r w:rsidRPr="006A75A2">
        <w:t xml:space="preserve">35 of the </w:t>
      </w:r>
      <w:r w:rsidRPr="002A34B3">
        <w:rPr>
          <w:i/>
        </w:rPr>
        <w:t>Fina</w:t>
      </w:r>
      <w:r>
        <w:rPr>
          <w:i/>
        </w:rPr>
        <w:t>ncial Management Act </w:t>
      </w:r>
      <w:r w:rsidRPr="002A34B3">
        <w:rPr>
          <w:i/>
        </w:rPr>
        <w:t>1994</w:t>
      </w:r>
      <w:r w:rsidRPr="006A75A2">
        <w:rPr>
          <w:i/>
        </w:rPr>
        <w:t xml:space="preserve"> </w:t>
      </w:r>
      <w:r w:rsidRPr="006A75A2">
        <w:t>for the financial year ended 30 June</w:t>
      </w:r>
    </w:p>
    <w:p w:rsidR="00336793" w:rsidRPr="00A10A3B" w:rsidRDefault="00336793" w:rsidP="00DF0B96">
      <w:pPr>
        <w:pStyle w:val="million"/>
        <w:rPr>
          <w:rFonts w:ascii="Times New Roman" w:hAnsi="Times New Roman"/>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2627"/>
        <w:gridCol w:w="5760"/>
        <w:gridCol w:w="130"/>
        <w:gridCol w:w="1120"/>
      </w:tblGrid>
      <w:tr w:rsidR="00336793" w:rsidRPr="00A10A3B" w:rsidTr="00DF0B96">
        <w:trPr>
          <w:tblHeader/>
        </w:trPr>
        <w:tc>
          <w:tcPr>
            <w:tcW w:w="2627" w:type="dxa"/>
            <w:tcBorders>
              <w:top w:val="single" w:sz="6" w:space="0" w:color="auto"/>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vertAlign w:val="superscript"/>
                <w:lang w:eastAsia="en-AU"/>
              </w:rPr>
            </w:pPr>
            <w:r w:rsidRPr="00A10A3B">
              <w:rPr>
                <w:rFonts w:eastAsiaTheme="minorEastAsia"/>
                <w:i/>
                <w:lang w:eastAsia="en-AU"/>
              </w:rPr>
              <w:t xml:space="preserve">Department </w:t>
            </w:r>
          </w:p>
        </w:tc>
        <w:tc>
          <w:tcPr>
            <w:tcW w:w="5890" w:type="dxa"/>
            <w:gridSpan w:val="2"/>
            <w:tcBorders>
              <w:top w:val="single" w:sz="6" w:space="0" w:color="auto"/>
              <w:left w:val="nil"/>
              <w:bottom w:val="single" w:sz="6" w:space="0" w:color="auto"/>
              <w:right w:val="nil"/>
            </w:tcBorders>
            <w:shd w:val="clear" w:color="000000" w:fill="000000"/>
            <w:vAlign w:val="bottom"/>
          </w:tcPr>
          <w:p w:rsidR="00336793" w:rsidRPr="00A10A3B" w:rsidRDefault="00336793" w:rsidP="00DF0B96">
            <w:pPr>
              <w:pStyle w:val="TabletextheadingLeft"/>
              <w:rPr>
                <w:rFonts w:eastAsiaTheme="minorEastAsia"/>
                <w:lang w:eastAsia="en-AU"/>
              </w:rPr>
            </w:pPr>
            <w:r w:rsidRPr="00A10A3B">
              <w:rPr>
                <w:rFonts w:eastAsiaTheme="minorEastAsia"/>
                <w:lang w:eastAsia="en-AU"/>
              </w:rPr>
              <w:t>Purpose</w:t>
            </w:r>
          </w:p>
        </w:tc>
        <w:tc>
          <w:tcPr>
            <w:tcW w:w="1120" w:type="dxa"/>
            <w:tcBorders>
              <w:top w:val="single" w:sz="6" w:space="0" w:color="auto"/>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r>
              <w:rPr>
                <w:rFonts w:eastAsiaTheme="minorEastAsia"/>
                <w:color w:val="FFFFFF"/>
                <w:lang w:eastAsia="en-AU"/>
              </w:rPr>
              <w:noBreakHyphen/>
            </w:r>
            <w:r w:rsidRPr="00A10A3B">
              <w:rPr>
                <w:rFonts w:eastAsiaTheme="minorEastAsia"/>
                <w:color w:val="FFFFFF"/>
                <w:lang w:eastAsia="en-AU"/>
              </w:rPr>
              <w:t>15</w:t>
            </w:r>
          </w:p>
        </w:tc>
      </w:tr>
      <w:tr w:rsidR="00336793" w:rsidRPr="00A10A3B" w:rsidTr="00DF0B96">
        <w:tc>
          <w:tcPr>
            <w:tcW w:w="2627" w:type="dxa"/>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Education and Training</w:t>
            </w:r>
          </w:p>
        </w:tc>
        <w:tc>
          <w:tcPr>
            <w:tcW w:w="5890" w:type="dxa"/>
            <w:gridSpan w:val="2"/>
            <w:tcBorders>
              <w:top w:val="single" w:sz="6" w:space="0" w:color="auto"/>
              <w:left w:val="nil"/>
              <w:bottom w:val="nil"/>
              <w:right w:val="nil"/>
            </w:tcBorders>
            <w:shd w:val="solid" w:color="FFFFFF" w:fill="auto"/>
          </w:tcPr>
          <w:p w:rsidR="00336793" w:rsidRPr="00A10A3B" w:rsidRDefault="00336793" w:rsidP="00DF0B96">
            <w:pPr>
              <w:pStyle w:val="Tabletext"/>
              <w:rPr>
                <w:rFonts w:eastAsiaTheme="minorEastAsia" w:cs="Calibri"/>
                <w:color w:val="000000"/>
                <w:szCs w:val="22"/>
                <w:lang w:eastAsia="en-AU"/>
              </w:rPr>
            </w:pPr>
            <w:r w:rsidRPr="00A10A3B">
              <w:rPr>
                <w:rFonts w:eastAsiaTheme="minorEastAsia"/>
                <w:lang w:eastAsia="en-AU"/>
              </w:rPr>
              <w:t>Implementation of fair</w:t>
            </w:r>
            <w:r>
              <w:rPr>
                <w:rFonts w:eastAsiaTheme="minorEastAsia"/>
                <w:lang w:eastAsia="en-AU"/>
              </w:rPr>
              <w:noBreakHyphen/>
            </w:r>
            <w:r w:rsidRPr="00A10A3B">
              <w:rPr>
                <w:rFonts w:eastAsiaTheme="minorEastAsia"/>
                <w:lang w:eastAsia="en-AU"/>
              </w:rPr>
              <w:t xml:space="preserve">value policy </w:t>
            </w:r>
            <w:r w:rsidRPr="00A10A3B">
              <w:rPr>
                <w:rFonts w:eastAsiaTheme="minorEastAsia" w:cs="Calibri"/>
                <w:color w:val="000000"/>
                <w:szCs w:val="22"/>
                <w:lang w:eastAsia="en-AU"/>
              </w:rPr>
              <w:t>on schools economic obsolesce</w:t>
            </w:r>
          </w:p>
        </w:tc>
        <w:tc>
          <w:tcPr>
            <w:tcW w:w="1120" w:type="dxa"/>
            <w:tcBorders>
              <w:top w:val="single" w:sz="6" w:space="0" w:color="auto"/>
              <w:left w:val="nil"/>
              <w:bottom w:val="nil"/>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10 837</w:t>
            </w:r>
          </w:p>
        </w:tc>
      </w:tr>
      <w:tr w:rsidR="00336793" w:rsidRPr="00A10A3B" w:rsidTr="00DF0B96">
        <w:tc>
          <w:tcPr>
            <w:tcW w:w="2627" w:type="dxa"/>
            <w:tcBorders>
              <w:top w:val="nil"/>
              <w:left w:val="nil"/>
              <w:bottom w:val="single" w:sz="6" w:space="0" w:color="auto"/>
              <w:right w:val="nil"/>
            </w:tcBorders>
            <w:shd w:val="solid" w:color="FFFFFF" w:fill="auto"/>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5890" w:type="dxa"/>
            <w:gridSpan w:val="2"/>
            <w:tcBorders>
              <w:top w:val="nil"/>
              <w:left w:val="nil"/>
              <w:bottom w:val="single" w:sz="6" w:space="0" w:color="auto"/>
              <w:right w:val="nil"/>
            </w:tcBorders>
            <w:shd w:val="solid" w:color="FFFFFF" w:fill="auto"/>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8387" w:type="dxa"/>
            <w:gridSpan w:val="2"/>
            <w:tcBorders>
              <w:top w:val="single" w:sz="6" w:space="0" w:color="auto"/>
              <w:left w:val="nil"/>
              <w:bottom w:val="single" w:sz="12" w:space="0" w:color="000000"/>
              <w:right w:val="nil"/>
            </w:tcBorders>
            <w:shd w:val="solid" w:color="FFFFFF"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Total payments from advances pursuant to Section 35 (4) of the </w:t>
            </w:r>
            <w:r>
              <w:rPr>
                <w:rFonts w:eastAsiaTheme="minorEastAsia"/>
                <w:b/>
                <w:bCs/>
                <w:i/>
                <w:lang w:eastAsia="en-AU"/>
              </w:rPr>
              <w:t>Financial Management Act </w:t>
            </w:r>
            <w:r w:rsidRPr="00A10A3B">
              <w:rPr>
                <w:rFonts w:eastAsiaTheme="minorEastAsia"/>
                <w:b/>
                <w:bCs/>
                <w:i/>
                <w:lang w:eastAsia="en-AU"/>
              </w:rPr>
              <w:t>1994</w:t>
            </w:r>
          </w:p>
        </w:tc>
        <w:tc>
          <w:tcPr>
            <w:tcW w:w="130"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auto"/>
              <w:left w:val="nil"/>
              <w:bottom w:val="single" w:sz="12" w:space="0" w:color="000000"/>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10 837</w:t>
            </w:r>
          </w:p>
        </w:tc>
      </w:tr>
    </w:tbl>
    <w:p w:rsidR="00336793" w:rsidRDefault="00336793" w:rsidP="00146F9C"/>
    <w:p w:rsidR="00336793" w:rsidRDefault="00336793" w:rsidP="00146F9C"/>
    <w:p w:rsidR="00336793" w:rsidRPr="006A75A2" w:rsidRDefault="00336793" w:rsidP="00DF0B96">
      <w:pPr>
        <w:pStyle w:val="Tableheading"/>
      </w:pPr>
      <w:r w:rsidRPr="006A75A2">
        <w:t>(n)</w:t>
      </w:r>
      <w:r w:rsidRPr="006A75A2">
        <w:tab/>
        <w:t>Unused advances carried forward to 201</w:t>
      </w:r>
      <w:r>
        <w:t>4</w:t>
      </w:r>
      <w:r>
        <w:noBreakHyphen/>
      </w:r>
      <w:r w:rsidRPr="006A75A2">
        <w:t>1</w:t>
      </w:r>
      <w:r>
        <w:t>5</w:t>
      </w:r>
      <w:r w:rsidRPr="006A75A2">
        <w:t xml:space="preserve"> pursuant to </w:t>
      </w:r>
      <w:r>
        <w:t>Section </w:t>
      </w:r>
      <w:r w:rsidRPr="006A75A2">
        <w:t>35(4) of the</w:t>
      </w:r>
      <w:r w:rsidRPr="006A75A2">
        <w:rPr>
          <w:i/>
        </w:rPr>
        <w:t xml:space="preserve"> </w:t>
      </w:r>
      <w:r w:rsidRPr="002A34B3">
        <w:rPr>
          <w:i/>
        </w:rPr>
        <w:t>Financial Management Act 1994</w:t>
      </w:r>
    </w:p>
    <w:p w:rsidR="00336793" w:rsidRPr="006A75A2" w:rsidRDefault="00336793" w:rsidP="00DF0B96">
      <w:r w:rsidRPr="006A75A2">
        <w:t>There have been no amounts carried forward to 201</w:t>
      </w:r>
      <w:r>
        <w:t>4</w:t>
      </w:r>
      <w:r>
        <w:noBreakHyphen/>
      </w:r>
      <w:r w:rsidRPr="006A75A2">
        <w:t>1</w:t>
      </w:r>
      <w:r>
        <w:t>5</w:t>
      </w:r>
      <w:r w:rsidRPr="006A75A2">
        <w:t xml:space="preserve"> under </w:t>
      </w:r>
      <w:r>
        <w:t>Section </w:t>
      </w:r>
      <w:r w:rsidRPr="006A75A2">
        <w:t xml:space="preserve">35(4) of the </w:t>
      </w:r>
      <w:r w:rsidRPr="00203673">
        <w:rPr>
          <w:i/>
        </w:rPr>
        <w:t xml:space="preserve">Financial Management Act, </w:t>
      </w:r>
      <w:r>
        <w:rPr>
          <w:i/>
        </w:rPr>
        <w:t>No. </w:t>
      </w:r>
      <w:r w:rsidRPr="00203673">
        <w:rPr>
          <w:i/>
        </w:rPr>
        <w:t>18 of 1994</w:t>
      </w:r>
      <w:r w:rsidRPr="006A75A2">
        <w:t>.</w:t>
      </w:r>
    </w:p>
    <w:p w:rsidR="00336793" w:rsidRPr="006A75A2" w:rsidRDefault="00336793" w:rsidP="00DF0B96"/>
    <w:p w:rsidR="00336793" w:rsidRPr="006A75A2" w:rsidRDefault="00336793" w:rsidP="00DF0B96">
      <w:pPr>
        <w:spacing w:after="0"/>
        <w:rPr>
          <w:rFonts w:ascii="Calibri" w:hAnsi="Calibri"/>
          <w:b/>
        </w:rPr>
      </w:pPr>
      <w:r w:rsidRPr="006A75A2">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(o)</w:t>
      </w:r>
      <w:r w:rsidRPr="006A75A2">
        <w:tab/>
        <w:t>Parliamentary authority – Parliament</w:t>
      </w:r>
    </w:p>
    <w:p w:rsidR="00336793" w:rsidRPr="00A10A3B" w:rsidRDefault="00336793" w:rsidP="00DF0B96">
      <w:pPr>
        <w:pStyle w:val="million"/>
        <w:rPr>
          <w:rFonts w:ascii="Times New Roman" w:hAnsi="Times New Roman"/>
          <w:i w:val="0"/>
          <w:szCs w:val="20"/>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867"/>
        <w:gridCol w:w="1530"/>
        <w:gridCol w:w="1120"/>
        <w:gridCol w:w="1120"/>
      </w:tblGrid>
      <w:tr w:rsidR="00336793" w:rsidRPr="00A10A3B" w:rsidTr="00DF0B96">
        <w:trPr>
          <w:tblHeader/>
        </w:trPr>
        <w:tc>
          <w:tcPr>
            <w:tcW w:w="5867" w:type="dxa"/>
            <w:tcBorders>
              <w:top w:val="single" w:sz="6" w:space="0" w:color="000000"/>
              <w:left w:val="single" w:sz="6" w:space="0" w:color="000000"/>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530" w:type="dxa"/>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Parliamentary </w:t>
            </w:r>
          </w:p>
        </w:tc>
        <w:tc>
          <w:tcPr>
            <w:tcW w:w="1120" w:type="dxa"/>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Amounts </w:t>
            </w:r>
          </w:p>
        </w:tc>
        <w:tc>
          <w:tcPr>
            <w:tcW w:w="1120" w:type="dxa"/>
            <w:tcBorders>
              <w:top w:val="single" w:sz="6" w:space="0" w:color="000000"/>
              <w:left w:val="nil"/>
              <w:bottom w:val="nil"/>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Amounts </w:t>
            </w:r>
          </w:p>
        </w:tc>
      </w:tr>
      <w:tr w:rsidR="00336793" w:rsidRPr="00A10A3B" w:rsidTr="00DF0B96">
        <w:trPr>
          <w:tblHeader/>
        </w:trPr>
        <w:tc>
          <w:tcPr>
            <w:tcW w:w="5867" w:type="dxa"/>
            <w:tcBorders>
              <w:top w:val="nil"/>
              <w:left w:val="single" w:sz="6" w:space="0" w:color="000000"/>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530" w:type="dxa"/>
            <w:tcBorders>
              <w:top w:val="nil"/>
              <w:left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authority</w:t>
            </w:r>
          </w:p>
        </w:tc>
        <w:tc>
          <w:tcPr>
            <w:tcW w:w="1120" w:type="dxa"/>
            <w:tcBorders>
              <w:top w:val="nil"/>
              <w:left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applied</w:t>
            </w:r>
          </w:p>
        </w:tc>
        <w:tc>
          <w:tcPr>
            <w:tcW w:w="1120" w:type="dxa"/>
            <w:tcBorders>
              <w:top w:val="nil"/>
              <w:left w:val="nil"/>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applied</w:t>
            </w:r>
          </w:p>
        </w:tc>
      </w:tr>
      <w:tr w:rsidR="00336793" w:rsidRPr="00A10A3B" w:rsidTr="00DF0B96">
        <w:trPr>
          <w:tblHeader/>
        </w:trPr>
        <w:tc>
          <w:tcPr>
            <w:tcW w:w="5867" w:type="dxa"/>
            <w:tcBorders>
              <w:left w:val="single" w:sz="6" w:space="0" w:color="000000"/>
              <w:right w:val="nil"/>
            </w:tcBorders>
            <w:shd w:val="clear" w:color="000000" w:fill="000000"/>
            <w:vAlign w:val="bottom"/>
          </w:tcPr>
          <w:p w:rsidR="00336793" w:rsidRPr="00A10A3B" w:rsidRDefault="00336793" w:rsidP="00DF0B96">
            <w:pPr>
              <w:pStyle w:val="Tabletext"/>
              <w:rPr>
                <w:rFonts w:eastAsiaTheme="minorEastAsia"/>
                <w:bCs/>
                <w:lang w:eastAsia="en-AU"/>
              </w:rPr>
            </w:pPr>
            <w:r w:rsidRPr="00A10A3B">
              <w:rPr>
                <w:rFonts w:eastAsiaTheme="minorEastAsia"/>
                <w:b/>
                <w:bCs/>
                <w:lang w:eastAsia="en-AU"/>
              </w:rPr>
              <w:t xml:space="preserve"> </w:t>
            </w:r>
          </w:p>
        </w:tc>
        <w:tc>
          <w:tcPr>
            <w:tcW w:w="1530" w:type="dxa"/>
            <w:tcBorders>
              <w:left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left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left w:val="nil"/>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867" w:type="dxa"/>
            <w:tcBorders>
              <w:left w:val="single" w:sz="6" w:space="0" w:color="000000"/>
              <w:bottom w:val="single" w:sz="6" w:space="0" w:color="000000"/>
              <w:right w:val="nil"/>
            </w:tcBorders>
            <w:shd w:val="clear" w:color="000000" w:fill="000000"/>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Legislative Assembly</w:t>
            </w:r>
          </w:p>
        </w:tc>
        <w:tc>
          <w:tcPr>
            <w:tcW w:w="1530" w:type="dxa"/>
            <w:tcBorders>
              <w:left w:val="nil"/>
              <w:bottom w:val="single" w:sz="6" w:space="0" w:color="000000"/>
              <w:right w:val="nil"/>
            </w:tcBorders>
            <w:shd w:val="clear" w:color="000000" w:fill="000000"/>
          </w:tcPr>
          <w:p w:rsidR="00336793" w:rsidRPr="00A10A3B" w:rsidRDefault="00336793" w:rsidP="00DF0B96">
            <w:pPr>
              <w:pStyle w:val="Tabletextheading"/>
              <w:rPr>
                <w:rFonts w:eastAsiaTheme="minorEastAsia"/>
                <w:b/>
                <w:color w:val="FFFFFF"/>
                <w:lang w:eastAsia="en-AU"/>
              </w:rPr>
            </w:pPr>
            <w:r w:rsidRPr="00A10A3B">
              <w:rPr>
                <w:rFonts w:eastAsiaTheme="minorEastAsia"/>
                <w:b/>
                <w:color w:val="FFFFFF"/>
                <w:lang w:eastAsia="en-AU"/>
              </w:rPr>
              <w:t xml:space="preserve"> </w:t>
            </w:r>
          </w:p>
        </w:tc>
        <w:tc>
          <w:tcPr>
            <w:tcW w:w="1120" w:type="dxa"/>
            <w:tcBorders>
              <w:left w:val="nil"/>
              <w:bottom w:val="single" w:sz="6" w:space="0" w:color="000000"/>
              <w:right w:val="nil"/>
            </w:tcBorders>
            <w:shd w:val="clear" w:color="000000" w:fill="000000"/>
          </w:tcPr>
          <w:p w:rsidR="00336793" w:rsidRPr="00A10A3B" w:rsidRDefault="00336793" w:rsidP="00DF0B96">
            <w:pPr>
              <w:pStyle w:val="Tabletextheading"/>
              <w:rPr>
                <w:rFonts w:eastAsiaTheme="minorEastAsia"/>
                <w:b/>
                <w:color w:val="FFFFFF"/>
                <w:lang w:eastAsia="en-AU"/>
              </w:rPr>
            </w:pPr>
            <w:r w:rsidRPr="00A10A3B">
              <w:rPr>
                <w:rFonts w:eastAsiaTheme="minorEastAsia"/>
                <w:b/>
                <w:color w:val="FFFFFF"/>
                <w:lang w:eastAsia="en-AU"/>
              </w:rPr>
              <w:t xml:space="preserve"> </w:t>
            </w:r>
          </w:p>
        </w:tc>
        <w:tc>
          <w:tcPr>
            <w:tcW w:w="1120" w:type="dxa"/>
            <w:tcBorders>
              <w:left w:val="nil"/>
              <w:bottom w:val="single" w:sz="6" w:space="0" w:color="000000"/>
              <w:right w:val="single" w:sz="6" w:space="0" w:color="000000"/>
            </w:tcBorders>
            <w:shd w:val="clear" w:color="000000" w:fill="000000"/>
          </w:tcPr>
          <w:p w:rsidR="00336793" w:rsidRPr="00A10A3B" w:rsidRDefault="00336793" w:rsidP="00DF0B96">
            <w:pPr>
              <w:pStyle w:val="Tabletextheading"/>
              <w:rPr>
                <w:rFonts w:eastAsiaTheme="minorEastAsia"/>
                <w:b/>
                <w:color w:val="FFFFFF"/>
                <w:lang w:eastAsia="en-AU"/>
              </w:rPr>
            </w:pPr>
            <w:r w:rsidRPr="00A10A3B">
              <w:rPr>
                <w:rFonts w:eastAsiaTheme="minorEastAsia"/>
                <w:b/>
                <w:color w:val="FFFFFF"/>
                <w:lang w:eastAsia="en-AU"/>
              </w:rPr>
              <w:t xml:space="preserve"> </w:t>
            </w:r>
          </w:p>
        </w:tc>
      </w:tr>
      <w:tr w:rsidR="00336793" w:rsidRPr="00A10A3B" w:rsidTr="00DF0B96">
        <w:tc>
          <w:tcPr>
            <w:tcW w:w="5867" w:type="dxa"/>
            <w:tcBorders>
              <w:top w:val="single" w:sz="6" w:space="0" w:color="000000"/>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Special appropriations</w:t>
            </w:r>
          </w:p>
        </w:tc>
        <w:tc>
          <w:tcPr>
            <w:tcW w:w="1530" w:type="dxa"/>
            <w:tcBorders>
              <w:top w:val="single" w:sz="6" w:space="0" w:color="000000"/>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000000"/>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000000"/>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color w:val="000000"/>
                <w:szCs w:val="22"/>
                <w:lang w:eastAsia="en-AU"/>
              </w:rPr>
            </w:pPr>
            <w:r w:rsidRPr="00A10A3B">
              <w:rPr>
                <w:rFonts w:eastAsiaTheme="minorEastAsia"/>
                <w:i/>
                <w:lang w:eastAsia="en-AU"/>
              </w:rPr>
              <w:t xml:space="preserve">Audit Act, </w:t>
            </w:r>
            <w:r>
              <w:rPr>
                <w:rFonts w:eastAsiaTheme="minorEastAsia"/>
                <w:i/>
                <w:lang w:eastAsia="en-AU"/>
              </w:rPr>
              <w:t>No. </w:t>
            </w:r>
            <w:r w:rsidRPr="00A10A3B">
              <w:rPr>
                <w:rFonts w:eastAsiaTheme="minorEastAsia"/>
                <w:i/>
                <w:lang w:eastAsia="en-AU"/>
              </w:rPr>
              <w:t xml:space="preserve">2 of </w:t>
            </w:r>
            <w:r w:rsidRPr="00590F0A">
              <w:rPr>
                <w:rFonts w:eastAsiaTheme="minorEastAsia"/>
                <w:i/>
                <w:lang w:eastAsia="en-AU"/>
              </w:rPr>
              <w:t>1994</w:t>
            </w:r>
            <w:r w:rsidRPr="00A10A3B">
              <w:rPr>
                <w:rFonts w:eastAsiaTheme="minorEastAsia"/>
                <w:lang w:eastAsia="en-AU"/>
              </w:rPr>
              <w:t xml:space="preserve"> – Audit of the Office of the Auditor</w:t>
            </w:r>
            <w:r>
              <w:rPr>
                <w:rFonts w:eastAsiaTheme="minorEastAsia"/>
                <w:lang w:eastAsia="en-AU"/>
              </w:rPr>
              <w:noBreakHyphen/>
            </w:r>
            <w:r w:rsidRPr="00A10A3B">
              <w:rPr>
                <w:rFonts w:eastAsiaTheme="minorEastAsia"/>
                <w:lang w:eastAsia="en-AU"/>
              </w:rPr>
              <w:t>General</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13</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i/>
                <w:lang w:eastAsia="en-AU"/>
              </w:rPr>
              <w:t xml:space="preserve">Constitution Act, </w:t>
            </w:r>
            <w:r>
              <w:rPr>
                <w:rFonts w:eastAsiaTheme="minorEastAsia"/>
                <w:i/>
                <w:lang w:eastAsia="en-AU"/>
              </w:rPr>
              <w:t>No. </w:t>
            </w:r>
            <w:r w:rsidRPr="00A10A3B">
              <w:rPr>
                <w:rFonts w:eastAsiaTheme="minorEastAsia"/>
                <w:i/>
                <w:lang w:eastAsia="en-AU"/>
              </w:rPr>
              <w:t>8750 of 1975</w:t>
            </w:r>
            <w:r w:rsidRPr="00A10A3B">
              <w:rPr>
                <w:rFonts w:eastAsiaTheme="minorEastAsia"/>
                <w:lang w:eastAsia="en-AU"/>
              </w:rPr>
              <w:t xml:space="preserve"> – Clerk of the Parliaments</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i/>
                <w:lang w:eastAsia="en-AU"/>
              </w:rPr>
              <w:t xml:space="preserve">Constitution Act, </w:t>
            </w:r>
            <w:r>
              <w:rPr>
                <w:rFonts w:eastAsiaTheme="minorEastAsia"/>
                <w:i/>
                <w:lang w:eastAsia="en-AU"/>
              </w:rPr>
              <w:t>No. </w:t>
            </w:r>
            <w:r w:rsidRPr="00A10A3B">
              <w:rPr>
                <w:rFonts w:eastAsiaTheme="minorEastAsia"/>
                <w:i/>
                <w:lang w:eastAsia="en-AU"/>
              </w:rPr>
              <w:t>8750 of 1975</w:t>
            </w:r>
            <w:r w:rsidRPr="00A10A3B">
              <w:rPr>
                <w:rFonts w:eastAsiaTheme="minorEastAsia"/>
                <w:lang w:eastAsia="en-AU"/>
              </w:rPr>
              <w:t xml:space="preserve"> – Legislative Assembly </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550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550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550</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i/>
                <w:lang w:eastAsia="en-AU"/>
              </w:rPr>
              <w:t xml:space="preserve">Parliamentary Salaries and Superannuation Act, </w:t>
            </w:r>
            <w:r>
              <w:rPr>
                <w:rFonts w:eastAsiaTheme="minorEastAsia"/>
                <w:i/>
                <w:lang w:eastAsia="en-AU"/>
              </w:rPr>
              <w:t>No. </w:t>
            </w:r>
            <w:r w:rsidRPr="00A10A3B">
              <w:rPr>
                <w:rFonts w:eastAsiaTheme="minorEastAsia"/>
                <w:i/>
                <w:lang w:eastAsia="en-AU"/>
              </w:rPr>
              <w:t>7723 of 1968</w:t>
            </w:r>
            <w:r w:rsidRPr="00A10A3B">
              <w:rPr>
                <w:rFonts w:eastAsiaTheme="minorEastAsia"/>
                <w:lang w:eastAsia="en-AU"/>
              </w:rPr>
              <w:t xml:space="preserve"> – Salaries and Allowances</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18 348</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18 348</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17 657</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i/>
                <w:lang w:eastAsia="en-AU"/>
              </w:rPr>
              <w:t xml:space="preserve">Parliamentary Salaries and Superannuation Act, </w:t>
            </w:r>
            <w:r>
              <w:rPr>
                <w:rFonts w:eastAsiaTheme="minorEastAsia"/>
                <w:i/>
                <w:lang w:eastAsia="en-AU"/>
              </w:rPr>
              <w:t>No. </w:t>
            </w:r>
            <w:r w:rsidRPr="00A10A3B">
              <w:rPr>
                <w:rFonts w:eastAsiaTheme="minorEastAsia"/>
                <w:i/>
                <w:lang w:eastAsia="en-AU"/>
              </w:rPr>
              <w:t>7723 of 1968</w:t>
            </w:r>
            <w:r w:rsidRPr="00A10A3B">
              <w:rPr>
                <w:rFonts w:eastAsiaTheme="minorEastAsia"/>
                <w:lang w:eastAsia="en-AU"/>
              </w:rPr>
              <w:t xml:space="preserve"> – Section 13(1)(c) Contributions</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4 795</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special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18 913</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18 913</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23 021</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Annual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Provision of outputs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Provision of outputs – net application</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4 636</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4 634</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4 519</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provision of outputs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4 636</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4 634</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4 519</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annual appropriations – gross application</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4 636</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4 634</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4 519</w:t>
            </w:r>
          </w:p>
        </w:tc>
      </w:tr>
      <w:tr w:rsidR="00336793" w:rsidRPr="00A10A3B" w:rsidTr="00DF0B96">
        <w:trPr>
          <w:trHeight w:hRule="exact" w:val="120"/>
        </w:trPr>
        <w:tc>
          <w:tcPr>
            <w:tcW w:w="5867" w:type="dxa"/>
            <w:tcBorders>
              <w:top w:val="single" w:sz="6" w:space="0" w:color="auto"/>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Parliamentary authority</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23 549</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23 547</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27 540</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single" w:sz="6" w:space="0" w:color="auto"/>
              <w:left w:val="single" w:sz="6" w:space="0" w:color="auto"/>
              <w:bottom w:val="single" w:sz="6" w:space="0" w:color="auto"/>
              <w:right w:val="nil"/>
            </w:tcBorders>
            <w:shd w:val="solid" w:color="000000"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Legislative Council</w:t>
            </w:r>
          </w:p>
        </w:tc>
        <w:tc>
          <w:tcPr>
            <w:tcW w:w="1530" w:type="dxa"/>
            <w:tcBorders>
              <w:top w:val="single" w:sz="6" w:space="0" w:color="auto"/>
              <w:left w:val="single" w:sz="6" w:space="0" w:color="auto"/>
              <w:bottom w:val="single" w:sz="6" w:space="0" w:color="auto"/>
              <w:right w:val="nil"/>
            </w:tcBorders>
            <w:shd w:val="solid" w:color="000000"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auto"/>
              <w:left w:val="single" w:sz="6" w:space="0" w:color="auto"/>
              <w:bottom w:val="single" w:sz="6" w:space="0" w:color="auto"/>
              <w:right w:val="nil"/>
            </w:tcBorders>
            <w:shd w:val="solid" w:color="000000"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auto"/>
              <w:left w:val="nil"/>
              <w:bottom w:val="single" w:sz="6" w:space="0" w:color="auto"/>
              <w:right w:val="single" w:sz="6" w:space="0" w:color="auto"/>
            </w:tcBorders>
            <w:shd w:val="solid" w:color="000000"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Special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i/>
                <w:lang w:eastAsia="en-AU"/>
              </w:rPr>
              <w:t xml:space="preserve">Audit Act, </w:t>
            </w:r>
            <w:r>
              <w:rPr>
                <w:rFonts w:eastAsiaTheme="minorEastAsia"/>
                <w:i/>
                <w:lang w:eastAsia="en-AU"/>
              </w:rPr>
              <w:t>No. </w:t>
            </w:r>
            <w:r w:rsidRPr="00A10A3B">
              <w:rPr>
                <w:rFonts w:eastAsiaTheme="minorEastAsia"/>
                <w:i/>
                <w:lang w:eastAsia="en-AU"/>
              </w:rPr>
              <w:t>2 of 1994</w:t>
            </w:r>
            <w:r w:rsidRPr="00A10A3B">
              <w:rPr>
                <w:rFonts w:eastAsiaTheme="minorEastAsia"/>
                <w:lang w:eastAsia="en-AU"/>
              </w:rPr>
              <w:t xml:space="preserve"> – Audit of the Office of the Auditor</w:t>
            </w:r>
            <w:r>
              <w:rPr>
                <w:rFonts w:eastAsiaTheme="minorEastAsia"/>
                <w:lang w:eastAsia="en-AU"/>
              </w:rPr>
              <w:noBreakHyphen/>
            </w:r>
            <w:r w:rsidRPr="00A10A3B">
              <w:rPr>
                <w:rFonts w:eastAsiaTheme="minorEastAsia"/>
                <w:lang w:eastAsia="en-AU"/>
              </w:rPr>
              <w:t>General</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Pr>
                <w:rFonts w:eastAsiaTheme="minorEastAsia"/>
                <w:lang w:eastAsia="en-AU"/>
              </w:rPr>
              <w:t xml:space="preserve">  12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Pr>
                <w:rFonts w:eastAsiaTheme="minorEastAsia"/>
                <w:lang w:eastAsia="en-AU"/>
              </w:rPr>
              <w:t xml:space="preserve">  12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17</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i/>
                <w:lang w:eastAsia="en-AU"/>
              </w:rPr>
              <w:t xml:space="preserve">Constitution Act, </w:t>
            </w:r>
            <w:r>
              <w:rPr>
                <w:rFonts w:eastAsiaTheme="minorEastAsia"/>
                <w:i/>
                <w:lang w:eastAsia="en-AU"/>
              </w:rPr>
              <w:t>No. </w:t>
            </w:r>
            <w:r w:rsidRPr="00A10A3B">
              <w:rPr>
                <w:rFonts w:eastAsiaTheme="minorEastAsia"/>
                <w:i/>
                <w:lang w:eastAsia="en-AU"/>
              </w:rPr>
              <w:t>8750 of 1975</w:t>
            </w:r>
            <w:r w:rsidRPr="00A10A3B">
              <w:rPr>
                <w:rFonts w:eastAsiaTheme="minorEastAsia"/>
                <w:lang w:eastAsia="en-AU"/>
              </w:rPr>
              <w:t xml:space="preserve"> – Legislative Council</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200</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i/>
                <w:lang w:eastAsia="en-AU"/>
              </w:rPr>
              <w:t xml:space="preserve">Parliamentary Salaries and Superannuation Act, </w:t>
            </w:r>
            <w:r>
              <w:rPr>
                <w:rFonts w:eastAsiaTheme="minorEastAsia"/>
                <w:i/>
                <w:lang w:eastAsia="en-AU"/>
              </w:rPr>
              <w:t>No. </w:t>
            </w:r>
            <w:r w:rsidRPr="00A10A3B">
              <w:rPr>
                <w:rFonts w:eastAsiaTheme="minorEastAsia"/>
                <w:i/>
                <w:lang w:eastAsia="en-AU"/>
              </w:rPr>
              <w:t>7723 of 1968</w:t>
            </w:r>
            <w:r w:rsidRPr="00A10A3B">
              <w:rPr>
                <w:rFonts w:eastAsiaTheme="minorEastAsia"/>
                <w:lang w:eastAsia="en-AU"/>
              </w:rPr>
              <w:t xml:space="preserve"> – Salaries and Allowances</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9 080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9 080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8 526</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i/>
                <w:lang w:eastAsia="en-AU"/>
              </w:rPr>
              <w:t xml:space="preserve">Parliamentary Salaries and Superannuation Act, </w:t>
            </w:r>
            <w:r>
              <w:rPr>
                <w:rFonts w:eastAsiaTheme="minorEastAsia"/>
                <w:i/>
                <w:lang w:eastAsia="en-AU"/>
              </w:rPr>
              <w:t>No. </w:t>
            </w:r>
            <w:r w:rsidRPr="00A10A3B">
              <w:rPr>
                <w:rFonts w:eastAsiaTheme="minorEastAsia"/>
                <w:i/>
                <w:lang w:eastAsia="en-AU"/>
              </w:rPr>
              <w:t>7723 of 1968,</w:t>
            </w:r>
            <w:r w:rsidRPr="00A10A3B">
              <w:rPr>
                <w:rFonts w:eastAsiaTheme="minorEastAsia"/>
                <w:lang w:eastAsia="en-AU"/>
              </w:rPr>
              <w:t xml:space="preserve"> Section 13 (1)(c) – Contributions </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2 180</w:t>
            </w:r>
          </w:p>
        </w:tc>
      </w:tr>
      <w:tr w:rsidR="00336793" w:rsidRPr="00A10A3B" w:rsidTr="00DF0B96">
        <w:tc>
          <w:tcPr>
            <w:tcW w:w="5867" w:type="dxa"/>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special appropriations</w:t>
            </w:r>
          </w:p>
        </w:tc>
        <w:tc>
          <w:tcPr>
            <w:tcW w:w="153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9 293</w:t>
            </w:r>
          </w:p>
        </w:tc>
        <w:tc>
          <w:tcPr>
            <w:tcW w:w="112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9 293</w:t>
            </w:r>
          </w:p>
        </w:tc>
        <w:tc>
          <w:tcPr>
            <w:tcW w:w="112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 xml:space="preserve"> 10 922</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Annual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Provision of outputs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Provision of outputs – net application</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3 254</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3 252</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3 076</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provision of outputs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3 254</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3 252</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3 076</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annual appropriations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3 254</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3 252</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3 076</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r>
      <w:tr w:rsidR="00336793" w:rsidRPr="00A10A3B" w:rsidTr="00DF0B96">
        <w:tc>
          <w:tcPr>
            <w:tcW w:w="5867" w:type="dxa"/>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Parliamentary authority</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12 547</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12 545</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 xml:space="preserve"> 13 998</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single" w:sz="6" w:space="0" w:color="auto"/>
              <w:left w:val="single" w:sz="6" w:space="0" w:color="auto"/>
              <w:bottom w:val="single" w:sz="6" w:space="0" w:color="auto"/>
              <w:right w:val="nil"/>
            </w:tcBorders>
            <w:shd w:val="solid" w:color="000000"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Parliamentary Investigatory Committees</w:t>
            </w:r>
          </w:p>
        </w:tc>
        <w:tc>
          <w:tcPr>
            <w:tcW w:w="1530" w:type="dxa"/>
            <w:tcBorders>
              <w:top w:val="single" w:sz="6" w:space="0" w:color="auto"/>
              <w:left w:val="single" w:sz="6" w:space="0" w:color="auto"/>
              <w:bottom w:val="single" w:sz="6" w:space="0" w:color="auto"/>
              <w:right w:val="nil"/>
            </w:tcBorders>
            <w:shd w:val="solid" w:color="000000"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auto"/>
              <w:left w:val="single" w:sz="6" w:space="0" w:color="auto"/>
              <w:bottom w:val="single" w:sz="6" w:space="0" w:color="auto"/>
              <w:right w:val="nil"/>
            </w:tcBorders>
            <w:shd w:val="solid" w:color="000000"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auto"/>
              <w:left w:val="nil"/>
              <w:bottom w:val="single" w:sz="6" w:space="0" w:color="auto"/>
              <w:right w:val="single" w:sz="6" w:space="0" w:color="auto"/>
            </w:tcBorders>
            <w:shd w:val="solid" w:color="000000"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Annual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Provision of outputs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Provision of outputs – net application</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7 016</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7 013</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7 040</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provision of outputs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7 016</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7 013</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7 040</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annual appropriations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7 016</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7 013</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7 040</w:t>
            </w:r>
          </w:p>
        </w:tc>
      </w:tr>
      <w:tr w:rsidR="00336793" w:rsidRPr="00A10A3B" w:rsidTr="00DF0B96">
        <w:trPr>
          <w:trHeight w:hRule="exact" w:val="120"/>
        </w:trPr>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r>
      <w:tr w:rsidR="00336793" w:rsidRPr="00A10A3B" w:rsidTr="00DF0B96">
        <w:tc>
          <w:tcPr>
            <w:tcW w:w="5867" w:type="dxa"/>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Parliamentary authority</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7 016</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7 013</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7 040</w:t>
            </w:r>
          </w:p>
        </w:tc>
      </w:tr>
    </w:tbl>
    <w:p w:rsidR="00336793" w:rsidRDefault="00336793">
      <w:pPr>
        <w:spacing w:after="0"/>
        <w:rPr>
          <w:rFonts w:ascii="Calibri" w:hAnsi="Calibri"/>
          <w:b/>
          <w:sz w:val="25"/>
        </w:rPr>
      </w:pPr>
      <w:r>
        <w:br w:type="page"/>
      </w:r>
    </w:p>
    <w:p w:rsidR="00336793" w:rsidRPr="006A75A2" w:rsidRDefault="00336793" w:rsidP="00146F9C">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Default="00336793" w:rsidP="00146F9C">
      <w:pPr>
        <w:pStyle w:val="Tableheadingcontinued"/>
      </w:pPr>
      <w:r>
        <w:t>(o)</w:t>
      </w:r>
      <w:r>
        <w:tab/>
        <w:t xml:space="preserve">Parliamentary authority – Parliament </w:t>
      </w:r>
      <w:r w:rsidRPr="00146F9C">
        <w:rPr>
          <w:i/>
        </w:rPr>
        <w:t>(continued)</w:t>
      </w:r>
    </w:p>
    <w:p w:rsidR="00336793" w:rsidRDefault="00336793" w:rsidP="00146F9C">
      <w:pPr>
        <w:pStyle w:val="million"/>
      </w:pP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867"/>
        <w:gridCol w:w="1530"/>
        <w:gridCol w:w="1120"/>
        <w:gridCol w:w="1120"/>
      </w:tblGrid>
      <w:tr w:rsidR="00336793" w:rsidRPr="00A10A3B" w:rsidTr="00DF0B96">
        <w:trPr>
          <w:tblHeader/>
        </w:trPr>
        <w:tc>
          <w:tcPr>
            <w:tcW w:w="5867" w:type="dxa"/>
            <w:tcBorders>
              <w:top w:val="single" w:sz="6" w:space="0" w:color="000000"/>
              <w:left w:val="single" w:sz="6" w:space="0" w:color="000000"/>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530" w:type="dxa"/>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Parliamentary </w:t>
            </w:r>
          </w:p>
        </w:tc>
        <w:tc>
          <w:tcPr>
            <w:tcW w:w="1120" w:type="dxa"/>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Amounts </w:t>
            </w:r>
          </w:p>
        </w:tc>
        <w:tc>
          <w:tcPr>
            <w:tcW w:w="1120" w:type="dxa"/>
            <w:tcBorders>
              <w:top w:val="single" w:sz="6" w:space="0" w:color="000000"/>
              <w:left w:val="nil"/>
              <w:bottom w:val="nil"/>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Amounts </w:t>
            </w:r>
          </w:p>
        </w:tc>
      </w:tr>
      <w:tr w:rsidR="00336793" w:rsidRPr="00A10A3B" w:rsidTr="00DF0B96">
        <w:trPr>
          <w:tblHeader/>
        </w:trPr>
        <w:tc>
          <w:tcPr>
            <w:tcW w:w="5867" w:type="dxa"/>
            <w:tcBorders>
              <w:top w:val="nil"/>
              <w:left w:val="single" w:sz="6" w:space="0" w:color="000000"/>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530" w:type="dxa"/>
            <w:tcBorders>
              <w:top w:val="nil"/>
              <w:left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authority</w:t>
            </w:r>
          </w:p>
        </w:tc>
        <w:tc>
          <w:tcPr>
            <w:tcW w:w="1120" w:type="dxa"/>
            <w:tcBorders>
              <w:top w:val="nil"/>
              <w:left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applied</w:t>
            </w:r>
          </w:p>
        </w:tc>
        <w:tc>
          <w:tcPr>
            <w:tcW w:w="1120" w:type="dxa"/>
            <w:tcBorders>
              <w:top w:val="nil"/>
              <w:left w:val="nil"/>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applied</w:t>
            </w:r>
          </w:p>
        </w:tc>
      </w:tr>
      <w:tr w:rsidR="00336793" w:rsidRPr="00A10A3B" w:rsidTr="00DF0B96">
        <w:trPr>
          <w:tblHeader/>
        </w:trPr>
        <w:tc>
          <w:tcPr>
            <w:tcW w:w="5867" w:type="dxa"/>
            <w:tcBorders>
              <w:left w:val="single" w:sz="6" w:space="0" w:color="000000"/>
              <w:right w:val="nil"/>
            </w:tcBorders>
            <w:shd w:val="clear" w:color="000000" w:fill="000000"/>
            <w:vAlign w:val="bottom"/>
          </w:tcPr>
          <w:p w:rsidR="00336793" w:rsidRPr="00A10A3B" w:rsidRDefault="00336793" w:rsidP="00DF0B96">
            <w:pPr>
              <w:pStyle w:val="Tabletext"/>
              <w:rPr>
                <w:rFonts w:eastAsiaTheme="minorEastAsia"/>
                <w:bCs/>
                <w:lang w:eastAsia="en-AU"/>
              </w:rPr>
            </w:pPr>
            <w:r w:rsidRPr="00A10A3B">
              <w:rPr>
                <w:rFonts w:eastAsiaTheme="minorEastAsia"/>
                <w:b/>
                <w:bCs/>
                <w:lang w:eastAsia="en-AU"/>
              </w:rPr>
              <w:t xml:space="preserve"> </w:t>
            </w:r>
          </w:p>
        </w:tc>
        <w:tc>
          <w:tcPr>
            <w:tcW w:w="1530" w:type="dxa"/>
            <w:tcBorders>
              <w:left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left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left w:val="nil"/>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146F9C">
            <w:pPr>
              <w:pStyle w:val="Tabletext"/>
              <w:ind w:left="187" w:hanging="187"/>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single" w:sz="6" w:space="0" w:color="auto"/>
              <w:left w:val="single" w:sz="6" w:space="0" w:color="auto"/>
              <w:bottom w:val="single" w:sz="6" w:space="0" w:color="auto"/>
              <w:right w:val="nil"/>
            </w:tcBorders>
            <w:shd w:val="solid" w:color="000000"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Parliamentary Services</w:t>
            </w:r>
          </w:p>
        </w:tc>
        <w:tc>
          <w:tcPr>
            <w:tcW w:w="1530" w:type="dxa"/>
            <w:tcBorders>
              <w:top w:val="single" w:sz="6" w:space="0" w:color="auto"/>
              <w:left w:val="single" w:sz="6" w:space="0" w:color="auto"/>
              <w:bottom w:val="single" w:sz="6" w:space="0" w:color="auto"/>
              <w:right w:val="nil"/>
            </w:tcBorders>
            <w:shd w:val="solid" w:color="000000"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auto"/>
              <w:left w:val="single" w:sz="6" w:space="0" w:color="auto"/>
              <w:bottom w:val="single" w:sz="6" w:space="0" w:color="auto"/>
              <w:right w:val="nil"/>
            </w:tcBorders>
            <w:shd w:val="solid" w:color="000000"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single" w:sz="6" w:space="0" w:color="auto"/>
              <w:left w:val="nil"/>
              <w:bottom w:val="single" w:sz="6" w:space="0" w:color="auto"/>
              <w:right w:val="single" w:sz="6" w:space="0" w:color="auto"/>
            </w:tcBorders>
            <w:shd w:val="solid" w:color="000000"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Annual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Provision of outputs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Provision of outputs – net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85 446</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82 563</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78 742</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i/>
                <w:iCs/>
                <w:color w:val="000000"/>
                <w:szCs w:val="22"/>
                <w:lang w:eastAsia="en-AU"/>
              </w:rPr>
            </w:pPr>
            <w:r w:rsidRPr="00A10A3B">
              <w:rPr>
                <w:rFonts w:eastAsiaTheme="minorEastAsia"/>
                <w:lang w:eastAsia="en-AU"/>
              </w:rPr>
              <w:t xml:space="preserve">Section 29 </w:t>
            </w:r>
            <w:r w:rsidRPr="00A10A3B">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77</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i/>
                <w:iCs/>
                <w:color w:val="000000"/>
                <w:szCs w:val="22"/>
                <w:lang w:eastAsia="en-AU"/>
              </w:rPr>
            </w:pPr>
            <w:r w:rsidRPr="00A10A3B">
              <w:rPr>
                <w:rFonts w:eastAsiaTheme="minorEastAsia"/>
                <w:lang w:eastAsia="en-AU"/>
              </w:rPr>
              <w:t xml:space="preserve">Section 32 </w:t>
            </w:r>
            <w:r w:rsidRPr="00A10A3B">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3 163</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3 162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3 464</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Advance to Treasurer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742</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742</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provision of outputs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 xml:space="preserve"> 89 436</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 xml:space="preserve"> 86 547</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82 284</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Additions to the net asset base</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Advance to Treasurer</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Pr>
                <w:rFonts w:eastAsiaTheme="minorEastAsia"/>
                <w:lang w:eastAsia="en-AU"/>
              </w:rPr>
              <w:t xml:space="preserve"> 1 894</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1 894</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additions to net asset base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2 948</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1 894</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annual appropriations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 xml:space="preserve"> 92 379</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88 441</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82 284</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cs="Calibri"/>
                <w:b/>
                <w:bCs/>
                <w:color w:val="000000"/>
                <w:szCs w:val="22"/>
                <w:lang w:eastAsia="en-AU"/>
              </w:rPr>
            </w:pPr>
            <w:r w:rsidRPr="00A10A3B">
              <w:rPr>
                <w:rFonts w:eastAsiaTheme="minorEastAsia"/>
                <w:b/>
                <w:bCs/>
                <w:lang w:eastAsia="en-AU"/>
              </w:rPr>
              <w:t xml:space="preserve">Total Parliamentary authority (excluding </w:t>
            </w:r>
            <w:r w:rsidRPr="00A10A3B">
              <w:rPr>
                <w:rFonts w:eastAsiaTheme="minorEastAsia"/>
                <w:b/>
                <w:bCs/>
                <w:i/>
                <w:lang w:eastAsia="en-AU"/>
              </w:rPr>
              <w:t xml:space="preserve">Financial Management Act, </w:t>
            </w:r>
            <w:r w:rsidRPr="00062260">
              <w:rPr>
                <w:rFonts w:eastAsiaTheme="minorEastAsia"/>
                <w:b/>
                <w:bCs/>
                <w:i/>
                <w:lang w:eastAsia="en-AU"/>
              </w:rPr>
              <w:t>No. 18 of 1994</w:t>
            </w:r>
            <w:r w:rsidRPr="00A10A3B">
              <w:rPr>
                <w:rFonts w:eastAsiaTheme="minorEastAsia"/>
                <w:b/>
                <w:bCs/>
                <w:i/>
                <w:lang w:eastAsia="en-AU"/>
              </w:rPr>
              <w:t xml:space="preserve"> </w:t>
            </w:r>
            <w:r w:rsidRPr="00A10A3B">
              <w:rPr>
                <w:rFonts w:eastAsiaTheme="minorEastAsia"/>
                <w:b/>
                <w:bCs/>
                <w:lang w:eastAsia="en-AU"/>
              </w:rPr>
              <w:t>Section 33)</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 xml:space="preserve"> 92 379</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88 441</w:t>
            </w:r>
          </w:p>
        </w:tc>
        <w:tc>
          <w:tcPr>
            <w:tcW w:w="112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82 284</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b/>
                <w:bCs/>
                <w:color w:val="000000"/>
                <w:szCs w:val="22"/>
                <w:lang w:eastAsia="en-AU"/>
              </w:rPr>
            </w:pPr>
            <w:r w:rsidRPr="00A10A3B">
              <w:rPr>
                <w:rFonts w:eastAsiaTheme="minorEastAsia"/>
                <w:b/>
                <w:bCs/>
                <w:lang w:eastAsia="en-AU"/>
              </w:rPr>
              <w:t xml:space="preserve">Amounts issued under the authority of the </w:t>
            </w:r>
            <w:r w:rsidRPr="00A10A3B">
              <w:rPr>
                <w:rFonts w:eastAsiaTheme="minorEastAsia"/>
                <w:b/>
                <w:bCs/>
                <w:i/>
                <w:lang w:eastAsia="en-AU"/>
              </w:rPr>
              <w:t xml:space="preserve">Financial Management Act, </w:t>
            </w:r>
            <w:r w:rsidRPr="00062260">
              <w:rPr>
                <w:rFonts w:eastAsiaTheme="minorEastAsia"/>
                <w:b/>
                <w:bCs/>
                <w:i/>
                <w:lang w:eastAsia="en-AU"/>
              </w:rPr>
              <w:t>No. 18 of 1994</w:t>
            </w:r>
            <w:r w:rsidRPr="00A10A3B">
              <w:rPr>
                <w:rFonts w:eastAsiaTheme="minorEastAsia"/>
                <w:b/>
                <w:bCs/>
                <w:i/>
                <w:lang w:eastAsia="en-AU"/>
              </w:rPr>
              <w:t>,</w:t>
            </w:r>
            <w:r w:rsidRPr="00A10A3B">
              <w:rPr>
                <w:rFonts w:eastAsiaTheme="minorEastAsia"/>
                <w:b/>
                <w:bCs/>
                <w:lang w:eastAsia="en-AU"/>
              </w:rPr>
              <w:t xml:space="preserve"> Section 33 (Special Appropriation) relating to prior year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5 000</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5 000</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w:t>
            </w:r>
          </w:p>
        </w:tc>
      </w:tr>
      <w:tr w:rsidR="00336793" w:rsidRPr="00A10A3B" w:rsidTr="00DF0B96">
        <w:trPr>
          <w:trHeight w:hRule="exact" w:val="120"/>
        </w:trPr>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Parliamentary authority</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 xml:space="preserve"> 97 379</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93 441</w:t>
            </w:r>
          </w:p>
        </w:tc>
        <w:tc>
          <w:tcPr>
            <w:tcW w:w="112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82 284</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single" w:sz="6" w:space="0" w:color="auto"/>
              <w:left w:val="single" w:sz="6" w:space="0" w:color="auto"/>
              <w:bottom w:val="single" w:sz="6" w:space="0" w:color="auto"/>
              <w:right w:val="nil"/>
            </w:tcBorders>
            <w:shd w:val="solid" w:color="000000"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Auditor</w:t>
            </w:r>
            <w:r>
              <w:rPr>
                <w:rFonts w:eastAsiaTheme="minorEastAsia"/>
                <w:b/>
                <w:bCs/>
                <w:lang w:eastAsia="en-AU"/>
              </w:rPr>
              <w:noBreakHyphen/>
            </w:r>
            <w:r w:rsidRPr="00A10A3B">
              <w:rPr>
                <w:rFonts w:eastAsiaTheme="minorEastAsia"/>
                <w:b/>
                <w:bCs/>
                <w:lang w:eastAsia="en-AU"/>
              </w:rPr>
              <w:t>General</w:t>
            </w:r>
          </w:p>
        </w:tc>
        <w:tc>
          <w:tcPr>
            <w:tcW w:w="1530" w:type="dxa"/>
            <w:tcBorders>
              <w:top w:val="nil"/>
              <w:left w:val="nil"/>
              <w:bottom w:val="nil"/>
              <w:right w:val="nil"/>
            </w:tcBorders>
            <w:shd w:val="solid" w:color="000000"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shd w:val="solid" w:color="000000"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single" w:sz="6" w:space="0" w:color="auto"/>
              <w:left w:val="nil"/>
              <w:bottom w:val="single" w:sz="6" w:space="0" w:color="auto"/>
              <w:right w:val="single" w:sz="6" w:space="0" w:color="auto"/>
            </w:tcBorders>
            <w:shd w:val="solid" w:color="000000" w:fill="auto"/>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Special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i/>
                <w:iCs/>
                <w:color w:val="000000"/>
                <w:szCs w:val="22"/>
                <w:lang w:eastAsia="en-AU"/>
              </w:rPr>
            </w:pPr>
            <w:r w:rsidRPr="00A10A3B">
              <w:rPr>
                <w:rFonts w:eastAsiaTheme="minorEastAsia"/>
                <w:i/>
                <w:lang w:eastAsia="en-AU"/>
              </w:rPr>
              <w:t xml:space="preserve">Constitution Act </w:t>
            </w:r>
            <w:r>
              <w:rPr>
                <w:rFonts w:eastAsiaTheme="minorEastAsia"/>
                <w:i/>
                <w:lang w:eastAsia="en-AU"/>
              </w:rPr>
              <w:t>No. </w:t>
            </w:r>
            <w:r w:rsidRPr="00A10A3B">
              <w:rPr>
                <w:rFonts w:eastAsiaTheme="minorEastAsia"/>
                <w:i/>
                <w:lang w:eastAsia="en-AU"/>
              </w:rPr>
              <w:t>8750 of 1975 – Auditor</w:t>
            </w:r>
            <w:r>
              <w:rPr>
                <w:rFonts w:eastAsiaTheme="minorEastAsia"/>
                <w:i/>
                <w:lang w:eastAsia="en-AU"/>
              </w:rPr>
              <w:noBreakHyphen/>
            </w:r>
            <w:r w:rsidRPr="00A10A3B">
              <w:rPr>
                <w:rFonts w:eastAsiaTheme="minorEastAsia"/>
                <w:i/>
                <w:lang w:eastAsia="en-AU"/>
              </w:rPr>
              <w:t>General</w:t>
            </w:r>
            <w:r>
              <w:rPr>
                <w:rFonts w:eastAsiaTheme="minorEastAsia"/>
                <w:i/>
                <w:lang w:eastAsia="en-AU"/>
              </w:rPr>
              <w:t>’</w:t>
            </w:r>
            <w:r w:rsidRPr="00A10A3B">
              <w:rPr>
                <w:rFonts w:eastAsiaTheme="minorEastAsia"/>
                <w:i/>
                <w:lang w:eastAsia="en-AU"/>
              </w:rPr>
              <w:t>s salary</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541</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541</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495</w:t>
            </w:r>
          </w:p>
        </w:tc>
      </w:tr>
      <w:tr w:rsidR="00336793" w:rsidRPr="00A10A3B" w:rsidTr="00DF0B96">
        <w:tc>
          <w:tcPr>
            <w:tcW w:w="5867" w:type="dxa"/>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cs="Calibri"/>
                <w:b/>
                <w:bCs/>
                <w:color w:val="000000"/>
                <w:szCs w:val="22"/>
                <w:lang w:eastAsia="en-AU"/>
              </w:rPr>
            </w:pPr>
            <w:r w:rsidRPr="00A10A3B">
              <w:rPr>
                <w:rFonts w:eastAsiaTheme="minorEastAsia"/>
                <w:b/>
                <w:bCs/>
                <w:lang w:eastAsia="en-AU"/>
              </w:rPr>
              <w:t xml:space="preserve">Total special appropriations (excluding </w:t>
            </w:r>
            <w:r w:rsidRPr="00A10A3B">
              <w:rPr>
                <w:rFonts w:eastAsiaTheme="minorEastAsia"/>
                <w:b/>
                <w:bCs/>
                <w:i/>
                <w:lang w:eastAsia="en-AU"/>
              </w:rPr>
              <w:t xml:space="preserve">Financial Management Act, </w:t>
            </w:r>
            <w:r w:rsidRPr="00062260">
              <w:rPr>
                <w:rFonts w:eastAsiaTheme="minorEastAsia"/>
                <w:b/>
                <w:bCs/>
                <w:i/>
                <w:lang w:eastAsia="en-AU"/>
              </w:rPr>
              <w:t>No. 18 of 1994</w:t>
            </w:r>
            <w:r w:rsidRPr="00A10A3B">
              <w:rPr>
                <w:rFonts w:eastAsiaTheme="minorEastAsia"/>
                <w:b/>
                <w:bCs/>
                <w:lang w:eastAsia="en-AU"/>
              </w:rPr>
              <w:t xml:space="preserve"> Section 33)</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541</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541</w:t>
            </w:r>
          </w:p>
        </w:tc>
        <w:tc>
          <w:tcPr>
            <w:tcW w:w="112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495</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Annual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Provision of outputs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Provision of outputs – net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15 404</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15 404</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15 179</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i/>
                <w:iCs/>
                <w:color w:val="000000"/>
                <w:szCs w:val="22"/>
                <w:lang w:eastAsia="en-AU"/>
              </w:rPr>
            </w:pPr>
            <w:r w:rsidRPr="00A10A3B">
              <w:rPr>
                <w:rFonts w:eastAsiaTheme="minorEastAsia"/>
                <w:lang w:eastAsia="en-AU"/>
              </w:rPr>
              <w:t xml:space="preserve">Section 29 </w:t>
            </w:r>
            <w:r w:rsidRPr="00A10A3B">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23 536</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23 536</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23 191</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provision of outputs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38 940</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38 940</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38 370</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annual appropriations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38 940</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38 940</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38 370</w:t>
            </w:r>
          </w:p>
        </w:tc>
      </w:tr>
      <w:tr w:rsidR="00336793" w:rsidRPr="00A10A3B" w:rsidTr="00DF0B96">
        <w:trPr>
          <w:trHeight w:hRule="exact" w:val="120"/>
        </w:trPr>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b/>
                <w:bCs/>
                <w:color w:val="000000"/>
                <w:szCs w:val="22"/>
                <w:lang w:eastAsia="en-AU"/>
              </w:rPr>
            </w:pPr>
            <w:r w:rsidRPr="00A10A3B">
              <w:rPr>
                <w:rFonts w:eastAsiaTheme="minorEastAsia"/>
                <w:b/>
                <w:bCs/>
                <w:lang w:eastAsia="en-AU"/>
              </w:rPr>
              <w:t xml:space="preserve">Total Parliamentary authority (excluding </w:t>
            </w:r>
            <w:r w:rsidRPr="00A10A3B">
              <w:rPr>
                <w:rFonts w:eastAsiaTheme="minorEastAsia"/>
                <w:b/>
                <w:bCs/>
                <w:i/>
                <w:lang w:eastAsia="en-AU"/>
              </w:rPr>
              <w:t xml:space="preserve">Financial Management Act, </w:t>
            </w:r>
            <w:r w:rsidRPr="00062260">
              <w:rPr>
                <w:rFonts w:eastAsiaTheme="minorEastAsia"/>
                <w:b/>
                <w:bCs/>
                <w:i/>
                <w:lang w:eastAsia="en-AU"/>
              </w:rPr>
              <w:t>No. 18 of 1994</w:t>
            </w:r>
            <w:r w:rsidRPr="00A10A3B">
              <w:rPr>
                <w:rFonts w:eastAsiaTheme="minorEastAsia"/>
                <w:b/>
                <w:bCs/>
                <w:lang w:eastAsia="en-AU"/>
              </w:rPr>
              <w:t xml:space="preserve"> Section 33)</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39 481</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39 481</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38 865</w:t>
            </w:r>
          </w:p>
        </w:tc>
      </w:tr>
      <w:tr w:rsidR="00336793" w:rsidRPr="00A10A3B" w:rsidTr="00DF0B96">
        <w:trPr>
          <w:trHeight w:hRule="exact" w:val="120"/>
        </w:trPr>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r>
      <w:tr w:rsidR="00336793" w:rsidRPr="00A10A3B" w:rsidTr="00DF0B96">
        <w:tc>
          <w:tcPr>
            <w:tcW w:w="586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Parliamentary authority</w:t>
            </w:r>
          </w:p>
        </w:tc>
        <w:tc>
          <w:tcPr>
            <w:tcW w:w="153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39 481</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39 481</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38 865</w:t>
            </w:r>
          </w:p>
        </w:tc>
      </w:tr>
    </w:tbl>
    <w:p w:rsidR="00336793" w:rsidRDefault="00336793" w:rsidP="00DF0B96">
      <w:pPr>
        <w:pStyle w:val="Notes"/>
      </w:pPr>
    </w:p>
    <w:p w:rsidR="00336793" w:rsidRPr="006A75A2" w:rsidRDefault="00336793" w:rsidP="00DF0B96"/>
    <w:p w:rsidR="00336793" w:rsidRPr="006A75A2" w:rsidRDefault="00336793" w:rsidP="00DF0B96">
      <w:pPr>
        <w:spacing w:after="0"/>
        <w:rPr>
          <w:rFonts w:ascii="Calibri" w:hAnsi="Calibri"/>
          <w:b/>
        </w:rPr>
      </w:pPr>
    </w:p>
    <w:p w:rsidR="00336793" w:rsidRDefault="00336793" w:rsidP="00DF0B96">
      <w:pPr>
        <w:spacing w:after="0"/>
        <w:rPr>
          <w:rFonts w:ascii="Calibri" w:hAnsi="Calibri"/>
          <w:b/>
          <w:sz w:val="28"/>
          <w:szCs w:val="22"/>
        </w:rPr>
      </w:pPr>
      <w:r>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Default="00336793" w:rsidP="00DF0B96">
      <w:pPr>
        <w:pStyle w:val="Tableheading"/>
      </w:pPr>
      <w:r>
        <w:t>(p)</w:t>
      </w:r>
      <w:r>
        <w:tab/>
      </w:r>
      <w:r w:rsidRPr="00827DA2">
        <w:t>Parliamentary authority – Economic Development, Jobs, Transport and Resources</w:t>
      </w:r>
    </w:p>
    <w:p w:rsidR="00336793" w:rsidRDefault="00336793" w:rsidP="00DF0B96">
      <w:pPr>
        <w:pStyle w:val="million"/>
        <w:rPr>
          <w:rFonts w:ascii="Times New Roman" w:hAnsi="Times New Roman"/>
          <w:i w:val="0"/>
          <w:szCs w:val="20"/>
          <w:lang w:eastAsia="en-AU"/>
        </w:rPr>
      </w:pP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971"/>
        <w:gridCol w:w="1426"/>
        <w:gridCol w:w="1125"/>
        <w:gridCol w:w="1115"/>
      </w:tblGrid>
      <w:tr w:rsidR="00336793" w:rsidRPr="00583DB5" w:rsidTr="00DF0B96">
        <w:trPr>
          <w:tblHeader/>
        </w:trPr>
        <w:tc>
          <w:tcPr>
            <w:tcW w:w="5971" w:type="dxa"/>
            <w:tcBorders>
              <w:top w:val="single" w:sz="6" w:space="0" w:color="auto"/>
              <w:left w:val="single" w:sz="6" w:space="0" w:color="auto"/>
              <w:bottom w:val="nil"/>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 xml:space="preserve">Parliamentary </w:t>
            </w:r>
          </w:p>
        </w:tc>
        <w:tc>
          <w:tcPr>
            <w:tcW w:w="1125"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c>
          <w:tcPr>
            <w:tcW w:w="1115" w:type="dxa"/>
            <w:tcBorders>
              <w:top w:val="single" w:sz="6" w:space="0" w:color="auto"/>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r>
      <w:tr w:rsidR="00336793" w:rsidRPr="00583DB5" w:rsidTr="00DF0B96">
        <w:trPr>
          <w:tblHeader/>
        </w:trPr>
        <w:tc>
          <w:tcPr>
            <w:tcW w:w="5971" w:type="dxa"/>
            <w:tcBorders>
              <w:top w:val="nil"/>
              <w:left w:val="single" w:sz="6" w:space="0" w:color="auto"/>
              <w:bottom w:val="nil"/>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authority</w:t>
            </w:r>
          </w:p>
        </w:tc>
        <w:tc>
          <w:tcPr>
            <w:tcW w:w="1125"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c>
          <w:tcPr>
            <w:tcW w:w="1115" w:type="dxa"/>
            <w:tcBorders>
              <w:top w:val="nil"/>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r>
      <w:tr w:rsidR="00336793" w:rsidRPr="00583DB5" w:rsidTr="00DF0B96">
        <w:trPr>
          <w:tblHeader/>
        </w:trPr>
        <w:tc>
          <w:tcPr>
            <w:tcW w:w="5971" w:type="dxa"/>
            <w:tcBorders>
              <w:top w:val="nil"/>
              <w:left w:val="single" w:sz="6" w:space="0" w:color="auto"/>
              <w:bottom w:val="single" w:sz="6" w:space="0" w:color="auto"/>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5"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15" w:type="dxa"/>
            <w:tcBorders>
              <w:top w:val="nil"/>
              <w:left w:val="nil"/>
              <w:bottom w:val="single" w:sz="6" w:space="0" w:color="auto"/>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2014</w:t>
            </w:r>
          </w:p>
        </w:tc>
      </w:tr>
      <w:tr w:rsidR="00336793" w:rsidRPr="00583DB5" w:rsidTr="00DF0B96">
        <w:tc>
          <w:tcPr>
            <w:tcW w:w="5971" w:type="dxa"/>
            <w:tcBorders>
              <w:top w:val="single" w:sz="6" w:space="0" w:color="auto"/>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Special appropriations</w:t>
            </w:r>
          </w:p>
        </w:tc>
        <w:tc>
          <w:tcPr>
            <w:tcW w:w="1426"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5"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15"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i/>
                <w:sz w:val="22"/>
                <w:szCs w:val="22"/>
                <w:lang w:eastAsia="en-AU"/>
              </w:rPr>
              <w:t>Transport (Compliance and Miscellaneous) Act</w:t>
            </w:r>
            <w:r>
              <w:rPr>
                <w:rFonts w:ascii="Calibri" w:eastAsiaTheme="minorEastAsia" w:hAnsi="Calibri" w:cs="Calibri"/>
                <w:i/>
                <w:sz w:val="22"/>
                <w:szCs w:val="22"/>
                <w:lang w:eastAsia="en-AU"/>
              </w:rPr>
              <w:t xml:space="preserve"> 1983</w:t>
            </w:r>
            <w:r w:rsidRPr="00583DB5">
              <w:rPr>
                <w:rFonts w:ascii="Calibri" w:eastAsiaTheme="minorEastAsia" w:hAnsi="Calibri" w:cs="Calibri"/>
                <w:i/>
                <w:sz w:val="22"/>
                <w:szCs w:val="22"/>
                <w:lang w:eastAsia="en-AU"/>
              </w:rPr>
              <w:t>,</w:t>
            </w:r>
            <w:r>
              <w:rPr>
                <w:rFonts w:ascii="Calibri" w:eastAsiaTheme="minorEastAsia" w:hAnsi="Calibri" w:cs="Calibri"/>
                <w:i/>
                <w:iCs/>
                <w:sz w:val="22"/>
                <w:szCs w:val="22"/>
                <w:lang w:eastAsia="en-AU"/>
              </w:rPr>
              <w:t xml:space="preserve"> </w:t>
            </w:r>
            <w:r w:rsidRPr="003417E8">
              <w:rPr>
                <w:rFonts w:ascii="Calibri" w:eastAsiaTheme="minorEastAsia" w:hAnsi="Calibri" w:cs="Calibri"/>
                <w:iCs/>
                <w:sz w:val="22"/>
                <w:szCs w:val="22"/>
                <w:lang w:eastAsia="en-AU"/>
              </w:rPr>
              <w:t xml:space="preserve">Section 213A(4)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908</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908</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c>
          <w:tcPr>
            <w:tcW w:w="5971"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Total special appropriations (excluding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sz w:val="22"/>
                <w:szCs w:val="22"/>
                <w:lang w:eastAsia="en-AU"/>
              </w:rPr>
              <w:t xml:space="preserve"> Section 33)</w:t>
            </w:r>
          </w:p>
        </w:tc>
        <w:tc>
          <w:tcPr>
            <w:tcW w:w="1426"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908</w:t>
            </w:r>
          </w:p>
        </w:tc>
        <w:tc>
          <w:tcPr>
            <w:tcW w:w="1125"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908</w:t>
            </w:r>
          </w:p>
        </w:tc>
        <w:tc>
          <w:tcPr>
            <w:tcW w:w="1115"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Annual appropriations</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center"/>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center"/>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center"/>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Provision of outputs</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Provision of outputs – net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3 </w:t>
            </w:r>
            <w:r>
              <w:rPr>
                <w:rFonts w:ascii="Calibri" w:eastAsiaTheme="minorEastAsia" w:hAnsi="Calibri" w:cs="Calibri"/>
                <w:sz w:val="22"/>
                <w:szCs w:val="22"/>
                <w:lang w:eastAsia="en-AU"/>
              </w:rPr>
              <w:t>434 423</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3 243 409</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515 000</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29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256 528</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205 081</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773</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96 136</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90 395</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60 451</w:t>
            </w:r>
          </w:p>
        </w:tc>
      </w:tr>
      <w:tr w:rsidR="00336793" w:rsidRPr="00583DB5" w:rsidTr="00DF0B96">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Advance to Treasurer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 xml:space="preserve"> 85 772</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76 478</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provision of outputs – gross application</w:t>
            </w:r>
          </w:p>
        </w:tc>
        <w:tc>
          <w:tcPr>
            <w:tcW w:w="1426"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3 869 060</w:t>
            </w:r>
          </w:p>
        </w:tc>
        <w:tc>
          <w:tcPr>
            <w:tcW w:w="1125"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3 615 363</w:t>
            </w:r>
          </w:p>
        </w:tc>
        <w:tc>
          <w:tcPr>
            <w:tcW w:w="1115"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576 223</w:t>
            </w:r>
          </w:p>
        </w:tc>
      </w:tr>
      <w:tr w:rsidR="00336793" w:rsidRPr="00583DB5" w:rsidTr="00DF0B96">
        <w:trPr>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Additions to the net asset base</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Additions to the net asset base – net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831 517</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720 828</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13 058</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Section 29 </w:t>
            </w:r>
            <w:r w:rsidRPr="00583DB5">
              <w:rPr>
                <w:rFonts w:ascii="Calibri" w:eastAsiaTheme="minorEastAsia" w:hAnsi="Calibri" w:cs="Calibri"/>
                <w:i/>
                <w:sz w:val="22"/>
                <w:szCs w:val="22"/>
                <w:lang w:eastAsia="en-AU"/>
              </w:rPr>
              <w:t xml:space="preserve">Financial Management Act, </w:t>
            </w:r>
            <w:r w:rsidRPr="00062260">
              <w:rPr>
                <w:rFonts w:ascii="Calibri" w:eastAsiaTheme="minorEastAsia" w:hAnsi="Calibri" w:cs="Calibri"/>
                <w:i/>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139 825</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137 350</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87 591</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72 417</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30 775</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Section 35 </w:t>
            </w:r>
            <w:r w:rsidRPr="00583DB5">
              <w:rPr>
                <w:rFonts w:ascii="Calibri" w:eastAsiaTheme="minorEastAsia" w:hAnsi="Calibri" w:cs="Calibri"/>
                <w:i/>
                <w:sz w:val="22"/>
                <w:szCs w:val="22"/>
                <w:lang w:eastAsia="en-AU"/>
              </w:rPr>
              <w:t xml:space="preserve">Financial Management Act, </w:t>
            </w:r>
            <w:r w:rsidRPr="00062260">
              <w:rPr>
                <w:rFonts w:ascii="Calibri" w:eastAsiaTheme="minorEastAsia" w:hAnsi="Calibri" w:cs="Calibri"/>
                <w:i/>
                <w:sz w:val="22"/>
                <w:szCs w:val="22"/>
                <w:lang w:eastAsia="en-AU"/>
              </w:rPr>
              <w:t>No. 18 of 1994</w:t>
            </w:r>
            <w:r w:rsidRPr="00583DB5">
              <w:rPr>
                <w:rFonts w:ascii="Calibri" w:eastAsiaTheme="minorEastAsia" w:hAnsi="Calibri" w:cs="Calibri"/>
                <w:i/>
                <w:sz w:val="22"/>
                <w:szCs w:val="22"/>
                <w:lang w:eastAsia="en-AU"/>
              </w:rPr>
              <w:t xml:space="preserve"> </w:t>
            </w:r>
            <w:r w:rsidRPr="00583DB5">
              <w:rPr>
                <w:rFonts w:ascii="Calibri" w:eastAsiaTheme="minorEastAsia" w:hAnsi="Calibri" w:cs="Calibri"/>
                <w:sz w:val="22"/>
                <w:szCs w:val="22"/>
                <w:lang w:eastAsia="en-AU"/>
              </w:rPr>
              <w:t>(temporary advances)</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Advance to Treasurer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 xml:space="preserve"> 32 579</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27 718</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additions to the net asset base – gross application</w:t>
            </w:r>
          </w:p>
        </w:tc>
        <w:tc>
          <w:tcPr>
            <w:tcW w:w="1426"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1 091 512</w:t>
            </w:r>
          </w:p>
        </w:tc>
        <w:tc>
          <w:tcPr>
            <w:tcW w:w="1125"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958 313</w:t>
            </w:r>
          </w:p>
        </w:tc>
        <w:tc>
          <w:tcPr>
            <w:tcW w:w="1115"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43 834</w:t>
            </w:r>
          </w:p>
        </w:tc>
      </w:tr>
      <w:tr w:rsidR="00336793" w:rsidRPr="00583DB5" w:rsidTr="00DF0B96">
        <w:trPr>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Payments made on behalf of the State</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Payments made on behalf of the State – net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64 538</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61 143</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58 343</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656</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656</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c>
          <w:tcPr>
            <w:tcW w:w="5971" w:type="dxa"/>
            <w:tcBorders>
              <w:top w:val="nil"/>
              <w:left w:val="nil"/>
              <w:bottom w:val="single" w:sz="6" w:space="0" w:color="auto"/>
              <w:right w:val="nil"/>
            </w:tcBorders>
          </w:tcPr>
          <w:p w:rsidR="00336793" w:rsidRPr="00583DB5" w:rsidRDefault="00336793" w:rsidP="00DF0B96">
            <w:pPr>
              <w:tabs>
                <w:tab w:val="left" w:pos="4565"/>
              </w:tabs>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Advance to Treasurer </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5"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15"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2 535</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for payments made on behalf of the State – gross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65 194</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61 799</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60 878</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Other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Payment to Regional Growth Fund pursuant to Section 4 of the </w:t>
            </w:r>
            <w:r w:rsidRPr="00583DB5">
              <w:rPr>
                <w:rFonts w:ascii="Calibri" w:eastAsiaTheme="minorEastAsia" w:hAnsi="Calibri" w:cs="Calibri"/>
                <w:i/>
                <w:sz w:val="22"/>
                <w:szCs w:val="22"/>
                <w:lang w:eastAsia="en-AU"/>
              </w:rPr>
              <w:t>Regional Growth Fund Act No. 8 of 2011</w:t>
            </w:r>
            <w:r w:rsidRPr="00583DB5">
              <w:rPr>
                <w:rFonts w:ascii="Calibri" w:eastAsiaTheme="minorEastAsia" w:hAnsi="Calibri" w:cs="Calibri"/>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121 377</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121 377</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136 000</w:t>
            </w:r>
          </w:p>
        </w:tc>
      </w:tr>
      <w:tr w:rsidR="00336793" w:rsidRPr="00583DB5" w:rsidTr="00DF0B96">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other</w:t>
            </w:r>
          </w:p>
        </w:tc>
        <w:tc>
          <w:tcPr>
            <w:tcW w:w="1426"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121 377</w:t>
            </w:r>
          </w:p>
        </w:tc>
        <w:tc>
          <w:tcPr>
            <w:tcW w:w="1125"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121 377</w:t>
            </w:r>
          </w:p>
        </w:tc>
        <w:tc>
          <w:tcPr>
            <w:tcW w:w="1115"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136 000</w:t>
            </w:r>
          </w:p>
        </w:tc>
      </w:tr>
      <w:tr w:rsidR="00336793" w:rsidRPr="00583DB5" w:rsidTr="00DF0B96">
        <w:trPr>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15"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971"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annual appropriations – gross application</w:t>
            </w:r>
          </w:p>
        </w:tc>
        <w:tc>
          <w:tcPr>
            <w:tcW w:w="1426"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5 150 943</w:t>
            </w:r>
          </w:p>
        </w:tc>
        <w:tc>
          <w:tcPr>
            <w:tcW w:w="1125"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4 756 852</w:t>
            </w:r>
          </w:p>
        </w:tc>
        <w:tc>
          <w:tcPr>
            <w:tcW w:w="1115"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816 935</w:t>
            </w:r>
          </w:p>
        </w:tc>
      </w:tr>
      <w:tr w:rsidR="00336793" w:rsidRPr="00583DB5" w:rsidTr="00DF0B96">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Total Parliamentary authority (excluding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i/>
                <w:iCs/>
                <w:sz w:val="22"/>
                <w:szCs w:val="22"/>
                <w:lang w:eastAsia="en-AU"/>
              </w:rPr>
              <w:t xml:space="preserve"> </w:t>
            </w:r>
            <w:r w:rsidRPr="00583DB5">
              <w:rPr>
                <w:rFonts w:ascii="Calibri" w:eastAsiaTheme="minorEastAsia" w:hAnsi="Calibri" w:cs="Calibri"/>
                <w:b/>
                <w:bCs/>
                <w:sz w:val="22"/>
                <w:szCs w:val="22"/>
                <w:lang w:eastAsia="en-AU"/>
              </w:rPr>
              <w:t>Section 33)</w:t>
            </w:r>
          </w:p>
        </w:tc>
        <w:tc>
          <w:tcPr>
            <w:tcW w:w="1426"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5 151 852</w:t>
            </w:r>
          </w:p>
        </w:tc>
        <w:tc>
          <w:tcPr>
            <w:tcW w:w="1125"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4 757 760</w:t>
            </w:r>
          </w:p>
        </w:tc>
        <w:tc>
          <w:tcPr>
            <w:tcW w:w="1115"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816 935</w:t>
            </w:r>
          </w:p>
        </w:tc>
      </w:tr>
      <w:tr w:rsidR="00336793" w:rsidRPr="00583DB5" w:rsidTr="00DF0B96">
        <w:tc>
          <w:tcPr>
            <w:tcW w:w="5971"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Amounts issued under the authority of the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i/>
                <w:iCs/>
                <w:sz w:val="22"/>
                <w:szCs w:val="22"/>
                <w:lang w:eastAsia="en-AU"/>
              </w:rPr>
              <w:t>,</w:t>
            </w:r>
            <w:r w:rsidRPr="00583DB5">
              <w:rPr>
                <w:rFonts w:ascii="Calibri" w:eastAsiaTheme="minorEastAsia" w:hAnsi="Calibri" w:cs="Calibri"/>
                <w:b/>
                <w:bCs/>
                <w:sz w:val="22"/>
                <w:szCs w:val="22"/>
                <w:lang w:eastAsia="en-AU"/>
              </w:rPr>
              <w:t xml:space="preserve"> Section 33 (Special Appropriation) relating to prior year appropriations</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8 215</w:t>
            </w:r>
          </w:p>
        </w:tc>
        <w:tc>
          <w:tcPr>
            <w:tcW w:w="1125"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8 215</w:t>
            </w:r>
          </w:p>
        </w:tc>
        <w:tc>
          <w:tcPr>
            <w:tcW w:w="1115"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1 556</w:t>
            </w:r>
          </w:p>
        </w:tc>
      </w:tr>
      <w:tr w:rsidR="00336793" w:rsidRPr="00583DB5" w:rsidTr="00DF0B96">
        <w:tc>
          <w:tcPr>
            <w:tcW w:w="5971"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Parliamentary authority</w:t>
            </w:r>
          </w:p>
        </w:tc>
        <w:tc>
          <w:tcPr>
            <w:tcW w:w="1426"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5 160 067</w:t>
            </w:r>
          </w:p>
        </w:tc>
        <w:tc>
          <w:tcPr>
            <w:tcW w:w="1125"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4 765 975</w:t>
            </w:r>
          </w:p>
        </w:tc>
        <w:tc>
          <w:tcPr>
            <w:tcW w:w="1115"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818 491</w:t>
            </w:r>
          </w:p>
        </w:tc>
      </w:tr>
    </w:tbl>
    <w:p w:rsidR="00336793" w:rsidRDefault="00336793" w:rsidP="00DF0B96">
      <w:pPr>
        <w:pStyle w:val="million"/>
      </w:pPr>
    </w:p>
    <w:p w:rsidR="00336793" w:rsidRDefault="00336793" w:rsidP="00DF0B96"/>
    <w:p w:rsidR="00336793" w:rsidRDefault="00336793" w:rsidP="00DF0B96">
      <w:r>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t>(q</w:t>
      </w:r>
      <w:r w:rsidRPr="006A75A2">
        <w:t>)</w:t>
      </w:r>
      <w:r w:rsidRPr="006A75A2">
        <w:tab/>
      </w:r>
      <w:r w:rsidRPr="00827DA2">
        <w:t>Parliamentary</w:t>
      </w:r>
      <w:r w:rsidRPr="006A75A2">
        <w:t xml:space="preserve"> authority – Education and </w:t>
      </w:r>
      <w:r>
        <w:t>Training</w:t>
      </w:r>
    </w:p>
    <w:p w:rsidR="00336793" w:rsidRPr="00583DB5" w:rsidRDefault="00336793" w:rsidP="00DF0B96">
      <w:pPr>
        <w:pStyle w:val="million"/>
        <w:rPr>
          <w:rFonts w:ascii="Times New Roman" w:hAnsi="Times New Roman"/>
          <w:i w:val="0"/>
          <w:szCs w:val="20"/>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867"/>
        <w:gridCol w:w="1530"/>
        <w:gridCol w:w="1120"/>
        <w:gridCol w:w="1120"/>
      </w:tblGrid>
      <w:tr w:rsidR="00336793" w:rsidRPr="00583DB5" w:rsidTr="00DF0B96">
        <w:trPr>
          <w:tblHeader/>
        </w:trPr>
        <w:tc>
          <w:tcPr>
            <w:tcW w:w="5867" w:type="dxa"/>
            <w:tcBorders>
              <w:top w:val="single" w:sz="6" w:space="0" w:color="auto"/>
              <w:left w:val="single" w:sz="6" w:space="0" w:color="auto"/>
              <w:bottom w:val="nil"/>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53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 xml:space="preserve">Parliamentary </w:t>
            </w:r>
          </w:p>
        </w:tc>
        <w:tc>
          <w:tcPr>
            <w:tcW w:w="112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c>
          <w:tcPr>
            <w:tcW w:w="1120" w:type="dxa"/>
            <w:tcBorders>
              <w:top w:val="single" w:sz="6" w:space="0" w:color="auto"/>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r>
      <w:tr w:rsidR="00336793" w:rsidRPr="00583DB5" w:rsidTr="00DF0B96">
        <w:trPr>
          <w:tblHeader/>
        </w:trPr>
        <w:tc>
          <w:tcPr>
            <w:tcW w:w="5867" w:type="dxa"/>
            <w:tcBorders>
              <w:top w:val="nil"/>
              <w:left w:val="single" w:sz="6" w:space="0" w:color="auto"/>
              <w:bottom w:val="nil"/>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53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c>
          <w:tcPr>
            <w:tcW w:w="1120" w:type="dxa"/>
            <w:tcBorders>
              <w:top w:val="nil"/>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r>
      <w:tr w:rsidR="00336793" w:rsidRPr="00583DB5" w:rsidTr="00DF0B96">
        <w:trPr>
          <w:tblHeader/>
        </w:trPr>
        <w:tc>
          <w:tcPr>
            <w:tcW w:w="5867" w:type="dxa"/>
            <w:tcBorders>
              <w:top w:val="nil"/>
              <w:left w:val="single" w:sz="6" w:space="0" w:color="auto"/>
              <w:bottom w:val="single" w:sz="6" w:space="0" w:color="auto"/>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53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2014</w:t>
            </w:r>
          </w:p>
        </w:tc>
      </w:tr>
      <w:tr w:rsidR="00336793" w:rsidRPr="00583DB5" w:rsidTr="00DF0B96">
        <w:tc>
          <w:tcPr>
            <w:tcW w:w="5867" w:type="dxa"/>
            <w:tcBorders>
              <w:top w:val="single" w:sz="6" w:space="0" w:color="auto"/>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Special appropriations</w:t>
            </w:r>
          </w:p>
        </w:tc>
        <w:tc>
          <w:tcPr>
            <w:tcW w:w="1530"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583DB5">
              <w:rPr>
                <w:rFonts w:ascii="Calibri" w:eastAsiaTheme="minorEastAsia" w:hAnsi="Calibri" w:cs="Calibri"/>
                <w:i/>
                <w:iCs/>
                <w:sz w:val="22"/>
                <w:szCs w:val="22"/>
                <w:lang w:eastAsia="en-AU"/>
              </w:rPr>
              <w:t xml:space="preserve">Education and Training Reform Act No. 24/26 of </w:t>
            </w:r>
            <w:r w:rsidRPr="00583DB5">
              <w:rPr>
                <w:rFonts w:ascii="Calibri" w:eastAsiaTheme="minorEastAsia" w:hAnsi="Calibri" w:cs="Calibri"/>
                <w:i/>
                <w:sz w:val="22"/>
                <w:szCs w:val="22"/>
                <w:lang w:eastAsia="en-AU"/>
              </w:rPr>
              <w:t>2006</w:t>
            </w:r>
            <w:r w:rsidRPr="00583DB5">
              <w:rPr>
                <w:rFonts w:ascii="Calibri" w:eastAsiaTheme="minorEastAsia" w:hAnsi="Calibri" w:cs="Calibri"/>
                <w:sz w:val="22"/>
                <w:szCs w:val="22"/>
                <w:lang w:eastAsia="en-AU"/>
              </w:rPr>
              <w:t xml:space="preserve"> – Section 5.6.8 – Volunteer Workers Compensation</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173</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173</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199</w:t>
            </w:r>
          </w:p>
        </w:tc>
      </w:tr>
      <w:tr w:rsidR="00336793" w:rsidRPr="00583DB5" w:rsidTr="00DF0B96">
        <w:tc>
          <w:tcPr>
            <w:tcW w:w="5867"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color w:val="000000"/>
                <w:sz w:val="22"/>
                <w:szCs w:val="22"/>
                <w:lang w:eastAsia="en-AU"/>
              </w:rPr>
            </w:pPr>
            <w:r w:rsidRPr="00583DB5">
              <w:rPr>
                <w:rFonts w:ascii="Calibri" w:eastAsiaTheme="minorEastAsia" w:hAnsi="Calibri" w:cs="Calibri"/>
                <w:b/>
                <w:bCs/>
                <w:sz w:val="22"/>
                <w:szCs w:val="22"/>
                <w:lang w:eastAsia="en-AU"/>
              </w:rPr>
              <w:t xml:space="preserve">Total special appropriations (excluding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sz w:val="22"/>
                <w:szCs w:val="22"/>
                <w:lang w:eastAsia="en-AU"/>
              </w:rPr>
              <w:t xml:space="preserve"> Section 33)</w:t>
            </w:r>
          </w:p>
        </w:tc>
        <w:tc>
          <w:tcPr>
            <w:tcW w:w="1530"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173</w:t>
            </w:r>
          </w:p>
        </w:tc>
        <w:tc>
          <w:tcPr>
            <w:tcW w:w="1120"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173</w:t>
            </w:r>
          </w:p>
        </w:tc>
        <w:tc>
          <w:tcPr>
            <w:tcW w:w="1120"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199</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Annual appropriations</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Provision of outputs</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Provision of outputs – net application</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10 211 944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9 857 218</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9 470 292</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color w:val="000000"/>
                <w:sz w:val="22"/>
                <w:szCs w:val="22"/>
                <w:lang w:eastAsia="en-AU"/>
              </w:rPr>
            </w:pPr>
            <w:r w:rsidRPr="00583DB5">
              <w:rPr>
                <w:rFonts w:ascii="Calibri" w:eastAsiaTheme="minorEastAsia" w:hAnsi="Calibri" w:cs="Calibri"/>
                <w:sz w:val="22"/>
                <w:szCs w:val="22"/>
                <w:lang w:eastAsia="en-AU"/>
              </w:rPr>
              <w:t xml:space="preserve">Section 29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600 415</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453 162</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450 144</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color w:val="000000"/>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229 191</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229 191</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220 031</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583DB5">
              <w:rPr>
                <w:rFonts w:ascii="Calibri" w:eastAsiaTheme="minorEastAsia" w:hAnsi="Calibri" w:cs="Calibri"/>
                <w:sz w:val="22"/>
                <w:szCs w:val="22"/>
                <w:lang w:eastAsia="en-AU"/>
              </w:rPr>
              <w:t xml:space="preserve">Section 35 </w:t>
            </w:r>
            <w:r w:rsidRPr="00583DB5">
              <w:rPr>
                <w:rFonts w:ascii="Calibri" w:eastAsiaTheme="minorEastAsia" w:hAnsi="Calibri" w:cs="Calibri"/>
                <w:i/>
                <w:sz w:val="22"/>
                <w:szCs w:val="22"/>
                <w:lang w:eastAsia="en-AU"/>
              </w:rPr>
              <w:t xml:space="preserve">Financial Management Act, </w:t>
            </w:r>
            <w:r w:rsidRPr="00062260">
              <w:rPr>
                <w:rFonts w:ascii="Calibri" w:eastAsiaTheme="minorEastAsia" w:hAnsi="Calibri" w:cs="Calibri"/>
                <w:i/>
                <w:sz w:val="22"/>
                <w:szCs w:val="22"/>
                <w:lang w:eastAsia="en-AU"/>
              </w:rPr>
              <w:t>No. 18 of 1994</w:t>
            </w:r>
            <w:r w:rsidRPr="00583DB5">
              <w:rPr>
                <w:rFonts w:ascii="Calibri" w:eastAsiaTheme="minorEastAsia" w:hAnsi="Calibri" w:cs="Calibri"/>
                <w:sz w:val="22"/>
                <w:szCs w:val="22"/>
                <w:lang w:eastAsia="en-AU"/>
              </w:rPr>
              <w:t xml:space="preserve"> (temporary advances)</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41 304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10 837</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174 622</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Advance to Treasurer </w:t>
            </w:r>
          </w:p>
        </w:tc>
        <w:tc>
          <w:tcPr>
            <w:tcW w:w="153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182 277</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132 904</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201 835</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provision of outputs – gross application</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11 265 131</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10 683 313</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10 516 924</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Additions to the net asset base</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Additions to the net asset base – net application</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color w:val="000000"/>
                <w:sz w:val="22"/>
                <w:szCs w:val="22"/>
                <w:lang w:eastAsia="en-AU"/>
              </w:rPr>
            </w:pPr>
            <w:r w:rsidRPr="00583DB5">
              <w:rPr>
                <w:rFonts w:ascii="Calibri" w:eastAsiaTheme="minorEastAsia" w:hAnsi="Calibri" w:cs="Calibri"/>
                <w:sz w:val="22"/>
                <w:szCs w:val="22"/>
                <w:lang w:eastAsia="en-AU"/>
              </w:rPr>
              <w:t xml:space="preserve">Section 29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145 640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145 640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75 735</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color w:val="000000"/>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10 184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10 184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583DB5">
              <w:rPr>
                <w:rFonts w:ascii="Calibri" w:eastAsiaTheme="minorEastAsia" w:hAnsi="Calibri" w:cs="Calibri"/>
                <w:sz w:val="22"/>
                <w:szCs w:val="22"/>
                <w:lang w:eastAsia="en-AU"/>
              </w:rPr>
              <w:t xml:space="preserve">Section 35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583DB5">
              <w:rPr>
                <w:rFonts w:ascii="Calibri" w:eastAsiaTheme="minorEastAsia" w:hAnsi="Calibri" w:cs="Calibri"/>
                <w:sz w:val="22"/>
                <w:szCs w:val="22"/>
                <w:lang w:eastAsia="en-AU"/>
              </w:rPr>
              <w:t xml:space="preserve"> (temporary advances)</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2 500</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Advance to Treasurer </w:t>
            </w:r>
          </w:p>
        </w:tc>
        <w:tc>
          <w:tcPr>
            <w:tcW w:w="153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additions to the net asset base – gross application</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155 824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155 824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78 235</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annual appropriations – gross application</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11 420 955</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10 839 136</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10 595 158</w:t>
            </w:r>
          </w:p>
        </w:tc>
      </w:tr>
      <w:tr w:rsidR="00336793" w:rsidRPr="00583DB5" w:rsidTr="00DF0B96">
        <w:trPr>
          <w:trHeight w:hRule="exact" w:val="120"/>
        </w:trPr>
        <w:tc>
          <w:tcPr>
            <w:tcW w:w="5867"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53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color w:val="000000"/>
                <w:sz w:val="22"/>
                <w:szCs w:val="22"/>
                <w:lang w:eastAsia="en-AU"/>
              </w:rPr>
            </w:pPr>
            <w:r w:rsidRPr="00583DB5">
              <w:rPr>
                <w:rFonts w:ascii="Calibri" w:eastAsiaTheme="minorEastAsia" w:hAnsi="Calibri" w:cs="Calibri"/>
                <w:b/>
                <w:bCs/>
                <w:sz w:val="22"/>
                <w:szCs w:val="22"/>
                <w:lang w:eastAsia="en-AU"/>
              </w:rPr>
              <w:t xml:space="preserve">Total Parliamentary authority (excluding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sz w:val="22"/>
                <w:szCs w:val="22"/>
                <w:lang w:eastAsia="en-AU"/>
              </w:rPr>
              <w:t xml:space="preserve"> Section 33)</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11 421 128</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10 839 310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10 595 357</w:t>
            </w:r>
          </w:p>
        </w:tc>
      </w:tr>
      <w:tr w:rsidR="00336793" w:rsidRPr="00583DB5" w:rsidTr="00DF0B96">
        <w:trPr>
          <w:trHeight w:hRule="exact" w:val="120"/>
        </w:trPr>
        <w:tc>
          <w:tcPr>
            <w:tcW w:w="5867"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53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color w:val="000000"/>
                <w:sz w:val="22"/>
                <w:szCs w:val="22"/>
                <w:lang w:eastAsia="en-AU"/>
              </w:rPr>
            </w:pPr>
            <w:r w:rsidRPr="00583DB5">
              <w:rPr>
                <w:rFonts w:ascii="Calibri" w:eastAsiaTheme="minorEastAsia" w:hAnsi="Calibri" w:cs="Calibri"/>
                <w:b/>
                <w:bCs/>
                <w:sz w:val="22"/>
                <w:szCs w:val="22"/>
                <w:lang w:eastAsia="en-AU"/>
              </w:rPr>
              <w:t xml:space="preserve">Amounts issued under the authority of the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sz w:val="22"/>
                <w:szCs w:val="22"/>
                <w:lang w:eastAsia="en-AU"/>
              </w:rPr>
              <w:t>, Section 33 (Special Appropriation) relating to prior year appropriations</w:t>
            </w:r>
          </w:p>
        </w:tc>
        <w:tc>
          <w:tcPr>
            <w:tcW w:w="153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rPr>
          <w:trHeight w:hRule="exact" w:val="120"/>
        </w:trPr>
        <w:tc>
          <w:tcPr>
            <w:tcW w:w="5867"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53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c>
          <w:tcPr>
            <w:tcW w:w="5867"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Parliamentary authority</w:t>
            </w:r>
          </w:p>
        </w:tc>
        <w:tc>
          <w:tcPr>
            <w:tcW w:w="1530"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11 421 128</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10 839 310</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10 595 357</w:t>
            </w:r>
          </w:p>
        </w:tc>
      </w:tr>
    </w:tbl>
    <w:p w:rsidR="00336793" w:rsidRDefault="00336793" w:rsidP="00DF0B96">
      <w:pPr>
        <w:pStyle w:val="Notes"/>
      </w:pPr>
    </w:p>
    <w:p w:rsidR="00336793" w:rsidRDefault="00336793" w:rsidP="00DF0B96"/>
    <w:p w:rsidR="00336793" w:rsidRDefault="00336793" w:rsidP="00DF0B96">
      <w:r>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t>(r</w:t>
      </w:r>
      <w:r w:rsidRPr="006A75A2">
        <w:t>)</w:t>
      </w:r>
      <w:r>
        <w:tab/>
      </w:r>
      <w:r w:rsidRPr="007575A1">
        <w:t>Parliamentary authority – Environment, Land, Water and Planning</w:t>
      </w:r>
    </w:p>
    <w:p w:rsidR="00336793" w:rsidRDefault="00336793" w:rsidP="00DF0B96">
      <w:pPr>
        <w:pStyle w:val="million"/>
        <w:rPr>
          <w:rFonts w:ascii="Times New Roman" w:hAnsi="Times New Roman"/>
          <w:i w:val="0"/>
          <w:szCs w:val="20"/>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971"/>
        <w:gridCol w:w="1426"/>
        <w:gridCol w:w="1120"/>
        <w:gridCol w:w="1120"/>
      </w:tblGrid>
      <w:tr w:rsidR="00336793" w:rsidRPr="00583DB5" w:rsidTr="00DF0B96">
        <w:trPr>
          <w:cantSplit/>
          <w:tblHeader/>
        </w:trPr>
        <w:tc>
          <w:tcPr>
            <w:tcW w:w="5971" w:type="dxa"/>
            <w:tcBorders>
              <w:top w:val="single" w:sz="6" w:space="0" w:color="auto"/>
              <w:left w:val="single" w:sz="6" w:space="0" w:color="auto"/>
              <w:bottom w:val="nil"/>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Parliamentary</w:t>
            </w:r>
          </w:p>
        </w:tc>
        <w:tc>
          <w:tcPr>
            <w:tcW w:w="112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c>
          <w:tcPr>
            <w:tcW w:w="1120" w:type="dxa"/>
            <w:tcBorders>
              <w:top w:val="single" w:sz="6" w:space="0" w:color="auto"/>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r>
      <w:tr w:rsidR="00336793" w:rsidRPr="00583DB5" w:rsidTr="00DF0B96">
        <w:trPr>
          <w:cantSplit/>
          <w:tblHeader/>
        </w:trPr>
        <w:tc>
          <w:tcPr>
            <w:tcW w:w="5971" w:type="dxa"/>
            <w:tcBorders>
              <w:top w:val="nil"/>
              <w:left w:val="single" w:sz="6" w:space="0" w:color="auto"/>
              <w:bottom w:val="nil"/>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c>
          <w:tcPr>
            <w:tcW w:w="1120" w:type="dxa"/>
            <w:tcBorders>
              <w:top w:val="nil"/>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r>
      <w:tr w:rsidR="00336793" w:rsidRPr="00583DB5" w:rsidTr="00DF0B96">
        <w:trPr>
          <w:cantSplit/>
          <w:tblHeader/>
        </w:trPr>
        <w:tc>
          <w:tcPr>
            <w:tcW w:w="5971" w:type="dxa"/>
            <w:tcBorders>
              <w:top w:val="nil"/>
              <w:left w:val="single" w:sz="6" w:space="0" w:color="auto"/>
              <w:bottom w:val="single" w:sz="6" w:space="0" w:color="auto"/>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2014</w:t>
            </w:r>
          </w:p>
        </w:tc>
      </w:tr>
      <w:tr w:rsidR="00336793" w:rsidRPr="00583DB5" w:rsidTr="00DF0B96">
        <w:trPr>
          <w:cantSplit/>
        </w:trPr>
        <w:tc>
          <w:tcPr>
            <w:tcW w:w="5971" w:type="dxa"/>
            <w:tcBorders>
              <w:top w:val="single" w:sz="6" w:space="0" w:color="auto"/>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Special appropriations</w:t>
            </w:r>
          </w:p>
        </w:tc>
        <w:tc>
          <w:tcPr>
            <w:tcW w:w="1426"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i/>
                <w:iCs/>
                <w:sz w:val="22"/>
                <w:szCs w:val="22"/>
                <w:lang w:eastAsia="en-AU"/>
              </w:rPr>
            </w:pPr>
            <w:r w:rsidRPr="00583DB5">
              <w:rPr>
                <w:rFonts w:ascii="Calibri" w:eastAsiaTheme="minorEastAsia" w:hAnsi="Calibri" w:cs="Calibri"/>
                <w:i/>
                <w:iCs/>
                <w:sz w:val="22"/>
                <w:szCs w:val="22"/>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i/>
                <w:iCs/>
                <w:sz w:val="22"/>
                <w:szCs w:val="22"/>
                <w:lang w:eastAsia="en-AU"/>
              </w:rPr>
            </w:pPr>
            <w:r w:rsidRPr="00583DB5">
              <w:rPr>
                <w:rFonts w:ascii="Calibri" w:eastAsiaTheme="minorEastAsia" w:hAnsi="Calibri" w:cs="Calibri"/>
                <w:i/>
                <w:iCs/>
                <w:sz w:val="22"/>
                <w:szCs w:val="22"/>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i/>
                <w:iCs/>
                <w:sz w:val="22"/>
                <w:szCs w:val="22"/>
                <w:lang w:eastAsia="en-AU"/>
              </w:rPr>
            </w:pPr>
            <w:r w:rsidRPr="00583DB5">
              <w:rPr>
                <w:rFonts w:ascii="Calibri" w:eastAsiaTheme="minorEastAsia" w:hAnsi="Calibri" w:cs="Calibri"/>
                <w:i/>
                <w:iCs/>
                <w:sz w:val="22"/>
                <w:szCs w:val="22"/>
                <w:lang w:eastAsia="en-AU"/>
              </w:rPr>
              <w:t xml:space="preserve"> </w:t>
            </w:r>
          </w:p>
        </w:tc>
      </w:tr>
      <w:tr w:rsidR="00336793" w:rsidRPr="00583DB5" w:rsidTr="00DF0B96">
        <w:trPr>
          <w:cantSplit/>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i/>
                <w:iCs/>
                <w:sz w:val="22"/>
                <w:szCs w:val="22"/>
                <w:lang w:eastAsia="en-AU"/>
              </w:rPr>
            </w:pPr>
            <w:r w:rsidRPr="00583DB5">
              <w:rPr>
                <w:rFonts w:ascii="Calibri" w:eastAsiaTheme="minorEastAsia" w:hAnsi="Calibri" w:cs="Calibri"/>
                <w:i/>
                <w:i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i/>
                <w:iCs/>
                <w:sz w:val="22"/>
                <w:szCs w:val="22"/>
                <w:lang w:eastAsia="en-AU"/>
              </w:rPr>
            </w:pPr>
            <w:r w:rsidRPr="00583DB5">
              <w:rPr>
                <w:rFonts w:ascii="Calibri" w:eastAsiaTheme="minorEastAsia" w:hAnsi="Calibri" w:cs="Calibri"/>
                <w:i/>
                <w:i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i/>
                <w:iCs/>
                <w:sz w:val="22"/>
                <w:szCs w:val="22"/>
                <w:lang w:eastAsia="en-AU"/>
              </w:rPr>
            </w:pPr>
            <w:r w:rsidRPr="00583DB5">
              <w:rPr>
                <w:rFonts w:ascii="Calibri" w:eastAsiaTheme="minorEastAsia" w:hAnsi="Calibri" w:cs="Calibri"/>
                <w:i/>
                <w:i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i/>
                <w:iCs/>
                <w:sz w:val="22"/>
                <w:szCs w:val="22"/>
                <w:lang w:eastAsia="en-AU"/>
              </w:rPr>
              <w:t xml:space="preserve">Financial Management Act, No.18 of 1994, </w:t>
            </w:r>
            <w:r w:rsidRPr="00583DB5">
              <w:rPr>
                <w:rFonts w:ascii="Calibri" w:eastAsiaTheme="minorEastAsia" w:hAnsi="Calibri" w:cs="Calibri"/>
                <w:sz w:val="22"/>
                <w:szCs w:val="22"/>
                <w:lang w:eastAsia="en-AU"/>
              </w:rPr>
              <w:t>Section 10</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99 580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99 580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2 040</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i/>
                <w:iCs/>
                <w:sz w:val="22"/>
                <w:szCs w:val="22"/>
                <w:lang w:eastAsia="en-AU"/>
              </w:rPr>
              <w:t xml:space="preserve">Financial Management Act, No.18 of 1994, </w:t>
            </w:r>
            <w:r w:rsidRPr="00583DB5">
              <w:rPr>
                <w:rFonts w:ascii="Calibri" w:eastAsiaTheme="minorEastAsia" w:hAnsi="Calibri" w:cs="Calibri"/>
                <w:sz w:val="22"/>
                <w:szCs w:val="22"/>
                <w:lang w:eastAsia="en-AU"/>
              </w:rPr>
              <w:t>Section 28</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1 600</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Payments to Growth Areas Public Transport Fund pursuant to Section 30 of the </w:t>
            </w:r>
            <w:r w:rsidRPr="00583DB5">
              <w:rPr>
                <w:rFonts w:ascii="Calibri" w:eastAsiaTheme="minorEastAsia" w:hAnsi="Calibri" w:cs="Calibri"/>
                <w:i/>
                <w:iCs/>
                <w:sz w:val="22"/>
                <w:szCs w:val="22"/>
                <w:lang w:eastAsia="en-AU"/>
              </w:rPr>
              <w:t>Planning and Environment (Growth Areas Infrastructure Contribution) Act 2010</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7 921</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7 921</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Payments to Building New Communities Fund pursuant to Section 30 of the</w:t>
            </w:r>
            <w:r w:rsidRPr="00583DB5">
              <w:rPr>
                <w:rFonts w:ascii="Calibri" w:eastAsiaTheme="minorEastAsia" w:hAnsi="Calibri" w:cs="Calibri"/>
                <w:i/>
                <w:iCs/>
                <w:sz w:val="22"/>
                <w:szCs w:val="22"/>
                <w:lang w:eastAsia="en-AU"/>
              </w:rPr>
              <w:t xml:space="preserve"> Planning and Environment (Growth Areas Infrastructure Contribution) Act 2010</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7 921</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7 921</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rPr>
          <w:cantSplit/>
        </w:trPr>
        <w:tc>
          <w:tcPr>
            <w:tcW w:w="5971"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Total special appropriations (excluding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i/>
                <w:iCs/>
                <w:sz w:val="22"/>
                <w:szCs w:val="22"/>
                <w:lang w:eastAsia="en-AU"/>
              </w:rPr>
              <w:t xml:space="preserve"> </w:t>
            </w:r>
            <w:r w:rsidRPr="00583DB5">
              <w:rPr>
                <w:rFonts w:ascii="Calibri" w:eastAsiaTheme="minorEastAsia" w:hAnsi="Calibri" w:cs="Calibri"/>
                <w:b/>
                <w:bCs/>
                <w:sz w:val="22"/>
                <w:szCs w:val="22"/>
                <w:lang w:eastAsia="en-AU"/>
              </w:rPr>
              <w:t>Section 33)</w:t>
            </w:r>
          </w:p>
        </w:tc>
        <w:tc>
          <w:tcPr>
            <w:tcW w:w="1426"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115 422</w:t>
            </w:r>
          </w:p>
        </w:tc>
        <w:tc>
          <w:tcPr>
            <w:tcW w:w="1120"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115 422</w:t>
            </w:r>
          </w:p>
        </w:tc>
        <w:tc>
          <w:tcPr>
            <w:tcW w:w="1120"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3 640</w:t>
            </w:r>
          </w:p>
        </w:tc>
      </w:tr>
      <w:tr w:rsidR="00336793" w:rsidRPr="00583DB5" w:rsidTr="00DF0B96">
        <w:trPr>
          <w:cantSplit/>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Annual appropriations</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Provision of outputs</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Provision of outputs – net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1 163 030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927 496</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1 064 866</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Section 29</w:t>
            </w:r>
            <w:r w:rsidRPr="00583DB5">
              <w:rPr>
                <w:rFonts w:ascii="Calibri" w:eastAsiaTheme="minorEastAsia" w:hAnsi="Calibri" w:cs="Calibri"/>
                <w:i/>
                <w:iCs/>
                <w:sz w:val="22"/>
                <w:szCs w:val="22"/>
                <w:lang w:eastAsia="en-AU"/>
              </w:rPr>
              <w:t xml:space="preserve"> 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138 399</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121 556</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150 910</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154 117</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147 456</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112 717</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Section 35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583DB5">
              <w:rPr>
                <w:rFonts w:ascii="Calibri" w:eastAsiaTheme="minorEastAsia" w:hAnsi="Calibri" w:cs="Calibri"/>
                <w:sz w:val="22"/>
                <w:szCs w:val="22"/>
                <w:lang w:eastAsia="en-AU"/>
              </w:rPr>
              <w:t xml:space="preserve"> (temporary advances)</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Advance to Treasurer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35 703</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28 684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67 721</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Victorian Water Trust – net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14</w:t>
            </w:r>
          </w:p>
        </w:tc>
      </w:tr>
      <w:tr w:rsidR="00336793" w:rsidRPr="00583DB5" w:rsidTr="00DF0B96">
        <w:trPr>
          <w:cantSplit/>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583DB5">
              <w:rPr>
                <w:rFonts w:ascii="Calibri" w:eastAsiaTheme="minorEastAsia" w:hAnsi="Calibri" w:cs="Calibri"/>
                <w:sz w:val="22"/>
                <w:szCs w:val="22"/>
                <w:lang w:eastAsia="en-AU"/>
              </w:rPr>
              <w:t xml:space="preserve"> – Victorian Water Trust</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provision of outputs – gross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1 491 249</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1 225 193</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1 396 229</w:t>
            </w:r>
          </w:p>
        </w:tc>
      </w:tr>
      <w:tr w:rsidR="00336793" w:rsidRPr="00583DB5" w:rsidTr="00DF0B96">
        <w:trPr>
          <w:cantSplit/>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Additions to the net asset base</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Additions to the net asset base – net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126 588</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18 954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39 649</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29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53 340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51 614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46 538</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39 683</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39 682</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60 352</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Section 35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583DB5">
              <w:rPr>
                <w:rFonts w:ascii="Calibri" w:eastAsiaTheme="minorEastAsia" w:hAnsi="Calibri" w:cs="Calibri"/>
                <w:sz w:val="22"/>
                <w:szCs w:val="22"/>
                <w:lang w:eastAsia="en-AU"/>
              </w:rPr>
              <w:t xml:space="preserve"> </w:t>
            </w:r>
            <w:r>
              <w:rPr>
                <w:rFonts w:ascii="Calibri" w:eastAsiaTheme="minorEastAsia" w:hAnsi="Calibri" w:cs="Calibri"/>
                <w:sz w:val="22"/>
                <w:szCs w:val="22"/>
                <w:lang w:eastAsia="en-AU"/>
              </w:rPr>
              <w:br/>
            </w:r>
            <w:r w:rsidRPr="00583DB5">
              <w:rPr>
                <w:rFonts w:ascii="Calibri" w:eastAsiaTheme="minorEastAsia" w:hAnsi="Calibri" w:cs="Calibri"/>
                <w:sz w:val="22"/>
                <w:szCs w:val="22"/>
                <w:lang w:eastAsia="en-AU"/>
              </w:rPr>
              <w:t>(temporary advances)</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Advance to Treasurer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412</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412</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Victorian Water Trust – net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rPr>
          <w:cantSplit/>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sidRPr="00583DB5">
              <w:rPr>
                <w:rFonts w:ascii="Calibri" w:eastAsiaTheme="minorEastAsia" w:hAnsi="Calibri" w:cs="Calibri"/>
                <w:sz w:val="22"/>
                <w:szCs w:val="22"/>
                <w:lang w:eastAsia="en-AU"/>
              </w:rPr>
              <w:t xml:space="preserve"> – Victorian Water Trust</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additions to the net asset base – gross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220 023</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110 663</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146 539</w:t>
            </w:r>
          </w:p>
        </w:tc>
      </w:tr>
      <w:tr w:rsidR="00336793" w:rsidRPr="00583DB5" w:rsidTr="00DF0B96">
        <w:trPr>
          <w:cantSplit/>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Payments made on behalf of the State</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Payments made on behalf of the State – net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Pr>
                <w:rFonts w:ascii="Calibri" w:eastAsiaTheme="minorEastAsia" w:hAnsi="Calibri" w:cs="Calibri"/>
                <w:sz w:val="22"/>
                <w:szCs w:val="22"/>
                <w:lang w:eastAsia="en-AU"/>
              </w:rPr>
              <w:t xml:space="preserve"> 662</w:t>
            </w:r>
            <w:r w:rsidRPr="00583DB5">
              <w:rPr>
                <w:rFonts w:ascii="Calibri" w:eastAsiaTheme="minorEastAsia" w:hAnsi="Calibri" w:cs="Calibri"/>
                <w:sz w:val="22"/>
                <w:szCs w:val="22"/>
                <w:lang w:eastAsia="en-AU"/>
              </w:rPr>
              <w:t xml:space="preserve"> 062</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606 786</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856 805</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18 088</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3 288</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4 123</w:t>
            </w:r>
          </w:p>
        </w:tc>
      </w:tr>
      <w:tr w:rsidR="00336793" w:rsidRPr="00583DB5" w:rsidTr="00DF0B96">
        <w:trPr>
          <w:cantSplit/>
        </w:trPr>
        <w:tc>
          <w:tcPr>
            <w:tcW w:w="5971" w:type="dxa"/>
            <w:tcBorders>
              <w:top w:val="single" w:sz="6" w:space="0" w:color="auto"/>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for payments made on behalf of the State – gross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 xml:space="preserve"> 680</w:t>
            </w:r>
            <w:r w:rsidRPr="00583DB5">
              <w:rPr>
                <w:rFonts w:ascii="Calibri" w:eastAsiaTheme="minorEastAsia" w:hAnsi="Calibri" w:cs="Calibri"/>
                <w:b/>
                <w:bCs/>
                <w:sz w:val="22"/>
                <w:szCs w:val="22"/>
                <w:lang w:eastAsia="en-AU"/>
              </w:rPr>
              <w:t xml:space="preserve"> 150</w:t>
            </w:r>
          </w:p>
        </w:tc>
        <w:tc>
          <w:tcPr>
            <w:tcW w:w="1120"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610 074</w:t>
            </w:r>
          </w:p>
        </w:tc>
        <w:tc>
          <w:tcPr>
            <w:tcW w:w="1120"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860 928</w:t>
            </w:r>
          </w:p>
        </w:tc>
      </w:tr>
      <w:tr w:rsidR="00336793" w:rsidRPr="00583DB5" w:rsidTr="00DF0B96">
        <w:trPr>
          <w:cantSplit/>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bl>
    <w:p w:rsidR="00336793" w:rsidRDefault="00336793" w:rsidP="00146F9C">
      <w:pPr>
        <w:pStyle w:val="Tableheadingcontinued"/>
      </w:pPr>
    </w:p>
    <w:p w:rsidR="00336793" w:rsidRDefault="00336793">
      <w:pPr>
        <w:spacing w:after="0"/>
        <w:rPr>
          <w:rFonts w:ascii="Calibri" w:hAnsi="Calibri"/>
          <w:b/>
          <w:sz w:val="25"/>
        </w:rPr>
      </w:pPr>
      <w:r>
        <w:br w:type="page"/>
      </w:r>
    </w:p>
    <w:p w:rsidR="00336793" w:rsidRPr="006A75A2" w:rsidRDefault="00336793" w:rsidP="00146F9C">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Default="00336793" w:rsidP="00146F9C">
      <w:pPr>
        <w:pStyle w:val="Tableheadingcontinued"/>
      </w:pPr>
      <w:r>
        <w:t>(r)</w:t>
      </w:r>
      <w:r>
        <w:tab/>
        <w:t xml:space="preserve">Parliamentary authority – Environment, Land, Water and Planning </w:t>
      </w:r>
      <w:r w:rsidRPr="00146F9C">
        <w:rPr>
          <w:i/>
        </w:rPr>
        <w:t>(continued)</w:t>
      </w:r>
    </w:p>
    <w:p w:rsidR="00336793" w:rsidRDefault="00336793" w:rsidP="00146F9C">
      <w:pPr>
        <w:pStyle w:val="million"/>
      </w:pP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971"/>
        <w:gridCol w:w="1426"/>
        <w:gridCol w:w="1120"/>
        <w:gridCol w:w="1120"/>
      </w:tblGrid>
      <w:tr w:rsidR="00336793" w:rsidRPr="00583DB5" w:rsidTr="00DF0B96">
        <w:trPr>
          <w:cantSplit/>
          <w:tblHeader/>
        </w:trPr>
        <w:tc>
          <w:tcPr>
            <w:tcW w:w="5971" w:type="dxa"/>
            <w:tcBorders>
              <w:top w:val="single" w:sz="6" w:space="0" w:color="auto"/>
              <w:left w:val="single" w:sz="6" w:space="0" w:color="auto"/>
              <w:bottom w:val="nil"/>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Parliamentary</w:t>
            </w:r>
          </w:p>
        </w:tc>
        <w:tc>
          <w:tcPr>
            <w:tcW w:w="112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c>
          <w:tcPr>
            <w:tcW w:w="1120" w:type="dxa"/>
            <w:tcBorders>
              <w:top w:val="single" w:sz="6" w:space="0" w:color="auto"/>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r>
      <w:tr w:rsidR="00336793" w:rsidRPr="00583DB5" w:rsidTr="00DF0B96">
        <w:trPr>
          <w:cantSplit/>
          <w:tblHeader/>
        </w:trPr>
        <w:tc>
          <w:tcPr>
            <w:tcW w:w="5971" w:type="dxa"/>
            <w:tcBorders>
              <w:top w:val="nil"/>
              <w:left w:val="single" w:sz="6" w:space="0" w:color="auto"/>
              <w:bottom w:val="nil"/>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c>
          <w:tcPr>
            <w:tcW w:w="1120" w:type="dxa"/>
            <w:tcBorders>
              <w:top w:val="nil"/>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r>
      <w:tr w:rsidR="00336793" w:rsidRPr="00583DB5" w:rsidTr="00DF0B96">
        <w:trPr>
          <w:cantSplit/>
          <w:tblHeader/>
        </w:trPr>
        <w:tc>
          <w:tcPr>
            <w:tcW w:w="5971" w:type="dxa"/>
            <w:tcBorders>
              <w:top w:val="nil"/>
              <w:left w:val="single" w:sz="6" w:space="0" w:color="auto"/>
              <w:bottom w:val="single" w:sz="6" w:space="0" w:color="auto"/>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2014</w:t>
            </w:r>
          </w:p>
        </w:tc>
      </w:tr>
      <w:tr w:rsidR="00336793" w:rsidRPr="00583DB5" w:rsidTr="00DF0B96">
        <w:trPr>
          <w:cantSplit/>
        </w:trPr>
        <w:tc>
          <w:tcPr>
            <w:tcW w:w="5971" w:type="dxa"/>
            <w:tcBorders>
              <w:top w:val="nil"/>
              <w:left w:val="nil"/>
              <w:bottom w:val="nil"/>
              <w:right w:val="nil"/>
            </w:tcBorders>
          </w:tcPr>
          <w:p w:rsidR="00336793" w:rsidRPr="00583DB5" w:rsidRDefault="00336793" w:rsidP="00146F9C">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Other</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25 of the </w:t>
            </w:r>
            <w:r w:rsidRPr="00583DB5">
              <w:rPr>
                <w:rFonts w:ascii="Calibri" w:eastAsiaTheme="minorEastAsia" w:hAnsi="Calibri" w:cs="Calibri"/>
                <w:i/>
                <w:iCs/>
                <w:sz w:val="22"/>
                <w:szCs w:val="22"/>
                <w:lang w:eastAsia="en-AU"/>
              </w:rPr>
              <w:t>Murray</w:t>
            </w:r>
            <w:r>
              <w:rPr>
                <w:rFonts w:ascii="Calibri" w:eastAsiaTheme="minorEastAsia" w:hAnsi="Calibri" w:cs="Calibri"/>
                <w:i/>
                <w:iCs/>
                <w:sz w:val="22"/>
                <w:szCs w:val="22"/>
                <w:lang w:eastAsia="en-AU"/>
              </w:rPr>
              <w:noBreakHyphen/>
            </w:r>
            <w:r w:rsidRPr="00583DB5">
              <w:rPr>
                <w:rFonts w:ascii="Calibri" w:eastAsiaTheme="minorEastAsia" w:hAnsi="Calibri" w:cs="Calibri"/>
                <w:i/>
                <w:iCs/>
                <w:sz w:val="22"/>
                <w:szCs w:val="22"/>
                <w:lang w:eastAsia="en-AU"/>
              </w:rPr>
              <w:t>Darling Basin Act 1993</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30 650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18 000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27 762</w:t>
            </w:r>
          </w:p>
        </w:tc>
      </w:tr>
      <w:tr w:rsidR="00336793" w:rsidRPr="00583DB5" w:rsidTr="00DF0B96">
        <w:trPr>
          <w:cantSplit/>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r>
              <w:rPr>
                <w:rFonts w:ascii="Calibri" w:eastAsiaTheme="minorEastAsia" w:hAnsi="Calibri" w:cs="Calibri"/>
                <w:sz w:val="22"/>
                <w:szCs w:val="22"/>
                <w:lang w:eastAsia="en-AU"/>
              </w:rPr>
              <w:t xml:space="preserve"> – Section </w:t>
            </w:r>
            <w:r w:rsidRPr="00583DB5">
              <w:rPr>
                <w:rFonts w:ascii="Calibri" w:eastAsiaTheme="minorEastAsia" w:hAnsi="Calibri" w:cs="Calibri"/>
                <w:sz w:val="22"/>
                <w:szCs w:val="22"/>
                <w:lang w:eastAsia="en-AU"/>
              </w:rPr>
              <w:t xml:space="preserve">25 of the </w:t>
            </w:r>
            <w:r w:rsidRPr="00583DB5">
              <w:rPr>
                <w:rFonts w:ascii="Calibri" w:eastAsiaTheme="minorEastAsia" w:hAnsi="Calibri" w:cs="Calibri"/>
                <w:i/>
                <w:iCs/>
                <w:sz w:val="22"/>
                <w:szCs w:val="22"/>
                <w:lang w:eastAsia="en-AU"/>
              </w:rPr>
              <w:t>Murray</w:t>
            </w:r>
            <w:r>
              <w:rPr>
                <w:rFonts w:ascii="Calibri" w:eastAsiaTheme="minorEastAsia" w:hAnsi="Calibri" w:cs="Calibri"/>
                <w:i/>
                <w:iCs/>
                <w:sz w:val="22"/>
                <w:szCs w:val="22"/>
                <w:lang w:eastAsia="en-AU"/>
              </w:rPr>
              <w:noBreakHyphen/>
            </w:r>
            <w:r w:rsidRPr="00583DB5">
              <w:rPr>
                <w:rFonts w:ascii="Calibri" w:eastAsiaTheme="minorEastAsia" w:hAnsi="Calibri" w:cs="Calibri"/>
                <w:i/>
                <w:iCs/>
                <w:sz w:val="22"/>
                <w:szCs w:val="22"/>
                <w:lang w:eastAsia="en-AU"/>
              </w:rPr>
              <w:t>Darling Basin Act 1993</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263</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other</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30 650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18 000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28 025</w:t>
            </w:r>
          </w:p>
        </w:tc>
      </w:tr>
      <w:tr w:rsidR="00336793" w:rsidRPr="00583DB5" w:rsidTr="00DF0B96">
        <w:trPr>
          <w:cantSplit/>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annual appropriations – gross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2 422 072</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1 963 930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2 431 721</w:t>
            </w:r>
          </w:p>
        </w:tc>
      </w:tr>
      <w:tr w:rsidR="00336793" w:rsidRPr="00583DB5" w:rsidTr="00DF0B96">
        <w:trPr>
          <w:cantSplit/>
          <w:trHeight w:hRule="exact" w:val="120"/>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Total Parliamentary authority (excluding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sz w:val="22"/>
                <w:szCs w:val="22"/>
                <w:lang w:eastAsia="en-AU"/>
              </w:rPr>
              <w:t xml:space="preserve"> Section 33)</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2 537 494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2 079 352</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2 435 361</w:t>
            </w:r>
          </w:p>
        </w:tc>
      </w:tr>
      <w:tr w:rsidR="00336793" w:rsidRPr="00583DB5" w:rsidTr="00DF0B96">
        <w:trPr>
          <w:cantSplit/>
          <w:trHeight w:hRule="exact" w:val="120"/>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Amounts issued under the authority of the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sz w:val="22"/>
                <w:szCs w:val="22"/>
                <w:lang w:eastAsia="en-AU"/>
              </w:rPr>
              <w:t>, Section 33 (Special Appropriation) relating to prior year appropriations</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r>
      <w:tr w:rsidR="00336793" w:rsidRPr="00583DB5" w:rsidTr="00DF0B96">
        <w:trPr>
          <w:cantSplit/>
          <w:trHeight w:hRule="exact" w:val="120"/>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Parliamentary authority</w:t>
            </w:r>
          </w:p>
        </w:tc>
        <w:tc>
          <w:tcPr>
            <w:tcW w:w="1426"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Pr>
                <w:rFonts w:ascii="Calibri" w:eastAsiaTheme="minorEastAsia" w:hAnsi="Calibri" w:cs="Calibri"/>
                <w:b/>
                <w:bCs/>
                <w:sz w:val="22"/>
                <w:szCs w:val="22"/>
                <w:lang w:eastAsia="en-AU"/>
              </w:rPr>
              <w:t>2 537 494</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2 079 352</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2 435 361</w:t>
            </w:r>
          </w:p>
        </w:tc>
      </w:tr>
    </w:tbl>
    <w:p w:rsidR="00336793" w:rsidRDefault="00336793" w:rsidP="00146F9C">
      <w:pPr>
        <w:pStyle w:val="Notes"/>
      </w:pPr>
    </w:p>
    <w:p w:rsidR="00336793" w:rsidRDefault="00336793" w:rsidP="00DF0B96">
      <w:pPr>
        <w:pStyle w:val="Notes"/>
      </w:pPr>
      <w:r>
        <w:t xml:space="preserve"> </w:t>
      </w:r>
    </w:p>
    <w:p w:rsidR="00336793" w:rsidRDefault="00336793" w:rsidP="00DF0B96">
      <w:pPr>
        <w:spacing w:after="0"/>
        <w:rPr>
          <w:rFonts w:ascii="Calibri" w:hAnsi="Calibri"/>
          <w:b/>
          <w:sz w:val="25"/>
        </w:rPr>
      </w:pPr>
      <w:r>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t>(s</w:t>
      </w:r>
      <w:r w:rsidRPr="006A75A2">
        <w:t>)</w:t>
      </w:r>
      <w:r w:rsidRPr="006A75A2">
        <w:tab/>
        <w:t>Parliamentary authority – Health</w:t>
      </w:r>
      <w:r>
        <w:t xml:space="preserve"> and Human Services</w:t>
      </w:r>
    </w:p>
    <w:p w:rsidR="00336793" w:rsidRPr="00583DB5" w:rsidRDefault="00336793" w:rsidP="00DF0B96">
      <w:pPr>
        <w:pStyle w:val="million"/>
        <w:rPr>
          <w:rFonts w:ascii="Times New Roman" w:hAnsi="Times New Roman"/>
          <w:i w:val="0"/>
          <w:szCs w:val="20"/>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867"/>
        <w:gridCol w:w="1530"/>
        <w:gridCol w:w="1120"/>
        <w:gridCol w:w="1120"/>
      </w:tblGrid>
      <w:tr w:rsidR="00336793" w:rsidRPr="00583DB5" w:rsidTr="00DF0B96">
        <w:trPr>
          <w:tblHeader/>
        </w:trPr>
        <w:tc>
          <w:tcPr>
            <w:tcW w:w="5867" w:type="dxa"/>
            <w:tcBorders>
              <w:top w:val="single" w:sz="6" w:space="0" w:color="auto"/>
              <w:left w:val="single" w:sz="6" w:space="0" w:color="auto"/>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 xml:space="preserve">Parliamentary </w:t>
            </w:r>
          </w:p>
        </w:tc>
        <w:tc>
          <w:tcPr>
            <w:tcW w:w="112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c>
          <w:tcPr>
            <w:tcW w:w="1120" w:type="dxa"/>
            <w:tcBorders>
              <w:top w:val="single" w:sz="6" w:space="0" w:color="auto"/>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r>
      <w:tr w:rsidR="00336793" w:rsidRPr="00583DB5" w:rsidTr="00DF0B96">
        <w:trPr>
          <w:tblHeader/>
        </w:trPr>
        <w:tc>
          <w:tcPr>
            <w:tcW w:w="5867" w:type="dxa"/>
            <w:tcBorders>
              <w:top w:val="nil"/>
              <w:left w:val="single" w:sz="6" w:space="0" w:color="auto"/>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c>
          <w:tcPr>
            <w:tcW w:w="1120" w:type="dxa"/>
            <w:tcBorders>
              <w:top w:val="nil"/>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r>
      <w:tr w:rsidR="00336793" w:rsidRPr="00583DB5" w:rsidTr="00DF0B96">
        <w:trPr>
          <w:tblHeader/>
        </w:trPr>
        <w:tc>
          <w:tcPr>
            <w:tcW w:w="5867" w:type="dxa"/>
            <w:tcBorders>
              <w:top w:val="nil"/>
              <w:left w:val="single" w:sz="6" w:space="0" w:color="auto"/>
              <w:bottom w:val="single" w:sz="6" w:space="0" w:color="auto"/>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2014</w:t>
            </w:r>
          </w:p>
        </w:tc>
      </w:tr>
      <w:tr w:rsidR="00336793" w:rsidRPr="00583DB5" w:rsidTr="00DF0B96">
        <w:tc>
          <w:tcPr>
            <w:tcW w:w="5867" w:type="dxa"/>
            <w:tcBorders>
              <w:top w:val="single" w:sz="6" w:space="0" w:color="auto"/>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Special appropriations</w:t>
            </w:r>
          </w:p>
        </w:tc>
        <w:tc>
          <w:tcPr>
            <w:tcW w:w="1530" w:type="dxa"/>
            <w:tcBorders>
              <w:top w:val="single" w:sz="6" w:space="0" w:color="auto"/>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shd w:val="solid" w:color="FFFFFF" w:fill="auto"/>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Casino Control Act No. 47 of 1991</w:t>
            </w:r>
            <w:r w:rsidRPr="00583DB5">
              <w:rPr>
                <w:rFonts w:eastAsiaTheme="minorEastAsia"/>
                <w:lang w:eastAsia="en-AU"/>
              </w:rPr>
              <w:t>, Sections 114 and 114(b)</w:t>
            </w:r>
          </w:p>
        </w:tc>
        <w:tc>
          <w:tcPr>
            <w:tcW w:w="153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18 699</w:t>
            </w:r>
          </w:p>
        </w:tc>
        <w:tc>
          <w:tcPr>
            <w:tcW w:w="112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18 699</w:t>
            </w:r>
          </w:p>
        </w:tc>
        <w:tc>
          <w:tcPr>
            <w:tcW w:w="112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15 648</w:t>
            </w:r>
          </w:p>
        </w:tc>
      </w:tr>
      <w:tr w:rsidR="00336793" w:rsidRPr="00583DB5" w:rsidTr="00DF0B96">
        <w:tc>
          <w:tcPr>
            <w:tcW w:w="5867" w:type="dxa"/>
            <w:tcBorders>
              <w:top w:val="nil"/>
              <w:left w:val="nil"/>
              <w:bottom w:val="nil"/>
              <w:right w:val="nil"/>
            </w:tcBorders>
            <w:shd w:val="solid" w:color="FFFFFF" w:fill="auto"/>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 xml:space="preserve">Financial Management Act, </w:t>
            </w:r>
            <w:r w:rsidRPr="00062260">
              <w:rPr>
                <w:rFonts w:eastAsiaTheme="minorEastAsia"/>
                <w:i/>
                <w:lang w:eastAsia="en-AU"/>
              </w:rPr>
              <w:t>No. 18 of 1994</w:t>
            </w:r>
            <w:r w:rsidRPr="00583DB5">
              <w:rPr>
                <w:rFonts w:eastAsiaTheme="minorEastAsia"/>
                <w:lang w:eastAsia="en-AU"/>
              </w:rPr>
              <w:t>, Section 10</w:t>
            </w:r>
          </w:p>
        </w:tc>
        <w:tc>
          <w:tcPr>
            <w:tcW w:w="153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21 809</w:t>
            </w:r>
          </w:p>
        </w:tc>
        <w:tc>
          <w:tcPr>
            <w:tcW w:w="112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21 809</w:t>
            </w:r>
          </w:p>
        </w:tc>
        <w:tc>
          <w:tcPr>
            <w:tcW w:w="112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149 345</w:t>
            </w:r>
          </w:p>
        </w:tc>
      </w:tr>
      <w:tr w:rsidR="00336793" w:rsidRPr="00583DB5" w:rsidTr="00DF0B96">
        <w:tc>
          <w:tcPr>
            <w:tcW w:w="5867" w:type="dxa"/>
            <w:tcBorders>
              <w:top w:val="nil"/>
              <w:left w:val="nil"/>
              <w:bottom w:val="nil"/>
              <w:right w:val="nil"/>
            </w:tcBorders>
            <w:shd w:val="solid" w:color="FFFFFF" w:fill="auto"/>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 xml:space="preserve">Gambling Regulation Act No. </w:t>
            </w:r>
            <w:r w:rsidRPr="00583DB5">
              <w:rPr>
                <w:rFonts w:eastAsiaTheme="minorEastAsia"/>
                <w:lang w:eastAsia="en-AU"/>
              </w:rPr>
              <w:t>114</w:t>
            </w:r>
            <w:r w:rsidRPr="00583DB5">
              <w:rPr>
                <w:rFonts w:eastAsiaTheme="minorEastAsia"/>
                <w:i/>
                <w:lang w:eastAsia="en-AU"/>
              </w:rPr>
              <w:t xml:space="preserve"> of 2003</w:t>
            </w:r>
            <w:r w:rsidRPr="00583DB5">
              <w:rPr>
                <w:rFonts w:eastAsiaTheme="minorEastAsia"/>
                <w:lang w:eastAsia="en-AU"/>
              </w:rPr>
              <w:t xml:space="preserve"> Section 3.6.11 Contributions – Hospitals and Charities Fund/Mental Hospitals Fund</w:t>
            </w:r>
          </w:p>
        </w:tc>
        <w:tc>
          <w:tcPr>
            <w:tcW w:w="153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816 856</w:t>
            </w:r>
          </w:p>
        </w:tc>
        <w:tc>
          <w:tcPr>
            <w:tcW w:w="112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816 856</w:t>
            </w:r>
          </w:p>
        </w:tc>
        <w:tc>
          <w:tcPr>
            <w:tcW w:w="112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727 723</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 xml:space="preserve">Gambling Regulation Act No. </w:t>
            </w:r>
            <w:r w:rsidRPr="00583DB5">
              <w:rPr>
                <w:rFonts w:eastAsiaTheme="minorEastAsia"/>
                <w:lang w:eastAsia="en-AU"/>
              </w:rPr>
              <w:t>114</w:t>
            </w:r>
            <w:r w:rsidRPr="00583DB5">
              <w:rPr>
                <w:rFonts w:eastAsiaTheme="minorEastAsia"/>
                <w:i/>
                <w:lang w:eastAsia="en-AU"/>
              </w:rPr>
              <w:t xml:space="preserve"> of 2003</w:t>
            </w:r>
            <w:r w:rsidRPr="00583DB5">
              <w:rPr>
                <w:rFonts w:eastAsiaTheme="minorEastAsia"/>
                <w:lang w:eastAsia="en-AU"/>
              </w:rPr>
              <w:t xml:space="preserve"> Sections 4.4.11 and 4.6.8 Contributions – Hospitals and Charities Fund</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58 963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58 963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57 604</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Gambling Regulation Act No. 114 of 2003</w:t>
            </w:r>
            <w:r w:rsidRPr="00583DB5">
              <w:rPr>
                <w:rFonts w:eastAsiaTheme="minorEastAsia"/>
                <w:lang w:eastAsia="en-AU"/>
              </w:rPr>
              <w:t xml:space="preserve"> Section 5.4.6 Contributions – Hospitals and Charities Fund/Mental Hospitals Fund</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369 363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369 363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326 819</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 xml:space="preserve">Gambling Regulation Act No. </w:t>
            </w:r>
            <w:r w:rsidRPr="00583DB5">
              <w:rPr>
                <w:rFonts w:eastAsiaTheme="minorEastAsia"/>
                <w:lang w:eastAsia="en-AU"/>
              </w:rPr>
              <w:t>114</w:t>
            </w:r>
            <w:r w:rsidRPr="00583DB5">
              <w:rPr>
                <w:rFonts w:eastAsiaTheme="minorEastAsia"/>
                <w:i/>
                <w:lang w:eastAsia="en-AU"/>
              </w:rPr>
              <w:t xml:space="preserve"> of 2003</w:t>
            </w:r>
            <w:r w:rsidRPr="00583DB5">
              <w:rPr>
                <w:rFonts w:eastAsiaTheme="minorEastAsia"/>
                <w:lang w:eastAsia="en-AU"/>
              </w:rPr>
              <w:t xml:space="preserve"> Section 6A.4.4 Contributions – Hospitals and Charities Fund/Mental Hospitals Fund</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4 122</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4 122</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3 636</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Total special appropriations (excluding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lang w:eastAsia="en-AU"/>
              </w:rPr>
              <w:t xml:space="preserve"> Section 33</w:t>
            </w:r>
            <w:r w:rsidRPr="00583DB5">
              <w:rPr>
                <w:rFonts w:eastAsiaTheme="minorEastAsia" w:cs="Calibri"/>
                <w:b/>
                <w:bCs/>
                <w:color w:val="000000"/>
                <w:szCs w:val="22"/>
                <w:lang w:eastAsia="en-AU"/>
              </w:rPr>
              <w:t>)</w:t>
            </w:r>
          </w:p>
        </w:tc>
        <w:tc>
          <w:tcPr>
            <w:tcW w:w="153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1 289 811</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1 289 811</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1 280 774</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Annual appropriations</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Provision of outputs</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Provision of outputs – net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9 310 874</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9 028 140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7 050 153</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29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875 830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839 085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888 326</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32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100 992</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100 992</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131 320</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provision of outputs – gross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10 287 695</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9 968 217</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8 069 800</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Additions to the net asset base</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Additions to the net asset base – net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129 113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41 402</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29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140 225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120 559</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32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128 205</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116 690</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867" w:type="dxa"/>
            <w:tcBorders>
              <w:top w:val="single" w:sz="6" w:space="0" w:color="auto"/>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additions to the net asset base – gross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397 543</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278 650</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annual appropriations gross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10 685 238</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10 246 867</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8 069 800</w:t>
            </w:r>
          </w:p>
        </w:tc>
      </w:tr>
      <w:tr w:rsidR="00336793" w:rsidRPr="00583DB5" w:rsidTr="00DF0B96">
        <w:trPr>
          <w:trHeight w:hRule="exact" w:val="120"/>
        </w:trPr>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Total Parliamentary authority (excluding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lang w:eastAsia="en-AU"/>
              </w:rPr>
              <w:t xml:space="preserve"> Section 33</w:t>
            </w:r>
            <w:r w:rsidRPr="00583DB5">
              <w:rPr>
                <w:rFonts w:eastAsiaTheme="minorEastAsia" w:cs="Calibri"/>
                <w:b/>
                <w:bCs/>
                <w:color w:val="000000"/>
                <w:szCs w:val="22"/>
                <w:lang w:eastAsia="en-AU"/>
              </w:rPr>
              <w:t>)</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11 975 049</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11 536 678</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9 350 574</w:t>
            </w:r>
          </w:p>
        </w:tc>
      </w:tr>
      <w:tr w:rsidR="00336793" w:rsidRPr="00583DB5" w:rsidTr="00DF0B96">
        <w:trPr>
          <w:trHeight w:hRule="exact" w:val="120"/>
        </w:trPr>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Amounts issued under the authority of the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lang w:eastAsia="en-AU"/>
              </w:rPr>
              <w:t xml:space="preserve">, Section 33 (Special Appropriation) relating to prior year </w:t>
            </w:r>
            <w:r w:rsidRPr="00583DB5">
              <w:rPr>
                <w:rFonts w:eastAsiaTheme="minorEastAsia" w:cs="Calibri"/>
                <w:b/>
                <w:bCs/>
                <w:color w:val="000000"/>
                <w:szCs w:val="22"/>
                <w:lang w:eastAsia="en-AU"/>
              </w:rPr>
              <w:t>appropriations</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114 693</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114 693</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73 808</w:t>
            </w:r>
          </w:p>
        </w:tc>
      </w:tr>
      <w:tr w:rsidR="00336793" w:rsidRPr="00583DB5" w:rsidTr="00DF0B96">
        <w:trPr>
          <w:trHeight w:hRule="exact" w:val="120"/>
        </w:trPr>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Parliamentary authority</w:t>
            </w:r>
          </w:p>
        </w:tc>
        <w:tc>
          <w:tcPr>
            <w:tcW w:w="153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12 089 742</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11 651 372</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9 424 382</w:t>
            </w:r>
          </w:p>
        </w:tc>
      </w:tr>
    </w:tbl>
    <w:p w:rsidR="00336793" w:rsidRDefault="00336793" w:rsidP="00DF0B96">
      <w:pPr>
        <w:pStyle w:val="Notes"/>
      </w:pPr>
    </w:p>
    <w:p w:rsidR="00336793" w:rsidRDefault="00336793" w:rsidP="00DF0B96">
      <w:pPr>
        <w:pStyle w:val="Source"/>
      </w:pPr>
    </w:p>
    <w:p w:rsidR="00336793" w:rsidRPr="006A75A2" w:rsidRDefault="00336793" w:rsidP="00DF0B96">
      <w:pPr>
        <w:spacing w:after="0"/>
        <w:rPr>
          <w:rFonts w:ascii="Calibri" w:hAnsi="Calibri"/>
          <w:b/>
        </w:rPr>
      </w:pPr>
      <w:r w:rsidRPr="006A75A2">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t>(t</w:t>
      </w:r>
      <w:r w:rsidRPr="006A75A2">
        <w:t>)</w:t>
      </w:r>
      <w:r w:rsidRPr="006A75A2">
        <w:tab/>
        <w:t>Parliamentary authority – Human Services</w:t>
      </w:r>
    </w:p>
    <w:p w:rsidR="00336793" w:rsidRDefault="00336793" w:rsidP="00DF0B96">
      <w:pPr>
        <w:pStyle w:val="million"/>
        <w:rPr>
          <w:rFonts w:ascii="Times New Roman" w:hAnsi="Times New Roman"/>
          <w:i w:val="0"/>
          <w:szCs w:val="20"/>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971"/>
        <w:gridCol w:w="1426"/>
        <w:gridCol w:w="1120"/>
        <w:gridCol w:w="1120"/>
      </w:tblGrid>
      <w:tr w:rsidR="00336793" w:rsidRPr="00583DB5" w:rsidTr="00DF0B96">
        <w:trPr>
          <w:cantSplit/>
          <w:tblHeader/>
        </w:trPr>
        <w:tc>
          <w:tcPr>
            <w:tcW w:w="5971" w:type="dxa"/>
            <w:tcBorders>
              <w:top w:val="single" w:sz="6" w:space="0" w:color="auto"/>
              <w:left w:val="single" w:sz="6" w:space="0" w:color="auto"/>
              <w:bottom w:val="nil"/>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 xml:space="preserve">Parliamentary </w:t>
            </w:r>
          </w:p>
        </w:tc>
        <w:tc>
          <w:tcPr>
            <w:tcW w:w="112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c>
          <w:tcPr>
            <w:tcW w:w="1120" w:type="dxa"/>
            <w:tcBorders>
              <w:top w:val="single" w:sz="6" w:space="0" w:color="auto"/>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r>
      <w:tr w:rsidR="00336793" w:rsidRPr="00583DB5" w:rsidTr="00DF0B96">
        <w:trPr>
          <w:cantSplit/>
          <w:tblHeader/>
        </w:trPr>
        <w:tc>
          <w:tcPr>
            <w:tcW w:w="5971" w:type="dxa"/>
            <w:tcBorders>
              <w:top w:val="nil"/>
              <w:left w:val="single" w:sz="6" w:space="0" w:color="auto"/>
              <w:bottom w:val="nil"/>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c>
          <w:tcPr>
            <w:tcW w:w="1120" w:type="dxa"/>
            <w:tcBorders>
              <w:top w:val="nil"/>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r>
      <w:tr w:rsidR="00336793" w:rsidRPr="00583DB5" w:rsidTr="00DF0B96">
        <w:trPr>
          <w:cantSplit/>
          <w:tblHeader/>
        </w:trPr>
        <w:tc>
          <w:tcPr>
            <w:tcW w:w="5971" w:type="dxa"/>
            <w:tcBorders>
              <w:top w:val="nil"/>
              <w:left w:val="single" w:sz="6" w:space="0" w:color="auto"/>
              <w:bottom w:val="single" w:sz="6" w:space="0" w:color="auto"/>
              <w:right w:val="nil"/>
            </w:tcBorders>
            <w:shd w:val="clear" w:color="000000" w:fill="000000"/>
            <w:vAlign w:val="bottom"/>
          </w:tcPr>
          <w:p w:rsidR="00336793" w:rsidRPr="00583DB5" w:rsidRDefault="00336793" w:rsidP="00DF0B96">
            <w:pPr>
              <w:pStyle w:val="Tabletextheading"/>
              <w:jc w:val="left"/>
              <w:rPr>
                <w:rFonts w:eastAsiaTheme="minorEastAsia"/>
                <w:color w:val="FFFFFF"/>
                <w:lang w:eastAsia="en-AU"/>
              </w:rPr>
            </w:pPr>
            <w:r w:rsidRPr="00583DB5">
              <w:rPr>
                <w:rFonts w:eastAsiaTheme="minorEastAsia"/>
                <w:color w:val="FFFFFF"/>
                <w:lang w:eastAsia="en-AU"/>
              </w:rPr>
              <w:t xml:space="preserve"> </w:t>
            </w:r>
          </w:p>
        </w:tc>
        <w:tc>
          <w:tcPr>
            <w:tcW w:w="1426"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2014</w:t>
            </w:r>
          </w:p>
        </w:tc>
      </w:tr>
      <w:tr w:rsidR="00336793" w:rsidRPr="00583DB5" w:rsidTr="00DF0B96">
        <w:trPr>
          <w:cantSplit/>
        </w:trPr>
        <w:tc>
          <w:tcPr>
            <w:tcW w:w="5971" w:type="dxa"/>
            <w:tcBorders>
              <w:top w:val="single" w:sz="6" w:space="0" w:color="auto"/>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Special appropriations</w:t>
            </w:r>
          </w:p>
        </w:tc>
        <w:tc>
          <w:tcPr>
            <w:tcW w:w="1426"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rPr>
          <w:cantSplit/>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i/>
                <w:iCs/>
                <w:sz w:val="22"/>
                <w:szCs w:val="22"/>
                <w:lang w:eastAsia="en-AU"/>
              </w:rPr>
              <w:t xml:space="preserve">Gambling Regulation Act No. 114 of 2003 </w:t>
            </w:r>
            <w:r w:rsidRPr="00583DB5">
              <w:rPr>
                <w:rFonts w:ascii="Calibri" w:eastAsiaTheme="minorEastAsia" w:hAnsi="Calibri" w:cs="Calibri"/>
                <w:sz w:val="22"/>
                <w:szCs w:val="22"/>
                <w:lang w:eastAsia="en-AU"/>
              </w:rPr>
              <w:t>Section 5.4.6 Contributions – Hospitals and Charities Fund/Mental Hospitals Fund</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31 968</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31 968</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63 935</w:t>
            </w:r>
          </w:p>
        </w:tc>
      </w:tr>
      <w:tr w:rsidR="00336793" w:rsidRPr="00583DB5" w:rsidTr="00DF0B96">
        <w:trPr>
          <w:cantSplit/>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Total special appropriations (excluding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i/>
                <w:iCs/>
                <w:sz w:val="22"/>
                <w:szCs w:val="22"/>
                <w:lang w:eastAsia="en-AU"/>
              </w:rPr>
              <w:t xml:space="preserve"> </w:t>
            </w:r>
            <w:r w:rsidRPr="00583DB5">
              <w:rPr>
                <w:rFonts w:ascii="Calibri" w:eastAsiaTheme="minorEastAsia" w:hAnsi="Calibri" w:cs="Calibri"/>
                <w:b/>
                <w:bCs/>
                <w:sz w:val="22"/>
                <w:szCs w:val="22"/>
                <w:lang w:eastAsia="en-AU"/>
              </w:rPr>
              <w:t>Section 33)</w:t>
            </w:r>
          </w:p>
        </w:tc>
        <w:tc>
          <w:tcPr>
            <w:tcW w:w="1426"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31 968</w:t>
            </w:r>
          </w:p>
        </w:tc>
        <w:tc>
          <w:tcPr>
            <w:tcW w:w="1120"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31 968</w:t>
            </w:r>
          </w:p>
        </w:tc>
        <w:tc>
          <w:tcPr>
            <w:tcW w:w="1120" w:type="dxa"/>
            <w:tcBorders>
              <w:top w:val="single" w:sz="6" w:space="0" w:color="auto"/>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63 935</w:t>
            </w:r>
          </w:p>
        </w:tc>
      </w:tr>
      <w:tr w:rsidR="00336793" w:rsidRPr="00583DB5" w:rsidTr="00DF0B96">
        <w:trPr>
          <w:cantSplit/>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Annual appropriations</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Provision of outputs</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Provision of outputs – net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1 945 674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1 942 494</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3 534 864</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29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54 938</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54 938</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55 797</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13 153</w:t>
            </w:r>
          </w:p>
        </w:tc>
      </w:tr>
      <w:tr w:rsidR="00336793" w:rsidRPr="00583DB5" w:rsidTr="00DF0B96">
        <w:trPr>
          <w:cantSplit/>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Advance to Treasurer </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5 229</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provision of outputs – gross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2 000 612</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1 997 432</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3 609 044</w:t>
            </w:r>
          </w:p>
        </w:tc>
      </w:tr>
      <w:tr w:rsidR="00336793" w:rsidRPr="00583DB5" w:rsidTr="00DF0B96">
        <w:trPr>
          <w:cantSplit/>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Additions to the net asset base</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Additions to the net asset base – net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5 080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2 700</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15 871</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29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15 360</w:t>
            </w:r>
          </w:p>
        </w:tc>
      </w:tr>
      <w:tr w:rsidR="00336793" w:rsidRPr="00583DB5" w:rsidTr="00DF0B96">
        <w:trPr>
          <w:cantSplit/>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i/>
                <w:iCs/>
                <w:sz w:val="22"/>
                <w:szCs w:val="22"/>
                <w:lang w:eastAsia="en-AU"/>
              </w:rPr>
            </w:pPr>
            <w:r w:rsidRPr="00583DB5">
              <w:rPr>
                <w:rFonts w:ascii="Calibri" w:eastAsiaTheme="minorEastAsia" w:hAnsi="Calibri" w:cs="Calibri"/>
                <w:sz w:val="22"/>
                <w:szCs w:val="22"/>
                <w:lang w:eastAsia="en-AU"/>
              </w:rPr>
              <w:t xml:space="preserve">Section 32 </w:t>
            </w:r>
            <w:r w:rsidRPr="00583DB5">
              <w:rPr>
                <w:rFonts w:ascii="Calibri" w:eastAsiaTheme="minorEastAsia" w:hAnsi="Calibri" w:cs="Calibri"/>
                <w:i/>
                <w:iCs/>
                <w:sz w:val="22"/>
                <w:szCs w:val="22"/>
                <w:lang w:eastAsia="en-AU"/>
              </w:rPr>
              <w:t xml:space="preserve">Financial Management Act, </w:t>
            </w:r>
            <w:r w:rsidRPr="00062260">
              <w:rPr>
                <w:rFonts w:ascii="Calibri" w:eastAsiaTheme="minorEastAsia" w:hAnsi="Calibri" w:cs="Calibri"/>
                <w:i/>
                <w:iCs/>
                <w:sz w:val="22"/>
                <w:szCs w:val="22"/>
                <w:lang w:eastAsia="en-AU"/>
              </w:rPr>
              <w:t>No. 18 of 1994</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5 393</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5 393</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20 202</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additions to the net asset base – gross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10 473</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8 093</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51 433</w:t>
            </w:r>
          </w:p>
        </w:tc>
      </w:tr>
      <w:tr w:rsidR="00336793" w:rsidRPr="00583DB5" w:rsidTr="00DF0B96">
        <w:trPr>
          <w:cantSplit/>
          <w:trHeight w:hRule="exact" w:val="120"/>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annual appropriations gross application</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2 011 085</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2 005 525</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3 660 477</w:t>
            </w:r>
          </w:p>
        </w:tc>
      </w:tr>
      <w:tr w:rsidR="00336793" w:rsidRPr="00583DB5" w:rsidTr="00DF0B96">
        <w:trPr>
          <w:cantSplit/>
          <w:trHeight w:hRule="exact" w:val="120"/>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Total Parliamentary authority (excluding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sz w:val="22"/>
                <w:szCs w:val="22"/>
                <w:lang w:eastAsia="en-AU"/>
              </w:rPr>
              <w:t xml:space="preserve"> Section 33)</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2 043 052</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2 037 492</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3 724 412</w:t>
            </w:r>
          </w:p>
        </w:tc>
      </w:tr>
      <w:tr w:rsidR="00336793" w:rsidRPr="00583DB5" w:rsidTr="00DF0B96">
        <w:trPr>
          <w:cantSplit/>
          <w:trHeight w:hRule="exact" w:val="120"/>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nil"/>
              <w:left w:val="nil"/>
              <w:bottom w:val="nil"/>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Amounts issued under the authority of the </w:t>
            </w:r>
            <w:r w:rsidRPr="00583DB5">
              <w:rPr>
                <w:rFonts w:ascii="Calibri" w:eastAsiaTheme="minorEastAsia" w:hAnsi="Calibri" w:cs="Calibri"/>
                <w:b/>
                <w:bCs/>
                <w:i/>
                <w:iCs/>
                <w:sz w:val="22"/>
                <w:szCs w:val="22"/>
                <w:lang w:eastAsia="en-AU"/>
              </w:rPr>
              <w:t xml:space="preserve">Financial Management Act, </w:t>
            </w:r>
            <w:r w:rsidRPr="00062260">
              <w:rPr>
                <w:rFonts w:ascii="Calibri" w:eastAsiaTheme="minorEastAsia" w:hAnsi="Calibri" w:cs="Calibri"/>
                <w:b/>
                <w:bCs/>
                <w:i/>
                <w:iCs/>
                <w:sz w:val="22"/>
                <w:szCs w:val="22"/>
                <w:lang w:eastAsia="en-AU"/>
              </w:rPr>
              <w:t>No. 18 of 1994</w:t>
            </w:r>
            <w:r w:rsidRPr="00583DB5">
              <w:rPr>
                <w:rFonts w:ascii="Calibri" w:eastAsiaTheme="minorEastAsia" w:hAnsi="Calibri" w:cs="Calibri"/>
                <w:b/>
                <w:bCs/>
                <w:i/>
                <w:iCs/>
                <w:sz w:val="22"/>
                <w:szCs w:val="22"/>
                <w:lang w:eastAsia="en-AU"/>
              </w:rPr>
              <w:t>,</w:t>
            </w:r>
            <w:r w:rsidRPr="00583DB5">
              <w:rPr>
                <w:rFonts w:ascii="Calibri" w:eastAsiaTheme="minorEastAsia" w:hAnsi="Calibri" w:cs="Calibri"/>
                <w:b/>
                <w:bCs/>
                <w:sz w:val="22"/>
                <w:szCs w:val="22"/>
                <w:lang w:eastAsia="en-AU"/>
              </w:rPr>
              <w:t xml:space="preserve"> Section 33 (Special Appropriation) relating to prior year appropriations</w:t>
            </w:r>
          </w:p>
        </w:tc>
        <w:tc>
          <w:tcPr>
            <w:tcW w:w="1426"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w:t>
            </w:r>
          </w:p>
        </w:tc>
        <w:tc>
          <w:tcPr>
            <w:tcW w:w="1120" w:type="dxa"/>
            <w:tcBorders>
              <w:top w:val="nil"/>
              <w:left w:val="nil"/>
              <w:bottom w:val="nil"/>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583DB5">
              <w:rPr>
                <w:rFonts w:ascii="Calibri" w:eastAsiaTheme="minorEastAsia" w:hAnsi="Calibri" w:cs="Calibri"/>
                <w:sz w:val="22"/>
                <w:szCs w:val="22"/>
                <w:lang w:eastAsia="en-AU"/>
              </w:rPr>
              <w:t xml:space="preserve"> 2 437</w:t>
            </w:r>
          </w:p>
        </w:tc>
      </w:tr>
      <w:tr w:rsidR="00336793" w:rsidRPr="00583DB5" w:rsidTr="00DF0B96">
        <w:trPr>
          <w:cantSplit/>
          <w:trHeight w:hRule="exact" w:val="120"/>
        </w:trPr>
        <w:tc>
          <w:tcPr>
            <w:tcW w:w="5971" w:type="dxa"/>
            <w:tcBorders>
              <w:top w:val="nil"/>
              <w:left w:val="nil"/>
              <w:bottom w:val="single" w:sz="6" w:space="0" w:color="auto"/>
              <w:right w:val="nil"/>
            </w:tcBorders>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426"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 xml:space="preserve">   </w:t>
            </w:r>
          </w:p>
        </w:tc>
      </w:tr>
      <w:tr w:rsidR="00336793" w:rsidRPr="00583DB5" w:rsidTr="00DF0B96">
        <w:trPr>
          <w:cantSplit/>
        </w:trPr>
        <w:tc>
          <w:tcPr>
            <w:tcW w:w="5971"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Total Parliamentary authority</w:t>
            </w:r>
          </w:p>
        </w:tc>
        <w:tc>
          <w:tcPr>
            <w:tcW w:w="1426"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2 043 052</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2 037 492</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583DB5">
              <w:rPr>
                <w:rFonts w:ascii="Calibri" w:eastAsiaTheme="minorEastAsia" w:hAnsi="Calibri" w:cs="Calibri"/>
                <w:b/>
                <w:bCs/>
                <w:sz w:val="22"/>
                <w:szCs w:val="22"/>
                <w:lang w:eastAsia="en-AU"/>
              </w:rPr>
              <w:t>3 726 848</w:t>
            </w:r>
          </w:p>
        </w:tc>
      </w:tr>
    </w:tbl>
    <w:p w:rsidR="00336793" w:rsidRDefault="00336793" w:rsidP="00DF0B96">
      <w:pPr>
        <w:pStyle w:val="million"/>
      </w:pPr>
      <w:r>
        <w:t xml:space="preserve"> </w:t>
      </w:r>
    </w:p>
    <w:p w:rsidR="00336793" w:rsidRDefault="00336793" w:rsidP="00DF0B96">
      <w:pPr>
        <w:pStyle w:val="Notes"/>
      </w:pPr>
    </w:p>
    <w:p w:rsidR="00336793" w:rsidRPr="006A75A2" w:rsidRDefault="00336793" w:rsidP="00DF0B96"/>
    <w:p w:rsidR="00336793" w:rsidRPr="006A75A2" w:rsidRDefault="00336793" w:rsidP="00DF0B96">
      <w:pPr>
        <w:spacing w:after="0"/>
        <w:rPr>
          <w:rFonts w:ascii="Calibri" w:hAnsi="Calibri"/>
          <w:b/>
        </w:rPr>
      </w:pPr>
      <w:r w:rsidRPr="006A75A2">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t>(u</w:t>
      </w:r>
      <w:r w:rsidRPr="006A75A2">
        <w:t>)</w:t>
      </w:r>
      <w:r w:rsidRPr="006A75A2">
        <w:tab/>
        <w:t>Parliamentary authority – Justice</w:t>
      </w:r>
      <w:r>
        <w:t xml:space="preserve"> and Regulation</w:t>
      </w:r>
    </w:p>
    <w:p w:rsidR="00336793" w:rsidRPr="00583DB5" w:rsidRDefault="00336793" w:rsidP="00DF0B96">
      <w:pPr>
        <w:pStyle w:val="million"/>
        <w:rPr>
          <w:rFonts w:ascii="Times New Roman" w:hAnsi="Times New Roman"/>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867"/>
        <w:gridCol w:w="1530"/>
        <w:gridCol w:w="1120"/>
        <w:gridCol w:w="1120"/>
      </w:tblGrid>
      <w:tr w:rsidR="00336793" w:rsidRPr="00583DB5" w:rsidTr="00DF0B96">
        <w:trPr>
          <w:tblHeader/>
        </w:trPr>
        <w:tc>
          <w:tcPr>
            <w:tcW w:w="5867" w:type="dxa"/>
            <w:tcBorders>
              <w:top w:val="single" w:sz="6" w:space="0" w:color="auto"/>
              <w:left w:val="single" w:sz="6" w:space="0" w:color="auto"/>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 xml:space="preserve">Parliamentary </w:t>
            </w:r>
          </w:p>
        </w:tc>
        <w:tc>
          <w:tcPr>
            <w:tcW w:w="112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c>
          <w:tcPr>
            <w:tcW w:w="1120" w:type="dxa"/>
            <w:tcBorders>
              <w:top w:val="single" w:sz="6" w:space="0" w:color="auto"/>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r>
      <w:tr w:rsidR="00336793" w:rsidRPr="00583DB5" w:rsidTr="00DF0B96">
        <w:trPr>
          <w:tblHeader/>
        </w:trPr>
        <w:tc>
          <w:tcPr>
            <w:tcW w:w="5867" w:type="dxa"/>
            <w:tcBorders>
              <w:top w:val="nil"/>
              <w:left w:val="single" w:sz="6" w:space="0" w:color="auto"/>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c>
          <w:tcPr>
            <w:tcW w:w="1120" w:type="dxa"/>
            <w:tcBorders>
              <w:top w:val="nil"/>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r>
      <w:tr w:rsidR="00336793" w:rsidRPr="00583DB5" w:rsidTr="00DF0B96">
        <w:trPr>
          <w:tblHeader/>
        </w:trPr>
        <w:tc>
          <w:tcPr>
            <w:tcW w:w="5867" w:type="dxa"/>
            <w:tcBorders>
              <w:top w:val="nil"/>
              <w:left w:val="single" w:sz="6" w:space="0" w:color="auto"/>
              <w:bottom w:val="single" w:sz="6" w:space="0" w:color="auto"/>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2014</w:t>
            </w:r>
          </w:p>
        </w:tc>
      </w:tr>
      <w:tr w:rsidR="00336793" w:rsidRPr="00583DB5" w:rsidTr="00DF0B96">
        <w:tc>
          <w:tcPr>
            <w:tcW w:w="5867" w:type="dxa"/>
            <w:tcBorders>
              <w:top w:val="single" w:sz="6" w:space="0" w:color="auto"/>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Special appropriations</w:t>
            </w:r>
          </w:p>
        </w:tc>
        <w:tc>
          <w:tcPr>
            <w:tcW w:w="1530" w:type="dxa"/>
            <w:tcBorders>
              <w:top w:val="single" w:sz="6" w:space="0" w:color="auto"/>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Electoral Act, No. 23 of 2002</w:t>
            </w:r>
            <w:r w:rsidRPr="00583DB5">
              <w:rPr>
                <w:rFonts w:eastAsiaTheme="minorEastAsia"/>
                <w:lang w:eastAsia="en-AU"/>
              </w:rPr>
              <w:t>, Section 181 – Electoral Expenses</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46 395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46 395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25 392</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Electoral Act, No. 23 of 2002</w:t>
            </w:r>
            <w:r w:rsidRPr="00583DB5">
              <w:rPr>
                <w:rFonts w:eastAsiaTheme="minorEastAsia"/>
                <w:lang w:eastAsia="en-AU"/>
              </w:rPr>
              <w:t>, Section 215 – Entitlement</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8 913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8 913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16</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 xml:space="preserve">Financial Management Act, </w:t>
            </w:r>
            <w:r w:rsidRPr="00062260">
              <w:rPr>
                <w:rFonts w:eastAsiaTheme="minorEastAsia"/>
                <w:i/>
                <w:lang w:eastAsia="en-AU"/>
              </w:rPr>
              <w:t>No. 18 of 1994</w:t>
            </w:r>
            <w:r w:rsidRPr="00583DB5">
              <w:rPr>
                <w:rFonts w:eastAsiaTheme="minorEastAsia"/>
                <w:i/>
                <w:lang w:eastAsia="en-AU"/>
              </w:rPr>
              <w:t>,</w:t>
            </w:r>
            <w:r w:rsidRPr="00583DB5">
              <w:rPr>
                <w:rFonts w:eastAsiaTheme="minorEastAsia"/>
                <w:lang w:eastAsia="en-AU"/>
              </w:rPr>
              <w:t xml:space="preserve"> Section 10</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2 137</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2 137</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1 963</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Eastlink Project Act No. 39 of 2004,</w:t>
            </w:r>
            <w:r w:rsidRPr="00583DB5">
              <w:rPr>
                <w:rFonts w:eastAsiaTheme="minorEastAsia"/>
                <w:lang w:eastAsia="en-AU"/>
              </w:rPr>
              <w:t xml:space="preserve"> Section 26</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1 500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1 500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1 357</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Melbourne City Link Act, No. 107 of 1995,</w:t>
            </w:r>
            <w:r w:rsidRPr="00583DB5">
              <w:rPr>
                <w:rFonts w:eastAsiaTheme="minorEastAsia"/>
                <w:lang w:eastAsia="en-AU"/>
              </w:rPr>
              <w:t xml:space="preserve"> Section 14 (4)</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2 609</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2 609</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2 584</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Emergency Management Act No. 30/1986,</w:t>
            </w:r>
            <w:r w:rsidRPr="00583DB5">
              <w:rPr>
                <w:rFonts w:eastAsiaTheme="minorEastAsia"/>
                <w:lang w:eastAsia="en-AU"/>
              </w:rPr>
              <w:t xml:space="preserve"> Section 32 – Volunteer Workers Compensation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183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183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322</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i/>
                <w:lang w:eastAsia="en-AU"/>
              </w:rPr>
              <w:t>Victorian State Emergency Services Volunteer Workers Compensation – Act No. 51 of 2005</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351</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351</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150</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 xml:space="preserve">Work Cover Authority Fund, </w:t>
            </w:r>
            <w:r w:rsidRPr="00583DB5">
              <w:rPr>
                <w:rFonts w:eastAsiaTheme="minorEastAsia"/>
                <w:i/>
                <w:lang w:eastAsia="en-AU"/>
              </w:rPr>
              <w:t>Corrections Act 1986,</w:t>
            </w:r>
            <w:r w:rsidRPr="00583DB5">
              <w:rPr>
                <w:rFonts w:eastAsiaTheme="minorEastAsia"/>
                <w:lang w:eastAsia="en-AU"/>
              </w:rPr>
              <w:t xml:space="preserve"> Part 9D, S.104ZW</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105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105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58</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Constitution Act, No. 8750 of 1975</w:t>
            </w:r>
            <w:r w:rsidRPr="00583DB5">
              <w:rPr>
                <w:rFonts w:eastAsiaTheme="minorEastAsia"/>
                <w:lang w:eastAsia="en-AU"/>
              </w:rPr>
              <w:t xml:space="preserve"> – Chief Justice</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633</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Constitution Act, No. 8750 of 1975</w:t>
            </w:r>
            <w:r w:rsidRPr="00583DB5">
              <w:rPr>
                <w:rFonts w:eastAsiaTheme="minorEastAsia"/>
                <w:lang w:eastAsia="en-AU"/>
              </w:rPr>
              <w:t xml:space="preserve"> – Judges of the Court of Appeal</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6 564</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Constitution Act, No. 8750 of 1975</w:t>
            </w:r>
            <w:r w:rsidRPr="00583DB5">
              <w:rPr>
                <w:rFonts w:eastAsiaTheme="minorEastAsia"/>
                <w:lang w:eastAsia="en-AU"/>
              </w:rPr>
              <w:t xml:space="preserve"> – President, Court of Appeal</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46</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Constitution Act, No. 8750 of 1975</w:t>
            </w:r>
            <w:r w:rsidRPr="00583DB5">
              <w:rPr>
                <w:rFonts w:eastAsiaTheme="minorEastAsia"/>
                <w:lang w:eastAsia="en-AU"/>
              </w:rPr>
              <w:t xml:space="preserve"> – Judges Supreme Court</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18 539</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County Court Act, No. 6230 of 1958</w:t>
            </w:r>
            <w:r w:rsidRPr="00583DB5">
              <w:rPr>
                <w:rFonts w:eastAsiaTheme="minorEastAsia"/>
                <w:lang w:eastAsia="en-AU"/>
              </w:rPr>
              <w:t xml:space="preserve"> – Judges</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27 808</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i/>
                <w:lang w:eastAsia="en-AU"/>
              </w:rPr>
              <w:t>Crown Proceedings Act, No. 6232 of 1958</w:t>
            </w:r>
          </w:p>
        </w:tc>
        <w:tc>
          <w:tcPr>
            <w:tcW w:w="1530" w:type="dxa"/>
            <w:tcBorders>
              <w:top w:val="nil"/>
              <w:left w:val="nil"/>
              <w:bottom w:val="nil"/>
              <w:right w:val="nil"/>
            </w:tcBorders>
          </w:tcPr>
          <w:p w:rsidR="00336793" w:rsidRPr="00583DB5" w:rsidRDefault="00336793" w:rsidP="00DF0B96">
            <w:pPr>
              <w:pStyle w:val="TableofFigures"/>
              <w:rPr>
                <w:rFonts w:eastAsiaTheme="minorEastAsia"/>
                <w:i/>
                <w:lang w:eastAsia="en-AU"/>
              </w:rPr>
            </w:pPr>
            <w:r w:rsidRPr="00583DB5">
              <w:rPr>
                <w:rFonts w:eastAsiaTheme="minorEastAsia"/>
                <w:i/>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i/>
                <w:lang w:eastAsia="en-AU"/>
              </w:rPr>
            </w:pPr>
            <w:r w:rsidRPr="00583DB5">
              <w:rPr>
                <w:rFonts w:eastAsiaTheme="minorEastAsia"/>
                <w:i/>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546 113</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Victorian Civil and Administrative Tribunal Act No. 53 of 1998</w:t>
            </w:r>
            <w:r w:rsidRPr="00583DB5">
              <w:rPr>
                <w:rFonts w:eastAsiaTheme="minorEastAsia"/>
                <w:lang w:eastAsia="en-AU"/>
              </w:rPr>
              <w:t xml:space="preserve"> section 17AA</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6 725</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i/>
                <w:lang w:eastAsia="en-AU"/>
              </w:rPr>
              <w:t>Juries Act No.53 of 2000,</w:t>
            </w:r>
            <w:r w:rsidRPr="00583DB5">
              <w:rPr>
                <w:rFonts w:eastAsiaTheme="minorEastAsia"/>
                <w:lang w:eastAsia="en-AU"/>
              </w:rPr>
              <w:t xml:space="preserve"> Section 59 – Compensation to Jurors</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20</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i/>
                <w:lang w:eastAsia="en-AU"/>
              </w:rPr>
              <w:t>Magistrates Court Act, No. 51 of 1989</w:t>
            </w:r>
          </w:p>
        </w:tc>
        <w:tc>
          <w:tcPr>
            <w:tcW w:w="1530" w:type="dxa"/>
            <w:tcBorders>
              <w:top w:val="nil"/>
              <w:left w:val="nil"/>
              <w:bottom w:val="nil"/>
              <w:right w:val="nil"/>
            </w:tcBorders>
          </w:tcPr>
          <w:p w:rsidR="00336793" w:rsidRPr="00583DB5" w:rsidRDefault="00336793" w:rsidP="00DF0B96">
            <w:pPr>
              <w:pStyle w:val="TableofFigures"/>
              <w:rPr>
                <w:rFonts w:eastAsiaTheme="minorEastAsia"/>
                <w:i/>
                <w:lang w:eastAsia="en-AU"/>
              </w:rPr>
            </w:pPr>
            <w:r w:rsidRPr="00583DB5">
              <w:rPr>
                <w:rFonts w:eastAsiaTheme="minorEastAsia"/>
                <w:i/>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i/>
                <w:lang w:eastAsia="en-AU"/>
              </w:rPr>
            </w:pPr>
            <w:r w:rsidRPr="00583DB5">
              <w:rPr>
                <w:rFonts w:eastAsiaTheme="minorEastAsia"/>
                <w:i/>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46 861</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Victims of Crim</w:t>
            </w:r>
            <w:r>
              <w:rPr>
                <w:rFonts w:eastAsiaTheme="minorEastAsia"/>
                <w:i/>
                <w:lang w:eastAsia="en-AU"/>
              </w:rPr>
              <w:t xml:space="preserve">e Assistance Act No. 81 of 1996 – </w:t>
            </w:r>
            <w:r w:rsidRPr="00700012">
              <w:rPr>
                <w:rFonts w:eastAsiaTheme="minorEastAsia"/>
                <w:lang w:eastAsia="en-AU"/>
              </w:rPr>
              <w:t>Criminal Injuries Compensation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39 122</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Victims of Crime Assistance Act No. 81 of 1996</w:t>
            </w:r>
            <w:r>
              <w:rPr>
                <w:rFonts w:eastAsiaTheme="minorEastAsia"/>
                <w:i/>
                <w:lang w:eastAsia="en-AU"/>
              </w:rPr>
              <w:t xml:space="preserve"> – </w:t>
            </w:r>
            <w:r w:rsidRPr="00700012">
              <w:rPr>
                <w:rFonts w:eastAsiaTheme="minorEastAsia"/>
                <w:lang w:eastAsia="en-AU"/>
              </w:rPr>
              <w:t>Tribunal</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2 880</w:t>
            </w:r>
          </w:p>
        </w:tc>
      </w:tr>
      <w:tr w:rsidR="00336793" w:rsidRPr="00583DB5" w:rsidTr="00DF0B96">
        <w:tc>
          <w:tcPr>
            <w:tcW w:w="5867" w:type="dxa"/>
            <w:tcBorders>
              <w:top w:val="single" w:sz="6" w:space="0" w:color="auto"/>
              <w:left w:val="nil"/>
              <w:bottom w:val="single" w:sz="6" w:space="0" w:color="auto"/>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Total special appropriations (excluding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lang w:eastAsia="en-AU"/>
              </w:rPr>
              <w:t xml:space="preserve"> Section 33)</w:t>
            </w:r>
          </w:p>
        </w:tc>
        <w:tc>
          <w:tcPr>
            <w:tcW w:w="153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62 194</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62 194</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727 153</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Annual appropriations</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Provision of outputs</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Provision of outputs – net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4 987 714</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4 785 262</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4 736 931</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29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199 472</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199 472</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255 947</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32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129 861</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129 861</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90 045</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lang w:eastAsia="en-AU"/>
              </w:rPr>
              <w:t xml:space="preserve">Section 35 </w:t>
            </w:r>
            <w:r w:rsidRPr="00583DB5">
              <w:rPr>
                <w:rFonts w:eastAsiaTheme="minorEastAsia"/>
                <w:i/>
                <w:lang w:eastAsia="en-AU"/>
              </w:rPr>
              <w:t xml:space="preserve">Financial Management Act, </w:t>
            </w:r>
            <w:r w:rsidRPr="00062260">
              <w:rPr>
                <w:rFonts w:eastAsiaTheme="minorEastAsia"/>
                <w:i/>
                <w:lang w:eastAsia="en-AU"/>
              </w:rPr>
              <w:t>No. 18 of 1994</w:t>
            </w:r>
            <w:r w:rsidRPr="00583DB5">
              <w:rPr>
                <w:rFonts w:eastAsiaTheme="minorEastAsia"/>
                <w:i/>
                <w:lang w:eastAsia="en-AU"/>
              </w:rPr>
              <w:t xml:space="preserve"> </w:t>
            </w:r>
            <w:r w:rsidRPr="00583DB5">
              <w:rPr>
                <w:rFonts w:eastAsiaTheme="minorEastAsia"/>
                <w:lang w:eastAsia="en-AU"/>
              </w:rPr>
              <w:t>(temporary advances)</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 xml:space="preserve">Advance to Treasurer </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14 652</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14 652</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10 011</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provision of outputs – gross application</w:t>
            </w:r>
          </w:p>
        </w:tc>
        <w:tc>
          <w:tcPr>
            <w:tcW w:w="153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5 331 700</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5 129 248</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5 092 934</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Additions to the net asset base</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Additions to the net asset base – net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Pr>
                <w:rFonts w:eastAsiaTheme="minorEastAsia"/>
                <w:lang w:eastAsia="en-AU"/>
              </w:rPr>
              <w:t xml:space="preserve"> 708 428</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455 435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135 076</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29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935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935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10 152</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32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105 649</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94 334</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117 263</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 xml:space="preserve">Advance to Treasurer </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3 915</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3 908</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335</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additions to the net asset base – gross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Pr>
                <w:rFonts w:eastAsiaTheme="minorEastAsia"/>
                <w:b/>
                <w:bCs/>
                <w:lang w:eastAsia="en-AU"/>
              </w:rPr>
              <w:t xml:space="preserve"> 818 927</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554 612</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262 826</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w:t>
            </w:r>
          </w:p>
        </w:tc>
      </w:tr>
    </w:tbl>
    <w:p w:rsidR="00336793" w:rsidRDefault="00336793">
      <w:pPr>
        <w:spacing w:after="0"/>
        <w:rPr>
          <w:rFonts w:ascii="Calibri" w:hAnsi="Calibri"/>
          <w:b/>
          <w:sz w:val="25"/>
        </w:rPr>
      </w:pPr>
      <w:r>
        <w:br w:type="page"/>
      </w:r>
    </w:p>
    <w:p w:rsidR="00336793" w:rsidRPr="006A75A2" w:rsidRDefault="00336793" w:rsidP="00146F9C">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Default="00336793" w:rsidP="00146F9C">
      <w:pPr>
        <w:pStyle w:val="Tableheadingcontinued"/>
      </w:pPr>
      <w:r>
        <w:t>(u)</w:t>
      </w:r>
      <w:r>
        <w:tab/>
        <w:t xml:space="preserve">Parliamentary authority – Justice and Regulation </w:t>
      </w:r>
      <w:r w:rsidRPr="00146F9C">
        <w:rPr>
          <w:i/>
        </w:rPr>
        <w:t>(continued)</w:t>
      </w:r>
    </w:p>
    <w:p w:rsidR="00336793" w:rsidRDefault="00336793" w:rsidP="00146F9C">
      <w:pPr>
        <w:pStyle w:val="million"/>
      </w:pP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867"/>
        <w:gridCol w:w="1530"/>
        <w:gridCol w:w="1120"/>
        <w:gridCol w:w="1120"/>
      </w:tblGrid>
      <w:tr w:rsidR="00336793" w:rsidRPr="00583DB5" w:rsidTr="00DF0B96">
        <w:trPr>
          <w:tblHeader/>
        </w:trPr>
        <w:tc>
          <w:tcPr>
            <w:tcW w:w="5867" w:type="dxa"/>
            <w:tcBorders>
              <w:top w:val="single" w:sz="6" w:space="0" w:color="auto"/>
              <w:left w:val="single" w:sz="6" w:space="0" w:color="auto"/>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 xml:space="preserve">Parliamentary </w:t>
            </w:r>
          </w:p>
        </w:tc>
        <w:tc>
          <w:tcPr>
            <w:tcW w:w="112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c>
          <w:tcPr>
            <w:tcW w:w="1120" w:type="dxa"/>
            <w:tcBorders>
              <w:top w:val="single" w:sz="6" w:space="0" w:color="auto"/>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r>
      <w:tr w:rsidR="00336793" w:rsidRPr="00583DB5" w:rsidTr="00DF0B96">
        <w:trPr>
          <w:tblHeader/>
        </w:trPr>
        <w:tc>
          <w:tcPr>
            <w:tcW w:w="5867" w:type="dxa"/>
            <w:tcBorders>
              <w:top w:val="nil"/>
              <w:left w:val="single" w:sz="6" w:space="0" w:color="auto"/>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c>
          <w:tcPr>
            <w:tcW w:w="1120" w:type="dxa"/>
            <w:tcBorders>
              <w:top w:val="nil"/>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r>
      <w:tr w:rsidR="00336793" w:rsidRPr="00583DB5" w:rsidTr="00DF0B96">
        <w:trPr>
          <w:tblHeader/>
        </w:trPr>
        <w:tc>
          <w:tcPr>
            <w:tcW w:w="5867" w:type="dxa"/>
            <w:tcBorders>
              <w:top w:val="nil"/>
              <w:left w:val="single" w:sz="6" w:space="0" w:color="auto"/>
              <w:bottom w:val="single" w:sz="6" w:space="0" w:color="auto"/>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2014</w:t>
            </w:r>
          </w:p>
        </w:tc>
      </w:tr>
      <w:tr w:rsidR="00336793" w:rsidRPr="00583DB5" w:rsidTr="00DF0B96">
        <w:tc>
          <w:tcPr>
            <w:tcW w:w="5867" w:type="dxa"/>
            <w:tcBorders>
              <w:top w:val="nil"/>
              <w:left w:val="nil"/>
              <w:bottom w:val="nil"/>
              <w:right w:val="nil"/>
            </w:tcBorders>
          </w:tcPr>
          <w:p w:rsidR="00336793" w:rsidRPr="00583DB5" w:rsidRDefault="00336793" w:rsidP="00146F9C">
            <w:pPr>
              <w:pStyle w:val="Tabletext"/>
              <w:ind w:left="187" w:hanging="187"/>
              <w:rPr>
                <w:rFonts w:eastAsiaTheme="minorEastAsia"/>
                <w:b/>
                <w:bCs/>
                <w:lang w:eastAsia="en-AU"/>
              </w:rPr>
            </w:pPr>
            <w:r w:rsidRPr="00583DB5">
              <w:rPr>
                <w:rFonts w:eastAsiaTheme="minorEastAsia"/>
                <w:b/>
                <w:bCs/>
                <w:lang w:eastAsia="en-AU"/>
              </w:rPr>
              <w:t>Payments made on behalf of the State</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Payments made on behalf of the State – net application</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54 461</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28 871</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28 644</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for payments made on behalf of the State – gross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54 461</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28 871</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28 644</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Other</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Victorian Law Reform Commission – pursuant to Section 17 (b) of the</w:t>
            </w:r>
            <w:r w:rsidRPr="00583DB5">
              <w:rPr>
                <w:rFonts w:eastAsiaTheme="minorEastAsia"/>
                <w:i/>
                <w:lang w:eastAsia="en-AU"/>
              </w:rPr>
              <w:t xml:space="preserve"> Victorian Law Reform Commission Act 2000</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720</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720</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741</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other</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720</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720</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741</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annual appropriations gross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Pr>
                <w:rFonts w:eastAsiaTheme="minorEastAsia"/>
                <w:b/>
                <w:bCs/>
                <w:lang w:eastAsia="en-AU"/>
              </w:rPr>
              <w:t>6 205 808</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5 713 451</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5 385 145</w:t>
            </w:r>
          </w:p>
        </w:tc>
      </w:tr>
      <w:tr w:rsidR="00336793" w:rsidRPr="00583DB5" w:rsidTr="00DF0B96">
        <w:trPr>
          <w:trHeight w:hRule="exact" w:val="120"/>
        </w:trPr>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Total Parliamentary authority (excluding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lang w:eastAsia="en-AU"/>
              </w:rPr>
              <w:t xml:space="preserve"> Section 33)</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Pr>
                <w:rFonts w:eastAsiaTheme="minorEastAsia"/>
                <w:b/>
                <w:bCs/>
                <w:lang w:eastAsia="en-AU"/>
              </w:rPr>
              <w:t>6 268 002</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5 775 645</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6 112 298</w:t>
            </w:r>
          </w:p>
        </w:tc>
      </w:tr>
      <w:tr w:rsidR="00336793" w:rsidRPr="00583DB5" w:rsidTr="00DF0B96">
        <w:trPr>
          <w:trHeight w:hRule="exact" w:val="120"/>
        </w:trPr>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Amounts issued under the authority of the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i/>
                <w:lang w:eastAsia="en-AU"/>
              </w:rPr>
              <w:t>,</w:t>
            </w:r>
            <w:r w:rsidRPr="00583DB5">
              <w:rPr>
                <w:rFonts w:eastAsiaTheme="minorEastAsia"/>
                <w:b/>
                <w:bCs/>
                <w:lang w:eastAsia="en-AU"/>
              </w:rPr>
              <w:t xml:space="preserve"> Section 33 (Special Appropriation) relating to prior year appropriations</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36 287</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36 287</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49 137</w:t>
            </w:r>
          </w:p>
        </w:tc>
      </w:tr>
      <w:tr w:rsidR="00336793" w:rsidRPr="00583DB5" w:rsidTr="00DF0B96">
        <w:trPr>
          <w:trHeight w:hRule="exact" w:val="120"/>
        </w:trPr>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Parliamentary authority</w:t>
            </w:r>
          </w:p>
        </w:tc>
        <w:tc>
          <w:tcPr>
            <w:tcW w:w="153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Pr>
                <w:rFonts w:eastAsiaTheme="minorEastAsia"/>
                <w:b/>
                <w:bCs/>
                <w:lang w:eastAsia="en-AU"/>
              </w:rPr>
              <w:t>6 304 289</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5 811 933</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6 161 435</w:t>
            </w:r>
          </w:p>
        </w:tc>
      </w:tr>
    </w:tbl>
    <w:p w:rsidR="00336793" w:rsidRDefault="00336793" w:rsidP="00DF0B96">
      <w:pPr>
        <w:pStyle w:val="Notes"/>
      </w:pPr>
    </w:p>
    <w:p w:rsidR="00336793" w:rsidRDefault="00336793" w:rsidP="00DF0B96">
      <w:r>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(v)</w:t>
      </w:r>
      <w:r w:rsidRPr="006A75A2">
        <w:tab/>
        <w:t>Parliamentary authority – Premier and Cabinet</w:t>
      </w:r>
    </w:p>
    <w:p w:rsidR="00336793" w:rsidRPr="00583DB5" w:rsidRDefault="00336793" w:rsidP="00DF0B96">
      <w:pPr>
        <w:pStyle w:val="million"/>
        <w:rPr>
          <w:rFonts w:ascii="Times New Roman" w:hAnsi="Times New Roman"/>
          <w:i w:val="0"/>
          <w:szCs w:val="20"/>
          <w:lang w:eastAsia="en-AU"/>
        </w:rPr>
      </w:pPr>
      <w:r w:rsidRPr="006A75A2">
        <w:t>($</w:t>
      </w:r>
      <w:r>
        <w:t> thousand</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957"/>
        <w:gridCol w:w="1440"/>
        <w:gridCol w:w="1120"/>
        <w:gridCol w:w="1120"/>
      </w:tblGrid>
      <w:tr w:rsidR="00336793" w:rsidRPr="00583DB5" w:rsidTr="00DF0B96">
        <w:trPr>
          <w:tblHeader/>
        </w:trPr>
        <w:tc>
          <w:tcPr>
            <w:tcW w:w="5957" w:type="dxa"/>
            <w:tcBorders>
              <w:top w:val="single" w:sz="6" w:space="0" w:color="000000"/>
              <w:left w:val="single" w:sz="6" w:space="0" w:color="000000"/>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440" w:type="dxa"/>
            <w:tcBorders>
              <w:top w:val="single" w:sz="6" w:space="0" w:color="000000"/>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 xml:space="preserve">Parliamentary </w:t>
            </w:r>
          </w:p>
        </w:tc>
        <w:tc>
          <w:tcPr>
            <w:tcW w:w="1120" w:type="dxa"/>
            <w:tcBorders>
              <w:top w:val="single" w:sz="6" w:space="0" w:color="000000"/>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c>
          <w:tcPr>
            <w:tcW w:w="1120" w:type="dxa"/>
            <w:tcBorders>
              <w:top w:val="single" w:sz="6" w:space="0" w:color="000000"/>
              <w:left w:val="nil"/>
              <w:bottom w:val="nil"/>
              <w:right w:val="single" w:sz="6" w:space="0" w:color="000000"/>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r>
      <w:tr w:rsidR="00336793" w:rsidRPr="00583DB5" w:rsidTr="00DF0B96">
        <w:trPr>
          <w:tblHeader/>
        </w:trPr>
        <w:tc>
          <w:tcPr>
            <w:tcW w:w="5957" w:type="dxa"/>
            <w:tcBorders>
              <w:top w:val="nil"/>
              <w:left w:val="single" w:sz="6" w:space="0" w:color="000000"/>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44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c>
          <w:tcPr>
            <w:tcW w:w="1120" w:type="dxa"/>
            <w:tcBorders>
              <w:top w:val="nil"/>
              <w:left w:val="nil"/>
              <w:bottom w:val="nil"/>
              <w:right w:val="single" w:sz="6" w:space="0" w:color="000000"/>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r>
      <w:tr w:rsidR="00336793" w:rsidRPr="00583DB5" w:rsidTr="00DF0B96">
        <w:trPr>
          <w:tblHeader/>
        </w:trPr>
        <w:tc>
          <w:tcPr>
            <w:tcW w:w="5957" w:type="dxa"/>
            <w:tcBorders>
              <w:top w:val="nil"/>
              <w:left w:val="single" w:sz="6" w:space="0" w:color="000000"/>
              <w:bottom w:val="single" w:sz="6" w:space="0" w:color="000000"/>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440" w:type="dxa"/>
            <w:tcBorders>
              <w:top w:val="nil"/>
              <w:left w:val="nil"/>
              <w:bottom w:val="single" w:sz="6" w:space="0" w:color="000000"/>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000000"/>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000000"/>
              <w:right w:val="single" w:sz="6" w:space="0" w:color="000000"/>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2014</w:t>
            </w:r>
          </w:p>
        </w:tc>
      </w:tr>
      <w:tr w:rsidR="00336793" w:rsidRPr="00583DB5" w:rsidTr="00DF0B96">
        <w:tc>
          <w:tcPr>
            <w:tcW w:w="5957" w:type="dxa"/>
            <w:tcBorders>
              <w:top w:val="single" w:sz="6" w:space="0" w:color="000000"/>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Special appropriations</w:t>
            </w:r>
          </w:p>
        </w:tc>
        <w:tc>
          <w:tcPr>
            <w:tcW w:w="1440" w:type="dxa"/>
            <w:tcBorders>
              <w:top w:val="single" w:sz="6" w:space="0" w:color="000000"/>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single" w:sz="6" w:space="0" w:color="000000"/>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single" w:sz="6" w:space="0" w:color="000000"/>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i/>
                <w:lang w:eastAsia="en-AU"/>
              </w:rPr>
              <w:t>Constitution Act</w:t>
            </w:r>
            <w:r>
              <w:rPr>
                <w:rFonts w:eastAsiaTheme="minorEastAsia"/>
                <w:i/>
                <w:lang w:eastAsia="en-AU"/>
              </w:rPr>
              <w:t>,</w:t>
            </w:r>
            <w:r w:rsidRPr="00583DB5">
              <w:rPr>
                <w:rFonts w:eastAsiaTheme="minorEastAsia"/>
                <w:i/>
                <w:lang w:eastAsia="en-AU"/>
              </w:rPr>
              <w:t xml:space="preserve"> No. 8750</w:t>
            </w:r>
            <w:r>
              <w:rPr>
                <w:rFonts w:eastAsiaTheme="minorEastAsia"/>
                <w:i/>
                <w:lang w:eastAsia="en-AU"/>
              </w:rPr>
              <w:t xml:space="preserve"> of 1975</w:t>
            </w:r>
            <w:r w:rsidRPr="00583DB5">
              <w:rPr>
                <w:rFonts w:eastAsiaTheme="minorEastAsia"/>
                <w:i/>
                <w:lang w:eastAsia="en-AU"/>
              </w:rPr>
              <w:t xml:space="preserve"> – </w:t>
            </w:r>
            <w:r w:rsidRPr="00583DB5">
              <w:rPr>
                <w:rFonts w:eastAsiaTheme="minorEastAsia"/>
                <w:lang w:eastAsia="en-AU"/>
              </w:rPr>
              <w:t>Executive Council</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50</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i/>
                <w:lang w:eastAsia="en-AU"/>
              </w:rPr>
              <w:t>Constitution Act</w:t>
            </w:r>
            <w:r>
              <w:rPr>
                <w:rFonts w:eastAsiaTheme="minorEastAsia"/>
                <w:i/>
                <w:lang w:eastAsia="en-AU"/>
              </w:rPr>
              <w:t>,</w:t>
            </w:r>
            <w:r w:rsidRPr="00583DB5">
              <w:rPr>
                <w:rFonts w:eastAsiaTheme="minorEastAsia"/>
                <w:i/>
                <w:lang w:eastAsia="en-AU"/>
              </w:rPr>
              <w:t xml:space="preserve"> No. 8750</w:t>
            </w:r>
            <w:r>
              <w:rPr>
                <w:rFonts w:eastAsiaTheme="minorEastAsia"/>
                <w:i/>
                <w:lang w:eastAsia="en-AU"/>
              </w:rPr>
              <w:t xml:space="preserve"> of 1975</w:t>
            </w:r>
            <w:r w:rsidRPr="00583DB5">
              <w:rPr>
                <w:rFonts w:eastAsiaTheme="minorEastAsia"/>
                <w:i/>
                <w:lang w:eastAsia="en-AU"/>
              </w:rPr>
              <w:t xml:space="preserve"> – </w:t>
            </w:r>
            <w:r w:rsidRPr="00583DB5">
              <w:rPr>
                <w:rFonts w:eastAsiaTheme="minorEastAsia"/>
                <w:lang w:eastAsia="en-AU"/>
              </w:rPr>
              <w:t>Governor</w:t>
            </w:r>
            <w:r>
              <w:rPr>
                <w:rFonts w:eastAsiaTheme="minorEastAsia"/>
                <w:lang w:eastAsia="en-AU"/>
              </w:rPr>
              <w:t>’</w:t>
            </w:r>
            <w:r w:rsidRPr="00583DB5">
              <w:rPr>
                <w:rFonts w:eastAsiaTheme="minorEastAsia"/>
                <w:lang w:eastAsia="en-AU"/>
              </w:rPr>
              <w:t>s Salary</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431</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431</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427</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Electoral Act No. 23 of 2002</w:t>
            </w:r>
            <w:r w:rsidRPr="00583DB5">
              <w:rPr>
                <w:rFonts w:eastAsiaTheme="minorEastAsia"/>
                <w:lang w:eastAsia="en-AU"/>
              </w:rPr>
              <w:t xml:space="preserve">, Section 181 – Electoral </w:t>
            </w:r>
            <w:r w:rsidRPr="00583DB5">
              <w:rPr>
                <w:rFonts w:eastAsiaTheme="minorEastAsia" w:cs="Calibri"/>
                <w:color w:val="000000"/>
                <w:szCs w:val="22"/>
                <w:lang w:eastAsia="en-AU"/>
              </w:rPr>
              <w:t>Expenses</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16 830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16 830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Electoral Act, No. 23 of 2002</w:t>
            </w:r>
            <w:r w:rsidRPr="00583DB5">
              <w:rPr>
                <w:rFonts w:eastAsiaTheme="minorEastAsia"/>
                <w:lang w:eastAsia="en-AU"/>
              </w:rPr>
              <w:t>, Section 215 – Entitlement</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915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915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Inquiries Act No. 67 of 2014</w:t>
            </w:r>
            <w:r w:rsidRPr="00583DB5">
              <w:rPr>
                <w:rFonts w:eastAsiaTheme="minorEastAsia"/>
                <w:lang w:eastAsia="en-AU"/>
              </w:rPr>
              <w:t xml:space="preserve">, Section 11 – Expenses and financial obligations of Royal </w:t>
            </w:r>
            <w:r w:rsidRPr="00583DB5">
              <w:rPr>
                <w:rFonts w:eastAsiaTheme="minorEastAsia" w:cs="Calibri"/>
                <w:color w:val="000000"/>
                <w:szCs w:val="22"/>
                <w:lang w:eastAsia="en-AU"/>
              </w:rPr>
              <w:t>Commission</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2 696</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2 696</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i/>
                <w:lang w:eastAsia="en-AU"/>
              </w:rPr>
            </w:pPr>
            <w:r w:rsidRPr="00583DB5">
              <w:rPr>
                <w:rFonts w:eastAsiaTheme="minorEastAsia"/>
                <w:i/>
                <w:lang w:eastAsia="en-AU"/>
              </w:rPr>
              <w:t>Ombudsman Act No. 8414</w:t>
            </w:r>
            <w:r>
              <w:rPr>
                <w:rFonts w:eastAsiaTheme="minorEastAsia"/>
                <w:i/>
                <w:lang w:eastAsia="en-AU"/>
              </w:rPr>
              <w:t xml:space="preserve"> of 1973</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510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510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511</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i/>
                <w:lang w:eastAsia="en-AU"/>
              </w:rPr>
              <w:t xml:space="preserve">Parliamentary Salaries and Superannuation Act No. 7723 </w:t>
            </w:r>
            <w:r w:rsidRPr="00583DB5">
              <w:rPr>
                <w:rFonts w:eastAsiaTheme="minorEastAsia" w:cs="Calibri"/>
                <w:i/>
                <w:iCs/>
                <w:color w:val="000000"/>
                <w:szCs w:val="22"/>
                <w:lang w:eastAsia="en-AU"/>
              </w:rPr>
              <w:t>of 1968</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7 854</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7 854</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7 663</w:t>
            </w:r>
          </w:p>
        </w:tc>
      </w:tr>
      <w:tr w:rsidR="00336793" w:rsidRPr="00583DB5" w:rsidTr="00DF0B96">
        <w:tc>
          <w:tcPr>
            <w:tcW w:w="5957" w:type="dxa"/>
            <w:tcBorders>
              <w:top w:val="single" w:sz="6" w:space="0" w:color="auto"/>
              <w:left w:val="nil"/>
              <w:bottom w:val="single" w:sz="6" w:space="0" w:color="auto"/>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Total special appropriations (excluding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lang w:eastAsia="en-AU"/>
              </w:rPr>
              <w:t xml:space="preserve"> Section 33</w:t>
            </w:r>
            <w:r w:rsidRPr="00583DB5">
              <w:rPr>
                <w:rFonts w:eastAsiaTheme="minorEastAsia" w:cs="Calibri"/>
                <w:b/>
                <w:bCs/>
                <w:color w:val="000000"/>
                <w:szCs w:val="22"/>
                <w:lang w:eastAsia="en-AU"/>
              </w:rPr>
              <w:t>)</w:t>
            </w:r>
          </w:p>
        </w:tc>
        <w:tc>
          <w:tcPr>
            <w:tcW w:w="144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29 286</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29 286</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8 650</w:t>
            </w:r>
          </w:p>
        </w:tc>
      </w:tr>
      <w:tr w:rsidR="00336793" w:rsidRPr="00583DB5" w:rsidTr="00DF0B96">
        <w:trPr>
          <w:trHeight w:hRule="exact" w:val="120"/>
        </w:trPr>
        <w:tc>
          <w:tcPr>
            <w:tcW w:w="595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44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Annual appropriations</w:t>
            </w:r>
          </w:p>
        </w:tc>
        <w:tc>
          <w:tcPr>
            <w:tcW w:w="144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Provision of outputs</w:t>
            </w:r>
          </w:p>
        </w:tc>
        <w:tc>
          <w:tcPr>
            <w:tcW w:w="144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Provision of outputs – net application</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453 749</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413 794</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549 210</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29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523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523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512</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32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13 900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13 900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16 397</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lang w:eastAsia="en-AU"/>
              </w:rPr>
              <w:t xml:space="preserve">Section 35 </w:t>
            </w:r>
            <w:r w:rsidRPr="00583DB5">
              <w:rPr>
                <w:rFonts w:eastAsiaTheme="minorEastAsia"/>
                <w:i/>
                <w:lang w:eastAsia="en-AU"/>
              </w:rPr>
              <w:t xml:space="preserve">Financial Management Act, </w:t>
            </w:r>
            <w:r w:rsidRPr="00062260">
              <w:rPr>
                <w:rFonts w:eastAsiaTheme="minorEastAsia"/>
                <w:i/>
                <w:lang w:eastAsia="en-AU"/>
              </w:rPr>
              <w:t>No. 18 of 1994</w:t>
            </w:r>
            <w:r w:rsidRPr="00583DB5">
              <w:rPr>
                <w:rFonts w:eastAsiaTheme="minorEastAsia"/>
                <w:lang w:eastAsia="en-AU"/>
              </w:rPr>
              <w:t xml:space="preserve"> (temporary advances</w:t>
            </w:r>
            <w:r w:rsidRPr="00583DB5">
              <w:rPr>
                <w:rFonts w:eastAsiaTheme="minorEastAsia" w:cs="Calibri"/>
                <w:color w:val="000000"/>
                <w:szCs w:val="22"/>
                <w:lang w:eastAsia="en-AU"/>
              </w:rPr>
              <w:t>)</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4 576</w:t>
            </w:r>
          </w:p>
        </w:tc>
      </w:tr>
      <w:tr w:rsidR="00336793" w:rsidRPr="00583DB5" w:rsidTr="00DF0B96">
        <w:tc>
          <w:tcPr>
            <w:tcW w:w="5957" w:type="dxa"/>
            <w:tcBorders>
              <w:top w:val="nil"/>
              <w:left w:val="nil"/>
              <w:bottom w:val="single" w:sz="6" w:space="0" w:color="auto"/>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 xml:space="preserve">Advance to Treasurer </w:t>
            </w:r>
          </w:p>
        </w:tc>
        <w:tc>
          <w:tcPr>
            <w:tcW w:w="144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15 333</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15 194</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5 690</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provision of outputs – gross application</w:t>
            </w:r>
          </w:p>
        </w:tc>
        <w:tc>
          <w:tcPr>
            <w:tcW w:w="144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483 505</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443 411</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576 385</w:t>
            </w:r>
          </w:p>
        </w:tc>
      </w:tr>
      <w:tr w:rsidR="00336793" w:rsidRPr="00583DB5" w:rsidTr="00DF0B96">
        <w:trPr>
          <w:trHeight w:hRule="exact" w:val="120"/>
        </w:trPr>
        <w:tc>
          <w:tcPr>
            <w:tcW w:w="595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44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Additions to the net asset base</w:t>
            </w:r>
          </w:p>
        </w:tc>
        <w:tc>
          <w:tcPr>
            <w:tcW w:w="144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Additions to the net asset base – net application</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4 216</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2 902</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12 876</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32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3 807</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3 807</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6 450</w:t>
            </w:r>
          </w:p>
        </w:tc>
      </w:tr>
      <w:tr w:rsidR="00336793" w:rsidRPr="00583DB5" w:rsidTr="00DF0B96">
        <w:tc>
          <w:tcPr>
            <w:tcW w:w="5957" w:type="dxa"/>
            <w:tcBorders>
              <w:top w:val="nil"/>
              <w:left w:val="nil"/>
              <w:bottom w:val="single" w:sz="6" w:space="0" w:color="auto"/>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 xml:space="preserve">Advance to Treasurer </w:t>
            </w:r>
          </w:p>
        </w:tc>
        <w:tc>
          <w:tcPr>
            <w:tcW w:w="144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25</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25</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22 400</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additions to the net asset base – gross application</w:t>
            </w:r>
          </w:p>
        </w:tc>
        <w:tc>
          <w:tcPr>
            <w:tcW w:w="144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8 048</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6 734</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41 726</w:t>
            </w:r>
          </w:p>
        </w:tc>
      </w:tr>
      <w:tr w:rsidR="00336793" w:rsidRPr="00583DB5" w:rsidTr="00DF0B96">
        <w:trPr>
          <w:trHeight w:hRule="exact" w:val="120"/>
        </w:trPr>
        <w:tc>
          <w:tcPr>
            <w:tcW w:w="595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44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Payments made on behalf of the State</w:t>
            </w:r>
          </w:p>
        </w:tc>
        <w:tc>
          <w:tcPr>
            <w:tcW w:w="144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Payments made on behalf of the State – net application</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3 500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1 634</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lang w:eastAsia="en-AU"/>
              </w:rPr>
              <w:t xml:space="preserve">Section 35 </w:t>
            </w:r>
            <w:r w:rsidRPr="00583DB5">
              <w:rPr>
                <w:rFonts w:eastAsiaTheme="minorEastAsia"/>
                <w:i/>
                <w:lang w:eastAsia="en-AU"/>
              </w:rPr>
              <w:t xml:space="preserve">Financial Management Act, </w:t>
            </w:r>
            <w:r w:rsidRPr="00062260">
              <w:rPr>
                <w:rFonts w:eastAsiaTheme="minorEastAsia"/>
                <w:i/>
                <w:lang w:eastAsia="en-AU"/>
              </w:rPr>
              <w:t>No. 18 of 1994</w:t>
            </w:r>
            <w:r w:rsidRPr="00583DB5">
              <w:rPr>
                <w:rFonts w:eastAsiaTheme="minorEastAsia"/>
                <w:lang w:eastAsia="en-AU"/>
              </w:rPr>
              <w:t xml:space="preserve"> (temporary advances</w:t>
            </w:r>
            <w:r w:rsidRPr="00583DB5">
              <w:rPr>
                <w:rFonts w:eastAsiaTheme="minorEastAsia" w:cs="Calibri"/>
                <w:color w:val="000000"/>
                <w:szCs w:val="22"/>
                <w:lang w:eastAsia="en-AU"/>
              </w:rPr>
              <w:t>)</w:t>
            </w:r>
          </w:p>
        </w:tc>
        <w:tc>
          <w:tcPr>
            <w:tcW w:w="144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1 457</w:t>
            </w:r>
          </w:p>
        </w:tc>
      </w:tr>
      <w:tr w:rsidR="00336793" w:rsidRPr="00583DB5" w:rsidTr="00DF0B96">
        <w:tc>
          <w:tcPr>
            <w:tcW w:w="5957" w:type="dxa"/>
            <w:tcBorders>
              <w:top w:val="single" w:sz="6" w:space="0" w:color="auto"/>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payments made on behalf of the State – gross application</w:t>
            </w:r>
          </w:p>
        </w:tc>
        <w:tc>
          <w:tcPr>
            <w:tcW w:w="1440" w:type="dxa"/>
            <w:tcBorders>
              <w:top w:val="single" w:sz="6" w:space="0" w:color="auto"/>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3 500</w:t>
            </w:r>
          </w:p>
        </w:tc>
        <w:tc>
          <w:tcPr>
            <w:tcW w:w="1120" w:type="dxa"/>
            <w:tcBorders>
              <w:top w:val="single" w:sz="6" w:space="0" w:color="auto"/>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1 634</w:t>
            </w:r>
          </w:p>
        </w:tc>
        <w:tc>
          <w:tcPr>
            <w:tcW w:w="1120" w:type="dxa"/>
            <w:tcBorders>
              <w:top w:val="single" w:sz="6" w:space="0" w:color="auto"/>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1 457</w:t>
            </w:r>
          </w:p>
        </w:tc>
      </w:tr>
      <w:tr w:rsidR="00336793" w:rsidRPr="00583DB5" w:rsidTr="00DF0B96">
        <w:trPr>
          <w:trHeight w:hRule="exact" w:val="120"/>
        </w:trPr>
        <w:tc>
          <w:tcPr>
            <w:tcW w:w="5957" w:type="dxa"/>
            <w:tcBorders>
              <w:top w:val="nil"/>
              <w:left w:val="nil"/>
              <w:bottom w:val="single" w:sz="6" w:space="0" w:color="auto"/>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44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95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annual appropriations – gross application</w:t>
            </w:r>
          </w:p>
        </w:tc>
        <w:tc>
          <w:tcPr>
            <w:tcW w:w="144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495 054</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451 779</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619 568</w:t>
            </w:r>
          </w:p>
        </w:tc>
      </w:tr>
      <w:tr w:rsidR="00336793" w:rsidRPr="00583DB5" w:rsidTr="00DF0B96">
        <w:trPr>
          <w:trHeight w:hRule="exact" w:val="120"/>
        </w:trPr>
        <w:tc>
          <w:tcPr>
            <w:tcW w:w="5957" w:type="dxa"/>
            <w:tcBorders>
              <w:top w:val="nil"/>
              <w:left w:val="nil"/>
              <w:bottom w:val="single" w:sz="6" w:space="0" w:color="auto"/>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44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957" w:type="dxa"/>
            <w:tcBorders>
              <w:top w:val="single" w:sz="6" w:space="0" w:color="auto"/>
              <w:left w:val="nil"/>
              <w:bottom w:val="single" w:sz="6" w:space="0" w:color="auto"/>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Total Parliamentary authority (excluding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lang w:eastAsia="en-AU"/>
              </w:rPr>
              <w:t xml:space="preserve"> Section 33</w:t>
            </w:r>
            <w:r w:rsidRPr="00583DB5">
              <w:rPr>
                <w:rFonts w:eastAsiaTheme="minorEastAsia" w:cs="Calibri"/>
                <w:b/>
                <w:bCs/>
                <w:color w:val="000000"/>
                <w:szCs w:val="22"/>
                <w:lang w:eastAsia="en-AU"/>
              </w:rPr>
              <w:t>)</w:t>
            </w:r>
          </w:p>
        </w:tc>
        <w:tc>
          <w:tcPr>
            <w:tcW w:w="144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524 340</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481 065</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628 218</w:t>
            </w:r>
          </w:p>
        </w:tc>
      </w:tr>
      <w:tr w:rsidR="00336793" w:rsidRPr="00583DB5" w:rsidTr="00DF0B96">
        <w:tc>
          <w:tcPr>
            <w:tcW w:w="5957" w:type="dxa"/>
            <w:tcBorders>
              <w:top w:val="nil"/>
              <w:left w:val="nil"/>
              <w:bottom w:val="single" w:sz="6" w:space="0" w:color="auto"/>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Amounts issued under the authority of the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lang w:eastAsia="en-AU"/>
              </w:rPr>
              <w:t xml:space="preserve">, Section 33 (Special Appropriation) relating to prior year </w:t>
            </w:r>
            <w:r w:rsidRPr="00583DB5">
              <w:rPr>
                <w:rFonts w:eastAsiaTheme="minorEastAsia" w:cs="Calibri"/>
                <w:b/>
                <w:bCs/>
                <w:color w:val="000000"/>
                <w:szCs w:val="22"/>
                <w:lang w:eastAsia="en-AU"/>
              </w:rPr>
              <w:t>appropriations</w:t>
            </w:r>
          </w:p>
        </w:tc>
        <w:tc>
          <w:tcPr>
            <w:tcW w:w="144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10 083</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10 083</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1 110</w:t>
            </w:r>
          </w:p>
        </w:tc>
      </w:tr>
      <w:tr w:rsidR="00336793" w:rsidRPr="00583DB5" w:rsidTr="00DF0B96">
        <w:tc>
          <w:tcPr>
            <w:tcW w:w="5957"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Parliamentary authority</w:t>
            </w:r>
          </w:p>
        </w:tc>
        <w:tc>
          <w:tcPr>
            <w:tcW w:w="144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534 423</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491 148</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629 328</w:t>
            </w:r>
          </w:p>
        </w:tc>
      </w:tr>
    </w:tbl>
    <w:p w:rsidR="00336793" w:rsidRDefault="00336793" w:rsidP="00DF0B96">
      <w:pPr>
        <w:pStyle w:val="Notes"/>
      </w:pPr>
    </w:p>
    <w:p w:rsidR="00336793" w:rsidRPr="006A75A2" w:rsidRDefault="00336793" w:rsidP="00DF0B96">
      <w:pPr>
        <w:spacing w:after="0"/>
        <w:rPr>
          <w:rFonts w:ascii="Calibri" w:hAnsi="Calibri"/>
          <w:b/>
        </w:rPr>
      </w:pPr>
      <w:r w:rsidRPr="006A75A2">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(w)</w:t>
      </w:r>
      <w:r w:rsidRPr="006A75A2">
        <w:tab/>
        <w:t xml:space="preserve">Parliamentary authority – </w:t>
      </w:r>
      <w:r w:rsidRPr="00827DA2">
        <w:t>Transport, Planning and Local Infrastructure</w:t>
      </w:r>
    </w:p>
    <w:p w:rsidR="00336793" w:rsidRDefault="00336793" w:rsidP="00DF0B96">
      <w:pPr>
        <w:pStyle w:val="million"/>
        <w:rPr>
          <w:rFonts w:ascii="Times New Roman" w:hAnsi="Times New Roman"/>
          <w:i w:val="0"/>
          <w:szCs w:val="20"/>
          <w:lang w:eastAsia="en-AU"/>
        </w:rPr>
      </w:pPr>
      <w:r w:rsidRPr="006A75A2">
        <w:t>($</w:t>
      </w:r>
      <w:r>
        <w:t> thousand</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867"/>
        <w:gridCol w:w="1530"/>
        <w:gridCol w:w="1120"/>
        <w:gridCol w:w="1120"/>
      </w:tblGrid>
      <w:tr w:rsidR="00336793" w:rsidRPr="00A10A3B" w:rsidTr="00DF0B96">
        <w:trPr>
          <w:tblHeader/>
        </w:trPr>
        <w:tc>
          <w:tcPr>
            <w:tcW w:w="5867" w:type="dxa"/>
            <w:tcBorders>
              <w:top w:val="single" w:sz="6" w:space="0" w:color="auto"/>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53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Parliamentary </w:t>
            </w:r>
          </w:p>
        </w:tc>
        <w:tc>
          <w:tcPr>
            <w:tcW w:w="1120" w:type="dxa"/>
            <w:tcBorders>
              <w:top w:val="single" w:sz="6" w:space="0" w:color="auto"/>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Amounts</w:t>
            </w:r>
          </w:p>
        </w:tc>
        <w:tc>
          <w:tcPr>
            <w:tcW w:w="1120" w:type="dxa"/>
            <w:tcBorders>
              <w:top w:val="single" w:sz="6" w:space="0" w:color="auto"/>
              <w:left w:val="nil"/>
              <w:bottom w:val="nil"/>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Amounts</w:t>
            </w:r>
          </w:p>
        </w:tc>
      </w:tr>
      <w:tr w:rsidR="00336793" w:rsidRPr="00A10A3B" w:rsidTr="00DF0B96">
        <w:trPr>
          <w:tblHeader/>
        </w:trPr>
        <w:tc>
          <w:tcPr>
            <w:tcW w:w="5867" w:type="dxa"/>
            <w:tcBorders>
              <w:top w:val="nil"/>
              <w:left w:val="single" w:sz="6" w:space="0" w:color="auto"/>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530" w:type="dxa"/>
            <w:tcBorders>
              <w:top w:val="nil"/>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applied</w:t>
            </w:r>
          </w:p>
        </w:tc>
        <w:tc>
          <w:tcPr>
            <w:tcW w:w="1120" w:type="dxa"/>
            <w:tcBorders>
              <w:top w:val="nil"/>
              <w:left w:val="nil"/>
              <w:bottom w:val="nil"/>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applied</w:t>
            </w:r>
          </w:p>
        </w:tc>
      </w:tr>
      <w:tr w:rsidR="00336793" w:rsidRPr="00A10A3B" w:rsidTr="00DF0B96">
        <w:trPr>
          <w:tblHeader/>
        </w:trPr>
        <w:tc>
          <w:tcPr>
            <w:tcW w:w="5867" w:type="dxa"/>
            <w:tcBorders>
              <w:top w:val="nil"/>
              <w:left w:val="single" w:sz="6" w:space="0" w:color="auto"/>
              <w:bottom w:val="single" w:sz="6" w:space="0" w:color="auto"/>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53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867" w:type="dxa"/>
            <w:tcBorders>
              <w:top w:val="single" w:sz="6" w:space="0" w:color="auto"/>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Special appropriations</w:t>
            </w:r>
          </w:p>
        </w:tc>
        <w:tc>
          <w:tcPr>
            <w:tcW w:w="1530" w:type="dxa"/>
            <w:tcBorders>
              <w:top w:val="single" w:sz="6" w:space="0" w:color="auto"/>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color w:val="000000"/>
                <w:szCs w:val="22"/>
                <w:lang w:eastAsia="en-AU"/>
              </w:rPr>
            </w:pPr>
            <w:r w:rsidRPr="00A10A3B">
              <w:rPr>
                <w:rFonts w:eastAsiaTheme="minorEastAsia"/>
                <w:i/>
                <w:lang w:eastAsia="en-AU"/>
              </w:rPr>
              <w:t xml:space="preserve">Financial Management Act, </w:t>
            </w:r>
            <w:r w:rsidRPr="00062260">
              <w:rPr>
                <w:rFonts w:eastAsiaTheme="minorEastAsia"/>
                <w:i/>
                <w:lang w:eastAsia="en-AU"/>
              </w:rPr>
              <w:t>No. 18 of 1994</w:t>
            </w:r>
            <w:r w:rsidRPr="00A10A3B">
              <w:rPr>
                <w:rFonts w:eastAsiaTheme="minorEastAsia"/>
                <w:lang w:eastAsia="en-AU"/>
              </w:rPr>
              <w:t>, Section 10</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i/>
                <w:lang w:eastAsia="en-AU"/>
              </w:rPr>
              <w:t>Transport (Compliance and Miscellaneous) Act 1983,</w:t>
            </w:r>
            <w:r>
              <w:rPr>
                <w:rFonts w:eastAsiaTheme="minorEastAsia"/>
                <w:lang w:eastAsia="en-AU"/>
              </w:rPr>
              <w:t xml:space="preserve"> Section </w:t>
            </w:r>
            <w:r w:rsidRPr="00A10A3B">
              <w:rPr>
                <w:rFonts w:eastAsiaTheme="minorEastAsia"/>
                <w:lang w:eastAsia="en-AU"/>
              </w:rPr>
              <w:t>213A (4)</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609</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609</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1 690</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Payments to Growth Areas Public Transport Fund pursuant to Section 30 of the </w:t>
            </w:r>
            <w:r w:rsidRPr="00A10A3B">
              <w:rPr>
                <w:rFonts w:eastAsiaTheme="minorEastAsia"/>
                <w:i/>
                <w:lang w:eastAsia="en-AU"/>
              </w:rPr>
              <w:t>Planning and Environment (Growth Areas Infrastructure Contribution) Act 2010</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4 600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4 600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7 500</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Payments to Building New Communities Fund pursuant to Section 30 of the </w:t>
            </w:r>
            <w:r w:rsidRPr="00A10A3B">
              <w:rPr>
                <w:rFonts w:eastAsiaTheme="minorEastAsia"/>
                <w:i/>
                <w:lang w:eastAsia="en-AU"/>
              </w:rPr>
              <w:t>Planning and Environment (Growth Areas Infrastructure Contribution) Act 2010</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4 600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4 600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7 500</w:t>
            </w:r>
          </w:p>
        </w:tc>
      </w:tr>
      <w:tr w:rsidR="00336793" w:rsidRPr="00A10A3B" w:rsidTr="00DF0B96">
        <w:tc>
          <w:tcPr>
            <w:tcW w:w="5867" w:type="dxa"/>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cs="Calibri"/>
                <w:b/>
                <w:bCs/>
                <w:color w:val="000000"/>
                <w:szCs w:val="22"/>
                <w:lang w:eastAsia="en-AU"/>
              </w:rPr>
            </w:pPr>
            <w:r w:rsidRPr="00A10A3B">
              <w:rPr>
                <w:rFonts w:eastAsiaTheme="minorEastAsia"/>
                <w:b/>
                <w:bCs/>
                <w:lang w:eastAsia="en-AU"/>
              </w:rPr>
              <w:t xml:space="preserve">Total special appropriations (excluding </w:t>
            </w:r>
            <w:r w:rsidRPr="00A10A3B">
              <w:rPr>
                <w:rFonts w:eastAsiaTheme="minorEastAsia"/>
                <w:b/>
                <w:bCs/>
                <w:i/>
                <w:lang w:eastAsia="en-AU"/>
              </w:rPr>
              <w:t xml:space="preserve">Financial Management Act, </w:t>
            </w:r>
            <w:r w:rsidRPr="00062260">
              <w:rPr>
                <w:rFonts w:eastAsiaTheme="minorEastAsia"/>
                <w:b/>
                <w:bCs/>
                <w:i/>
                <w:lang w:eastAsia="en-AU"/>
              </w:rPr>
              <w:t>No. 18 of 1994</w:t>
            </w:r>
            <w:r w:rsidRPr="00A10A3B">
              <w:rPr>
                <w:rFonts w:eastAsiaTheme="minorEastAsia"/>
                <w:b/>
                <w:bCs/>
                <w:lang w:eastAsia="en-AU"/>
              </w:rPr>
              <w:t xml:space="preserve"> Section 33)</w:t>
            </w:r>
          </w:p>
        </w:tc>
        <w:tc>
          <w:tcPr>
            <w:tcW w:w="153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9 809</w:t>
            </w:r>
          </w:p>
        </w:tc>
        <w:tc>
          <w:tcPr>
            <w:tcW w:w="112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9 809</w:t>
            </w:r>
          </w:p>
        </w:tc>
        <w:tc>
          <w:tcPr>
            <w:tcW w:w="112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16 690</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Annual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Provision of outputs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Provision of outputs – net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2 745 892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2 745 892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5 026 180</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i/>
                <w:iCs/>
                <w:color w:val="000000"/>
                <w:szCs w:val="22"/>
                <w:lang w:eastAsia="en-AU"/>
              </w:rPr>
            </w:pPr>
            <w:r w:rsidRPr="00A10A3B">
              <w:rPr>
                <w:rFonts w:eastAsiaTheme="minorEastAsia"/>
                <w:lang w:eastAsia="en-AU"/>
              </w:rPr>
              <w:t xml:space="preserve">Section 29 </w:t>
            </w:r>
            <w:r w:rsidRPr="00A10A3B">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86 251</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86 251</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247 755</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i/>
                <w:iCs/>
                <w:color w:val="000000"/>
                <w:szCs w:val="22"/>
                <w:lang w:eastAsia="en-AU"/>
              </w:rPr>
            </w:pPr>
            <w:r w:rsidRPr="00A10A3B">
              <w:rPr>
                <w:rFonts w:eastAsiaTheme="minorEastAsia"/>
                <w:lang w:eastAsia="en-AU"/>
              </w:rPr>
              <w:t xml:space="preserve">Section 32 </w:t>
            </w:r>
            <w:r w:rsidRPr="00A10A3B">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39 823</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39 823</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51 215</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Advance to Treasurer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provision of outputs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2 871 966</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2 871 966</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5 325 149</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Additions to the net asset base</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Additions to the net asset base – net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578 249</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578 249</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1 132 645</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i/>
                <w:iCs/>
                <w:color w:val="000000"/>
                <w:szCs w:val="22"/>
                <w:lang w:eastAsia="en-AU"/>
              </w:rPr>
            </w:pPr>
            <w:r w:rsidRPr="00A10A3B">
              <w:rPr>
                <w:rFonts w:eastAsiaTheme="minorEastAsia"/>
                <w:lang w:eastAsia="en-AU"/>
              </w:rPr>
              <w:t xml:space="preserve">Section 29 </w:t>
            </w:r>
            <w:r w:rsidRPr="00A10A3B">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3 267</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3 267</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878 617</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cs="Calibri"/>
                <w:i/>
                <w:iCs/>
                <w:color w:val="000000"/>
                <w:szCs w:val="22"/>
                <w:lang w:eastAsia="en-AU"/>
              </w:rPr>
            </w:pPr>
            <w:r w:rsidRPr="00A10A3B">
              <w:rPr>
                <w:rFonts w:eastAsiaTheme="minorEastAsia"/>
                <w:lang w:eastAsia="en-AU"/>
              </w:rPr>
              <w:t xml:space="preserve">Section 32 </w:t>
            </w:r>
            <w:r w:rsidRPr="00A10A3B">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319 065</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319 065</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332 085</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additions to the net asset base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900 581</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900 581</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2 343 347</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Payments made on behalf of the State</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Payments made on behalf of the State – net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155</w:t>
            </w:r>
          </w:p>
        </w:tc>
      </w:tr>
      <w:tr w:rsidR="00336793" w:rsidRPr="00A10A3B" w:rsidTr="00DF0B96">
        <w:tc>
          <w:tcPr>
            <w:tcW w:w="5867" w:type="dxa"/>
            <w:tcBorders>
              <w:top w:val="single" w:sz="6" w:space="0" w:color="auto"/>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for payments made on behalf of the State – gross application</w:t>
            </w:r>
          </w:p>
        </w:tc>
        <w:tc>
          <w:tcPr>
            <w:tcW w:w="1530" w:type="dxa"/>
            <w:tcBorders>
              <w:top w:val="single" w:sz="6" w:space="0" w:color="auto"/>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c>
          <w:tcPr>
            <w:tcW w:w="1120" w:type="dxa"/>
            <w:tcBorders>
              <w:top w:val="single" w:sz="6" w:space="0" w:color="auto"/>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155</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annual appropriations – gross application</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3 772 547</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3 772 547</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7 668 651</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b/>
                <w:bCs/>
                <w:color w:val="000000"/>
                <w:szCs w:val="22"/>
                <w:lang w:eastAsia="en-AU"/>
              </w:rPr>
            </w:pPr>
            <w:r w:rsidRPr="00A10A3B">
              <w:rPr>
                <w:rFonts w:eastAsiaTheme="minorEastAsia"/>
                <w:b/>
                <w:bCs/>
                <w:lang w:eastAsia="en-AU"/>
              </w:rPr>
              <w:t xml:space="preserve">Total Parliamentary authority (excluding </w:t>
            </w:r>
            <w:r w:rsidRPr="00A10A3B">
              <w:rPr>
                <w:rFonts w:eastAsiaTheme="minorEastAsia"/>
                <w:b/>
                <w:bCs/>
                <w:i/>
                <w:lang w:eastAsia="en-AU"/>
              </w:rPr>
              <w:t xml:space="preserve">Financial Management Act, </w:t>
            </w:r>
            <w:r w:rsidRPr="00062260">
              <w:rPr>
                <w:rFonts w:eastAsiaTheme="minorEastAsia"/>
                <w:b/>
                <w:bCs/>
                <w:i/>
                <w:lang w:eastAsia="en-AU"/>
              </w:rPr>
              <w:t>No. 18 of 1994</w:t>
            </w:r>
            <w:r w:rsidRPr="00A10A3B">
              <w:rPr>
                <w:rFonts w:eastAsiaTheme="minorEastAsia"/>
                <w:b/>
                <w:bCs/>
                <w:lang w:eastAsia="en-AU"/>
              </w:rPr>
              <w:t xml:space="preserve"> Section 33)</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3 782 356</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Pr>
                <w:rFonts w:eastAsiaTheme="minorEastAsia"/>
                <w:b/>
                <w:bCs/>
                <w:lang w:eastAsia="en-AU"/>
              </w:rPr>
              <w:t>3 782 356</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7 685 341</w:t>
            </w:r>
          </w:p>
        </w:tc>
      </w:tr>
      <w:tr w:rsidR="00336793" w:rsidRPr="00A10A3B" w:rsidTr="00DF0B96">
        <w:trPr>
          <w:trHeight w:hRule="exact" w:val="120"/>
        </w:trPr>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b/>
                <w:bCs/>
                <w:color w:val="000000"/>
                <w:szCs w:val="22"/>
                <w:lang w:eastAsia="en-AU"/>
              </w:rPr>
            </w:pPr>
            <w:r w:rsidRPr="00A10A3B">
              <w:rPr>
                <w:rFonts w:eastAsiaTheme="minorEastAsia"/>
                <w:b/>
                <w:bCs/>
                <w:lang w:eastAsia="en-AU"/>
              </w:rPr>
              <w:t xml:space="preserve">Amounts issued under the authority of the </w:t>
            </w:r>
            <w:r w:rsidRPr="00A10A3B">
              <w:rPr>
                <w:rFonts w:eastAsiaTheme="minorEastAsia"/>
                <w:b/>
                <w:bCs/>
                <w:i/>
                <w:lang w:eastAsia="en-AU"/>
              </w:rPr>
              <w:t xml:space="preserve">Financial Management Act, </w:t>
            </w:r>
            <w:r w:rsidRPr="00062260">
              <w:rPr>
                <w:rFonts w:eastAsiaTheme="minorEastAsia"/>
                <w:b/>
                <w:bCs/>
                <w:i/>
                <w:lang w:eastAsia="en-AU"/>
              </w:rPr>
              <w:t>No. 18 of 1994</w:t>
            </w:r>
            <w:r w:rsidRPr="00A10A3B">
              <w:rPr>
                <w:rFonts w:eastAsiaTheme="minorEastAsia"/>
                <w:b/>
                <w:bCs/>
                <w:lang w:eastAsia="en-AU"/>
              </w:rPr>
              <w:t>, Section 33 (Special Appropriation) relating to prior year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w:t>
            </w:r>
          </w:p>
        </w:tc>
      </w:tr>
      <w:tr w:rsidR="00336793" w:rsidRPr="00A10A3B" w:rsidTr="00DF0B96">
        <w:trPr>
          <w:trHeight w:hRule="exact" w:val="120"/>
        </w:trPr>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Parliamentary authority</w:t>
            </w:r>
          </w:p>
        </w:tc>
        <w:tc>
          <w:tcPr>
            <w:tcW w:w="153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Pr>
                <w:rFonts w:eastAsiaTheme="minorEastAsia"/>
                <w:b/>
                <w:bCs/>
                <w:lang w:eastAsia="en-AU"/>
              </w:rPr>
              <w:t>3 782 356</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Pr>
                <w:rFonts w:eastAsiaTheme="minorEastAsia"/>
                <w:b/>
                <w:bCs/>
                <w:lang w:eastAsia="en-AU"/>
              </w:rPr>
              <w:t>3 782 356</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7 685 341</w:t>
            </w:r>
          </w:p>
        </w:tc>
      </w:tr>
    </w:tbl>
    <w:p w:rsidR="00336793" w:rsidRDefault="00336793" w:rsidP="00DF0B96">
      <w:pPr>
        <w:pStyle w:val="Notes"/>
      </w:pPr>
    </w:p>
    <w:p w:rsidR="00336793" w:rsidRDefault="00336793" w:rsidP="00DF0B96">
      <w:pPr>
        <w:pStyle w:val="Notes"/>
      </w:pPr>
    </w:p>
    <w:p w:rsidR="00336793" w:rsidRPr="006A75A2" w:rsidRDefault="00336793" w:rsidP="00DF0B96">
      <w:pPr>
        <w:spacing w:after="0"/>
        <w:rPr>
          <w:rFonts w:ascii="Calibri" w:hAnsi="Calibri"/>
          <w:b/>
        </w:rPr>
      </w:pPr>
      <w:r w:rsidRPr="006A75A2">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rsidRPr="006A75A2">
        <w:t>(</w:t>
      </w:r>
      <w:r>
        <w:t>x</w:t>
      </w:r>
      <w:r w:rsidRPr="006A75A2">
        <w:t>)</w:t>
      </w:r>
      <w:r w:rsidRPr="006A75A2">
        <w:tab/>
        <w:t>Parliamentary authority – Treasury and Finance</w:t>
      </w:r>
    </w:p>
    <w:p w:rsidR="00336793" w:rsidRPr="00583DB5" w:rsidRDefault="00336793" w:rsidP="00DF0B96">
      <w:pPr>
        <w:pStyle w:val="million"/>
        <w:rPr>
          <w:lang w:eastAsia="en-AU"/>
        </w:rPr>
      </w:pPr>
      <w:r w:rsidRPr="006A75A2">
        <w:t>($</w:t>
      </w:r>
      <w:r>
        <w:t> thousand</w:t>
      </w:r>
      <w:r w:rsidRPr="006A75A2">
        <w:t>)</w:t>
      </w:r>
    </w:p>
    <w:tbl>
      <w:tblPr>
        <w:tblW w:w="9637" w:type="dxa"/>
        <w:tblInd w:w="28" w:type="dxa"/>
        <w:tblLayout w:type="fixed"/>
        <w:tblCellMar>
          <w:left w:w="45" w:type="dxa"/>
          <w:right w:w="45" w:type="dxa"/>
        </w:tblCellMar>
        <w:tblLook w:val="0000" w:firstRow="0" w:lastRow="0" w:firstColumn="0" w:lastColumn="0" w:noHBand="0" w:noVBand="0"/>
      </w:tblPr>
      <w:tblGrid>
        <w:gridCol w:w="5867"/>
        <w:gridCol w:w="1530"/>
        <w:gridCol w:w="1120"/>
        <w:gridCol w:w="1120"/>
      </w:tblGrid>
      <w:tr w:rsidR="00336793" w:rsidRPr="00583DB5" w:rsidTr="00DF0B96">
        <w:trPr>
          <w:tblHeader/>
        </w:trPr>
        <w:tc>
          <w:tcPr>
            <w:tcW w:w="5867" w:type="dxa"/>
            <w:tcBorders>
              <w:top w:val="single" w:sz="6" w:space="0" w:color="auto"/>
              <w:left w:val="single" w:sz="6" w:space="0" w:color="auto"/>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 xml:space="preserve">Parliamentary </w:t>
            </w:r>
          </w:p>
        </w:tc>
        <w:tc>
          <w:tcPr>
            <w:tcW w:w="112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c>
          <w:tcPr>
            <w:tcW w:w="1120" w:type="dxa"/>
            <w:tcBorders>
              <w:top w:val="single" w:sz="6" w:space="0" w:color="auto"/>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r>
      <w:tr w:rsidR="00336793" w:rsidRPr="00583DB5" w:rsidTr="00DF0B96">
        <w:trPr>
          <w:tblHeader/>
        </w:trPr>
        <w:tc>
          <w:tcPr>
            <w:tcW w:w="5867" w:type="dxa"/>
            <w:tcBorders>
              <w:top w:val="nil"/>
              <w:left w:val="single" w:sz="6" w:space="0" w:color="auto"/>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c>
          <w:tcPr>
            <w:tcW w:w="1120" w:type="dxa"/>
            <w:tcBorders>
              <w:top w:val="nil"/>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r>
      <w:tr w:rsidR="00336793" w:rsidRPr="00583DB5" w:rsidTr="00DF0B96">
        <w:trPr>
          <w:tblHeader/>
        </w:trPr>
        <w:tc>
          <w:tcPr>
            <w:tcW w:w="5867" w:type="dxa"/>
            <w:tcBorders>
              <w:top w:val="nil"/>
              <w:left w:val="single" w:sz="6" w:space="0" w:color="auto"/>
              <w:bottom w:val="single" w:sz="6" w:space="0" w:color="auto"/>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2014</w:t>
            </w:r>
          </w:p>
        </w:tc>
      </w:tr>
      <w:tr w:rsidR="00336793" w:rsidRPr="00583DB5" w:rsidTr="00DF0B96">
        <w:tc>
          <w:tcPr>
            <w:tcW w:w="5867" w:type="dxa"/>
            <w:tcBorders>
              <w:top w:val="single" w:sz="6" w:space="0" w:color="auto"/>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Special appropriations</w:t>
            </w:r>
          </w:p>
        </w:tc>
        <w:tc>
          <w:tcPr>
            <w:tcW w:w="1530" w:type="dxa"/>
            <w:tcBorders>
              <w:top w:val="single" w:sz="6" w:space="0" w:color="auto"/>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c>
          <w:tcPr>
            <w:tcW w:w="1120" w:type="dxa"/>
            <w:tcBorders>
              <w:top w:val="single" w:sz="6" w:space="0" w:color="auto"/>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Constitution Act, No. 8750 of 1975</w:t>
            </w:r>
            <w:r w:rsidRPr="00583DB5">
              <w:rPr>
                <w:rFonts w:eastAsiaTheme="minorEastAsia"/>
                <w:lang w:eastAsia="en-AU"/>
              </w:rPr>
              <w:t xml:space="preserve"> – Governor</w:t>
            </w:r>
            <w:r>
              <w:rPr>
                <w:rFonts w:eastAsiaTheme="minorEastAsia"/>
                <w:lang w:eastAsia="en-AU"/>
              </w:rPr>
              <w:t>’</w:t>
            </w:r>
            <w:r w:rsidRPr="00583DB5">
              <w:rPr>
                <w:rFonts w:eastAsiaTheme="minorEastAsia"/>
                <w:lang w:eastAsia="en-AU"/>
              </w:rPr>
              <w:t>s Pension</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1 005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1 005</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983</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Constitution Act, No. 8750 of 1975</w:t>
            </w:r>
            <w:r w:rsidRPr="00583DB5">
              <w:rPr>
                <w:rFonts w:eastAsiaTheme="minorEastAsia"/>
                <w:lang w:eastAsia="en-AU"/>
              </w:rPr>
              <w:t xml:space="preserve"> – Supreme Court Judges</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9 776</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9 776</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9 561</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County Court Act, No. 6230 of 1958</w:t>
            </w:r>
            <w:r w:rsidRPr="00583DB5">
              <w:rPr>
                <w:rFonts w:eastAsiaTheme="minorEastAsia"/>
                <w:lang w:eastAsia="en-AU"/>
              </w:rPr>
              <w:t xml:space="preserve"> – Judges</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13 536</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13 536</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13 238</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 xml:space="preserve">Financial Management Act, </w:t>
            </w:r>
            <w:r w:rsidRPr="00062260">
              <w:rPr>
                <w:rFonts w:eastAsiaTheme="minorEastAsia"/>
                <w:i/>
                <w:lang w:eastAsia="en-AU"/>
              </w:rPr>
              <w:t>No. 18 of 1994</w:t>
            </w:r>
            <w:r w:rsidRPr="00583DB5">
              <w:rPr>
                <w:rFonts w:eastAsiaTheme="minorEastAsia"/>
                <w:lang w:eastAsia="en-AU"/>
              </w:rPr>
              <w:t xml:space="preserve">, Section </w:t>
            </w:r>
            <w:r w:rsidRPr="00583DB5">
              <w:rPr>
                <w:rFonts w:eastAsiaTheme="minorEastAsia" w:cs="Calibri"/>
                <w:color w:val="000000"/>
                <w:szCs w:val="22"/>
                <w:lang w:eastAsia="en-AU"/>
              </w:rPr>
              <w:t>10</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 xml:space="preserve">Financial Management Act, </w:t>
            </w:r>
            <w:r w:rsidRPr="00062260">
              <w:rPr>
                <w:rFonts w:eastAsiaTheme="minorEastAsia"/>
                <w:i/>
                <w:lang w:eastAsia="en-AU"/>
              </w:rPr>
              <w:t>No. 18 of 1994</w:t>
            </w:r>
            <w:r w:rsidRPr="00583DB5">
              <w:rPr>
                <w:rFonts w:eastAsiaTheme="minorEastAsia"/>
                <w:lang w:eastAsia="en-AU"/>
              </w:rPr>
              <w:t xml:space="preserve">, Section 39 – Interest on </w:t>
            </w:r>
            <w:r w:rsidRPr="00583DB5">
              <w:rPr>
                <w:rFonts w:eastAsiaTheme="minorEastAsia" w:cs="Calibri"/>
                <w:color w:val="000000"/>
                <w:szCs w:val="22"/>
                <w:lang w:eastAsia="en-AU"/>
              </w:rPr>
              <w:t>Advances</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2 163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2 163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8 683</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i/>
                <w:lang w:eastAsia="en-AU"/>
              </w:rPr>
              <w:t>Gambling Regulation Act No.114 of 2003,</w:t>
            </w:r>
            <w:r w:rsidRPr="00583DB5">
              <w:rPr>
                <w:rFonts w:eastAsiaTheme="minorEastAsia"/>
                <w:lang w:eastAsia="en-AU"/>
              </w:rPr>
              <w:t xml:space="preserve"> Section 3.6.12</w:t>
            </w:r>
            <w:r>
              <w:rPr>
                <w:rFonts w:eastAsiaTheme="minorEastAsia"/>
                <w:lang w:eastAsia="en-AU"/>
              </w:rPr>
              <w:t xml:space="preserve"> – </w:t>
            </w:r>
            <w:r w:rsidRPr="00583DB5">
              <w:rPr>
                <w:rFonts w:eastAsiaTheme="minorEastAsia"/>
                <w:lang w:eastAsia="en-AU"/>
              </w:rPr>
              <w:t>Community Support Fund</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96 506</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96 506</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93 211</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Liquor Control Reform Act, No. 94 of 1988</w:t>
            </w:r>
            <w:r w:rsidRPr="00583DB5">
              <w:rPr>
                <w:rFonts w:eastAsiaTheme="minorEastAsia"/>
                <w:lang w:eastAsia="en-AU"/>
              </w:rPr>
              <w:t xml:space="preserve">, Section 177 (2) </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2 733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2 733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2 487</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i/>
                <w:lang w:eastAsia="en-AU"/>
              </w:rPr>
              <w:t>State Electricity Commission Act 1958,</w:t>
            </w:r>
            <w:r w:rsidRPr="00583DB5">
              <w:rPr>
                <w:rFonts w:eastAsiaTheme="minorEastAsia"/>
                <w:lang w:eastAsia="en-AU"/>
              </w:rPr>
              <w:t xml:space="preserve"> Section 85B(2) – Indemnity</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86 099</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86 099</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104 604</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State Superannuation Act, No. 50 of 1988</w:t>
            </w:r>
            <w:r w:rsidRPr="00583DB5">
              <w:rPr>
                <w:rFonts w:eastAsiaTheme="minorEastAsia"/>
                <w:lang w:eastAsia="en-AU"/>
              </w:rPr>
              <w:t>, Section 90 (2) – Contributions</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1 036 611</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1 036 611</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1 035 753</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i/>
                <w:lang w:eastAsia="en-AU"/>
              </w:rPr>
              <w:t>Sta</w:t>
            </w:r>
            <w:r>
              <w:rPr>
                <w:rFonts w:eastAsiaTheme="minorEastAsia"/>
                <w:i/>
                <w:lang w:eastAsia="en-AU"/>
              </w:rPr>
              <w:t>te Owned Enterprises Act, No. 90</w:t>
            </w:r>
            <w:r w:rsidRPr="00583DB5">
              <w:rPr>
                <w:rFonts w:eastAsiaTheme="minorEastAsia"/>
                <w:i/>
                <w:lang w:eastAsia="en-AU"/>
              </w:rPr>
              <w:t xml:space="preserve"> of 1992</w:t>
            </w:r>
            <w:r w:rsidRPr="00583DB5">
              <w:rPr>
                <w:rFonts w:eastAsiaTheme="minorEastAsia"/>
                <w:lang w:eastAsia="en-AU"/>
              </w:rPr>
              <w:t>, Section 88 – State equivalent taxation payments</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8 364</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8 364</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1 039</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Taxation (Interest on Overpayments) Act, No. 35 of 1986</w:t>
            </w:r>
            <w:r w:rsidRPr="00583DB5">
              <w:rPr>
                <w:rFonts w:eastAsiaTheme="minorEastAsia"/>
                <w:lang w:eastAsia="en-AU"/>
              </w:rPr>
              <w:t>, Section 11</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977</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977</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1 725</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i/>
                <w:lang w:eastAsia="en-AU"/>
              </w:rPr>
              <w:t>Treasury Corporation of Victoria Act No. 80 of 1992</w:t>
            </w:r>
            <w:r w:rsidRPr="00583DB5">
              <w:rPr>
                <w:rFonts w:eastAsiaTheme="minorEastAsia"/>
                <w:lang w:eastAsia="en-AU"/>
              </w:rPr>
              <w:t>, Section 38 – Debt Retirement</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23 933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23 933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14 536</w:t>
            </w:r>
          </w:p>
        </w:tc>
      </w:tr>
      <w:tr w:rsidR="00336793" w:rsidRPr="00583DB5" w:rsidTr="00DF0B96">
        <w:tc>
          <w:tcPr>
            <w:tcW w:w="5867" w:type="dxa"/>
            <w:tcBorders>
              <w:top w:val="single" w:sz="6" w:space="0" w:color="auto"/>
              <w:left w:val="nil"/>
              <w:bottom w:val="single" w:sz="6" w:space="0" w:color="auto"/>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Total special appropriations (excluding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lang w:eastAsia="en-AU"/>
              </w:rPr>
              <w:t xml:space="preserve"> Section 33</w:t>
            </w:r>
            <w:r w:rsidRPr="00583DB5">
              <w:rPr>
                <w:rFonts w:eastAsiaTheme="minorEastAsia" w:cs="Calibri"/>
                <w:b/>
                <w:bCs/>
                <w:color w:val="000000"/>
                <w:szCs w:val="22"/>
                <w:lang w:eastAsia="en-AU"/>
              </w:rPr>
              <w:t>)</w:t>
            </w:r>
          </w:p>
        </w:tc>
        <w:tc>
          <w:tcPr>
            <w:tcW w:w="153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1 281 704</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1 281 704</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1 285 818</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Annual appropriations</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Provision of outputs</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Provision of outputs – net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226 278</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219 382</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241 528</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29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8 583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8 583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7 362</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32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1 922</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1 921</w:t>
            </w:r>
          </w:p>
        </w:tc>
        <w:tc>
          <w:tcPr>
            <w:tcW w:w="112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3 775</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lang w:eastAsia="en-AU"/>
              </w:rPr>
              <w:t xml:space="preserve">Section 35 </w:t>
            </w:r>
            <w:r w:rsidRPr="00583DB5">
              <w:rPr>
                <w:rFonts w:eastAsiaTheme="minorEastAsia"/>
                <w:i/>
                <w:lang w:eastAsia="en-AU"/>
              </w:rPr>
              <w:t xml:space="preserve">Financial Management Act, </w:t>
            </w:r>
            <w:r w:rsidRPr="00062260">
              <w:rPr>
                <w:rFonts w:eastAsiaTheme="minorEastAsia"/>
                <w:i/>
                <w:lang w:eastAsia="en-AU"/>
              </w:rPr>
              <w:t>No. 18 of 1994</w:t>
            </w:r>
            <w:r w:rsidRPr="00583DB5">
              <w:rPr>
                <w:rFonts w:eastAsiaTheme="minorEastAsia"/>
                <w:lang w:eastAsia="en-AU"/>
              </w:rPr>
              <w:t xml:space="preserve"> (temporary advances</w:t>
            </w:r>
            <w:r w:rsidRPr="00583DB5">
              <w:rPr>
                <w:rFonts w:eastAsiaTheme="minorEastAsia" w:cs="Calibri"/>
                <w:color w:val="000000"/>
                <w:szCs w:val="22"/>
                <w:lang w:eastAsia="en-AU"/>
              </w:rPr>
              <w:t>)</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shd w:val="solid" w:color="FFFFFF" w:fill="auto"/>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 xml:space="preserve">Advance to Treasurer </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22 710</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20 826</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2 162</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provision of outputs – gross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259 493</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250 713</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254 827</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Additions to the net asset base</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Additions to the net asset base – net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24 427</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5 000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32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2 757</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color w:val="000000"/>
                <w:szCs w:val="22"/>
                <w:lang w:eastAsia="en-AU"/>
              </w:rPr>
            </w:pPr>
            <w:r w:rsidRPr="00583DB5">
              <w:rPr>
                <w:rFonts w:eastAsiaTheme="minorEastAsia"/>
                <w:lang w:eastAsia="en-AU"/>
              </w:rPr>
              <w:t xml:space="preserve">Section 35 </w:t>
            </w:r>
            <w:r w:rsidRPr="00583DB5">
              <w:rPr>
                <w:rFonts w:eastAsiaTheme="minorEastAsia"/>
                <w:i/>
                <w:lang w:eastAsia="en-AU"/>
              </w:rPr>
              <w:t xml:space="preserve">Financial Management Act, </w:t>
            </w:r>
            <w:r w:rsidRPr="00062260">
              <w:rPr>
                <w:rFonts w:eastAsiaTheme="minorEastAsia"/>
                <w:i/>
                <w:lang w:eastAsia="en-AU"/>
              </w:rPr>
              <w:t>No. 18 of 1994</w:t>
            </w:r>
            <w:r w:rsidRPr="00583DB5">
              <w:rPr>
                <w:rFonts w:eastAsiaTheme="minorEastAsia"/>
                <w:lang w:eastAsia="en-AU"/>
              </w:rPr>
              <w:t xml:space="preserve"> (temporary advances</w:t>
            </w:r>
            <w:r w:rsidRPr="00583DB5">
              <w:rPr>
                <w:rFonts w:eastAsiaTheme="minorEastAsia" w:cs="Calibri"/>
                <w:color w:val="000000"/>
                <w:szCs w:val="22"/>
                <w:lang w:eastAsia="en-AU"/>
              </w:rPr>
              <w:t>)</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r>
      <w:tr w:rsidR="00336793" w:rsidRPr="00583DB5" w:rsidTr="00DF0B96">
        <w:tc>
          <w:tcPr>
            <w:tcW w:w="5867" w:type="dxa"/>
            <w:tcBorders>
              <w:top w:val="single" w:sz="6" w:space="0" w:color="auto"/>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additions to the net asset base – gross application</w:t>
            </w:r>
          </w:p>
        </w:tc>
        <w:tc>
          <w:tcPr>
            <w:tcW w:w="1530" w:type="dxa"/>
            <w:tcBorders>
              <w:top w:val="single" w:sz="6" w:space="0" w:color="auto"/>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27 184</w:t>
            </w:r>
          </w:p>
        </w:tc>
        <w:tc>
          <w:tcPr>
            <w:tcW w:w="1120" w:type="dxa"/>
            <w:tcBorders>
              <w:top w:val="single" w:sz="6" w:space="0" w:color="auto"/>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 xml:space="preserve"> 5 000</w:t>
            </w:r>
          </w:p>
        </w:tc>
        <w:tc>
          <w:tcPr>
            <w:tcW w:w="1120" w:type="dxa"/>
            <w:tcBorders>
              <w:top w:val="single" w:sz="6" w:space="0" w:color="auto"/>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w:t>
            </w:r>
          </w:p>
        </w:tc>
      </w:tr>
    </w:tbl>
    <w:p w:rsidR="00336793" w:rsidRDefault="00336793" w:rsidP="00146F9C">
      <w:pPr>
        <w:pStyle w:val="Tableheadingcontinued"/>
      </w:pPr>
    </w:p>
    <w:p w:rsidR="00336793" w:rsidRDefault="00336793">
      <w:pPr>
        <w:spacing w:after="0"/>
        <w:rPr>
          <w:rFonts w:ascii="Calibri" w:hAnsi="Calibri"/>
          <w:b/>
          <w:sz w:val="25"/>
        </w:rPr>
      </w:pPr>
      <w:r>
        <w:br w:type="page"/>
      </w:r>
    </w:p>
    <w:p w:rsidR="00336793" w:rsidRPr="006A75A2" w:rsidRDefault="00336793" w:rsidP="00146F9C">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Default="00336793" w:rsidP="00146F9C">
      <w:pPr>
        <w:pStyle w:val="Tableheadingcontinued"/>
      </w:pPr>
      <w:r>
        <w:t>(x)</w:t>
      </w:r>
      <w:r>
        <w:tab/>
        <w:t xml:space="preserve">Parliamentary authority – Treasury and Finance </w:t>
      </w:r>
      <w:r w:rsidRPr="00146F9C">
        <w:rPr>
          <w:i/>
        </w:rPr>
        <w:t>(continued)</w:t>
      </w:r>
    </w:p>
    <w:p w:rsidR="00336793" w:rsidRDefault="00336793" w:rsidP="00146F9C">
      <w:pPr>
        <w:pStyle w:val="million"/>
      </w:pP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867"/>
        <w:gridCol w:w="1530"/>
        <w:gridCol w:w="1120"/>
        <w:gridCol w:w="1120"/>
      </w:tblGrid>
      <w:tr w:rsidR="00336793" w:rsidRPr="00583DB5" w:rsidTr="00DF0B96">
        <w:trPr>
          <w:tblHeader/>
        </w:trPr>
        <w:tc>
          <w:tcPr>
            <w:tcW w:w="5867" w:type="dxa"/>
            <w:tcBorders>
              <w:top w:val="single" w:sz="6" w:space="0" w:color="auto"/>
              <w:left w:val="single" w:sz="6" w:space="0" w:color="auto"/>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 xml:space="preserve">Parliamentary </w:t>
            </w:r>
          </w:p>
        </w:tc>
        <w:tc>
          <w:tcPr>
            <w:tcW w:w="1120" w:type="dxa"/>
            <w:tcBorders>
              <w:top w:val="single" w:sz="6" w:space="0" w:color="auto"/>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c>
          <w:tcPr>
            <w:tcW w:w="1120" w:type="dxa"/>
            <w:tcBorders>
              <w:top w:val="single" w:sz="6" w:space="0" w:color="auto"/>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Amounts</w:t>
            </w:r>
          </w:p>
        </w:tc>
      </w:tr>
      <w:tr w:rsidR="00336793" w:rsidRPr="00583DB5" w:rsidTr="00DF0B96">
        <w:trPr>
          <w:tblHeader/>
        </w:trPr>
        <w:tc>
          <w:tcPr>
            <w:tcW w:w="5867" w:type="dxa"/>
            <w:tcBorders>
              <w:top w:val="nil"/>
              <w:left w:val="single" w:sz="6" w:space="0" w:color="auto"/>
              <w:bottom w:val="nil"/>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c>
          <w:tcPr>
            <w:tcW w:w="1120" w:type="dxa"/>
            <w:tcBorders>
              <w:top w:val="nil"/>
              <w:left w:val="nil"/>
              <w:bottom w:val="nil"/>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applied</w:t>
            </w:r>
          </w:p>
        </w:tc>
      </w:tr>
      <w:tr w:rsidR="00336793" w:rsidRPr="00583DB5" w:rsidTr="00DF0B96">
        <w:trPr>
          <w:tblHeader/>
        </w:trPr>
        <w:tc>
          <w:tcPr>
            <w:tcW w:w="5867" w:type="dxa"/>
            <w:tcBorders>
              <w:top w:val="nil"/>
              <w:left w:val="single" w:sz="6" w:space="0" w:color="auto"/>
              <w:bottom w:val="single" w:sz="6" w:space="0" w:color="auto"/>
              <w:right w:val="nil"/>
            </w:tcBorders>
            <w:shd w:val="clear" w:color="000000" w:fill="000000"/>
            <w:vAlign w:val="bottom"/>
          </w:tcPr>
          <w:p w:rsidR="00336793" w:rsidRPr="00583DB5" w:rsidRDefault="00336793" w:rsidP="00DF0B96">
            <w:pPr>
              <w:pStyle w:val="Tabletext"/>
              <w:rPr>
                <w:rFonts w:eastAsiaTheme="minorEastAsia"/>
                <w:i/>
                <w:lang w:eastAsia="en-AU"/>
              </w:rPr>
            </w:pPr>
            <w:r w:rsidRPr="00583DB5">
              <w:rPr>
                <w:rFonts w:eastAsiaTheme="minorEastAsia"/>
                <w:i/>
                <w:lang w:eastAsia="en-AU"/>
              </w:rPr>
              <w:t xml:space="preserve"> </w:t>
            </w:r>
          </w:p>
        </w:tc>
        <w:tc>
          <w:tcPr>
            <w:tcW w:w="153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nil"/>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2015</w:t>
            </w:r>
          </w:p>
        </w:tc>
        <w:tc>
          <w:tcPr>
            <w:tcW w:w="1120" w:type="dxa"/>
            <w:tcBorders>
              <w:top w:val="nil"/>
              <w:left w:val="nil"/>
              <w:bottom w:val="single" w:sz="6" w:space="0" w:color="auto"/>
              <w:right w:val="single" w:sz="6" w:space="0" w:color="auto"/>
            </w:tcBorders>
            <w:shd w:val="clear" w:color="000000" w:fill="000000"/>
            <w:vAlign w:val="bottom"/>
          </w:tcPr>
          <w:p w:rsidR="00336793" w:rsidRPr="00583DB5" w:rsidRDefault="00336793" w:rsidP="00DF0B96">
            <w:pPr>
              <w:pStyle w:val="Tabletextheading"/>
              <w:rPr>
                <w:rFonts w:eastAsiaTheme="minorEastAsia"/>
                <w:color w:val="FFFFFF"/>
                <w:lang w:eastAsia="en-AU"/>
              </w:rPr>
            </w:pPr>
            <w:r w:rsidRPr="00583DB5">
              <w:rPr>
                <w:rFonts w:eastAsiaTheme="minorEastAsia"/>
                <w:color w:val="FFFFFF"/>
                <w:lang w:eastAsia="en-AU"/>
              </w:rPr>
              <w:t>2014</w:t>
            </w:r>
          </w:p>
        </w:tc>
      </w:tr>
      <w:tr w:rsidR="00336793" w:rsidRPr="00583DB5" w:rsidTr="00DF0B96">
        <w:tc>
          <w:tcPr>
            <w:tcW w:w="5867" w:type="dxa"/>
            <w:tcBorders>
              <w:top w:val="nil"/>
              <w:left w:val="nil"/>
              <w:bottom w:val="nil"/>
              <w:right w:val="nil"/>
            </w:tcBorders>
          </w:tcPr>
          <w:p w:rsidR="00336793" w:rsidRPr="00583DB5" w:rsidRDefault="00336793" w:rsidP="00146F9C">
            <w:pPr>
              <w:pStyle w:val="Tabletext"/>
              <w:ind w:left="187" w:hanging="187"/>
              <w:rPr>
                <w:rFonts w:eastAsiaTheme="minorEastAsia"/>
                <w:b/>
                <w:bCs/>
                <w:lang w:eastAsia="en-AU"/>
              </w:rPr>
            </w:pPr>
            <w:r w:rsidRPr="00583DB5">
              <w:rPr>
                <w:rFonts w:eastAsiaTheme="minorEastAsia"/>
                <w:b/>
                <w:bCs/>
                <w:lang w:eastAsia="en-AU"/>
              </w:rPr>
              <w:t>Payments made on behalf of the State</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Payments made on behalf of the State – net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1 753 223</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1 743 968</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1 808 474</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cs="Calibri"/>
                <w:i/>
                <w:iCs/>
                <w:color w:val="000000"/>
                <w:szCs w:val="22"/>
                <w:lang w:eastAsia="en-AU"/>
              </w:rPr>
            </w:pPr>
            <w:r w:rsidRPr="00583DB5">
              <w:rPr>
                <w:rFonts w:eastAsiaTheme="minorEastAsia"/>
                <w:lang w:eastAsia="en-AU"/>
              </w:rPr>
              <w:t xml:space="preserve">Section 32 </w:t>
            </w:r>
            <w:r w:rsidRPr="00583DB5">
              <w:rPr>
                <w:rFonts w:eastAsiaTheme="minorEastAsia"/>
                <w:i/>
                <w:lang w:eastAsia="en-AU"/>
              </w:rPr>
              <w:t xml:space="preserve">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2 600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2 600</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898</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ind w:left="187" w:hanging="187"/>
              <w:rPr>
                <w:rFonts w:eastAsiaTheme="minorEastAsia" w:cs="Calibri"/>
                <w:color w:val="000000"/>
                <w:szCs w:val="22"/>
                <w:lang w:eastAsia="en-AU"/>
              </w:rPr>
            </w:pPr>
            <w:r w:rsidRPr="00583DB5">
              <w:rPr>
                <w:rFonts w:eastAsiaTheme="minorEastAsia"/>
                <w:lang w:eastAsia="en-AU"/>
              </w:rPr>
              <w:t xml:space="preserve">Section 35 </w:t>
            </w:r>
            <w:r w:rsidRPr="00583DB5">
              <w:rPr>
                <w:rFonts w:eastAsiaTheme="minorEastAsia"/>
                <w:i/>
                <w:lang w:eastAsia="en-AU"/>
              </w:rPr>
              <w:t xml:space="preserve">Financial Management Act, </w:t>
            </w:r>
            <w:r w:rsidRPr="00062260">
              <w:rPr>
                <w:rFonts w:eastAsiaTheme="minorEastAsia"/>
                <w:i/>
                <w:lang w:eastAsia="en-AU"/>
              </w:rPr>
              <w:t>No. 18 of 1994</w:t>
            </w:r>
            <w:r w:rsidRPr="00583DB5">
              <w:rPr>
                <w:rFonts w:eastAsiaTheme="minorEastAsia"/>
                <w:lang w:eastAsia="en-AU"/>
              </w:rPr>
              <w:t xml:space="preserve"> (temporary advances</w:t>
            </w:r>
            <w:r w:rsidRPr="00583DB5">
              <w:rPr>
                <w:rFonts w:eastAsiaTheme="minorEastAsia" w:cs="Calibri"/>
                <w:color w:val="000000"/>
                <w:szCs w:val="22"/>
                <w:lang w:eastAsia="en-AU"/>
              </w:rPr>
              <w:t>)</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24 320</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Advance to the Treasurer</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46 658</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for payments made on behalf of the State – gross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1 755 823</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1 746 568</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1 880 349</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ind w:left="187" w:hanging="187"/>
              <w:rPr>
                <w:rFonts w:eastAsiaTheme="minorEastAsia"/>
                <w:lang w:eastAsia="en-AU"/>
              </w:rPr>
            </w:pPr>
            <w:r w:rsidRPr="00583DB5">
              <w:rPr>
                <w:rFonts w:eastAsiaTheme="minorEastAsia"/>
                <w:lang w:eastAsia="en-AU"/>
              </w:rPr>
              <w:t>Advance to Treasurer to meet urgent claims that may arise before Parliamentary sanction is obtained, which will afterwards be submitted for Parliamentary authority</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681 107</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325 502</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364 576</w:t>
            </w:r>
          </w:p>
        </w:tc>
      </w:tr>
      <w:tr w:rsidR="00336793" w:rsidRPr="00583DB5" w:rsidTr="00DF0B96">
        <w:trPr>
          <w:trHeight w:hRule="exact" w:val="120"/>
        </w:trPr>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 xml:space="preserve">   </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 xml:space="preserve">   </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lang w:eastAsia="en-AU"/>
              </w:rPr>
            </w:pPr>
            <w:r w:rsidRPr="00583DB5">
              <w:rPr>
                <w:rFonts w:eastAsiaTheme="minorEastAsia"/>
                <w:lang w:eastAsia="en-AU"/>
              </w:rPr>
              <w:t xml:space="preserve">Payments approved under Advance to Treasurer and brought to account under the relevant departments </w:t>
            </w:r>
          </w:p>
        </w:tc>
        <w:tc>
          <w:tcPr>
            <w:tcW w:w="153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(681 107)</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(325 502)</w:t>
            </w:r>
          </w:p>
        </w:tc>
        <w:tc>
          <w:tcPr>
            <w:tcW w:w="1120" w:type="dxa"/>
            <w:tcBorders>
              <w:top w:val="nil"/>
              <w:left w:val="nil"/>
              <w:bottom w:val="nil"/>
              <w:right w:val="nil"/>
            </w:tcBorders>
          </w:tcPr>
          <w:p w:rsidR="00336793" w:rsidRPr="00583DB5" w:rsidRDefault="00336793" w:rsidP="00DF0B96">
            <w:pPr>
              <w:pStyle w:val="TableofFigures"/>
              <w:rPr>
                <w:rFonts w:eastAsiaTheme="minorEastAsia"/>
                <w:lang w:eastAsia="en-AU"/>
              </w:rPr>
            </w:pPr>
            <w:r w:rsidRPr="00583DB5">
              <w:rPr>
                <w:rFonts w:eastAsiaTheme="minorEastAsia"/>
                <w:lang w:eastAsia="en-AU"/>
              </w:rPr>
              <w:t>(364 576)</w:t>
            </w:r>
          </w:p>
        </w:tc>
      </w:tr>
      <w:tr w:rsidR="00336793" w:rsidRPr="00583DB5" w:rsidTr="00DF0B96">
        <w:trPr>
          <w:trHeight w:hRule="exact" w:val="120"/>
        </w:trPr>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nil"/>
              <w:left w:val="nil"/>
              <w:bottom w:val="nil"/>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annual appropriations gross application</w:t>
            </w:r>
          </w:p>
        </w:tc>
        <w:tc>
          <w:tcPr>
            <w:tcW w:w="153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2 042 500</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2 002 281</w:t>
            </w:r>
          </w:p>
        </w:tc>
        <w:tc>
          <w:tcPr>
            <w:tcW w:w="1120" w:type="dxa"/>
            <w:tcBorders>
              <w:top w:val="nil"/>
              <w:left w:val="nil"/>
              <w:bottom w:val="nil"/>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2 135 176</w:t>
            </w:r>
          </w:p>
        </w:tc>
      </w:tr>
      <w:tr w:rsidR="00336793" w:rsidRPr="00583DB5" w:rsidTr="00DF0B96">
        <w:trPr>
          <w:trHeight w:hRule="exact" w:val="120"/>
        </w:trPr>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 xml:space="preserve"> </w:t>
            </w:r>
          </w:p>
        </w:tc>
      </w:tr>
      <w:tr w:rsidR="00336793" w:rsidRPr="00583DB5" w:rsidTr="00DF0B96">
        <w:tc>
          <w:tcPr>
            <w:tcW w:w="5867" w:type="dxa"/>
            <w:tcBorders>
              <w:top w:val="single" w:sz="6" w:space="0" w:color="auto"/>
              <w:left w:val="nil"/>
              <w:bottom w:val="single" w:sz="6" w:space="0" w:color="auto"/>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Total Parliamentary authority (excluding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lang w:eastAsia="en-AU"/>
              </w:rPr>
              <w:t xml:space="preserve"> Section 33</w:t>
            </w:r>
            <w:r w:rsidRPr="00583DB5">
              <w:rPr>
                <w:rFonts w:eastAsiaTheme="minorEastAsia" w:cs="Calibri"/>
                <w:b/>
                <w:bCs/>
                <w:color w:val="000000"/>
                <w:szCs w:val="22"/>
                <w:lang w:eastAsia="en-AU"/>
              </w:rPr>
              <w:t>)</w:t>
            </w:r>
          </w:p>
        </w:tc>
        <w:tc>
          <w:tcPr>
            <w:tcW w:w="153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3 324 204</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3 283 985</w:t>
            </w:r>
          </w:p>
        </w:tc>
        <w:tc>
          <w:tcPr>
            <w:tcW w:w="1120" w:type="dxa"/>
            <w:tcBorders>
              <w:top w:val="single" w:sz="6" w:space="0" w:color="auto"/>
              <w:left w:val="nil"/>
              <w:bottom w:val="single" w:sz="6" w:space="0" w:color="auto"/>
              <w:right w:val="nil"/>
            </w:tcBorders>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3 420 994</w:t>
            </w:r>
          </w:p>
        </w:tc>
      </w:tr>
      <w:tr w:rsidR="00336793" w:rsidRPr="00583DB5" w:rsidTr="00DF0B96">
        <w:tc>
          <w:tcPr>
            <w:tcW w:w="5867" w:type="dxa"/>
            <w:tcBorders>
              <w:top w:val="nil"/>
              <w:left w:val="nil"/>
              <w:bottom w:val="single" w:sz="6" w:space="0" w:color="auto"/>
              <w:right w:val="nil"/>
            </w:tcBorders>
          </w:tcPr>
          <w:p w:rsidR="00336793" w:rsidRPr="00583DB5" w:rsidRDefault="00336793" w:rsidP="00DF0B96">
            <w:pPr>
              <w:pStyle w:val="Tabletext"/>
              <w:rPr>
                <w:rFonts w:eastAsiaTheme="minorEastAsia" w:cs="Calibri"/>
                <w:b/>
                <w:bCs/>
                <w:color w:val="000000"/>
                <w:szCs w:val="22"/>
                <w:lang w:eastAsia="en-AU"/>
              </w:rPr>
            </w:pPr>
            <w:r w:rsidRPr="00583DB5">
              <w:rPr>
                <w:rFonts w:eastAsiaTheme="minorEastAsia"/>
                <w:b/>
                <w:bCs/>
                <w:lang w:eastAsia="en-AU"/>
              </w:rPr>
              <w:t xml:space="preserve">Amounts issued under the authority of the </w:t>
            </w:r>
            <w:r w:rsidRPr="00583DB5">
              <w:rPr>
                <w:rFonts w:eastAsiaTheme="minorEastAsia"/>
                <w:b/>
                <w:bCs/>
                <w:i/>
                <w:lang w:eastAsia="en-AU"/>
              </w:rPr>
              <w:t xml:space="preserve">Financial Management Act, </w:t>
            </w:r>
            <w:r w:rsidRPr="00062260">
              <w:rPr>
                <w:rFonts w:eastAsiaTheme="minorEastAsia"/>
                <w:b/>
                <w:bCs/>
                <w:i/>
                <w:lang w:eastAsia="en-AU"/>
              </w:rPr>
              <w:t>No. 18 of 1994</w:t>
            </w:r>
            <w:r w:rsidRPr="00583DB5">
              <w:rPr>
                <w:rFonts w:eastAsiaTheme="minorEastAsia"/>
                <w:b/>
                <w:bCs/>
                <w:lang w:eastAsia="en-AU"/>
              </w:rPr>
              <w:t xml:space="preserve">, Section 33 (Special Appropriation) relating to prior year </w:t>
            </w:r>
            <w:r w:rsidRPr="00583DB5">
              <w:rPr>
                <w:rFonts w:eastAsiaTheme="minorEastAsia" w:cs="Calibri"/>
                <w:b/>
                <w:bCs/>
                <w:color w:val="000000"/>
                <w:szCs w:val="22"/>
                <w:lang w:eastAsia="en-AU"/>
              </w:rPr>
              <w:t>appropriations</w:t>
            </w:r>
          </w:p>
        </w:tc>
        <w:tc>
          <w:tcPr>
            <w:tcW w:w="153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w:t>
            </w:r>
          </w:p>
        </w:tc>
        <w:tc>
          <w:tcPr>
            <w:tcW w:w="1120" w:type="dxa"/>
            <w:tcBorders>
              <w:top w:val="nil"/>
              <w:left w:val="nil"/>
              <w:bottom w:val="single" w:sz="6" w:space="0" w:color="auto"/>
              <w:right w:val="nil"/>
            </w:tcBorders>
          </w:tcPr>
          <w:p w:rsidR="00336793" w:rsidRPr="00583DB5" w:rsidRDefault="00336793" w:rsidP="00DF0B96">
            <w:pPr>
              <w:pStyle w:val="TableofFigures"/>
              <w:rPr>
                <w:rFonts w:eastAsiaTheme="minorEastAsia"/>
                <w:b/>
                <w:lang w:eastAsia="en-AU"/>
              </w:rPr>
            </w:pPr>
            <w:r w:rsidRPr="00583DB5">
              <w:rPr>
                <w:rFonts w:eastAsiaTheme="minorEastAsia"/>
                <w:b/>
                <w:lang w:eastAsia="en-AU"/>
              </w:rPr>
              <w:t>..</w:t>
            </w:r>
          </w:p>
        </w:tc>
      </w:tr>
      <w:tr w:rsidR="00336793" w:rsidRPr="00583DB5" w:rsidTr="00DF0B96">
        <w:tc>
          <w:tcPr>
            <w:tcW w:w="5867"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text"/>
              <w:rPr>
                <w:rFonts w:eastAsiaTheme="minorEastAsia"/>
                <w:b/>
                <w:bCs/>
                <w:lang w:eastAsia="en-AU"/>
              </w:rPr>
            </w:pPr>
            <w:r w:rsidRPr="00583DB5">
              <w:rPr>
                <w:rFonts w:eastAsiaTheme="minorEastAsia"/>
                <w:b/>
                <w:bCs/>
                <w:lang w:eastAsia="en-AU"/>
              </w:rPr>
              <w:t>Total Parliamentary authority</w:t>
            </w:r>
          </w:p>
        </w:tc>
        <w:tc>
          <w:tcPr>
            <w:tcW w:w="153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3 324 204</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3 283 985</w:t>
            </w:r>
          </w:p>
        </w:tc>
        <w:tc>
          <w:tcPr>
            <w:tcW w:w="1120" w:type="dxa"/>
            <w:tcBorders>
              <w:top w:val="single" w:sz="6" w:space="0" w:color="auto"/>
              <w:left w:val="nil"/>
              <w:bottom w:val="single" w:sz="12" w:space="0" w:color="000000"/>
              <w:right w:val="nil"/>
            </w:tcBorders>
            <w:shd w:val="clear" w:color="auto" w:fill="auto"/>
          </w:tcPr>
          <w:p w:rsidR="00336793" w:rsidRPr="00583DB5" w:rsidRDefault="00336793" w:rsidP="00DF0B96">
            <w:pPr>
              <w:pStyle w:val="TableofFigures"/>
              <w:rPr>
                <w:rFonts w:eastAsiaTheme="minorEastAsia"/>
                <w:b/>
                <w:bCs/>
                <w:lang w:eastAsia="en-AU"/>
              </w:rPr>
            </w:pPr>
            <w:r w:rsidRPr="00583DB5">
              <w:rPr>
                <w:rFonts w:eastAsiaTheme="minorEastAsia"/>
                <w:b/>
                <w:bCs/>
                <w:lang w:eastAsia="en-AU"/>
              </w:rPr>
              <w:t>3 420 994</w:t>
            </w:r>
          </w:p>
        </w:tc>
      </w:tr>
    </w:tbl>
    <w:p w:rsidR="00336793" w:rsidRPr="006A75A2" w:rsidRDefault="00336793" w:rsidP="00DF0B96">
      <w:pPr>
        <w:pStyle w:val="Notes"/>
      </w:pPr>
    </w:p>
    <w:p w:rsidR="00336793" w:rsidRDefault="00336793" w:rsidP="00DF0B96"/>
    <w:p w:rsidR="00336793" w:rsidRDefault="00336793" w:rsidP="00DF0B96">
      <w:r>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Tableheading"/>
      </w:pPr>
      <w:r>
        <w:t>(y</w:t>
      </w:r>
      <w:r w:rsidRPr="006A75A2">
        <w:t>)</w:t>
      </w:r>
      <w:r w:rsidRPr="006A75A2">
        <w:tab/>
        <w:t xml:space="preserve">Parliamentary authority – </w:t>
      </w:r>
      <w:r>
        <w:t>Courts</w:t>
      </w:r>
    </w:p>
    <w:p w:rsidR="00336793" w:rsidRPr="00A10A3B" w:rsidRDefault="00336793" w:rsidP="00DF0B96">
      <w:pPr>
        <w:pStyle w:val="million"/>
        <w:rPr>
          <w:rFonts w:ascii="Times New Roman" w:hAnsi="Times New Roman"/>
          <w:i w:val="0"/>
          <w:szCs w:val="20"/>
          <w:lang w:eastAsia="en-AU"/>
        </w:rPr>
      </w:pPr>
      <w:r w:rsidRPr="006A75A2">
        <w:t>($</w:t>
      </w:r>
      <w:r>
        <w:t> thousand)</w:t>
      </w:r>
    </w:p>
    <w:tbl>
      <w:tblPr>
        <w:tblW w:w="9637" w:type="dxa"/>
        <w:tblInd w:w="28" w:type="dxa"/>
        <w:tblLayout w:type="fixed"/>
        <w:tblCellMar>
          <w:left w:w="45" w:type="dxa"/>
          <w:right w:w="45" w:type="dxa"/>
        </w:tblCellMar>
        <w:tblLook w:val="0000" w:firstRow="0" w:lastRow="0" w:firstColumn="0" w:lastColumn="0" w:noHBand="0" w:noVBand="0"/>
      </w:tblPr>
      <w:tblGrid>
        <w:gridCol w:w="5867"/>
        <w:gridCol w:w="1530"/>
        <w:gridCol w:w="1120"/>
        <w:gridCol w:w="1120"/>
      </w:tblGrid>
      <w:tr w:rsidR="00336793" w:rsidRPr="00A10A3B" w:rsidTr="00DF0B96">
        <w:trPr>
          <w:tblHeader/>
        </w:trPr>
        <w:tc>
          <w:tcPr>
            <w:tcW w:w="5867" w:type="dxa"/>
            <w:tcBorders>
              <w:top w:val="single" w:sz="6" w:space="0" w:color="000000"/>
              <w:left w:val="single" w:sz="6" w:space="0" w:color="000000"/>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530" w:type="dxa"/>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 xml:space="preserve">Parliamentary </w:t>
            </w:r>
          </w:p>
        </w:tc>
        <w:tc>
          <w:tcPr>
            <w:tcW w:w="1120" w:type="dxa"/>
            <w:tcBorders>
              <w:top w:val="single" w:sz="6" w:space="0" w:color="000000"/>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Amounts</w:t>
            </w:r>
          </w:p>
        </w:tc>
        <w:tc>
          <w:tcPr>
            <w:tcW w:w="1120" w:type="dxa"/>
            <w:tcBorders>
              <w:top w:val="single" w:sz="6" w:space="0" w:color="000000"/>
              <w:left w:val="nil"/>
              <w:bottom w:val="nil"/>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Amounts</w:t>
            </w:r>
          </w:p>
        </w:tc>
      </w:tr>
      <w:tr w:rsidR="00336793" w:rsidRPr="00A10A3B" w:rsidTr="00DF0B96">
        <w:trPr>
          <w:tblHeader/>
        </w:trPr>
        <w:tc>
          <w:tcPr>
            <w:tcW w:w="5867" w:type="dxa"/>
            <w:tcBorders>
              <w:top w:val="nil"/>
              <w:left w:val="single" w:sz="6" w:space="0" w:color="000000"/>
              <w:bottom w:val="nil"/>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530" w:type="dxa"/>
            <w:tcBorders>
              <w:top w:val="nil"/>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authority</w:t>
            </w:r>
          </w:p>
        </w:tc>
        <w:tc>
          <w:tcPr>
            <w:tcW w:w="1120" w:type="dxa"/>
            <w:tcBorders>
              <w:top w:val="nil"/>
              <w:left w:val="nil"/>
              <w:bottom w:val="nil"/>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applied</w:t>
            </w:r>
          </w:p>
        </w:tc>
        <w:tc>
          <w:tcPr>
            <w:tcW w:w="1120" w:type="dxa"/>
            <w:tcBorders>
              <w:top w:val="nil"/>
              <w:left w:val="nil"/>
              <w:bottom w:val="nil"/>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applied</w:t>
            </w:r>
          </w:p>
        </w:tc>
      </w:tr>
      <w:tr w:rsidR="00336793" w:rsidRPr="00A10A3B" w:rsidTr="00DF0B96">
        <w:trPr>
          <w:tblHeader/>
        </w:trPr>
        <w:tc>
          <w:tcPr>
            <w:tcW w:w="5867" w:type="dxa"/>
            <w:tcBorders>
              <w:top w:val="nil"/>
              <w:left w:val="single" w:sz="6" w:space="0" w:color="000000"/>
              <w:bottom w:val="single" w:sz="6" w:space="0" w:color="000000"/>
              <w:right w:val="nil"/>
            </w:tcBorders>
            <w:shd w:val="clear" w:color="000000" w:fill="000000"/>
            <w:vAlign w:val="bottom"/>
          </w:tcPr>
          <w:p w:rsidR="00336793" w:rsidRPr="00A10A3B" w:rsidRDefault="00336793" w:rsidP="00DF0B96">
            <w:pPr>
              <w:pStyle w:val="Tabletext"/>
              <w:rPr>
                <w:rFonts w:eastAsiaTheme="minorEastAsia"/>
                <w:i/>
                <w:lang w:eastAsia="en-AU"/>
              </w:rPr>
            </w:pPr>
            <w:r w:rsidRPr="00A10A3B">
              <w:rPr>
                <w:rFonts w:eastAsiaTheme="minorEastAsia"/>
                <w:i/>
                <w:lang w:eastAsia="en-AU"/>
              </w:rPr>
              <w:t xml:space="preserve"> </w:t>
            </w:r>
          </w:p>
        </w:tc>
        <w:tc>
          <w:tcPr>
            <w:tcW w:w="1530" w:type="dxa"/>
            <w:tcBorders>
              <w:top w:val="nil"/>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top w:val="nil"/>
              <w:left w:val="nil"/>
              <w:bottom w:val="single" w:sz="6" w:space="0" w:color="000000"/>
              <w:right w:val="nil"/>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2015</w:t>
            </w:r>
          </w:p>
        </w:tc>
        <w:tc>
          <w:tcPr>
            <w:tcW w:w="1120" w:type="dxa"/>
            <w:tcBorders>
              <w:top w:val="nil"/>
              <w:left w:val="nil"/>
              <w:bottom w:val="single" w:sz="6" w:space="0" w:color="000000"/>
              <w:right w:val="single" w:sz="6" w:space="0" w:color="000000"/>
            </w:tcBorders>
            <w:shd w:val="clear" w:color="000000" w:fill="000000"/>
            <w:vAlign w:val="bottom"/>
          </w:tcPr>
          <w:p w:rsidR="00336793" w:rsidRPr="00A10A3B" w:rsidRDefault="00336793" w:rsidP="00DF0B96">
            <w:pPr>
              <w:pStyle w:val="Tabletextheading"/>
              <w:rPr>
                <w:rFonts w:eastAsiaTheme="minorEastAsia"/>
                <w:color w:val="FFFFFF"/>
                <w:lang w:eastAsia="en-AU"/>
              </w:rPr>
            </w:pPr>
            <w:r w:rsidRPr="00A10A3B">
              <w:rPr>
                <w:rFonts w:eastAsiaTheme="minorEastAsia"/>
                <w:color w:val="FFFFFF"/>
                <w:lang w:eastAsia="en-AU"/>
              </w:rPr>
              <w:t>2014</w:t>
            </w:r>
          </w:p>
        </w:tc>
      </w:tr>
      <w:tr w:rsidR="00336793" w:rsidRPr="00A10A3B" w:rsidTr="00DF0B96">
        <w:tc>
          <w:tcPr>
            <w:tcW w:w="5867" w:type="dxa"/>
            <w:tcBorders>
              <w:top w:val="single" w:sz="6" w:space="0" w:color="000000"/>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Special appropriations</w:t>
            </w:r>
          </w:p>
        </w:tc>
        <w:tc>
          <w:tcPr>
            <w:tcW w:w="1530" w:type="dxa"/>
            <w:tcBorders>
              <w:top w:val="single" w:sz="6" w:space="0" w:color="000000"/>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single" w:sz="6" w:space="0" w:color="000000"/>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single" w:sz="6" w:space="0" w:color="000000"/>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color w:val="000000"/>
                <w:szCs w:val="22"/>
                <w:lang w:eastAsia="en-AU"/>
              </w:rPr>
            </w:pPr>
            <w:r w:rsidRPr="005A4C04">
              <w:rPr>
                <w:rFonts w:eastAsiaTheme="minorEastAsia"/>
                <w:i/>
                <w:lang w:eastAsia="en-AU"/>
              </w:rPr>
              <w:t>Constitution Act</w:t>
            </w:r>
            <w:r>
              <w:rPr>
                <w:rFonts w:eastAsiaTheme="minorEastAsia"/>
                <w:i/>
                <w:lang w:eastAsia="en-AU"/>
              </w:rPr>
              <w:t>,</w:t>
            </w:r>
            <w:r w:rsidRPr="005A4C04">
              <w:rPr>
                <w:rFonts w:eastAsiaTheme="minorEastAsia"/>
                <w:i/>
                <w:lang w:eastAsia="en-AU"/>
              </w:rPr>
              <w:t xml:space="preserve"> No. 8750 of 1975</w:t>
            </w:r>
            <w:r w:rsidRPr="00A10A3B">
              <w:rPr>
                <w:rFonts w:eastAsiaTheme="minorEastAsia"/>
                <w:lang w:eastAsia="en-AU"/>
              </w:rPr>
              <w:t xml:space="preserve"> – Chief</w:t>
            </w:r>
            <w:r w:rsidRPr="00A10A3B">
              <w:rPr>
                <w:rFonts w:eastAsiaTheme="minorEastAsia" w:cs="Calibri"/>
                <w:iCs/>
                <w:color w:val="000000"/>
                <w:szCs w:val="22"/>
                <w:lang w:eastAsia="en-AU"/>
              </w:rPr>
              <w:t xml:space="preserve"> </w:t>
            </w:r>
            <w:r w:rsidRPr="00A10A3B">
              <w:rPr>
                <w:rFonts w:eastAsiaTheme="minorEastAsia" w:cs="Calibri"/>
                <w:color w:val="000000"/>
                <w:szCs w:val="22"/>
                <w:lang w:eastAsia="en-AU"/>
              </w:rPr>
              <w:t>Justice</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564</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564</w:t>
            </w:r>
          </w:p>
        </w:tc>
        <w:tc>
          <w:tcPr>
            <w:tcW w:w="1120" w:type="dxa"/>
            <w:tcBorders>
              <w:top w:val="nil"/>
              <w:left w:val="nil"/>
              <w:bottom w:val="nil"/>
              <w:right w:val="nil"/>
            </w:tcBorders>
          </w:tcPr>
          <w:p w:rsidR="00336793" w:rsidRPr="00A10A3B" w:rsidRDefault="00336793" w:rsidP="00DF0B96">
            <w:pPr>
              <w:pStyle w:val="TableofFigures"/>
              <w:rPr>
                <w:rFonts w:eastAsiaTheme="minorEastAsia"/>
                <w:i/>
                <w:lang w:eastAsia="en-AU"/>
              </w:rPr>
            </w:pPr>
            <w:r w:rsidRPr="00A10A3B">
              <w:rPr>
                <w:rFonts w:eastAsiaTheme="minorEastAsia"/>
                <w:i/>
                <w:lang w:eastAsia="en-AU"/>
              </w:rPr>
              <w:t>..</w:t>
            </w:r>
          </w:p>
        </w:tc>
      </w:tr>
      <w:tr w:rsidR="00336793" w:rsidRPr="00A10A3B" w:rsidTr="00DF0B96">
        <w:tc>
          <w:tcPr>
            <w:tcW w:w="586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color w:val="000000"/>
                <w:szCs w:val="22"/>
                <w:lang w:eastAsia="en-AU"/>
              </w:rPr>
            </w:pPr>
            <w:r w:rsidRPr="00A10A3B">
              <w:rPr>
                <w:rFonts w:eastAsiaTheme="minorEastAsia"/>
                <w:i/>
                <w:lang w:eastAsia="en-AU"/>
              </w:rPr>
              <w:t>Constitution Act</w:t>
            </w:r>
            <w:r>
              <w:rPr>
                <w:rFonts w:eastAsiaTheme="minorEastAsia"/>
                <w:i/>
                <w:lang w:eastAsia="en-AU"/>
              </w:rPr>
              <w:t>,</w:t>
            </w:r>
            <w:r w:rsidRPr="00A10A3B">
              <w:rPr>
                <w:rFonts w:eastAsiaTheme="minorEastAsia"/>
                <w:i/>
                <w:lang w:eastAsia="en-AU"/>
              </w:rPr>
              <w:t xml:space="preserve"> </w:t>
            </w:r>
            <w:r>
              <w:rPr>
                <w:rFonts w:eastAsiaTheme="minorEastAsia"/>
                <w:i/>
                <w:lang w:eastAsia="en-AU"/>
              </w:rPr>
              <w:t>No. </w:t>
            </w:r>
            <w:r w:rsidRPr="0041027B">
              <w:rPr>
                <w:rFonts w:eastAsiaTheme="minorEastAsia"/>
                <w:i/>
                <w:lang w:eastAsia="en-AU"/>
              </w:rPr>
              <w:t>8750</w:t>
            </w:r>
            <w:r w:rsidRPr="005A4C04">
              <w:rPr>
                <w:rFonts w:eastAsiaTheme="minorEastAsia"/>
                <w:i/>
                <w:lang w:eastAsia="en-AU"/>
              </w:rPr>
              <w:t xml:space="preserve"> of 1975</w:t>
            </w:r>
            <w:r w:rsidRPr="00A10A3B">
              <w:rPr>
                <w:rFonts w:eastAsiaTheme="minorEastAsia"/>
                <w:lang w:eastAsia="en-AU"/>
              </w:rPr>
              <w:t xml:space="preserve"> – President Court of</w:t>
            </w:r>
            <w:r w:rsidRPr="00A10A3B">
              <w:rPr>
                <w:rFonts w:eastAsiaTheme="minorEastAsia" w:cs="Calibri"/>
                <w:i/>
                <w:iCs/>
                <w:color w:val="000000"/>
                <w:szCs w:val="22"/>
                <w:lang w:eastAsia="en-AU"/>
              </w:rPr>
              <w:t xml:space="preserve"> </w:t>
            </w:r>
            <w:r w:rsidRPr="00A10A3B">
              <w:rPr>
                <w:rFonts w:eastAsiaTheme="minorEastAsia" w:cs="Calibri"/>
                <w:color w:val="000000"/>
                <w:szCs w:val="22"/>
                <w:lang w:eastAsia="en-AU"/>
              </w:rPr>
              <w:t>Appeal</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489</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489</w:t>
            </w:r>
          </w:p>
        </w:tc>
        <w:tc>
          <w:tcPr>
            <w:tcW w:w="1120" w:type="dxa"/>
            <w:tcBorders>
              <w:top w:val="nil"/>
              <w:left w:val="nil"/>
              <w:bottom w:val="nil"/>
              <w:right w:val="nil"/>
            </w:tcBorders>
          </w:tcPr>
          <w:p w:rsidR="00336793" w:rsidRPr="00A10A3B" w:rsidRDefault="00336793" w:rsidP="00DF0B96">
            <w:pPr>
              <w:pStyle w:val="TableofFigures"/>
              <w:rPr>
                <w:rFonts w:eastAsiaTheme="minorEastAsia"/>
                <w:i/>
                <w:lang w:eastAsia="en-AU"/>
              </w:rPr>
            </w:pPr>
            <w:r w:rsidRPr="00A10A3B">
              <w:rPr>
                <w:rFonts w:eastAsiaTheme="minorEastAsia"/>
                <w:i/>
                <w:lang w:eastAsia="en-AU"/>
              </w:rPr>
              <w:t>..</w:t>
            </w:r>
          </w:p>
        </w:tc>
      </w:tr>
      <w:tr w:rsidR="00336793" w:rsidRPr="00A10A3B" w:rsidTr="00DF0B96">
        <w:tc>
          <w:tcPr>
            <w:tcW w:w="586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color w:val="000000"/>
                <w:szCs w:val="22"/>
                <w:lang w:eastAsia="en-AU"/>
              </w:rPr>
            </w:pPr>
            <w:r w:rsidRPr="005A4C04">
              <w:rPr>
                <w:rFonts w:eastAsiaTheme="minorEastAsia"/>
                <w:i/>
                <w:lang w:eastAsia="en-AU"/>
              </w:rPr>
              <w:t>Constitution Act</w:t>
            </w:r>
            <w:r>
              <w:rPr>
                <w:rFonts w:eastAsiaTheme="minorEastAsia"/>
                <w:i/>
                <w:lang w:eastAsia="en-AU"/>
              </w:rPr>
              <w:t>,</w:t>
            </w:r>
            <w:r w:rsidRPr="005A4C04">
              <w:rPr>
                <w:rFonts w:eastAsiaTheme="minorEastAsia"/>
                <w:i/>
                <w:lang w:eastAsia="en-AU"/>
              </w:rPr>
              <w:t xml:space="preserve"> No. 8750 of 1975</w:t>
            </w:r>
            <w:r w:rsidRPr="005A4C04">
              <w:rPr>
                <w:rFonts w:eastAsiaTheme="minorEastAsia"/>
                <w:lang w:eastAsia="en-AU"/>
              </w:rPr>
              <w:t xml:space="preserve"> </w:t>
            </w:r>
            <w:r w:rsidRPr="00A10A3B">
              <w:rPr>
                <w:rFonts w:eastAsiaTheme="minorEastAsia"/>
                <w:lang w:eastAsia="en-AU"/>
              </w:rPr>
              <w:t>– Judges Court of</w:t>
            </w:r>
            <w:r w:rsidRPr="00A10A3B">
              <w:rPr>
                <w:rFonts w:eastAsiaTheme="minorEastAsia" w:cs="Calibri"/>
                <w:iCs/>
                <w:color w:val="000000"/>
                <w:szCs w:val="22"/>
                <w:lang w:eastAsia="en-AU"/>
              </w:rPr>
              <w:t xml:space="preserve"> </w:t>
            </w:r>
            <w:r w:rsidRPr="00A10A3B">
              <w:rPr>
                <w:rFonts w:eastAsiaTheme="minorEastAsia" w:cs="Calibri"/>
                <w:color w:val="000000"/>
                <w:szCs w:val="22"/>
                <w:lang w:eastAsia="en-AU"/>
              </w:rPr>
              <w:t>Appeal</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6 252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6 252</w:t>
            </w:r>
          </w:p>
        </w:tc>
        <w:tc>
          <w:tcPr>
            <w:tcW w:w="1120" w:type="dxa"/>
            <w:tcBorders>
              <w:top w:val="nil"/>
              <w:left w:val="nil"/>
              <w:bottom w:val="nil"/>
              <w:right w:val="nil"/>
            </w:tcBorders>
          </w:tcPr>
          <w:p w:rsidR="00336793" w:rsidRPr="00A10A3B" w:rsidRDefault="00336793" w:rsidP="00DF0B96">
            <w:pPr>
              <w:pStyle w:val="TableofFigures"/>
              <w:rPr>
                <w:rFonts w:eastAsiaTheme="minorEastAsia"/>
                <w:i/>
                <w:lang w:eastAsia="en-AU"/>
              </w:rPr>
            </w:pPr>
            <w:r w:rsidRPr="00A10A3B">
              <w:rPr>
                <w:rFonts w:eastAsiaTheme="minorEastAsia"/>
                <w:i/>
                <w:lang w:eastAsia="en-AU"/>
              </w:rPr>
              <w:t>..</w:t>
            </w:r>
          </w:p>
        </w:tc>
      </w:tr>
      <w:tr w:rsidR="00336793" w:rsidRPr="00A10A3B" w:rsidTr="00DF0B96">
        <w:tc>
          <w:tcPr>
            <w:tcW w:w="586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color w:val="000000"/>
                <w:szCs w:val="22"/>
                <w:lang w:eastAsia="en-AU"/>
              </w:rPr>
            </w:pPr>
            <w:r w:rsidRPr="005A4C04">
              <w:rPr>
                <w:rFonts w:eastAsiaTheme="minorEastAsia"/>
                <w:i/>
                <w:lang w:eastAsia="en-AU"/>
              </w:rPr>
              <w:t>Constitution Act</w:t>
            </w:r>
            <w:r>
              <w:rPr>
                <w:rFonts w:eastAsiaTheme="minorEastAsia"/>
                <w:i/>
                <w:lang w:eastAsia="en-AU"/>
              </w:rPr>
              <w:t>,</w:t>
            </w:r>
            <w:r w:rsidRPr="005A4C04">
              <w:rPr>
                <w:rFonts w:eastAsiaTheme="minorEastAsia"/>
                <w:i/>
                <w:lang w:eastAsia="en-AU"/>
              </w:rPr>
              <w:t xml:space="preserve"> No. 8750 of 1975</w:t>
            </w:r>
            <w:r w:rsidRPr="00A10A3B">
              <w:rPr>
                <w:rFonts w:eastAsiaTheme="minorEastAsia"/>
                <w:lang w:eastAsia="en-AU"/>
              </w:rPr>
              <w:t xml:space="preserve"> – Judges Supreme</w:t>
            </w:r>
            <w:r w:rsidRPr="00A10A3B">
              <w:rPr>
                <w:rFonts w:eastAsiaTheme="minorEastAsia" w:cs="Calibri"/>
                <w:i/>
                <w:iCs/>
                <w:color w:val="000000"/>
                <w:szCs w:val="22"/>
                <w:lang w:eastAsia="en-AU"/>
              </w:rPr>
              <w:t xml:space="preserve"> </w:t>
            </w:r>
            <w:r w:rsidRPr="00A10A3B">
              <w:rPr>
                <w:rFonts w:eastAsiaTheme="minorEastAsia" w:cs="Calibri"/>
                <w:color w:val="000000"/>
                <w:szCs w:val="22"/>
                <w:lang w:eastAsia="en-AU"/>
              </w:rPr>
              <w:t>Court</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18 816</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18 816</w:t>
            </w:r>
          </w:p>
        </w:tc>
        <w:tc>
          <w:tcPr>
            <w:tcW w:w="1120" w:type="dxa"/>
            <w:tcBorders>
              <w:top w:val="nil"/>
              <w:left w:val="nil"/>
              <w:bottom w:val="nil"/>
              <w:right w:val="nil"/>
            </w:tcBorders>
          </w:tcPr>
          <w:p w:rsidR="00336793" w:rsidRPr="00A10A3B" w:rsidRDefault="00336793" w:rsidP="00DF0B96">
            <w:pPr>
              <w:pStyle w:val="TableofFigures"/>
              <w:rPr>
                <w:rFonts w:eastAsiaTheme="minorEastAsia"/>
                <w:i/>
                <w:lang w:eastAsia="en-AU"/>
              </w:rPr>
            </w:pPr>
            <w:r w:rsidRPr="00A10A3B">
              <w:rPr>
                <w:rFonts w:eastAsiaTheme="minorEastAsia"/>
                <w:i/>
                <w:lang w:eastAsia="en-AU"/>
              </w:rPr>
              <w:t>..</w:t>
            </w:r>
          </w:p>
        </w:tc>
      </w:tr>
      <w:tr w:rsidR="00336793" w:rsidRPr="00A10A3B" w:rsidTr="00DF0B96">
        <w:tc>
          <w:tcPr>
            <w:tcW w:w="586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color w:val="000000"/>
                <w:szCs w:val="22"/>
                <w:lang w:eastAsia="en-AU"/>
              </w:rPr>
            </w:pPr>
            <w:r w:rsidRPr="00700012">
              <w:rPr>
                <w:rFonts w:eastAsiaTheme="minorEastAsia"/>
                <w:i/>
                <w:lang w:eastAsia="en-AU"/>
              </w:rPr>
              <w:t xml:space="preserve">County Court Act, No. 6230 of 1958 </w:t>
            </w:r>
            <w:r w:rsidRPr="00A10A3B">
              <w:rPr>
                <w:rFonts w:eastAsiaTheme="minorEastAsia"/>
                <w:lang w:eastAsia="en-AU"/>
              </w:rPr>
              <w:t>–</w:t>
            </w:r>
            <w:r w:rsidRPr="00A10A3B">
              <w:rPr>
                <w:rFonts w:eastAsiaTheme="minorEastAsia" w:cs="Calibri"/>
                <w:i/>
                <w:iCs/>
                <w:color w:val="000000"/>
                <w:szCs w:val="22"/>
                <w:lang w:eastAsia="en-AU"/>
              </w:rPr>
              <w:t xml:space="preserve"> </w:t>
            </w:r>
            <w:r w:rsidRPr="00A10A3B">
              <w:rPr>
                <w:rFonts w:eastAsiaTheme="minorEastAsia" w:cs="Calibri"/>
                <w:color w:val="000000"/>
                <w:szCs w:val="22"/>
                <w:lang w:eastAsia="en-AU"/>
              </w:rPr>
              <w:t>Judges</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27 289</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27 289</w:t>
            </w:r>
          </w:p>
        </w:tc>
        <w:tc>
          <w:tcPr>
            <w:tcW w:w="1120" w:type="dxa"/>
            <w:tcBorders>
              <w:top w:val="nil"/>
              <w:left w:val="nil"/>
              <w:bottom w:val="nil"/>
              <w:right w:val="nil"/>
            </w:tcBorders>
          </w:tcPr>
          <w:p w:rsidR="00336793" w:rsidRPr="00A10A3B" w:rsidRDefault="00336793" w:rsidP="00DF0B96">
            <w:pPr>
              <w:pStyle w:val="TableofFigures"/>
              <w:rPr>
                <w:rFonts w:eastAsiaTheme="minorEastAsia"/>
                <w:i/>
                <w:lang w:eastAsia="en-AU"/>
              </w:rPr>
            </w:pPr>
            <w:r w:rsidRPr="00A10A3B">
              <w:rPr>
                <w:rFonts w:eastAsiaTheme="minorEastAsia"/>
                <w:i/>
                <w:lang w:eastAsia="en-AU"/>
              </w:rPr>
              <w:t>..</w:t>
            </w:r>
          </w:p>
        </w:tc>
      </w:tr>
      <w:tr w:rsidR="00336793" w:rsidRPr="00A10A3B" w:rsidTr="00DF0B96">
        <w:tc>
          <w:tcPr>
            <w:tcW w:w="586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color w:val="000000"/>
                <w:szCs w:val="22"/>
                <w:lang w:eastAsia="en-AU"/>
              </w:rPr>
            </w:pPr>
            <w:r w:rsidRPr="00A10A3B">
              <w:rPr>
                <w:rFonts w:eastAsiaTheme="minorEastAsia"/>
                <w:i/>
                <w:lang w:eastAsia="en-AU"/>
              </w:rPr>
              <w:t xml:space="preserve">Juries Act </w:t>
            </w:r>
            <w:r>
              <w:rPr>
                <w:rFonts w:eastAsiaTheme="minorEastAsia"/>
                <w:i/>
                <w:lang w:eastAsia="en-AU"/>
              </w:rPr>
              <w:t>No. 53 of 2000</w:t>
            </w:r>
            <w:r w:rsidRPr="00A10A3B">
              <w:rPr>
                <w:rFonts w:eastAsiaTheme="minorEastAsia"/>
                <w:lang w:eastAsia="en-AU"/>
              </w:rPr>
              <w:t>, Section 59 – Compensation</w:t>
            </w:r>
            <w:r w:rsidRPr="00A10A3B">
              <w:rPr>
                <w:rFonts w:eastAsiaTheme="minorEastAsia" w:cs="Calibri"/>
                <w:iCs/>
                <w:color w:val="000000"/>
                <w:szCs w:val="22"/>
                <w:lang w:eastAsia="en-AU"/>
              </w:rPr>
              <w:t xml:space="preserve"> to </w:t>
            </w:r>
            <w:r w:rsidRPr="00A10A3B">
              <w:rPr>
                <w:rFonts w:eastAsiaTheme="minorEastAsia" w:cs="Calibri"/>
                <w:color w:val="000000"/>
                <w:szCs w:val="22"/>
                <w:lang w:eastAsia="en-AU"/>
              </w:rPr>
              <w:t>Jurors</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w:t>
            </w:r>
          </w:p>
        </w:tc>
        <w:tc>
          <w:tcPr>
            <w:tcW w:w="1120" w:type="dxa"/>
            <w:tcBorders>
              <w:top w:val="nil"/>
              <w:left w:val="nil"/>
              <w:bottom w:val="nil"/>
              <w:right w:val="nil"/>
            </w:tcBorders>
          </w:tcPr>
          <w:p w:rsidR="00336793" w:rsidRPr="00A10A3B" w:rsidRDefault="00336793" w:rsidP="00DF0B96">
            <w:pPr>
              <w:pStyle w:val="TableofFigures"/>
              <w:rPr>
                <w:rFonts w:eastAsiaTheme="minorEastAsia"/>
                <w:i/>
                <w:lang w:eastAsia="en-AU"/>
              </w:rPr>
            </w:pPr>
            <w:r w:rsidRPr="00A10A3B">
              <w:rPr>
                <w:rFonts w:eastAsiaTheme="minorEastAsia"/>
                <w:i/>
                <w:lang w:eastAsia="en-AU"/>
              </w:rPr>
              <w:t>..</w:t>
            </w:r>
          </w:p>
        </w:tc>
      </w:tr>
      <w:tr w:rsidR="00336793" w:rsidRPr="00A10A3B" w:rsidTr="00DF0B96">
        <w:tc>
          <w:tcPr>
            <w:tcW w:w="586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i/>
                <w:iCs/>
                <w:color w:val="000000"/>
                <w:szCs w:val="22"/>
                <w:lang w:eastAsia="en-AU"/>
              </w:rPr>
            </w:pPr>
            <w:r w:rsidRPr="00A10A3B">
              <w:rPr>
                <w:rFonts w:eastAsiaTheme="minorEastAsia"/>
                <w:i/>
                <w:lang w:eastAsia="en-AU"/>
              </w:rPr>
              <w:t xml:space="preserve">Magistrates Court Act </w:t>
            </w:r>
            <w:r>
              <w:rPr>
                <w:rFonts w:eastAsiaTheme="minorEastAsia"/>
                <w:i/>
                <w:lang w:eastAsia="en-AU"/>
              </w:rPr>
              <w:t>No. </w:t>
            </w:r>
            <w:r w:rsidRPr="00A10A3B">
              <w:rPr>
                <w:rFonts w:eastAsiaTheme="minorEastAsia"/>
                <w:i/>
                <w:lang w:eastAsia="en-AU"/>
              </w:rPr>
              <w:t>51 of</w:t>
            </w:r>
            <w:r w:rsidRPr="00A10A3B">
              <w:rPr>
                <w:rFonts w:eastAsiaTheme="minorEastAsia" w:cs="Calibri"/>
                <w:i/>
                <w:iCs/>
                <w:color w:val="000000"/>
                <w:szCs w:val="22"/>
                <w:lang w:eastAsia="en-AU"/>
              </w:rPr>
              <w:t xml:space="preserve"> 1989</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46 352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46 352</w:t>
            </w:r>
          </w:p>
        </w:tc>
        <w:tc>
          <w:tcPr>
            <w:tcW w:w="1120" w:type="dxa"/>
            <w:tcBorders>
              <w:top w:val="nil"/>
              <w:left w:val="nil"/>
              <w:bottom w:val="nil"/>
              <w:right w:val="nil"/>
            </w:tcBorders>
          </w:tcPr>
          <w:p w:rsidR="00336793" w:rsidRPr="00A10A3B" w:rsidRDefault="00336793" w:rsidP="00DF0B96">
            <w:pPr>
              <w:pStyle w:val="TableofFigures"/>
              <w:rPr>
                <w:rFonts w:eastAsiaTheme="minorEastAsia"/>
                <w:i/>
                <w:lang w:eastAsia="en-AU"/>
              </w:rPr>
            </w:pPr>
            <w:r w:rsidRPr="00A10A3B">
              <w:rPr>
                <w:rFonts w:eastAsiaTheme="minorEastAsia"/>
                <w:i/>
                <w:lang w:eastAsia="en-AU"/>
              </w:rPr>
              <w:t>..</w:t>
            </w:r>
          </w:p>
        </w:tc>
      </w:tr>
      <w:tr w:rsidR="00336793" w:rsidRPr="00A10A3B" w:rsidTr="00DF0B96">
        <w:tc>
          <w:tcPr>
            <w:tcW w:w="586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color w:val="000000"/>
                <w:szCs w:val="22"/>
                <w:lang w:eastAsia="en-AU"/>
              </w:rPr>
            </w:pPr>
            <w:r w:rsidRPr="00A10A3B">
              <w:rPr>
                <w:rFonts w:eastAsiaTheme="minorEastAsia"/>
                <w:i/>
                <w:lang w:eastAsia="en-AU"/>
              </w:rPr>
              <w:t xml:space="preserve">Victims of Crime Assistance Act </w:t>
            </w:r>
            <w:r>
              <w:rPr>
                <w:rFonts w:eastAsiaTheme="minorEastAsia"/>
                <w:i/>
                <w:lang w:eastAsia="en-AU"/>
              </w:rPr>
              <w:t>No. </w:t>
            </w:r>
            <w:r w:rsidRPr="00A10A3B">
              <w:rPr>
                <w:rFonts w:eastAsiaTheme="minorEastAsia"/>
                <w:i/>
                <w:lang w:eastAsia="en-AU"/>
              </w:rPr>
              <w:t>81 of</w:t>
            </w:r>
            <w:r w:rsidRPr="00A10A3B">
              <w:rPr>
                <w:rFonts w:eastAsiaTheme="minorEastAsia"/>
                <w:lang w:eastAsia="en-AU"/>
              </w:rPr>
              <w:t xml:space="preserve"> </w:t>
            </w:r>
            <w:r w:rsidRPr="00A10A3B">
              <w:rPr>
                <w:rFonts w:eastAsiaTheme="minorEastAsia"/>
                <w:i/>
                <w:lang w:eastAsia="en-AU"/>
              </w:rPr>
              <w:t>1996,</w:t>
            </w:r>
            <w:r w:rsidRPr="00A10A3B">
              <w:rPr>
                <w:rFonts w:eastAsiaTheme="minorEastAsia"/>
                <w:lang w:eastAsia="en-AU"/>
              </w:rPr>
              <w:t xml:space="preserve"> </w:t>
            </w:r>
            <w:r>
              <w:rPr>
                <w:rFonts w:eastAsiaTheme="minorEastAsia"/>
                <w:lang w:eastAsia="en-AU"/>
              </w:rPr>
              <w:t>Criminal Injuries Compensation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38 650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38 650</w:t>
            </w:r>
          </w:p>
        </w:tc>
        <w:tc>
          <w:tcPr>
            <w:tcW w:w="1120" w:type="dxa"/>
            <w:tcBorders>
              <w:top w:val="nil"/>
              <w:left w:val="nil"/>
              <w:bottom w:val="nil"/>
              <w:right w:val="nil"/>
            </w:tcBorders>
          </w:tcPr>
          <w:p w:rsidR="00336793" w:rsidRPr="00A10A3B" w:rsidRDefault="00336793" w:rsidP="00DF0B96">
            <w:pPr>
              <w:pStyle w:val="TableofFigures"/>
              <w:rPr>
                <w:rFonts w:eastAsiaTheme="minorEastAsia"/>
                <w:i/>
                <w:lang w:eastAsia="en-AU"/>
              </w:rPr>
            </w:pPr>
            <w:r w:rsidRPr="00A10A3B">
              <w:rPr>
                <w:rFonts w:eastAsiaTheme="minorEastAsia"/>
                <w:i/>
                <w:lang w:eastAsia="en-AU"/>
              </w:rPr>
              <w:t>..</w:t>
            </w:r>
          </w:p>
        </w:tc>
      </w:tr>
      <w:tr w:rsidR="00336793" w:rsidRPr="00A10A3B" w:rsidTr="00DF0B96">
        <w:tc>
          <w:tcPr>
            <w:tcW w:w="586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color w:val="000000"/>
                <w:szCs w:val="22"/>
                <w:lang w:eastAsia="en-AU"/>
              </w:rPr>
            </w:pPr>
            <w:r w:rsidRPr="00A10A3B">
              <w:rPr>
                <w:rFonts w:eastAsiaTheme="minorEastAsia"/>
                <w:i/>
                <w:lang w:eastAsia="en-AU"/>
              </w:rPr>
              <w:t xml:space="preserve">Victims of Crime Assistance Act </w:t>
            </w:r>
            <w:r>
              <w:rPr>
                <w:rFonts w:eastAsiaTheme="minorEastAsia"/>
                <w:i/>
                <w:lang w:eastAsia="en-AU"/>
              </w:rPr>
              <w:t>No. </w:t>
            </w:r>
            <w:r w:rsidRPr="00A10A3B">
              <w:rPr>
                <w:rFonts w:eastAsiaTheme="minorEastAsia"/>
                <w:i/>
                <w:lang w:eastAsia="en-AU"/>
              </w:rPr>
              <w:t>81 of</w:t>
            </w:r>
            <w:r w:rsidRPr="00A10A3B">
              <w:rPr>
                <w:rFonts w:eastAsiaTheme="minorEastAsia"/>
                <w:lang w:eastAsia="en-AU"/>
              </w:rPr>
              <w:t xml:space="preserve"> </w:t>
            </w:r>
            <w:r w:rsidRPr="00A10A3B">
              <w:rPr>
                <w:rFonts w:eastAsiaTheme="minorEastAsia"/>
                <w:i/>
                <w:lang w:eastAsia="en-AU"/>
              </w:rPr>
              <w:t>1996,</w:t>
            </w:r>
            <w:r w:rsidRPr="00A10A3B">
              <w:rPr>
                <w:rFonts w:eastAsiaTheme="minorEastAsia"/>
                <w:lang w:eastAsia="en-AU"/>
              </w:rPr>
              <w:t xml:space="preserve"> </w:t>
            </w:r>
            <w:r>
              <w:rPr>
                <w:rFonts w:eastAsiaTheme="minorEastAsia"/>
                <w:lang w:eastAsia="en-AU"/>
              </w:rPr>
              <w:t>Tribunal</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2 780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2 780</w:t>
            </w:r>
          </w:p>
        </w:tc>
        <w:tc>
          <w:tcPr>
            <w:tcW w:w="1120" w:type="dxa"/>
            <w:tcBorders>
              <w:top w:val="nil"/>
              <w:left w:val="nil"/>
              <w:bottom w:val="nil"/>
              <w:right w:val="nil"/>
            </w:tcBorders>
          </w:tcPr>
          <w:p w:rsidR="00336793" w:rsidRPr="00A10A3B" w:rsidRDefault="00336793" w:rsidP="00DF0B96">
            <w:pPr>
              <w:pStyle w:val="TableofFigures"/>
              <w:rPr>
                <w:rFonts w:eastAsiaTheme="minorEastAsia"/>
                <w:i/>
                <w:lang w:eastAsia="en-AU"/>
              </w:rPr>
            </w:pPr>
            <w:r w:rsidRPr="00A10A3B">
              <w:rPr>
                <w:rFonts w:eastAsiaTheme="minorEastAsia"/>
                <w:i/>
                <w:lang w:eastAsia="en-AU"/>
              </w:rPr>
              <w:t>..</w:t>
            </w:r>
          </w:p>
        </w:tc>
      </w:tr>
      <w:tr w:rsidR="00336793" w:rsidRPr="00A10A3B" w:rsidTr="00DF0B96">
        <w:tc>
          <w:tcPr>
            <w:tcW w:w="5867" w:type="dxa"/>
            <w:tcBorders>
              <w:top w:val="nil"/>
              <w:left w:val="nil"/>
              <w:bottom w:val="nil"/>
              <w:right w:val="nil"/>
            </w:tcBorders>
            <w:shd w:val="solid" w:color="FFFFFF" w:fill="auto"/>
          </w:tcPr>
          <w:p w:rsidR="00336793" w:rsidRPr="00A10A3B" w:rsidRDefault="00336793" w:rsidP="00DF0B96">
            <w:pPr>
              <w:pStyle w:val="Tabletext"/>
              <w:rPr>
                <w:rFonts w:eastAsiaTheme="minorEastAsia" w:cs="Calibri"/>
                <w:i/>
                <w:iCs/>
                <w:color w:val="000000"/>
                <w:szCs w:val="22"/>
                <w:lang w:eastAsia="en-AU"/>
              </w:rPr>
            </w:pPr>
            <w:r w:rsidRPr="00A10A3B">
              <w:rPr>
                <w:rFonts w:eastAsiaTheme="minorEastAsia"/>
                <w:i/>
                <w:lang w:eastAsia="en-AU"/>
              </w:rPr>
              <w:t>Victorian Civil and Administrative Tribunal Act 53 of 1998,</w:t>
            </w:r>
            <w:r w:rsidRPr="00A10A3B">
              <w:rPr>
                <w:rFonts w:eastAsiaTheme="minorEastAsia"/>
                <w:lang w:eastAsia="en-AU"/>
              </w:rPr>
              <w:t xml:space="preserve"> Section </w:t>
            </w:r>
            <w:r w:rsidRPr="00A10A3B">
              <w:rPr>
                <w:rFonts w:eastAsiaTheme="minorEastAsia" w:cs="Calibri"/>
                <w:iCs/>
                <w:color w:val="000000"/>
                <w:szCs w:val="22"/>
                <w:lang w:eastAsia="en-AU"/>
              </w:rPr>
              <w:t>17AA</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14 691</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14 691</w:t>
            </w:r>
          </w:p>
        </w:tc>
        <w:tc>
          <w:tcPr>
            <w:tcW w:w="1120" w:type="dxa"/>
            <w:tcBorders>
              <w:top w:val="nil"/>
              <w:left w:val="nil"/>
              <w:bottom w:val="nil"/>
              <w:right w:val="nil"/>
            </w:tcBorders>
          </w:tcPr>
          <w:p w:rsidR="00336793" w:rsidRPr="00A10A3B" w:rsidRDefault="00336793" w:rsidP="00DF0B96">
            <w:pPr>
              <w:pStyle w:val="TableofFigures"/>
              <w:rPr>
                <w:rFonts w:eastAsiaTheme="minorEastAsia"/>
                <w:i/>
                <w:lang w:eastAsia="en-AU"/>
              </w:rPr>
            </w:pPr>
            <w:r w:rsidRPr="00A10A3B">
              <w:rPr>
                <w:rFonts w:eastAsiaTheme="minorEastAsia"/>
                <w:i/>
                <w:lang w:eastAsia="en-AU"/>
              </w:rPr>
              <w:t>..</w:t>
            </w:r>
          </w:p>
        </w:tc>
      </w:tr>
      <w:tr w:rsidR="00336793" w:rsidRPr="00A10A3B" w:rsidTr="00DF0B96">
        <w:tc>
          <w:tcPr>
            <w:tcW w:w="5867" w:type="dxa"/>
            <w:tcBorders>
              <w:top w:val="single" w:sz="6" w:space="0" w:color="auto"/>
              <w:left w:val="nil"/>
              <w:bottom w:val="single" w:sz="6" w:space="0" w:color="auto"/>
              <w:right w:val="nil"/>
            </w:tcBorders>
          </w:tcPr>
          <w:p w:rsidR="00336793" w:rsidRPr="00A10A3B" w:rsidRDefault="00336793" w:rsidP="00DF0B96">
            <w:pPr>
              <w:pStyle w:val="Tabletext"/>
              <w:rPr>
                <w:rFonts w:eastAsiaTheme="minorEastAsia" w:cs="Calibri"/>
                <w:b/>
                <w:bCs/>
                <w:color w:val="000000"/>
                <w:szCs w:val="22"/>
                <w:lang w:eastAsia="en-AU"/>
              </w:rPr>
            </w:pPr>
            <w:r w:rsidRPr="00A10A3B">
              <w:rPr>
                <w:rFonts w:eastAsiaTheme="minorEastAsia"/>
                <w:b/>
                <w:bCs/>
                <w:lang w:eastAsia="en-AU"/>
              </w:rPr>
              <w:t xml:space="preserve">Total special appropriations (excluding </w:t>
            </w:r>
            <w:r w:rsidRPr="00A10A3B">
              <w:rPr>
                <w:rFonts w:eastAsiaTheme="minorEastAsia"/>
                <w:b/>
                <w:bCs/>
                <w:i/>
                <w:lang w:eastAsia="en-AU"/>
              </w:rPr>
              <w:t xml:space="preserve">Financial Management Act, </w:t>
            </w:r>
            <w:r w:rsidRPr="00062260">
              <w:rPr>
                <w:rFonts w:eastAsiaTheme="minorEastAsia"/>
                <w:b/>
                <w:bCs/>
                <w:i/>
                <w:lang w:eastAsia="en-AU"/>
              </w:rPr>
              <w:t>No. 18 of 1994</w:t>
            </w:r>
            <w:r w:rsidRPr="00A10A3B">
              <w:rPr>
                <w:rFonts w:eastAsiaTheme="minorEastAsia"/>
                <w:b/>
                <w:bCs/>
                <w:lang w:eastAsia="en-AU"/>
              </w:rPr>
              <w:t xml:space="preserve"> </w:t>
            </w:r>
            <w:r w:rsidRPr="00A10A3B">
              <w:rPr>
                <w:rFonts w:eastAsiaTheme="minorEastAsia" w:cs="Calibri"/>
                <w:b/>
                <w:bCs/>
                <w:color w:val="000000"/>
                <w:szCs w:val="22"/>
                <w:lang w:eastAsia="en-AU"/>
              </w:rPr>
              <w:t>Section 33)</w:t>
            </w:r>
          </w:p>
        </w:tc>
        <w:tc>
          <w:tcPr>
            <w:tcW w:w="153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155 886</w:t>
            </w:r>
          </w:p>
        </w:tc>
        <w:tc>
          <w:tcPr>
            <w:tcW w:w="112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155 886</w:t>
            </w:r>
          </w:p>
        </w:tc>
        <w:tc>
          <w:tcPr>
            <w:tcW w:w="1120" w:type="dxa"/>
            <w:tcBorders>
              <w:top w:val="single" w:sz="6" w:space="0" w:color="auto"/>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Annual appropriations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Provision of outputs</w:t>
            </w:r>
          </w:p>
        </w:tc>
        <w:tc>
          <w:tcPr>
            <w:tcW w:w="153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lang w:eastAsia="en-AU"/>
              </w:rPr>
            </w:pPr>
            <w:r w:rsidRPr="00A10A3B">
              <w:rPr>
                <w:rFonts w:eastAsiaTheme="minorEastAsia"/>
                <w:b/>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Provision of outputs – net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231 430</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226 627</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i/>
                <w:iCs/>
                <w:color w:val="000000"/>
                <w:szCs w:val="22"/>
                <w:lang w:eastAsia="en-AU"/>
              </w:rPr>
            </w:pPr>
            <w:r w:rsidRPr="00A10A3B">
              <w:rPr>
                <w:rFonts w:eastAsiaTheme="minorEastAsia"/>
                <w:lang w:eastAsia="en-AU"/>
              </w:rPr>
              <w:t xml:space="preserve">Section </w:t>
            </w:r>
            <w:r w:rsidRPr="00A10A3B">
              <w:rPr>
                <w:rFonts w:eastAsiaTheme="minorEastAsia"/>
                <w:i/>
                <w:lang w:eastAsia="en-AU"/>
              </w:rPr>
              <w:t xml:space="preserve">29 Financial Management Act, </w:t>
            </w:r>
            <w:r w:rsidRPr="00062260">
              <w:rPr>
                <w:rFonts w:eastAsiaTheme="minorEastAsia"/>
                <w:i/>
                <w:lang w:eastAsia="en-AU"/>
              </w:rPr>
              <w:t>No. 18 of 1994</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68 602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68 602</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Advance to Treasurer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2 009</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2 009</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provision of outputs – gross application</w:t>
            </w:r>
          </w:p>
        </w:tc>
        <w:tc>
          <w:tcPr>
            <w:tcW w:w="153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302 041</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297 238</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Additions to the net asset base</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Additions to the net asset base – net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5 235</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Advance to Treasurer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55</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55</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additions to the net asset base –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5 290</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55</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r>
      <w:tr w:rsidR="00336793" w:rsidRPr="00A10A3B" w:rsidTr="00DF0B96">
        <w:trPr>
          <w:trHeight w:hRule="exact" w:val="120"/>
        </w:trPr>
        <w:tc>
          <w:tcPr>
            <w:tcW w:w="5867" w:type="dxa"/>
            <w:tcBorders>
              <w:top w:val="nil"/>
              <w:left w:val="nil"/>
              <w:bottom w:val="nil"/>
              <w:right w:val="nil"/>
            </w:tcBorders>
          </w:tcPr>
          <w:p w:rsidR="00336793" w:rsidRPr="00A10A3B" w:rsidRDefault="00336793" w:rsidP="00DF0B96">
            <w:pPr>
              <w:pStyle w:val="Tabletext"/>
              <w:rPr>
                <w:rFonts w:eastAsiaTheme="minorEastAsia"/>
                <w:lang w:eastAsia="en-AU"/>
              </w:rPr>
            </w:pPr>
            <w:r w:rsidRPr="00A10A3B">
              <w:rPr>
                <w:rFonts w:eastAsiaTheme="minorEastAsia"/>
                <w:lang w:eastAsia="en-AU"/>
              </w:rPr>
              <w:t xml:space="preserve"> </w:t>
            </w:r>
          </w:p>
        </w:tc>
        <w:tc>
          <w:tcPr>
            <w:tcW w:w="153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c>
          <w:tcPr>
            <w:tcW w:w="1120" w:type="dxa"/>
            <w:tcBorders>
              <w:top w:val="nil"/>
              <w:left w:val="nil"/>
              <w:bottom w:val="nil"/>
              <w:right w:val="nil"/>
            </w:tcBorders>
          </w:tcPr>
          <w:p w:rsidR="00336793" w:rsidRPr="00A10A3B" w:rsidRDefault="00336793" w:rsidP="00DF0B96">
            <w:pPr>
              <w:pStyle w:val="TableofFigures"/>
              <w:rPr>
                <w:rFonts w:eastAsiaTheme="minorEastAsia"/>
                <w:lang w:eastAsia="en-AU"/>
              </w:rPr>
            </w:pPr>
            <w:r w:rsidRPr="00A10A3B">
              <w:rPr>
                <w:rFonts w:eastAsiaTheme="minorEastAsia"/>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annual appropriations gross application</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307 331</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297 293</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r>
      <w:tr w:rsidR="00336793" w:rsidRPr="00A10A3B" w:rsidTr="00DF0B96">
        <w:trPr>
          <w:trHeight w:hRule="exact" w:val="120"/>
        </w:trPr>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b/>
                <w:bCs/>
                <w:color w:val="000000"/>
                <w:szCs w:val="22"/>
                <w:lang w:eastAsia="en-AU"/>
              </w:rPr>
            </w:pPr>
            <w:r w:rsidRPr="00A10A3B">
              <w:rPr>
                <w:rFonts w:eastAsiaTheme="minorEastAsia"/>
                <w:b/>
                <w:bCs/>
                <w:lang w:eastAsia="en-AU"/>
              </w:rPr>
              <w:t xml:space="preserve">Total Parliamentary authority (excluding </w:t>
            </w:r>
            <w:r w:rsidRPr="00A10A3B">
              <w:rPr>
                <w:rFonts w:eastAsiaTheme="minorEastAsia"/>
                <w:b/>
                <w:bCs/>
                <w:i/>
                <w:lang w:eastAsia="en-AU"/>
              </w:rPr>
              <w:t xml:space="preserve">Financial Management Act, </w:t>
            </w:r>
            <w:r w:rsidRPr="00062260">
              <w:rPr>
                <w:rFonts w:eastAsiaTheme="minorEastAsia"/>
                <w:b/>
                <w:bCs/>
                <w:i/>
                <w:lang w:eastAsia="en-AU"/>
              </w:rPr>
              <w:t>No. 18 of 1994</w:t>
            </w:r>
            <w:r w:rsidRPr="00A10A3B">
              <w:rPr>
                <w:rFonts w:eastAsiaTheme="minorEastAsia"/>
                <w:b/>
                <w:bCs/>
                <w:lang w:eastAsia="en-AU"/>
              </w:rPr>
              <w:t xml:space="preserve"> </w:t>
            </w:r>
            <w:r w:rsidRPr="00A10A3B">
              <w:rPr>
                <w:rFonts w:eastAsiaTheme="minorEastAsia" w:cs="Calibri"/>
                <w:b/>
                <w:bCs/>
                <w:color w:val="000000"/>
                <w:szCs w:val="22"/>
                <w:lang w:eastAsia="en-AU"/>
              </w:rPr>
              <w:t>Section 33)</w:t>
            </w:r>
          </w:p>
        </w:tc>
        <w:tc>
          <w:tcPr>
            <w:tcW w:w="153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463 217</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453 179</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r>
      <w:tr w:rsidR="00336793" w:rsidRPr="00A10A3B" w:rsidTr="00DF0B96">
        <w:trPr>
          <w:trHeight w:hRule="exact" w:val="120"/>
        </w:trPr>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nil"/>
              <w:left w:val="nil"/>
              <w:bottom w:val="nil"/>
              <w:right w:val="nil"/>
            </w:tcBorders>
          </w:tcPr>
          <w:p w:rsidR="00336793" w:rsidRPr="00A10A3B" w:rsidRDefault="00336793" w:rsidP="00DF0B96">
            <w:pPr>
              <w:pStyle w:val="Tabletext"/>
              <w:rPr>
                <w:rFonts w:eastAsiaTheme="minorEastAsia" w:cs="Calibri"/>
                <w:b/>
                <w:bCs/>
                <w:color w:val="000000"/>
                <w:szCs w:val="22"/>
                <w:lang w:eastAsia="en-AU"/>
              </w:rPr>
            </w:pPr>
            <w:r w:rsidRPr="00A10A3B">
              <w:rPr>
                <w:rFonts w:eastAsiaTheme="minorEastAsia"/>
                <w:b/>
                <w:bCs/>
                <w:lang w:eastAsia="en-AU"/>
              </w:rPr>
              <w:t xml:space="preserve">Amounts issued under the authority of the </w:t>
            </w:r>
            <w:r w:rsidRPr="00A10A3B">
              <w:rPr>
                <w:rFonts w:eastAsiaTheme="minorEastAsia"/>
                <w:b/>
                <w:bCs/>
                <w:i/>
                <w:lang w:eastAsia="en-AU"/>
              </w:rPr>
              <w:t xml:space="preserve">Financial Management Act, </w:t>
            </w:r>
            <w:r w:rsidRPr="00062260">
              <w:rPr>
                <w:rFonts w:eastAsiaTheme="minorEastAsia"/>
                <w:b/>
                <w:bCs/>
                <w:i/>
                <w:lang w:eastAsia="en-AU"/>
              </w:rPr>
              <w:t>No. 18 of 1994</w:t>
            </w:r>
            <w:r w:rsidRPr="00A10A3B">
              <w:rPr>
                <w:rFonts w:eastAsiaTheme="minorEastAsia"/>
                <w:b/>
                <w:bCs/>
                <w:i/>
                <w:lang w:eastAsia="en-AU"/>
              </w:rPr>
              <w:t>,</w:t>
            </w:r>
            <w:r w:rsidRPr="00A10A3B">
              <w:rPr>
                <w:rFonts w:eastAsiaTheme="minorEastAsia"/>
                <w:b/>
                <w:bCs/>
                <w:lang w:eastAsia="en-AU"/>
              </w:rPr>
              <w:t xml:space="preserve"> Section 33 (Special Appropriation) relating to prior</w:t>
            </w:r>
            <w:r w:rsidRPr="00A10A3B">
              <w:rPr>
                <w:rFonts w:eastAsiaTheme="minorEastAsia" w:cs="Calibri"/>
                <w:b/>
                <w:bCs/>
                <w:color w:val="000000"/>
                <w:szCs w:val="22"/>
                <w:lang w:eastAsia="en-AU"/>
              </w:rPr>
              <w:t xml:space="preserve"> year appropriations</w:t>
            </w:r>
          </w:p>
        </w:tc>
        <w:tc>
          <w:tcPr>
            <w:tcW w:w="153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c>
          <w:tcPr>
            <w:tcW w:w="1120" w:type="dxa"/>
            <w:tcBorders>
              <w:top w:val="nil"/>
              <w:left w:val="nil"/>
              <w:bottom w:val="nil"/>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c>
          <w:tcPr>
            <w:tcW w:w="1120" w:type="dxa"/>
            <w:tcBorders>
              <w:top w:val="nil"/>
              <w:left w:val="nil"/>
              <w:bottom w:val="nil"/>
              <w:right w:val="nil"/>
            </w:tcBorders>
            <w:shd w:val="solid" w:color="FFFFFF"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r>
      <w:tr w:rsidR="00336793" w:rsidRPr="00A10A3B" w:rsidTr="00DF0B96">
        <w:trPr>
          <w:trHeight w:hRule="exact" w:val="120"/>
        </w:trPr>
        <w:tc>
          <w:tcPr>
            <w:tcW w:w="5867" w:type="dxa"/>
            <w:tcBorders>
              <w:top w:val="nil"/>
              <w:left w:val="nil"/>
              <w:bottom w:val="single" w:sz="6" w:space="0" w:color="auto"/>
              <w:right w:val="nil"/>
            </w:tcBorders>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 xml:space="preserve"> </w:t>
            </w:r>
          </w:p>
        </w:tc>
        <w:tc>
          <w:tcPr>
            <w:tcW w:w="153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c>
          <w:tcPr>
            <w:tcW w:w="1120" w:type="dxa"/>
            <w:tcBorders>
              <w:top w:val="nil"/>
              <w:left w:val="nil"/>
              <w:bottom w:val="single" w:sz="6" w:space="0" w:color="auto"/>
              <w:right w:val="nil"/>
            </w:tcBorders>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w:t>
            </w:r>
          </w:p>
        </w:tc>
      </w:tr>
      <w:tr w:rsidR="00336793" w:rsidRPr="00A10A3B" w:rsidTr="00DF0B96">
        <w:tc>
          <w:tcPr>
            <w:tcW w:w="5867"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text"/>
              <w:rPr>
                <w:rFonts w:eastAsiaTheme="minorEastAsia"/>
                <w:b/>
                <w:bCs/>
                <w:lang w:eastAsia="en-AU"/>
              </w:rPr>
            </w:pPr>
            <w:r w:rsidRPr="00A10A3B">
              <w:rPr>
                <w:rFonts w:eastAsiaTheme="minorEastAsia"/>
                <w:b/>
                <w:bCs/>
                <w:lang w:eastAsia="en-AU"/>
              </w:rPr>
              <w:t>Total Parliamentary authority</w:t>
            </w:r>
          </w:p>
        </w:tc>
        <w:tc>
          <w:tcPr>
            <w:tcW w:w="153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463 217</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 xml:space="preserve"> 453 179</w:t>
            </w:r>
          </w:p>
        </w:tc>
        <w:tc>
          <w:tcPr>
            <w:tcW w:w="1120" w:type="dxa"/>
            <w:tcBorders>
              <w:top w:val="single" w:sz="6" w:space="0" w:color="auto"/>
              <w:left w:val="nil"/>
              <w:bottom w:val="single" w:sz="12" w:space="0" w:color="000000"/>
              <w:right w:val="nil"/>
            </w:tcBorders>
            <w:shd w:val="clear" w:color="auto" w:fill="auto"/>
          </w:tcPr>
          <w:p w:rsidR="00336793" w:rsidRPr="00A10A3B" w:rsidRDefault="00336793" w:rsidP="00DF0B96">
            <w:pPr>
              <w:pStyle w:val="TableofFigures"/>
              <w:rPr>
                <w:rFonts w:eastAsiaTheme="minorEastAsia"/>
                <w:b/>
                <w:bCs/>
                <w:lang w:eastAsia="en-AU"/>
              </w:rPr>
            </w:pPr>
            <w:r w:rsidRPr="00A10A3B">
              <w:rPr>
                <w:rFonts w:eastAsiaTheme="minorEastAsia"/>
                <w:b/>
                <w:bCs/>
                <w:lang w:eastAsia="en-AU"/>
              </w:rPr>
              <w:t>..</w:t>
            </w:r>
          </w:p>
        </w:tc>
      </w:tr>
    </w:tbl>
    <w:p w:rsidR="00336793" w:rsidRPr="005F46AB" w:rsidRDefault="00336793" w:rsidP="00DF0B96">
      <w:pPr>
        <w:pStyle w:val="Notes"/>
      </w:pPr>
    </w:p>
    <w:p w:rsidR="00336793" w:rsidRDefault="00336793" w:rsidP="00DF0B96">
      <w:pPr>
        <w:rPr>
          <w:rFonts w:ascii="Calibri" w:hAnsi="Calibri"/>
          <w:sz w:val="28"/>
          <w:szCs w:val="22"/>
        </w:rPr>
      </w:pPr>
      <w:r>
        <w:br w:type="page"/>
      </w:r>
    </w:p>
    <w:p w:rsidR="00336793" w:rsidRPr="006A75A2" w:rsidRDefault="00336793" w:rsidP="00DF0B96">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336793" w:rsidRPr="006A75A2" w:rsidRDefault="00336793" w:rsidP="00DF0B96">
      <w:pPr>
        <w:pStyle w:val="Heading5"/>
        <w:rPr>
          <w:lang w:eastAsia="en-AU"/>
        </w:rPr>
      </w:pPr>
      <w:r w:rsidRPr="006A75A2">
        <w:rPr>
          <w:lang w:eastAsia="en-AU"/>
        </w:rPr>
        <w:t>(</w:t>
      </w:r>
      <w:r>
        <w:rPr>
          <w:lang w:eastAsia="en-AU"/>
        </w:rPr>
        <w:t>z</w:t>
      </w:r>
      <w:r w:rsidRPr="006A75A2">
        <w:rPr>
          <w:lang w:eastAsia="en-AU"/>
        </w:rPr>
        <w:t>)</w:t>
      </w:r>
      <w:r w:rsidRPr="006A75A2">
        <w:rPr>
          <w:lang w:eastAsia="en-AU"/>
        </w:rPr>
        <w:tab/>
        <w:t>Government guarantee</w:t>
      </w:r>
    </w:p>
    <w:p w:rsidR="00336793" w:rsidRPr="006A75A2" w:rsidRDefault="00336793" w:rsidP="00DF0B96">
      <w:pPr>
        <w:pStyle w:val="Heading4"/>
      </w:pPr>
      <w:r w:rsidRPr="006A75A2">
        <w:t>Details of payments made in fulfilment of any guarantee by the Government</w:t>
      </w:r>
    </w:p>
    <w:p w:rsidR="00336793" w:rsidRPr="006A75A2" w:rsidRDefault="00336793" w:rsidP="00DF0B96">
      <w:r w:rsidRPr="006A75A2">
        <w:t>There have been no payments made during 201</w:t>
      </w:r>
      <w:r>
        <w:t>4</w:t>
      </w:r>
      <w:r>
        <w:noBreakHyphen/>
      </w:r>
      <w:r w:rsidRPr="006A75A2">
        <w:t>1</w:t>
      </w:r>
      <w:r>
        <w:t>5</w:t>
      </w:r>
      <w:r w:rsidRPr="006A75A2">
        <w:t xml:space="preserve"> in fulfilment of any guarantee by the Government.</w:t>
      </w:r>
    </w:p>
    <w:p w:rsidR="00336793" w:rsidRPr="006A75A2" w:rsidRDefault="00336793" w:rsidP="00DF0B96">
      <w:pPr>
        <w:pStyle w:val="Heading4"/>
      </w:pPr>
      <w:r w:rsidRPr="006A75A2">
        <w:t>Money received or recovered in respect of any guarantee payments</w:t>
      </w:r>
    </w:p>
    <w:p w:rsidR="00336793" w:rsidRDefault="00336793" w:rsidP="00DF0B96">
      <w:r w:rsidRPr="006A75A2">
        <w:t>There has been no money recovered during 201</w:t>
      </w:r>
      <w:r>
        <w:t>4</w:t>
      </w:r>
      <w:r>
        <w:noBreakHyphen/>
      </w:r>
      <w:r w:rsidRPr="006A75A2">
        <w:t>1</w:t>
      </w:r>
      <w:r>
        <w:t>5</w:t>
      </w:r>
      <w:r w:rsidRPr="006A75A2">
        <w:t xml:space="preserve"> in respect of any guarantee payments.</w:t>
      </w:r>
    </w:p>
    <w:p w:rsidR="00336793" w:rsidRDefault="00336793" w:rsidP="00DF0B96"/>
    <w:p w:rsidR="00336793" w:rsidRDefault="00336793" w:rsidP="00DF0B96"/>
    <w:p w:rsidR="00336793" w:rsidRPr="006A75A2" w:rsidRDefault="00336793" w:rsidP="00DF0B96">
      <w:pPr>
        <w:spacing w:after="0"/>
        <w:rPr>
          <w:rFonts w:ascii="Calibri" w:hAnsi="Calibri"/>
          <w:b/>
          <w:bCs/>
          <w:sz w:val="28"/>
          <w:szCs w:val="22"/>
        </w:rPr>
      </w:pPr>
      <w:r w:rsidRPr="006A75A2">
        <w:rPr>
          <w:bCs/>
        </w:rPr>
        <w:br w:type="page"/>
      </w:r>
    </w:p>
    <w:p w:rsidR="00336793" w:rsidRPr="008843C6" w:rsidRDefault="00336793" w:rsidP="00DF0B96">
      <w:pPr>
        <w:pStyle w:val="Heading2Notes"/>
      </w:pPr>
      <w:bookmarkStart w:id="124" w:name="_Toc400040287"/>
      <w:bookmarkStart w:id="125" w:name="_Toc421622117"/>
      <w:bookmarkStart w:id="126" w:name="_Toc433984523"/>
      <w:r w:rsidRPr="008843C6">
        <w:lastRenderedPageBreak/>
        <w:t>Note 40:</w:t>
      </w:r>
      <w:r w:rsidRPr="008843C6">
        <w:tab/>
        <w:t>Glossary of technical terms</w:t>
      </w:r>
      <w:bookmarkEnd w:id="124"/>
      <w:bookmarkEnd w:id="125"/>
      <w:bookmarkEnd w:id="126"/>
    </w:p>
    <w:p w:rsidR="00336793" w:rsidRPr="002E5E67" w:rsidRDefault="00336793" w:rsidP="00DF0B96">
      <w:r w:rsidRPr="008843C6">
        <w:t>The following is a summary of the major tech</w:t>
      </w:r>
      <w:r>
        <w:t xml:space="preserve">nical terms used in this report as sourced from the </w:t>
      </w:r>
      <w:r>
        <w:rPr>
          <w:i/>
        </w:rPr>
        <w:t>Uniform Presentation Framework (2008)</w:t>
      </w:r>
      <w:r>
        <w:t xml:space="preserve">. Technical terms that have been discussed in Note 1 are excluded from the list below. </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ABS GFS manual</w:t>
      </w:r>
    </w:p>
    <w:p w:rsidR="00336793" w:rsidRPr="008843C6" w:rsidRDefault="00336793" w:rsidP="00DF0B96">
      <w:r w:rsidRPr="008843C6">
        <w:t xml:space="preserve">The ABS publication </w:t>
      </w:r>
      <w:r w:rsidRPr="008843C6">
        <w:rPr>
          <w:i/>
        </w:rPr>
        <w:t>Australian System of Government Finance Statistics: Concepts, Sources and Methods 2005</w:t>
      </w:r>
      <w:r w:rsidRPr="008843C6">
        <w:t xml:space="preserve"> as updated from time to time.</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Capital grants</w:t>
      </w:r>
    </w:p>
    <w:p w:rsidR="00336793" w:rsidRPr="008843C6" w:rsidRDefault="00336793" w:rsidP="00DF0B96">
      <w:r w:rsidRPr="008843C6">
        <w:t>Transactions in which the ownership of an asset (other than cash and inventories) is transferred from one institutional unit to another, in which cash is transferred to enable the recipient to acquire another asset or in which the funds realised by the disposal of another asset are transferred, for which no economic benefits of equal value are receivable or payable in return.</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Cash surplus/deficit</w:t>
      </w:r>
    </w:p>
    <w:p w:rsidR="00336793" w:rsidRPr="008843C6" w:rsidRDefault="00336793" w:rsidP="00DF0B96">
      <w:r w:rsidRPr="008843C6">
        <w:t xml:space="preserve">Net cash flows from operating activities plus net cash flows from investments in </w:t>
      </w:r>
      <w:r>
        <w:t>non</w:t>
      </w:r>
      <w:r>
        <w:noBreakHyphen/>
      </w:r>
      <w:r w:rsidRPr="008843C6">
        <w:t>financial assets (less dividends paid for the PNFC and PFC sectors).</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Cash surplus/deficit – ABS GFS version</w:t>
      </w:r>
    </w:p>
    <w:p w:rsidR="00336793" w:rsidRPr="008843C6" w:rsidRDefault="00336793" w:rsidP="00DF0B96">
      <w:r w:rsidRPr="008843C6">
        <w:t>Equal to the cash surplus deficit (above) less the value of assets acquired under finance leases and similar arrangements.</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Change in net worth</w:t>
      </w:r>
    </w:p>
    <w:p w:rsidR="00336793" w:rsidRPr="008843C6" w:rsidRDefault="00336793" w:rsidP="00DF0B96">
      <w:r w:rsidRPr="008843C6">
        <w:t>Change in net worth (comprehensive result) is revenue from transactions less expenses from transactions plus other economic flows and measures the variation in a government</w:t>
      </w:r>
      <w:r>
        <w:t>’</w:t>
      </w:r>
      <w:r w:rsidRPr="008843C6">
        <w:t>s accumulated assets and liabilities.</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Comprehensive result</w:t>
      </w:r>
    </w:p>
    <w:p w:rsidR="00336793" w:rsidRPr="008843C6" w:rsidRDefault="00336793" w:rsidP="00DF0B96">
      <w:r w:rsidRPr="008843C6">
        <w:t>Comprehensive result is the amount included in the operating statement representing total change in net worth other than transactions with owners as owners.</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Current grants</w:t>
      </w:r>
    </w:p>
    <w:p w:rsidR="00336793" w:rsidRPr="008843C6" w:rsidRDefault="00336793" w:rsidP="00DF0B96">
      <w:r w:rsidRPr="008843C6">
        <w:t>Amounts payable or receivable for current purposes for which no economic benefits of equal value are receivable or payable in return.</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Effective interest method</w:t>
      </w:r>
    </w:p>
    <w:p w:rsidR="00336793" w:rsidRPr="008843C6" w:rsidRDefault="00336793" w:rsidP="00DF0B96">
      <w:r w:rsidRPr="008843C6">
        <w:t>The effective interest method is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336793" w:rsidRDefault="00336793" w:rsidP="00DF0B96">
      <w:pPr>
        <w:rPr>
          <w:rFonts w:ascii="Calibri" w:hAnsi="Calibri"/>
          <w:b/>
          <w:sz w:val="28"/>
        </w:rPr>
      </w:pPr>
      <w:r>
        <w:rPr>
          <w:rFonts w:ascii="Calibri" w:hAnsi="Calibri"/>
          <w:b/>
          <w:sz w:val="28"/>
        </w:rPr>
        <w:br w:type="page"/>
      </w:r>
    </w:p>
    <w:p w:rsidR="00336793" w:rsidRPr="006F6B92" w:rsidRDefault="00336793" w:rsidP="00DF0B96">
      <w:pPr>
        <w:keepNext/>
        <w:tabs>
          <w:tab w:val="left" w:pos="1152"/>
        </w:tabs>
        <w:spacing w:before="240"/>
        <w:ind w:left="1152" w:hanging="1152"/>
        <w:outlineLvl w:val="1"/>
        <w:rPr>
          <w:rFonts w:ascii="Calibri" w:hAnsi="Calibri"/>
          <w:b/>
          <w:i/>
          <w:sz w:val="28"/>
        </w:rPr>
      </w:pPr>
      <w:r w:rsidRPr="00A3504D">
        <w:rPr>
          <w:rFonts w:ascii="Calibri" w:hAnsi="Calibri"/>
          <w:b/>
          <w:sz w:val="28"/>
        </w:rPr>
        <w:lastRenderedPageBreak/>
        <w:t>Note 40:</w:t>
      </w:r>
      <w:r w:rsidRPr="00A3504D">
        <w:rPr>
          <w:rFonts w:ascii="Calibri" w:hAnsi="Calibri"/>
          <w:b/>
          <w:sz w:val="28"/>
        </w:rPr>
        <w:tab/>
        <w:t xml:space="preserve">Glossary of technical terms </w:t>
      </w:r>
      <w:r w:rsidRPr="00A3504D">
        <w:rPr>
          <w:rFonts w:ascii="Calibri" w:hAnsi="Calibri"/>
          <w:b/>
          <w:i/>
          <w:sz w:val="28"/>
        </w:rPr>
        <w:t>(continued)</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Fiscal aggregates</w:t>
      </w:r>
    </w:p>
    <w:p w:rsidR="00336793" w:rsidRPr="008843C6" w:rsidRDefault="00336793" w:rsidP="00DF0B96">
      <w:r w:rsidRPr="008843C6">
        <w:t xml:space="preserve">Analytical balances that are useful for macroeconomic analysis purposes, including assessing the impact of a government and its sectors on the economy. Key fiscal aggregates defined under ABS GFS manual are required to be disclosed under AASB 1049 </w:t>
      </w:r>
      <w:r w:rsidRPr="008843C6">
        <w:rPr>
          <w:i/>
        </w:rPr>
        <w:t>Whole of Government and General Government Sector Financial Reporting</w:t>
      </w:r>
      <w:r w:rsidRPr="008843C6">
        <w:t>. They are: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Government Finance Statistics</w:t>
      </w:r>
    </w:p>
    <w:p w:rsidR="00336793" w:rsidRPr="008843C6" w:rsidRDefault="00336793" w:rsidP="00DF0B96">
      <w:r w:rsidRPr="008843C6">
        <w:t>Government Finance Statistics (GFS) enables policymakers and analysts to study developments in the financial operations, financial position and liquidity situation of the Government. More details about the GFS can be found in the Australian Bureau of Statistics (ABS) GFS manual</w:t>
      </w:r>
      <w:r w:rsidRPr="008843C6">
        <w:rPr>
          <w:i/>
        </w:rPr>
        <w:t xml:space="preserve"> Australian System of Government Finance Statistics: Concepts, Sources and Methods 2005</w:t>
      </w:r>
      <w:r w:rsidRPr="008843C6">
        <w:t>.</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Grants for on</w:t>
      </w:r>
      <w:r>
        <w:rPr>
          <w:rFonts w:ascii="Calibri" w:hAnsi="Calibri"/>
          <w:b/>
          <w:i/>
          <w:sz w:val="26"/>
        </w:rPr>
        <w:noBreakHyphen/>
      </w:r>
      <w:r w:rsidRPr="008843C6">
        <w:rPr>
          <w:rFonts w:ascii="Calibri" w:hAnsi="Calibri"/>
          <w:b/>
          <w:i/>
          <w:sz w:val="26"/>
        </w:rPr>
        <w:t>passing</w:t>
      </w:r>
    </w:p>
    <w:p w:rsidR="00336793" w:rsidRPr="008843C6" w:rsidRDefault="00336793" w:rsidP="00DF0B96">
      <w:r w:rsidRPr="008843C6">
        <w:t>All grants paid to one institutional sector (e.g. a state</w:t>
      </w:r>
      <w:r>
        <w:noBreakHyphen/>
      </w:r>
      <w:r w:rsidRPr="008843C6">
        <w:t xml:space="preserve">based general government entity) to be passed on to another institutional sector (e.g. local government or a private </w:t>
      </w:r>
      <w:r>
        <w:t>non</w:t>
      </w:r>
      <w:r>
        <w:noBreakHyphen/>
      </w:r>
      <w:r w:rsidRPr="008843C6">
        <w:t>profit institution).</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Infrastructure systems</w:t>
      </w:r>
    </w:p>
    <w:p w:rsidR="00336793" w:rsidRPr="008843C6" w:rsidRDefault="00336793" w:rsidP="00DF0B96">
      <w:r w:rsidRPr="008843C6">
        <w:t>Infrastructure systems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Key fiscal aggregates</w:t>
      </w:r>
    </w:p>
    <w:p w:rsidR="00336793" w:rsidRPr="008843C6" w:rsidRDefault="00336793" w:rsidP="00DF0B96">
      <w:r w:rsidRPr="008843C6">
        <w:t>Referred to as analytical balances in the ABS GFS manual, key fiscal aggregates are data identified as useful for macroeconomic analysis purposes, including assessing the impact of a government and its sectors on the economy. They are:</w:t>
      </w:r>
    </w:p>
    <w:p w:rsidR="00336793" w:rsidRPr="008843C6" w:rsidRDefault="00336793" w:rsidP="00DF0B96">
      <w:pPr>
        <w:numPr>
          <w:ilvl w:val="0"/>
          <w:numId w:val="4"/>
        </w:numPr>
      </w:pPr>
      <w:r w:rsidRPr="008843C6">
        <w:t>opening net worth;</w:t>
      </w:r>
    </w:p>
    <w:p w:rsidR="00336793" w:rsidRPr="008843C6" w:rsidRDefault="00336793" w:rsidP="00DF0B96">
      <w:pPr>
        <w:numPr>
          <w:ilvl w:val="0"/>
          <w:numId w:val="4"/>
        </w:numPr>
      </w:pPr>
      <w:r w:rsidRPr="008843C6">
        <w:t>net operating balance;</w:t>
      </w:r>
    </w:p>
    <w:p w:rsidR="00336793" w:rsidRPr="008843C6" w:rsidRDefault="00336793" w:rsidP="00DF0B96">
      <w:pPr>
        <w:numPr>
          <w:ilvl w:val="0"/>
          <w:numId w:val="4"/>
        </w:numPr>
      </w:pPr>
      <w:r w:rsidRPr="008843C6">
        <w:t>net lending/(borrowing);</w:t>
      </w:r>
    </w:p>
    <w:p w:rsidR="00336793" w:rsidRPr="008843C6" w:rsidRDefault="00336793" w:rsidP="00DF0B96">
      <w:pPr>
        <w:numPr>
          <w:ilvl w:val="0"/>
          <w:numId w:val="4"/>
        </w:numPr>
      </w:pPr>
      <w:r w:rsidRPr="008843C6">
        <w:t>change in net worth due to revaluations;</w:t>
      </w:r>
    </w:p>
    <w:p w:rsidR="00336793" w:rsidRPr="008843C6" w:rsidRDefault="00336793" w:rsidP="00DF0B96">
      <w:pPr>
        <w:numPr>
          <w:ilvl w:val="0"/>
          <w:numId w:val="4"/>
        </w:numPr>
      </w:pPr>
      <w:r w:rsidRPr="008843C6">
        <w:t>change in net worth due to other changes in the volume of assets;</w:t>
      </w:r>
    </w:p>
    <w:p w:rsidR="00336793" w:rsidRPr="008843C6" w:rsidRDefault="00336793" w:rsidP="00DF0B96">
      <w:pPr>
        <w:numPr>
          <w:ilvl w:val="0"/>
          <w:numId w:val="4"/>
        </w:numPr>
      </w:pPr>
      <w:r w:rsidRPr="008843C6">
        <w:t xml:space="preserve">total change in net worth; </w:t>
      </w:r>
    </w:p>
    <w:p w:rsidR="00336793" w:rsidRPr="008843C6" w:rsidRDefault="00336793" w:rsidP="00DF0B96">
      <w:pPr>
        <w:numPr>
          <w:ilvl w:val="0"/>
          <w:numId w:val="4"/>
        </w:numPr>
      </w:pPr>
      <w:r w:rsidRPr="008843C6">
        <w:t>closing net worth; and</w:t>
      </w:r>
    </w:p>
    <w:p w:rsidR="00336793" w:rsidRPr="00804C2C" w:rsidRDefault="00336793" w:rsidP="00DF0B96">
      <w:pPr>
        <w:numPr>
          <w:ilvl w:val="0"/>
          <w:numId w:val="4"/>
        </w:numPr>
      </w:pPr>
      <w:r w:rsidRPr="008843C6">
        <w:t>cash surplus/(deficit).</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Net acquisition of non</w:t>
      </w:r>
      <w:r>
        <w:rPr>
          <w:rFonts w:ascii="Calibri" w:hAnsi="Calibri"/>
          <w:b/>
          <w:i/>
          <w:sz w:val="26"/>
        </w:rPr>
        <w:noBreakHyphen/>
      </w:r>
      <w:r w:rsidRPr="008843C6">
        <w:rPr>
          <w:rFonts w:ascii="Calibri" w:hAnsi="Calibri"/>
          <w:b/>
          <w:i/>
          <w:sz w:val="26"/>
        </w:rPr>
        <w:t>financial assets (from transactions)</w:t>
      </w:r>
    </w:p>
    <w:p w:rsidR="00336793" w:rsidRPr="008843C6" w:rsidRDefault="00336793" w:rsidP="00DF0B96">
      <w:r w:rsidRPr="008843C6">
        <w:t>Purchases (and other acquisitions) of non</w:t>
      </w:r>
      <w:r>
        <w:noBreakHyphen/>
      </w:r>
      <w:r w:rsidRPr="008843C6">
        <w:t>financial assets less sales (or disposals) of non</w:t>
      </w:r>
      <w:r>
        <w:noBreakHyphen/>
      </w:r>
      <w:r w:rsidRPr="008843C6">
        <w:t>financial assets less depreciation plus changes in inventories and other movements in non</w:t>
      </w:r>
      <w:r>
        <w:noBreakHyphen/>
      </w:r>
      <w:r w:rsidRPr="008843C6">
        <w:t>financial assets. Includes only those increases or decreases in non</w:t>
      </w:r>
      <w:r>
        <w:noBreakHyphen/>
      </w:r>
      <w:r w:rsidRPr="008843C6">
        <w:t>financial assets resulting from transactions and therefore excludes write offs, impairment write downs and revaluations.</w:t>
      </w:r>
    </w:p>
    <w:p w:rsidR="00336793" w:rsidRPr="008843C6" w:rsidRDefault="00336793" w:rsidP="00DF0B96">
      <w:pPr>
        <w:spacing w:after="0"/>
        <w:rPr>
          <w:rFonts w:ascii="Calibri" w:hAnsi="Calibri"/>
          <w:b/>
          <w:i/>
          <w:sz w:val="26"/>
        </w:rPr>
      </w:pPr>
      <w:r w:rsidRPr="008843C6">
        <w:br w:type="page"/>
      </w:r>
    </w:p>
    <w:p w:rsidR="00336793" w:rsidRPr="006F6B92" w:rsidRDefault="00336793" w:rsidP="00DF0B96">
      <w:pPr>
        <w:keepNext/>
        <w:tabs>
          <w:tab w:val="left" w:pos="1152"/>
        </w:tabs>
        <w:spacing w:before="240"/>
        <w:ind w:left="1152" w:hanging="1152"/>
        <w:outlineLvl w:val="1"/>
        <w:rPr>
          <w:rFonts w:ascii="Calibri" w:hAnsi="Calibri"/>
          <w:b/>
          <w:i/>
          <w:sz w:val="28"/>
        </w:rPr>
      </w:pPr>
      <w:r w:rsidRPr="00A3504D">
        <w:rPr>
          <w:rFonts w:ascii="Calibri" w:hAnsi="Calibri"/>
          <w:b/>
          <w:sz w:val="28"/>
        </w:rPr>
        <w:lastRenderedPageBreak/>
        <w:t>Note 40:</w:t>
      </w:r>
      <w:r w:rsidRPr="00A3504D">
        <w:rPr>
          <w:rFonts w:ascii="Calibri" w:hAnsi="Calibri"/>
          <w:b/>
          <w:sz w:val="28"/>
        </w:rPr>
        <w:tab/>
        <w:t xml:space="preserve">Glossary of technical terms </w:t>
      </w:r>
      <w:r w:rsidRPr="00A3504D">
        <w:rPr>
          <w:rFonts w:ascii="Calibri" w:hAnsi="Calibri"/>
          <w:b/>
          <w:i/>
          <w:sz w:val="28"/>
        </w:rPr>
        <w:t>(continued)</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Net cash flows from investments in financial assets (liquidity management purposes)</w:t>
      </w:r>
    </w:p>
    <w:p w:rsidR="00336793" w:rsidRPr="008843C6" w:rsidRDefault="00336793" w:rsidP="00DF0B96">
      <w:r w:rsidRPr="008843C6">
        <w:t xml:space="preserve">Net cash flows from investments in financial assets (liquidity management purposes)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Net cash flows from investments in financial assets (policy purposes)</w:t>
      </w:r>
    </w:p>
    <w:p w:rsidR="00336793" w:rsidRPr="008843C6" w:rsidRDefault="00336793" w:rsidP="00DF0B96">
      <w:r w:rsidRPr="008843C6">
        <w:t>Net cash flows from investments in financial assets (policy purposes) represents cash payments made for acquiring financial assets for policy purposes, less cash receipts from the repayment and liquidation of such investments in financial assets.</w:t>
      </w:r>
    </w:p>
    <w:p w:rsidR="00336793" w:rsidRPr="008843C6" w:rsidRDefault="00336793" w:rsidP="00DF0B96">
      <w:r w:rsidRPr="008843C6">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government that are motivated by Government policies, such as encouraging the development of certain industries or assisting people affected by natural disaster. </w:t>
      </w:r>
    </w:p>
    <w:p w:rsidR="00336793" w:rsidRPr="008843C6" w:rsidRDefault="00336793" w:rsidP="00DF0B96">
      <w:r w:rsidRPr="008843C6">
        <w:t>For the general government sector, this item also includes cash flows arising from the acquisition and disposal by government of its investments (contributed capital) in entities in the public non</w:t>
      </w:r>
      <w:r>
        <w:noBreakHyphen/>
      </w:r>
      <w:r w:rsidRPr="008843C6">
        <w:t>financial corporations and public financial corporations sectors.</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Net debt</w:t>
      </w:r>
    </w:p>
    <w:p w:rsidR="00336793" w:rsidRPr="008843C6" w:rsidRDefault="00336793" w:rsidP="00DF0B96">
      <w:r w:rsidRPr="008843C6">
        <w:t>Net debt equals sum of deposits held, advances received, government securities, loans and other borrowing less the sum of cash and deposits, advances paid and investments, loans and placements. For the PFC sector, this also includes loans receivable from other sector entities.</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Net financial liabilities</w:t>
      </w:r>
    </w:p>
    <w:p w:rsidR="00336793" w:rsidRPr="008843C6" w:rsidRDefault="00336793" w:rsidP="00DF0B96">
      <w:r w:rsidRPr="008843C6">
        <w:t>Total liabilities less financial assets, other than equity in PNFCs and PFCs. This measure is broader than net debt as it includes significant liabilities, other than borrowings (e.g. accrued employee liabilities such as superannuation and long service leave entitlements). For the PNFC and PFC sectors, it is equal to negative net financial worth.</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Net financial worth</w:t>
      </w:r>
    </w:p>
    <w:p w:rsidR="00336793" w:rsidRPr="008843C6" w:rsidRDefault="00336793" w:rsidP="00DF0B96">
      <w:r w:rsidRPr="008843C6">
        <w:t>Net financial worth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 xml:space="preserve">Net gain on equity investments in other sector entities </w:t>
      </w:r>
    </w:p>
    <w:p w:rsidR="00336793" w:rsidRDefault="00336793" w:rsidP="00DF0B96">
      <w:r w:rsidRPr="008843C6">
        <w:t>Net gain on equity investments in other sector entities measured at proportional share of the carrying amount of net assets/(liabilities) represents the net gains relating to the equity held by the general government sector in other sector entities. It arises from a change in the carrying amount of net assets of the subsidiaries. The net gains are measured based on the proportional share of the subsidiary</w:t>
      </w:r>
      <w:r>
        <w:t>’</w:t>
      </w:r>
      <w:r w:rsidRPr="008843C6">
        <w:t>s carrying amount of net assets/(liabilities) before elimination of inter sector balances.</w:t>
      </w:r>
    </w:p>
    <w:p w:rsidR="00336793" w:rsidRPr="006F6B92" w:rsidRDefault="00336793" w:rsidP="00DF0B96">
      <w:pPr>
        <w:keepNext/>
        <w:tabs>
          <w:tab w:val="left" w:pos="1152"/>
        </w:tabs>
        <w:spacing w:before="240"/>
        <w:ind w:left="1152" w:hanging="1152"/>
        <w:outlineLvl w:val="1"/>
        <w:rPr>
          <w:rFonts w:ascii="Calibri" w:hAnsi="Calibri"/>
          <w:b/>
          <w:i/>
          <w:sz w:val="28"/>
        </w:rPr>
      </w:pPr>
      <w:r w:rsidRPr="00A3504D">
        <w:rPr>
          <w:rFonts w:ascii="Calibri" w:hAnsi="Calibri"/>
          <w:b/>
          <w:sz w:val="28"/>
        </w:rPr>
        <w:lastRenderedPageBreak/>
        <w:t>Note 40:</w:t>
      </w:r>
      <w:r w:rsidRPr="00A3504D">
        <w:rPr>
          <w:rFonts w:ascii="Calibri" w:hAnsi="Calibri"/>
          <w:b/>
          <w:sz w:val="28"/>
        </w:rPr>
        <w:tab/>
        <w:t xml:space="preserve">Glossary of technical terms </w:t>
      </w:r>
      <w:r w:rsidRPr="00A3504D">
        <w:rPr>
          <w:rFonts w:ascii="Calibri" w:hAnsi="Calibri"/>
          <w:b/>
          <w:i/>
          <w:sz w:val="28"/>
        </w:rPr>
        <w:t>(continued)</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Net lending/borrowing</w:t>
      </w:r>
    </w:p>
    <w:p w:rsidR="00336793" w:rsidRPr="008843C6" w:rsidRDefault="00336793" w:rsidP="00DF0B96">
      <w:r w:rsidRPr="008843C6">
        <w:t xml:space="preserve">The financing requirement of government, calculated as the net operating balance less the net acquisition of </w:t>
      </w:r>
      <w:r>
        <w:t>non</w:t>
      </w:r>
      <w:r>
        <w:noBreakHyphen/>
      </w:r>
      <w:r w:rsidRPr="008843C6">
        <w:t>financial assets. It also equals transactions in financial assets less transactions in liabilities. A positive result reflects a net lending position and a negative result reflects a net borrowing position.</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Net operating balance – net result from transactions</w:t>
      </w:r>
    </w:p>
    <w:p w:rsidR="00336793" w:rsidRPr="008843C6" w:rsidRDefault="00336793" w:rsidP="00DF0B96">
      <w:r w:rsidRPr="008843C6">
        <w:t>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Net result</w:t>
      </w:r>
    </w:p>
    <w:p w:rsidR="00336793" w:rsidRPr="008843C6" w:rsidRDefault="00336793" w:rsidP="00DF0B96">
      <w:r w:rsidRPr="008843C6">
        <w:t xml:space="preserve">Net result is a measure of financial performance of the operations for the period. It is the net result of items of revenue, gains and expenses (including losses) recognised for the period, excluding those that are classified as </w:t>
      </w:r>
      <w:r>
        <w:t>‘</w:t>
      </w:r>
      <w:r w:rsidRPr="008843C6">
        <w:t xml:space="preserve">other </w:t>
      </w:r>
      <w:r>
        <w:t>non</w:t>
      </w:r>
      <w:r>
        <w:noBreakHyphen/>
      </w:r>
      <w:r w:rsidRPr="008843C6">
        <w:t>owner movements in equity</w:t>
      </w:r>
      <w:r>
        <w:t>’</w:t>
      </w:r>
      <w:r w:rsidRPr="008843C6">
        <w:t>.</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Net worth</w:t>
      </w:r>
    </w:p>
    <w:p w:rsidR="00336793" w:rsidRPr="008843C6" w:rsidRDefault="00336793" w:rsidP="00DF0B96">
      <w:r w:rsidRPr="008843C6">
        <w:t>Assets less liabilities, which is an economic measure of wealth.</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Non</w:t>
      </w:r>
      <w:r>
        <w:rPr>
          <w:rFonts w:ascii="Calibri" w:hAnsi="Calibri"/>
          <w:b/>
          <w:i/>
          <w:sz w:val="26"/>
        </w:rPr>
        <w:noBreakHyphen/>
      </w:r>
      <w:r w:rsidRPr="008843C6">
        <w:rPr>
          <w:rFonts w:ascii="Calibri" w:hAnsi="Calibri"/>
          <w:b/>
          <w:i/>
          <w:sz w:val="26"/>
        </w:rPr>
        <w:t>financial assets</w:t>
      </w:r>
    </w:p>
    <w:p w:rsidR="00336793" w:rsidRPr="008843C6" w:rsidRDefault="00336793" w:rsidP="00DF0B96">
      <w:r w:rsidRPr="008843C6">
        <w:t>Non</w:t>
      </w:r>
      <w:r>
        <w:noBreakHyphen/>
      </w:r>
      <w:r w:rsidRPr="008843C6">
        <w:t>financial assets are all assets that are not financial assets. It includes inventories, land, buildings, infrastructure, road networks, land under roads, plant and equipment, cultural and heritage assets, intangibles and biological assets such as commercial forests.</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Non</w:t>
      </w:r>
      <w:r>
        <w:rPr>
          <w:rFonts w:ascii="Calibri" w:hAnsi="Calibri"/>
          <w:b/>
          <w:i/>
          <w:sz w:val="26"/>
        </w:rPr>
        <w:noBreakHyphen/>
      </w:r>
      <w:r w:rsidRPr="008843C6">
        <w:rPr>
          <w:rFonts w:ascii="Calibri" w:hAnsi="Calibri"/>
          <w:b/>
          <w:i/>
          <w:sz w:val="26"/>
        </w:rPr>
        <w:t>financial public sector</w:t>
      </w:r>
    </w:p>
    <w:p w:rsidR="00336793" w:rsidRPr="008843C6" w:rsidRDefault="00336793" w:rsidP="00DF0B96">
      <w:r w:rsidRPr="008843C6">
        <w:t>The non</w:t>
      </w:r>
      <w:r>
        <w:noBreakHyphen/>
      </w:r>
      <w:r w:rsidRPr="008843C6">
        <w:t>financial public sector (NFPS) represents the consolidated transactions and assets and liabilities of the general government and PNFC sectors. In compiling statistics for the non</w:t>
      </w:r>
      <w:r>
        <w:noBreakHyphen/>
      </w:r>
      <w:r w:rsidRPr="008843C6">
        <w:t>financial public sector, transactions and debtor creditor relationships between sub sectors are eliminated to avoid double counting.</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Operating result</w:t>
      </w:r>
    </w:p>
    <w:p w:rsidR="00336793" w:rsidRPr="008843C6" w:rsidRDefault="00336793" w:rsidP="00DF0B96">
      <w:r w:rsidRPr="008843C6">
        <w:t xml:space="preserve">Operating result is a measure of financial performance of the operations for the period. It is the net result of items of revenue, gains and expenses (including losses) recognised for the period, excluding those that are classified as </w:t>
      </w:r>
      <w:r>
        <w:t>‘</w:t>
      </w:r>
      <w:r w:rsidRPr="008843C6">
        <w:t xml:space="preserve">other </w:t>
      </w:r>
      <w:r>
        <w:t>non</w:t>
      </w:r>
      <w:r>
        <w:noBreakHyphen/>
      </w:r>
      <w:r w:rsidRPr="008843C6">
        <w:t>owner movements in equity</w:t>
      </w:r>
      <w:r>
        <w:t>’</w:t>
      </w:r>
      <w:r w:rsidRPr="008843C6">
        <w:t xml:space="preserve">. Refer also </w:t>
      </w:r>
      <w:r>
        <w:t>‘</w:t>
      </w:r>
      <w:r w:rsidRPr="008843C6">
        <w:t>net result</w:t>
      </w:r>
      <w:r>
        <w:t>’</w:t>
      </w:r>
      <w:r w:rsidRPr="008843C6">
        <w:t xml:space="preserve">. </w:t>
      </w:r>
    </w:p>
    <w:p w:rsidR="00336793" w:rsidRPr="00534061" w:rsidRDefault="00336793" w:rsidP="00DF0B96">
      <w:pPr>
        <w:keepNext/>
        <w:spacing w:before="240"/>
        <w:outlineLvl w:val="2"/>
        <w:rPr>
          <w:rFonts w:ascii="Calibri" w:hAnsi="Calibri"/>
          <w:b/>
          <w:i/>
          <w:sz w:val="26"/>
        </w:rPr>
      </w:pPr>
      <w:r w:rsidRPr="00534061">
        <w:rPr>
          <w:rFonts w:ascii="Calibri" w:hAnsi="Calibri"/>
          <w:b/>
          <w:i/>
          <w:sz w:val="26"/>
        </w:rPr>
        <w:t xml:space="preserve">Other superannuation expense </w:t>
      </w:r>
    </w:p>
    <w:p w:rsidR="00336793" w:rsidRPr="008843C6" w:rsidRDefault="00336793" w:rsidP="00DF0B96">
      <w:r w:rsidRPr="00534061">
        <w:t>Includes all superannuation expenses from transactions except superannuation interest cost. Generally includes current service cost, which is the increase in entitlements associated with the employment services provided by employees in the current period. Superannuation actuarial gains/(losses) are excluded as they are considered other economic flows.</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Roads</w:t>
      </w:r>
    </w:p>
    <w:p w:rsidR="00336793" w:rsidRPr="008843C6" w:rsidRDefault="00336793" w:rsidP="00DF0B96">
      <w:r w:rsidRPr="008843C6">
        <w:t xml:space="preserve">Roads include road pavement and road works in progress. All land under roads is included under the category of </w:t>
      </w:r>
      <w:r>
        <w:t>‘</w:t>
      </w:r>
      <w:r w:rsidRPr="008843C6">
        <w:t>land</w:t>
      </w:r>
      <w:r>
        <w:t>’</w:t>
      </w:r>
      <w:r w:rsidRPr="008843C6">
        <w:t>.</w:t>
      </w:r>
    </w:p>
    <w:p w:rsidR="00336793" w:rsidRPr="006F6B92" w:rsidRDefault="00336793" w:rsidP="00DF0B96">
      <w:pPr>
        <w:keepNext/>
        <w:tabs>
          <w:tab w:val="left" w:pos="1152"/>
        </w:tabs>
        <w:spacing w:before="240"/>
        <w:ind w:left="1152" w:hanging="1152"/>
        <w:outlineLvl w:val="1"/>
        <w:rPr>
          <w:rFonts w:ascii="Calibri" w:hAnsi="Calibri"/>
          <w:b/>
          <w:i/>
          <w:sz w:val="28"/>
        </w:rPr>
      </w:pPr>
      <w:r w:rsidRPr="00A3504D">
        <w:rPr>
          <w:rFonts w:ascii="Calibri" w:hAnsi="Calibri"/>
          <w:b/>
          <w:sz w:val="28"/>
        </w:rPr>
        <w:lastRenderedPageBreak/>
        <w:t>Note 40:</w:t>
      </w:r>
      <w:r w:rsidRPr="00A3504D">
        <w:rPr>
          <w:rFonts w:ascii="Calibri" w:hAnsi="Calibri"/>
          <w:b/>
          <w:sz w:val="28"/>
        </w:rPr>
        <w:tab/>
        <w:t xml:space="preserve">Glossary of technical terms </w:t>
      </w:r>
      <w:r w:rsidRPr="00A3504D">
        <w:rPr>
          <w:rFonts w:ascii="Calibri" w:hAnsi="Calibri"/>
          <w:b/>
          <w:i/>
          <w:sz w:val="28"/>
        </w:rPr>
        <w:t>(continued)</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Road infrastructure</w:t>
      </w:r>
    </w:p>
    <w:p w:rsidR="00336793" w:rsidRPr="008843C6" w:rsidRDefault="00336793" w:rsidP="00DF0B96">
      <w:r w:rsidRPr="008843C6">
        <w:t>Road infrastructure mainly includes sound barriers, bridges and traffic signal control systems.</w:t>
      </w:r>
    </w:p>
    <w:p w:rsidR="00336793" w:rsidRPr="005676BF" w:rsidRDefault="00336793" w:rsidP="00DF0B96">
      <w:pPr>
        <w:keepNext/>
        <w:spacing w:before="240"/>
        <w:outlineLvl w:val="2"/>
        <w:rPr>
          <w:rFonts w:ascii="Calibri" w:hAnsi="Calibri"/>
          <w:b/>
          <w:i/>
          <w:sz w:val="26"/>
        </w:rPr>
      </w:pPr>
      <w:r w:rsidRPr="005676BF">
        <w:rPr>
          <w:rFonts w:ascii="Calibri" w:hAnsi="Calibri"/>
          <w:b/>
          <w:i/>
          <w:sz w:val="26"/>
        </w:rPr>
        <w:t xml:space="preserve">Superannuation interest expense </w:t>
      </w:r>
    </w:p>
    <w:p w:rsidR="00336793" w:rsidRPr="008843C6" w:rsidRDefault="00336793" w:rsidP="00DF0B96">
      <w:r w:rsidRPr="005676BF">
        <w:t>The expense resulting from the increase in the liability due to the fact that, for all participants in the scheme, retirement (and death) is one year nearer, and so one fewer discount factors must be used to calculate the present value of the benefits for each future year. The net superannuation interest expense is calculated using the discount rate (a long</w:t>
      </w:r>
      <w:r>
        <w:noBreakHyphen/>
      </w:r>
      <w:r w:rsidRPr="005676BF">
        <w:t>term Government bond rate) without reference to the expected rate of investment return on plan assets.</w:t>
      </w:r>
    </w:p>
    <w:p w:rsidR="00336793" w:rsidRPr="00D2308C" w:rsidRDefault="00336793" w:rsidP="00DF0B96">
      <w:pPr>
        <w:keepNext/>
        <w:spacing w:before="240"/>
        <w:outlineLvl w:val="2"/>
        <w:rPr>
          <w:rFonts w:ascii="Calibri" w:hAnsi="Calibri"/>
          <w:b/>
          <w:i/>
          <w:sz w:val="26"/>
        </w:rPr>
      </w:pPr>
      <w:r w:rsidRPr="00D2308C">
        <w:rPr>
          <w:rFonts w:ascii="Calibri" w:hAnsi="Calibri"/>
          <w:b/>
          <w:i/>
          <w:sz w:val="26"/>
        </w:rPr>
        <w:t>Taxation revenue</w:t>
      </w:r>
    </w:p>
    <w:p w:rsidR="00336793" w:rsidRPr="008843C6" w:rsidRDefault="00336793" w:rsidP="00DF0B96">
      <w:r w:rsidRPr="00D2308C">
        <w:t>Taxation revenue represents revenue received from the State</w:t>
      </w:r>
      <w:r>
        <w:t>’</w:t>
      </w:r>
      <w:r w:rsidRPr="00D2308C">
        <w:t>s taxpayers and includes: payroll tax, land tax, duties levied principally on conveyances and land transfers, gambling taxes levied mainly on private lotteries, electronic gaming machines, casino operations and racing, insurance duty relating to compulsory third party, life and non</w:t>
      </w:r>
      <w:r>
        <w:noBreakHyphen/>
      </w:r>
      <w:r w:rsidRPr="00D2308C">
        <w:t>life policies, insurance company contributions to fire brigades, Fire Services Property Levy, motor vehicle taxes, including registration fees and duty on registrations and transfers, levies (including the environmental levy) on statutory corporations in other sectors of government; and other taxes, including landfill levies, licence and concession fees.</w:t>
      </w:r>
    </w:p>
    <w:p w:rsidR="00336793" w:rsidRPr="008843C6" w:rsidRDefault="00336793" w:rsidP="00DF0B96">
      <w:pPr>
        <w:keepNext/>
        <w:spacing w:before="240"/>
        <w:outlineLvl w:val="2"/>
        <w:rPr>
          <w:rFonts w:ascii="Calibri" w:hAnsi="Calibri"/>
          <w:b/>
          <w:i/>
          <w:sz w:val="26"/>
        </w:rPr>
      </w:pPr>
      <w:r w:rsidRPr="008843C6">
        <w:rPr>
          <w:rFonts w:ascii="Calibri" w:hAnsi="Calibri"/>
          <w:b/>
          <w:i/>
          <w:sz w:val="26"/>
        </w:rPr>
        <w:t>Transactions</w:t>
      </w:r>
    </w:p>
    <w:p w:rsidR="00336793" w:rsidRPr="008843C6" w:rsidRDefault="00336793" w:rsidP="00DF0B96">
      <w:r w:rsidRPr="008843C6">
        <w:t xml:space="preserve">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w:t>
      </w:r>
    </w:p>
    <w:p w:rsidR="00336793" w:rsidRPr="008843C6" w:rsidRDefault="00336793" w:rsidP="00DF0B96">
      <w:r w:rsidRPr="008843C6">
        <w:t>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rsidR="00336793" w:rsidRPr="006A75A2" w:rsidRDefault="00336793" w:rsidP="00DF0B96">
      <w:pPr>
        <w:spacing w:after="0"/>
      </w:pPr>
      <w:r w:rsidRPr="006A75A2">
        <w:br w:type="page"/>
      </w:r>
    </w:p>
    <w:p w:rsidR="00336793" w:rsidRPr="006A75A2" w:rsidRDefault="00336793" w:rsidP="00DF0B96">
      <w:pPr>
        <w:pStyle w:val="Heading2Notes"/>
        <w:spacing w:before="120"/>
        <w:rPr>
          <w:bCs/>
          <w:kern w:val="0"/>
        </w:rPr>
      </w:pPr>
      <w:bookmarkStart w:id="127" w:name="_Toc400040288"/>
      <w:bookmarkStart w:id="128" w:name="_Toc421622118"/>
      <w:bookmarkStart w:id="129" w:name="_Toc433984524"/>
      <w:r w:rsidRPr="006A75A2">
        <w:rPr>
          <w:bCs/>
          <w:kern w:val="0"/>
        </w:rPr>
        <w:lastRenderedPageBreak/>
        <w:t>Note 41:</w:t>
      </w:r>
      <w:r w:rsidRPr="006A75A2">
        <w:rPr>
          <w:bCs/>
          <w:kern w:val="0"/>
        </w:rPr>
        <w:tab/>
        <w:t>Government purpose classification</w:t>
      </w:r>
      <w:bookmarkEnd w:id="127"/>
      <w:bookmarkEnd w:id="128"/>
      <w:bookmarkEnd w:id="129"/>
    </w:p>
    <w:p w:rsidR="00336793" w:rsidRPr="006A75A2" w:rsidRDefault="00336793" w:rsidP="00DF0B96">
      <w:r w:rsidRPr="006A75A2">
        <w:t>The Government purpose classification (GPC) classifies expenses and acquisition of non</w:t>
      </w:r>
      <w:r>
        <w:noBreakHyphen/>
      </w:r>
      <w:r w:rsidRPr="006A75A2">
        <w:t>financial assets of the public sector and general government sector in terms of the purposes for which the transactions are made. As required under AASB 1049, total assets of the State and general government sector are also required to be allocated to purpose classification where possible to do so. The major groups reflect the broad objectives of government and the groups and subgroups detail the means by which these broad objectives are achieved.</w:t>
      </w:r>
    </w:p>
    <w:p w:rsidR="00336793" w:rsidRPr="006A75A2" w:rsidRDefault="00336793" w:rsidP="00DF0B96">
      <w:pPr>
        <w:pStyle w:val="Heading3"/>
        <w:rPr>
          <w:kern w:val="0"/>
        </w:rPr>
      </w:pPr>
      <w:r w:rsidRPr="006A75A2">
        <w:rPr>
          <w:kern w:val="0"/>
        </w:rPr>
        <w:t>General public services</w:t>
      </w:r>
    </w:p>
    <w:p w:rsidR="00336793" w:rsidRPr="006A75A2" w:rsidRDefault="00336793" w:rsidP="00DF0B96">
      <w:r w:rsidRPr="006A75A2">
        <w:t>Include legislative and executive affairs, financial and fiscal affairs, external affairs, foreign economic aid, general research, general economic and social services, general statistical services and government superannuation benefits.</w:t>
      </w:r>
    </w:p>
    <w:p w:rsidR="00336793" w:rsidRPr="006A75A2" w:rsidRDefault="00336793" w:rsidP="00DF0B96">
      <w:pPr>
        <w:pStyle w:val="Heading3"/>
        <w:rPr>
          <w:kern w:val="0"/>
        </w:rPr>
      </w:pPr>
      <w:r w:rsidRPr="006A75A2">
        <w:rPr>
          <w:kern w:val="0"/>
        </w:rPr>
        <w:t>Public order and safety</w:t>
      </w:r>
    </w:p>
    <w:p w:rsidR="00336793" w:rsidRPr="006A75A2" w:rsidRDefault="00336793" w:rsidP="00DF0B96">
      <w:r w:rsidRPr="006A75A2">
        <w:t>Includes police and fire protection services, law courts and legal services, prisons and corrective services, and control of domestic animals and livestock.</w:t>
      </w:r>
    </w:p>
    <w:p w:rsidR="00336793" w:rsidRPr="006A75A2" w:rsidRDefault="00336793" w:rsidP="00DF0B96">
      <w:pPr>
        <w:pStyle w:val="Heading3"/>
        <w:rPr>
          <w:kern w:val="0"/>
        </w:rPr>
      </w:pPr>
      <w:r w:rsidRPr="006A75A2">
        <w:rPr>
          <w:kern w:val="0"/>
        </w:rPr>
        <w:t>Education</w:t>
      </w:r>
    </w:p>
    <w:p w:rsidR="00336793" w:rsidRPr="006A75A2" w:rsidRDefault="00336793" w:rsidP="00DF0B96">
      <w:r w:rsidRPr="006A75A2">
        <w:t>Includes primary and secondary education, university and other higher education, technical and further education, preschool and special education and transportation of students.</w:t>
      </w:r>
    </w:p>
    <w:p w:rsidR="00336793" w:rsidRPr="006A75A2" w:rsidRDefault="00336793" w:rsidP="00DF0B96">
      <w:pPr>
        <w:pStyle w:val="Heading3"/>
        <w:rPr>
          <w:kern w:val="0"/>
        </w:rPr>
      </w:pPr>
      <w:r w:rsidRPr="006A75A2">
        <w:rPr>
          <w:kern w:val="0"/>
        </w:rPr>
        <w:t>Health</w:t>
      </w:r>
    </w:p>
    <w:p w:rsidR="00336793" w:rsidRPr="006A75A2" w:rsidRDefault="00336793" w:rsidP="00DF0B96">
      <w:r w:rsidRPr="006A75A2">
        <w:t>Includes general hospitals, repatriation hospitals, mental health institutions, nursing homes, special hospitals, hospital benefits, medical clinics and practitioners, dental clinics and practitioners, maternal and infant health, ambulance services, medical benefits, school and other public health services, pharmaceuticals, medical aids and appliances and health research.</w:t>
      </w:r>
    </w:p>
    <w:p w:rsidR="00336793" w:rsidRPr="006A75A2" w:rsidRDefault="00336793" w:rsidP="00DF0B96">
      <w:pPr>
        <w:pStyle w:val="Heading3"/>
        <w:rPr>
          <w:kern w:val="0"/>
        </w:rPr>
      </w:pPr>
      <w:r w:rsidRPr="006A75A2">
        <w:rPr>
          <w:kern w:val="0"/>
        </w:rPr>
        <w:t>Social security and welfare</w:t>
      </w:r>
    </w:p>
    <w:p w:rsidR="00336793" w:rsidRPr="006A75A2" w:rsidRDefault="00336793" w:rsidP="00DF0B96">
      <w:r w:rsidRPr="006A75A2">
        <w:t>Includes sickness benefits; benefits to ex</w:t>
      </w:r>
      <w:r>
        <w:noBreakHyphen/>
      </w:r>
      <w:r w:rsidRPr="006A75A2">
        <w:t>servicemen and their dependants; invalid and other permanent disablement benefits; old age benefits; widows; deserted wives; divorcee and orphan benefits; unemployment benefits; family and child benefits; sole parent benefits; family and child welfare; and aged and handicapped welfare.</w:t>
      </w:r>
    </w:p>
    <w:p w:rsidR="00336793" w:rsidRPr="006A75A2" w:rsidRDefault="00336793" w:rsidP="00DF0B96">
      <w:pPr>
        <w:pStyle w:val="Heading3"/>
        <w:rPr>
          <w:kern w:val="0"/>
        </w:rPr>
      </w:pPr>
      <w:r w:rsidRPr="006A75A2">
        <w:rPr>
          <w:kern w:val="0"/>
        </w:rPr>
        <w:t>Housing and community amenities</w:t>
      </w:r>
    </w:p>
    <w:p w:rsidR="00336793" w:rsidRPr="006A75A2" w:rsidRDefault="00336793" w:rsidP="00DF0B96">
      <w:r w:rsidRPr="006A75A2">
        <w:t>Includes housing and community development, water supply, household garbage and other sanitation, sewerage, urban stormwater drainage, protection of the environment and street lighting.</w:t>
      </w:r>
    </w:p>
    <w:p w:rsidR="00336793" w:rsidRPr="006A75A2" w:rsidRDefault="00336793" w:rsidP="00DF0B96">
      <w:pPr>
        <w:pStyle w:val="Heading3"/>
        <w:rPr>
          <w:kern w:val="0"/>
        </w:rPr>
      </w:pPr>
      <w:r w:rsidRPr="006A75A2">
        <w:rPr>
          <w:kern w:val="0"/>
        </w:rPr>
        <w:t>Recreation and culture</w:t>
      </w:r>
    </w:p>
    <w:p w:rsidR="00336793" w:rsidRPr="006A75A2" w:rsidRDefault="00336793" w:rsidP="00DF0B96">
      <w:r w:rsidRPr="006A75A2">
        <w:t>Includes public halls and civic centres, swimming pools and beaches, national parks and wildlife, libraries, creative and performing arts, museums, art galleries, broadcasting and film production.</w:t>
      </w:r>
    </w:p>
    <w:p w:rsidR="00336793" w:rsidRPr="006A75A2" w:rsidRDefault="00336793" w:rsidP="00DF0B96">
      <w:pPr>
        <w:pStyle w:val="Heading3"/>
        <w:rPr>
          <w:kern w:val="0"/>
        </w:rPr>
      </w:pPr>
      <w:r w:rsidRPr="006A75A2">
        <w:rPr>
          <w:kern w:val="0"/>
        </w:rPr>
        <w:t>Fuel and energy</w:t>
      </w:r>
    </w:p>
    <w:p w:rsidR="00336793" w:rsidRPr="006A75A2" w:rsidRDefault="00336793" w:rsidP="00DF0B96">
      <w:r w:rsidRPr="006A75A2">
        <w:t>Includes coal, petroleum, gas, nuclear affairs and electricity.</w:t>
      </w:r>
    </w:p>
    <w:p w:rsidR="00336793" w:rsidRPr="006A75A2" w:rsidRDefault="00336793" w:rsidP="00DF0B96">
      <w:pPr>
        <w:pStyle w:val="Heading3"/>
        <w:rPr>
          <w:kern w:val="0"/>
        </w:rPr>
      </w:pPr>
      <w:r w:rsidRPr="006A75A2">
        <w:rPr>
          <w:kern w:val="0"/>
        </w:rPr>
        <w:t>Agriculture, forestry, fishing and hunting</w:t>
      </w:r>
    </w:p>
    <w:p w:rsidR="00336793" w:rsidRPr="006A75A2" w:rsidRDefault="00336793" w:rsidP="00DF0B96">
      <w:r w:rsidRPr="006A75A2">
        <w:t>Includes agricultural land management, agricultural water resources management, agricultural support schemes, agricultural research and extension services, forestry, fishing and hunting.</w:t>
      </w:r>
    </w:p>
    <w:p w:rsidR="00336793" w:rsidRPr="00EA5B9F" w:rsidRDefault="00336793" w:rsidP="00DF0B96">
      <w:pPr>
        <w:pStyle w:val="Heading2NotesContd"/>
        <w:rPr>
          <w:i/>
        </w:rPr>
      </w:pPr>
      <w:r w:rsidRPr="006A75A2">
        <w:lastRenderedPageBreak/>
        <w:t>Note 41:</w:t>
      </w:r>
      <w:r w:rsidRPr="006A75A2">
        <w:tab/>
        <w:t>Government purpose classification</w:t>
      </w:r>
      <w:r>
        <w:t xml:space="preserve"> </w:t>
      </w:r>
      <w:r>
        <w:rPr>
          <w:i/>
        </w:rPr>
        <w:t>(continued)</w:t>
      </w:r>
    </w:p>
    <w:p w:rsidR="00336793" w:rsidRPr="006A75A2" w:rsidRDefault="00336793" w:rsidP="00DF0B96">
      <w:pPr>
        <w:pStyle w:val="Heading3"/>
        <w:rPr>
          <w:kern w:val="0"/>
        </w:rPr>
      </w:pPr>
      <w:r w:rsidRPr="006A75A2">
        <w:rPr>
          <w:kern w:val="0"/>
        </w:rPr>
        <w:t>Transport and communications</w:t>
      </w:r>
    </w:p>
    <w:p w:rsidR="00336793" w:rsidRPr="006A75A2" w:rsidRDefault="00336793" w:rsidP="00DF0B96">
      <w:r w:rsidRPr="006A75A2">
        <w:t>Includes road construction, road maintenance, parking, water transport, rail transport, air transport, pipelines, multi</w:t>
      </w:r>
      <w:r>
        <w:noBreakHyphen/>
      </w:r>
      <w:r w:rsidRPr="006A75A2">
        <w:t>mode urban transit systems and communications.</w:t>
      </w:r>
    </w:p>
    <w:p w:rsidR="00336793" w:rsidRPr="006A75A2" w:rsidRDefault="00336793" w:rsidP="00DF0B96">
      <w:pPr>
        <w:pStyle w:val="Heading3"/>
        <w:rPr>
          <w:kern w:val="0"/>
        </w:rPr>
      </w:pPr>
      <w:r w:rsidRPr="006A75A2">
        <w:rPr>
          <w:kern w:val="0"/>
        </w:rPr>
        <w:t>Other economic affairs</w:t>
      </w:r>
    </w:p>
    <w:p w:rsidR="00336793" w:rsidRPr="006A75A2" w:rsidRDefault="00336793" w:rsidP="00DF0B96">
      <w:r w:rsidRPr="006A75A2">
        <w:t>Includes storage, saleyards, markets, tourism and area promotion and labour and employment affairs.</w:t>
      </w:r>
    </w:p>
    <w:p w:rsidR="00336793" w:rsidRPr="006A75A2" w:rsidRDefault="00336793" w:rsidP="00DF0B96">
      <w:pPr>
        <w:pStyle w:val="Heading3"/>
        <w:rPr>
          <w:kern w:val="0"/>
        </w:rPr>
      </w:pPr>
      <w:r w:rsidRPr="006A75A2">
        <w:rPr>
          <w:kern w:val="0"/>
        </w:rPr>
        <w:t>Other purposes</w:t>
      </w:r>
    </w:p>
    <w:p w:rsidR="00336793" w:rsidRPr="006A75A2" w:rsidRDefault="00336793" w:rsidP="00DF0B96">
      <w:r w:rsidRPr="006A75A2">
        <w:t>Includes public debt transactions, general purpose inter government transactions and natural disaster relief.</w:t>
      </w:r>
    </w:p>
    <w:p w:rsidR="00336793" w:rsidRPr="006A75A2" w:rsidRDefault="00336793" w:rsidP="00DF0B96"/>
    <w:p w:rsidR="00336793" w:rsidRPr="006A75A2" w:rsidRDefault="00336793" w:rsidP="00DF0B96">
      <w:pPr>
        <w:spacing w:after="0"/>
        <w:rPr>
          <w:rFonts w:ascii="Calibri" w:hAnsi="Calibri"/>
          <w:b/>
          <w:sz w:val="28"/>
          <w:szCs w:val="22"/>
        </w:rPr>
      </w:pPr>
      <w:r w:rsidRPr="006A75A2">
        <w:br w:type="page"/>
      </w:r>
    </w:p>
    <w:p w:rsidR="00336793" w:rsidRPr="006A75A2" w:rsidRDefault="00336793" w:rsidP="00DF0B96">
      <w:pPr>
        <w:pStyle w:val="Heading2Notes"/>
      </w:pPr>
      <w:bookmarkStart w:id="130" w:name="_Toc433984525"/>
      <w:bookmarkStart w:id="131" w:name="_Toc367947900"/>
      <w:bookmarkStart w:id="132" w:name="_Toc400040289"/>
      <w:bookmarkStart w:id="133" w:name="_Toc421622119"/>
      <w:r>
        <w:lastRenderedPageBreak/>
        <w:t>Note 42:</w:t>
      </w:r>
      <w:r>
        <w:tab/>
        <w:t>Controlled entities</w:t>
      </w:r>
      <w:bookmarkEnd w:id="130"/>
    </w:p>
    <w:p w:rsidR="00336793" w:rsidRDefault="00336793" w:rsidP="00DF0B96">
      <w:r>
        <w:t xml:space="preserve">Note 42 Controlled entities within the </w:t>
      </w:r>
      <w:r w:rsidRPr="000D163F">
        <w:rPr>
          <w:i/>
        </w:rPr>
        <w:t>201</w:t>
      </w:r>
      <w:r>
        <w:rPr>
          <w:i/>
        </w:rPr>
        <w:t>4</w:t>
      </w:r>
      <w:r>
        <w:rPr>
          <w:i/>
        </w:rPr>
        <w:noBreakHyphen/>
      </w:r>
      <w:r w:rsidRPr="000D163F">
        <w:rPr>
          <w:i/>
        </w:rPr>
        <w:t>1</w:t>
      </w:r>
      <w:r>
        <w:rPr>
          <w:i/>
        </w:rPr>
        <w:t>5 </w:t>
      </w:r>
      <w:r w:rsidRPr="000D163F">
        <w:rPr>
          <w:i/>
        </w:rPr>
        <w:t>Financial Report</w:t>
      </w:r>
      <w:r>
        <w:t xml:space="preserve"> for the State of Victoria contains a list of significant controlled entities which have been consolidated for the purposes of the financial report. Unless otherwise noted, all such entities are wholly owned. The entities below may include additional consolidated entities, for which only the parent entity has been listed.</w:t>
      </w:r>
    </w:p>
    <w:p w:rsidR="00336793" w:rsidRDefault="00336793" w:rsidP="00DF0B96">
      <w:r>
        <w:t xml:space="preserve">The principal activities of the controlled entities reflect the three sectors of government they are within as set out in note 1(D) Basis of Consolidation. Further, Note 41 Government purpose classification in the </w:t>
      </w:r>
      <w:r w:rsidRPr="000D163F">
        <w:rPr>
          <w:i/>
        </w:rPr>
        <w:t>201</w:t>
      </w:r>
      <w:r>
        <w:rPr>
          <w:i/>
        </w:rPr>
        <w:t>4</w:t>
      </w:r>
      <w:r>
        <w:rPr>
          <w:i/>
        </w:rPr>
        <w:noBreakHyphen/>
      </w:r>
      <w:r w:rsidRPr="000D163F">
        <w:rPr>
          <w:i/>
        </w:rPr>
        <w:t>1</w:t>
      </w:r>
      <w:r>
        <w:rPr>
          <w:i/>
        </w:rPr>
        <w:t>5</w:t>
      </w:r>
      <w:r w:rsidRPr="000D163F">
        <w:rPr>
          <w:i/>
        </w:rPr>
        <w:t xml:space="preserve"> Financial Report</w:t>
      </w:r>
      <w:r>
        <w:t xml:space="preserve"> reflects the broad objectives of these controlled entities.</w:t>
      </w:r>
    </w:p>
    <w:p w:rsidR="00336793" w:rsidRPr="00DB3AE5" w:rsidRDefault="00336793" w:rsidP="00DF0B96">
      <w:pPr>
        <w:pStyle w:val="ControlledEntitiesHeading1"/>
        <w:spacing w:after="120"/>
        <w:rPr>
          <w:rFonts w:ascii="Calibri" w:hAnsi="Calibri"/>
          <w:b w:val="0"/>
          <w:sz w:val="18"/>
          <w:szCs w:val="18"/>
        </w:rPr>
      </w:pPr>
      <w:r w:rsidRPr="00DB3AE5">
        <w:rPr>
          <w:b w:val="0"/>
        </w:rPr>
        <w:t xml:space="preserve">General government </w:t>
      </w:r>
      <w:r w:rsidRPr="00DB3AE5">
        <w:rPr>
          <w:b w:val="0"/>
          <w:vertAlign w:val="superscript"/>
        </w:rPr>
        <w:t>(a)</w:t>
      </w:r>
    </w:p>
    <w:p w:rsidR="00336793" w:rsidRDefault="00336793" w:rsidP="00DF0B96">
      <w:pPr>
        <w:sectPr w:rsidR="00336793" w:rsidSect="00DF0B96">
          <w:headerReference w:type="even" r:id="rId134"/>
          <w:headerReference w:type="default" r:id="rId135"/>
          <w:footerReference w:type="even" r:id="rId136"/>
          <w:footerReference w:type="default" r:id="rId137"/>
          <w:headerReference w:type="first" r:id="rId138"/>
          <w:footerReference w:type="first" r:id="rId139"/>
          <w:type w:val="continuous"/>
          <w:pgSz w:w="11906" w:h="16838" w:code="9"/>
          <w:pgMar w:top="1152" w:right="1152" w:bottom="1152" w:left="1152" w:header="720" w:footer="720" w:gutter="0"/>
          <w:cols w:space="708"/>
          <w:docGrid w:linePitch="360"/>
        </w:sectPr>
      </w:pPr>
    </w:p>
    <w:p w:rsidR="00336793" w:rsidRPr="00BB3501" w:rsidRDefault="00336793" w:rsidP="00DF0B96">
      <w:pPr>
        <w:pStyle w:val="Smallline"/>
      </w:pPr>
    </w:p>
    <w:p w:rsidR="00336793" w:rsidRPr="00997CAC" w:rsidRDefault="00336793" w:rsidP="00DF0B96">
      <w:pPr>
        <w:pStyle w:val="ControlledEntitiesHeading2"/>
      </w:pPr>
      <w:r>
        <w:t xml:space="preserve">Department of Education and Training </w:t>
      </w:r>
      <w:r w:rsidRPr="00997CAC">
        <w:rPr>
          <w:vertAlign w:val="superscript"/>
        </w:rPr>
        <w:t>(b)</w:t>
      </w:r>
    </w:p>
    <w:p w:rsidR="00336793" w:rsidRPr="00997CAC" w:rsidRDefault="00336793" w:rsidP="00DF0B96">
      <w:pPr>
        <w:pStyle w:val="ControlledEntitiesText"/>
      </w:pPr>
      <w:r w:rsidRPr="00997CAC">
        <w:t xml:space="preserve">Adult Community and Further Education Board </w:t>
      </w:r>
    </w:p>
    <w:p w:rsidR="00336793" w:rsidRDefault="00336793" w:rsidP="00DF0B96">
      <w:pPr>
        <w:pStyle w:val="ControlledEntitiesText"/>
      </w:pPr>
      <w:r w:rsidRPr="00997CAC">
        <w:t xml:space="preserve">Adult Multicultural Education Services </w:t>
      </w:r>
    </w:p>
    <w:p w:rsidR="00336793" w:rsidRPr="00997CAC" w:rsidRDefault="00336793" w:rsidP="00DF0B96">
      <w:pPr>
        <w:pStyle w:val="ControlledEntitiesText"/>
      </w:pPr>
      <w:r w:rsidRPr="00BB3501">
        <w:t>International Fibre Centre Limited</w:t>
      </w:r>
    </w:p>
    <w:p w:rsidR="00336793" w:rsidRDefault="00336793" w:rsidP="00DF0B96">
      <w:pPr>
        <w:spacing w:after="0"/>
        <w:rPr>
          <w:rFonts w:ascii="Calibri" w:hAnsi="Calibri"/>
          <w:iCs/>
          <w:color w:val="000000" w:themeColor="text1"/>
          <w:sz w:val="18"/>
          <w:szCs w:val="18"/>
          <w:lang w:eastAsia="en-AU"/>
        </w:rPr>
      </w:pPr>
      <w:r w:rsidRPr="00810E63">
        <w:rPr>
          <w:rFonts w:ascii="Calibri" w:hAnsi="Calibri"/>
          <w:iCs/>
          <w:color w:val="000000" w:themeColor="text1"/>
          <w:sz w:val="18"/>
          <w:szCs w:val="18"/>
          <w:lang w:eastAsia="en-AU"/>
        </w:rPr>
        <w:t>TAFEs including:</w:t>
      </w:r>
    </w:p>
    <w:p w:rsidR="00336793" w:rsidRPr="00BB3501" w:rsidRDefault="00336793" w:rsidP="00DF0B96">
      <w:pPr>
        <w:pStyle w:val="ControlledEntitiesDash"/>
      </w:pPr>
      <w:r w:rsidRPr="00BB3501">
        <w:t xml:space="preserve">Bendigo Kangan Institute </w:t>
      </w:r>
      <w:r w:rsidRPr="00BB3501">
        <w:rPr>
          <w:vertAlign w:val="superscript"/>
        </w:rPr>
        <w:t>(b)</w:t>
      </w:r>
    </w:p>
    <w:p w:rsidR="00336793" w:rsidRPr="00BB3501" w:rsidRDefault="00336793" w:rsidP="00DF0B96">
      <w:pPr>
        <w:pStyle w:val="ControlledEntitiesDash"/>
      </w:pPr>
      <w:r w:rsidRPr="00BB3501">
        <w:t xml:space="preserve">Box Hill Institute of TAFE </w:t>
      </w:r>
    </w:p>
    <w:p w:rsidR="00336793" w:rsidRPr="00BB3501" w:rsidRDefault="00336793" w:rsidP="00DF0B96">
      <w:pPr>
        <w:pStyle w:val="ControlledEntitiesDash"/>
      </w:pPr>
      <w:r w:rsidRPr="00BB3501">
        <w:t>Chisholm Institute of TAFE</w:t>
      </w:r>
    </w:p>
    <w:p w:rsidR="00336793" w:rsidRPr="00BB3501" w:rsidRDefault="00336793" w:rsidP="00DF0B96">
      <w:pPr>
        <w:pStyle w:val="ControlledEntitiesDash"/>
      </w:pPr>
      <w:r w:rsidRPr="00BB3501">
        <w:t>Federation Training</w:t>
      </w:r>
    </w:p>
    <w:p w:rsidR="00336793" w:rsidRPr="00BB3501" w:rsidRDefault="00336793" w:rsidP="00DF0B96">
      <w:pPr>
        <w:pStyle w:val="ControlledEntitiesDash"/>
      </w:pPr>
      <w:r w:rsidRPr="00BB3501">
        <w:t xml:space="preserve">Gordon Institute </w:t>
      </w:r>
      <w:r w:rsidRPr="00810E63">
        <w:t>of</w:t>
      </w:r>
      <w:r w:rsidRPr="00BB3501">
        <w:t xml:space="preserve"> TAFE</w:t>
      </w:r>
    </w:p>
    <w:p w:rsidR="00336793" w:rsidRPr="00BB3501" w:rsidRDefault="00336793" w:rsidP="00DF0B96">
      <w:pPr>
        <w:pStyle w:val="ControlledEntitiesDash"/>
      </w:pPr>
      <w:r w:rsidRPr="00BB3501">
        <w:t>Goulburn Ovens Institute of TAFE</w:t>
      </w:r>
    </w:p>
    <w:p w:rsidR="00336793" w:rsidRPr="00BB3501" w:rsidRDefault="00336793" w:rsidP="00DF0B96">
      <w:pPr>
        <w:pStyle w:val="ControlledEntitiesDash"/>
      </w:pPr>
      <w:r w:rsidRPr="00BB3501">
        <w:t>Holmesglen Institute of TAFE</w:t>
      </w:r>
    </w:p>
    <w:p w:rsidR="00336793" w:rsidRPr="00BB3501" w:rsidRDefault="00336793" w:rsidP="00DF0B96">
      <w:pPr>
        <w:pStyle w:val="ControlledEntitiesDash"/>
      </w:pPr>
      <w:r w:rsidRPr="00BB3501">
        <w:t xml:space="preserve">Melbourne Polytechnic </w:t>
      </w:r>
      <w:r w:rsidRPr="00BB3501">
        <w:rPr>
          <w:vertAlign w:val="superscript"/>
        </w:rPr>
        <w:t>(c)</w:t>
      </w:r>
    </w:p>
    <w:p w:rsidR="00336793" w:rsidRPr="00BB3501" w:rsidRDefault="00336793" w:rsidP="00DF0B96">
      <w:pPr>
        <w:pStyle w:val="ControlledEntitiesDash"/>
      </w:pPr>
      <w:r w:rsidRPr="00BB3501">
        <w:t>South West Institute of TAFE</w:t>
      </w:r>
    </w:p>
    <w:p w:rsidR="00336793" w:rsidRPr="00BB3501" w:rsidRDefault="00336793" w:rsidP="00DF0B96">
      <w:pPr>
        <w:pStyle w:val="ControlledEntitiesDash"/>
      </w:pPr>
      <w:r w:rsidRPr="00BB3501">
        <w:t>Sunraysia Institute of TAFE</w:t>
      </w:r>
    </w:p>
    <w:p w:rsidR="00336793" w:rsidRPr="00BB3501" w:rsidRDefault="00336793" w:rsidP="00DF0B96">
      <w:pPr>
        <w:pStyle w:val="ControlledEntitiesDash"/>
      </w:pPr>
      <w:r w:rsidRPr="00BB3501">
        <w:t>William Angliss Institute of TAFE</w:t>
      </w:r>
    </w:p>
    <w:p w:rsidR="00336793" w:rsidRPr="00BB3501" w:rsidRDefault="00336793" w:rsidP="00DF0B96">
      <w:pPr>
        <w:pStyle w:val="ControlledEntitiesDash"/>
      </w:pPr>
      <w:r w:rsidRPr="00BB3501">
        <w:t xml:space="preserve">Wodonga Institute of TAFE </w:t>
      </w:r>
    </w:p>
    <w:p w:rsidR="00336793" w:rsidRPr="00264075" w:rsidRDefault="00336793" w:rsidP="00DF0B96">
      <w:pPr>
        <w:pStyle w:val="ControlledEntitiesText"/>
      </w:pPr>
      <w:r w:rsidRPr="00997CAC">
        <w:t>Victorian Curriculum and Assessment Authority</w:t>
      </w:r>
    </w:p>
    <w:p w:rsidR="00336793" w:rsidRPr="00997CAC" w:rsidRDefault="00336793" w:rsidP="00DF0B96">
      <w:pPr>
        <w:pStyle w:val="ControlledEntitiesText"/>
      </w:pPr>
      <w:r w:rsidRPr="00997CAC">
        <w:t>Victorian Institute of Teaching</w:t>
      </w:r>
    </w:p>
    <w:p w:rsidR="00336793" w:rsidRPr="00997CAC" w:rsidRDefault="00336793" w:rsidP="00DF0B96">
      <w:pPr>
        <w:pStyle w:val="ControlledEntitiesText"/>
      </w:pPr>
      <w:r w:rsidRPr="00997CAC">
        <w:t>Victorian Registration and Qualifications Authority</w:t>
      </w:r>
    </w:p>
    <w:p w:rsidR="00336793" w:rsidRPr="00997CAC" w:rsidRDefault="00336793" w:rsidP="00DF0B96">
      <w:pPr>
        <w:pStyle w:val="ControlledEntitiesHeading2"/>
      </w:pPr>
      <w:r>
        <w:t>Department of Environment, Land, Water and Planning</w:t>
      </w:r>
    </w:p>
    <w:p w:rsidR="00336793" w:rsidRPr="00997CAC" w:rsidRDefault="00336793" w:rsidP="00DF0B96">
      <w:pPr>
        <w:pStyle w:val="ControlledEntitiesText"/>
        <w:rPr>
          <w:b/>
          <w:bCs/>
        </w:rPr>
      </w:pPr>
      <w:r w:rsidRPr="00B8109E">
        <w:t>Architects Registration Board of Victoria</w:t>
      </w:r>
    </w:p>
    <w:p w:rsidR="00336793" w:rsidRPr="00997CAC" w:rsidRDefault="00336793" w:rsidP="00DF0B96">
      <w:pPr>
        <w:pStyle w:val="ControlledEntitiesText"/>
        <w:rPr>
          <w:b/>
          <w:bCs/>
        </w:rPr>
      </w:pPr>
      <w:r w:rsidRPr="00997CAC">
        <w:t>Catchment Management Authorities including:</w:t>
      </w:r>
    </w:p>
    <w:p w:rsidR="00336793" w:rsidRPr="00DB3AE5" w:rsidRDefault="00336793" w:rsidP="00DF0B96">
      <w:pPr>
        <w:pStyle w:val="ControlledEntitiesDash"/>
      </w:pPr>
      <w:r w:rsidRPr="00997CAC">
        <w:t>Corangamite Catchment</w:t>
      </w:r>
      <w:r>
        <w:t xml:space="preserve"> </w:t>
      </w:r>
      <w:r w:rsidRPr="00997CAC">
        <w:t>Management Authority</w:t>
      </w:r>
    </w:p>
    <w:p w:rsidR="00336793" w:rsidRPr="00997CAC" w:rsidRDefault="00336793" w:rsidP="00DF0B96">
      <w:pPr>
        <w:pStyle w:val="ControlledEntitiesDash"/>
      </w:pPr>
      <w:r w:rsidRPr="00997CAC">
        <w:t>East Gippsland Catchment Management Authority</w:t>
      </w:r>
    </w:p>
    <w:p w:rsidR="00336793" w:rsidRPr="00997CAC" w:rsidRDefault="00336793" w:rsidP="00DF0B96">
      <w:pPr>
        <w:pStyle w:val="ControlledEntitiesDash"/>
      </w:pPr>
      <w:r w:rsidRPr="00997CAC">
        <w:t>Glenelg Hopkins Catchment Management Authority</w:t>
      </w:r>
    </w:p>
    <w:p w:rsidR="00336793" w:rsidRPr="00997CAC" w:rsidRDefault="00336793" w:rsidP="00DF0B96">
      <w:pPr>
        <w:pStyle w:val="ControlledEntitiesDash"/>
      </w:pPr>
      <w:r w:rsidRPr="00997CAC">
        <w:t>Goulburn Broken Catchment Management Authority</w:t>
      </w:r>
    </w:p>
    <w:p w:rsidR="00336793" w:rsidRPr="00997CAC" w:rsidRDefault="00336793" w:rsidP="00DF0B96">
      <w:pPr>
        <w:pStyle w:val="ControlledEntitiesDash"/>
      </w:pPr>
      <w:r w:rsidRPr="00997CAC">
        <w:t>Mallee Catchment Management Authority</w:t>
      </w:r>
    </w:p>
    <w:p w:rsidR="00336793" w:rsidRPr="00997CAC" w:rsidRDefault="00336793" w:rsidP="00DF0B96">
      <w:pPr>
        <w:pStyle w:val="ControlledEntitiesDash"/>
      </w:pPr>
      <w:r w:rsidRPr="00997CAC">
        <w:t>North Central Catchment Management Authority</w:t>
      </w:r>
    </w:p>
    <w:p w:rsidR="00336793" w:rsidRPr="00997CAC" w:rsidRDefault="00336793" w:rsidP="00DF0B96">
      <w:pPr>
        <w:pStyle w:val="ControlledEntitiesDash"/>
      </w:pPr>
      <w:r w:rsidRPr="00997CAC">
        <w:t>North East Catchment Management Authority</w:t>
      </w:r>
    </w:p>
    <w:p w:rsidR="00336793" w:rsidRPr="00997CAC" w:rsidRDefault="00336793" w:rsidP="00DF0B96">
      <w:pPr>
        <w:pStyle w:val="ControlledEntitiesDash"/>
      </w:pPr>
      <w:r w:rsidRPr="00997CAC">
        <w:t>Port Phillip and Westernport</w:t>
      </w:r>
      <w:r>
        <w:t xml:space="preserve"> </w:t>
      </w:r>
      <w:r w:rsidRPr="00997CAC">
        <w:t>Catchment Management Authority</w:t>
      </w:r>
    </w:p>
    <w:p w:rsidR="00336793" w:rsidRPr="00997CAC" w:rsidRDefault="00336793" w:rsidP="00DF0B96">
      <w:pPr>
        <w:pStyle w:val="ControlledEntitiesDash"/>
      </w:pPr>
      <w:r w:rsidRPr="00997CAC">
        <w:t>West Gippsland Catchment Management Authority</w:t>
      </w:r>
    </w:p>
    <w:p w:rsidR="00336793" w:rsidRPr="00997CAC" w:rsidRDefault="00336793" w:rsidP="00DF0B96">
      <w:pPr>
        <w:pStyle w:val="ControlledEntitiesDash"/>
      </w:pPr>
      <w:r w:rsidRPr="00997CAC">
        <w:t>Wimmera Catchment Management Authority</w:t>
      </w:r>
    </w:p>
    <w:p w:rsidR="00336793" w:rsidRDefault="00336793" w:rsidP="00DF0B96">
      <w:pPr>
        <w:pStyle w:val="TableTextindent"/>
        <w:ind w:left="5"/>
        <w:rPr>
          <w:color w:val="000000" w:themeColor="text1"/>
          <w:sz w:val="18"/>
          <w:lang w:eastAsia="en-AU"/>
        </w:rPr>
      </w:pPr>
    </w:p>
    <w:p w:rsidR="00336793" w:rsidRDefault="00336793" w:rsidP="00DF0B96">
      <w:pPr>
        <w:pStyle w:val="TableTextindent"/>
        <w:ind w:left="5" w:right="-162"/>
        <w:rPr>
          <w:color w:val="000000" w:themeColor="text1"/>
          <w:sz w:val="18"/>
          <w:lang w:eastAsia="en-AU"/>
        </w:rPr>
      </w:pPr>
      <w:r w:rsidRPr="003D0BDF">
        <w:rPr>
          <w:color w:val="000000" w:themeColor="text1"/>
          <w:sz w:val="18"/>
          <w:lang w:eastAsia="en-AU"/>
        </w:rPr>
        <w:lastRenderedPageBreak/>
        <w:t>Dhelkunya Dja Land Management Board</w:t>
      </w:r>
      <w:r>
        <w:rPr>
          <w:color w:val="000000" w:themeColor="text1"/>
          <w:sz w:val="18"/>
          <w:lang w:eastAsia="en-AU"/>
        </w:rPr>
        <w:t> </w:t>
      </w:r>
      <w:r w:rsidRPr="003D0BDF">
        <w:rPr>
          <w:vertAlign w:val="superscript"/>
        </w:rPr>
        <w:t>(d)</w:t>
      </w:r>
    </w:p>
    <w:p w:rsidR="00336793" w:rsidRPr="00661F23" w:rsidRDefault="00336793" w:rsidP="00DF0B96">
      <w:pPr>
        <w:pStyle w:val="TableTextindent"/>
        <w:ind w:left="5"/>
        <w:rPr>
          <w:color w:val="000000" w:themeColor="text1"/>
          <w:sz w:val="18"/>
          <w:lang w:eastAsia="en-AU"/>
        </w:rPr>
      </w:pPr>
      <w:r w:rsidRPr="00661F23">
        <w:rPr>
          <w:color w:val="000000" w:themeColor="text1"/>
          <w:sz w:val="18"/>
          <w:lang w:eastAsia="en-AU"/>
        </w:rPr>
        <w:t>Office of the Commissioner for Environmental Sustainability</w:t>
      </w:r>
    </w:p>
    <w:p w:rsidR="00336793" w:rsidRPr="00661F23" w:rsidRDefault="00336793" w:rsidP="00DF0B96">
      <w:pPr>
        <w:pStyle w:val="TableTextindent"/>
        <w:ind w:left="0"/>
        <w:rPr>
          <w:color w:val="000000" w:themeColor="text1"/>
          <w:sz w:val="18"/>
          <w:lang w:eastAsia="en-AU"/>
        </w:rPr>
      </w:pPr>
      <w:r w:rsidRPr="00E1059E">
        <w:rPr>
          <w:color w:val="000000" w:themeColor="text1"/>
          <w:sz w:val="18"/>
          <w:lang w:eastAsia="en-AU"/>
        </w:rPr>
        <w:t>Environment Protection Authority</w:t>
      </w:r>
    </w:p>
    <w:p w:rsidR="00336793" w:rsidRDefault="00336793" w:rsidP="00DF0B96">
      <w:pPr>
        <w:pStyle w:val="TableTextindent"/>
        <w:ind w:left="0"/>
        <w:rPr>
          <w:color w:val="000000" w:themeColor="text1"/>
          <w:sz w:val="18"/>
          <w:lang w:eastAsia="en-AU"/>
        </w:rPr>
      </w:pPr>
      <w:r w:rsidRPr="00661F23">
        <w:rPr>
          <w:color w:val="000000" w:themeColor="text1"/>
          <w:sz w:val="18"/>
          <w:lang w:eastAsia="en-AU"/>
        </w:rPr>
        <w:t>Parks Victoria</w:t>
      </w:r>
    </w:p>
    <w:p w:rsidR="00336793" w:rsidRPr="00661F23" w:rsidRDefault="00336793" w:rsidP="00DF0B96">
      <w:pPr>
        <w:pStyle w:val="TableTextindent"/>
        <w:ind w:left="0"/>
        <w:rPr>
          <w:color w:val="000000" w:themeColor="text1"/>
          <w:sz w:val="18"/>
          <w:lang w:eastAsia="en-AU"/>
        </w:rPr>
      </w:pPr>
      <w:r w:rsidRPr="003D0BDF">
        <w:rPr>
          <w:color w:val="000000" w:themeColor="text1"/>
          <w:sz w:val="18"/>
          <w:lang w:eastAsia="en-AU"/>
        </w:rPr>
        <w:t>Gunaikurnai Traditional Owner Land Management Board</w:t>
      </w:r>
    </w:p>
    <w:p w:rsidR="00336793" w:rsidRPr="00661F23" w:rsidRDefault="00336793" w:rsidP="00DF0B96">
      <w:pPr>
        <w:pStyle w:val="TableTextindent"/>
        <w:ind w:left="0"/>
        <w:rPr>
          <w:color w:val="000000" w:themeColor="text1"/>
          <w:sz w:val="18"/>
          <w:lang w:eastAsia="en-AU"/>
        </w:rPr>
      </w:pPr>
      <w:r w:rsidRPr="00661F23">
        <w:rPr>
          <w:color w:val="000000" w:themeColor="text1"/>
          <w:sz w:val="18"/>
          <w:lang w:eastAsia="en-AU"/>
        </w:rPr>
        <w:t>Heritage Council</w:t>
      </w:r>
    </w:p>
    <w:p w:rsidR="00336793" w:rsidRPr="00661F23" w:rsidRDefault="00336793" w:rsidP="00DF0B96">
      <w:pPr>
        <w:pStyle w:val="TableTextindent"/>
        <w:ind w:left="5"/>
        <w:rPr>
          <w:color w:val="000000" w:themeColor="text1"/>
          <w:sz w:val="18"/>
          <w:lang w:eastAsia="en-AU"/>
        </w:rPr>
      </w:pPr>
      <w:r w:rsidRPr="00661F23">
        <w:rPr>
          <w:color w:val="000000" w:themeColor="text1"/>
          <w:sz w:val="18"/>
          <w:lang w:eastAsia="en-AU"/>
        </w:rPr>
        <w:t>Metropolitan Planning Authority</w:t>
      </w:r>
    </w:p>
    <w:p w:rsidR="00336793" w:rsidRPr="00985BF3" w:rsidRDefault="00336793" w:rsidP="00DF0B96">
      <w:pPr>
        <w:spacing w:after="0"/>
        <w:rPr>
          <w:rFonts w:ascii="Calibri" w:hAnsi="Calibri"/>
          <w:color w:val="000000" w:themeColor="text1"/>
          <w:sz w:val="18"/>
          <w:szCs w:val="18"/>
          <w:lang w:eastAsia="en-AU"/>
        </w:rPr>
      </w:pPr>
      <w:r w:rsidRPr="00985BF3">
        <w:rPr>
          <w:rFonts w:ascii="Calibri" w:hAnsi="Calibri"/>
          <w:iCs/>
          <w:color w:val="000000" w:themeColor="text1"/>
          <w:sz w:val="18"/>
          <w:szCs w:val="18"/>
          <w:lang w:eastAsia="en-AU"/>
        </w:rPr>
        <w:t>Royal Botanic Gardens Board</w:t>
      </w:r>
    </w:p>
    <w:p w:rsidR="00336793" w:rsidRPr="00997CAC" w:rsidRDefault="00336793" w:rsidP="00DF0B96">
      <w:pPr>
        <w:pStyle w:val="TableTextindent"/>
        <w:ind w:left="5"/>
        <w:rPr>
          <w:i/>
          <w:iCs/>
          <w:color w:val="000000" w:themeColor="text1"/>
          <w:sz w:val="18"/>
          <w:lang w:eastAsia="en-AU"/>
        </w:rPr>
      </w:pPr>
      <w:r w:rsidRPr="00661F23">
        <w:rPr>
          <w:color w:val="000000" w:themeColor="text1"/>
          <w:sz w:val="18"/>
          <w:lang w:eastAsia="en-AU"/>
        </w:rPr>
        <w:t>Surveyors Registration Board of Victoria</w:t>
      </w:r>
    </w:p>
    <w:p w:rsidR="00336793" w:rsidRPr="00661F23" w:rsidRDefault="00336793" w:rsidP="00DF0B96">
      <w:pPr>
        <w:pStyle w:val="TableTextindent"/>
        <w:ind w:left="0"/>
        <w:rPr>
          <w:color w:val="000000" w:themeColor="text1"/>
          <w:sz w:val="18"/>
          <w:lang w:eastAsia="en-AU"/>
        </w:rPr>
      </w:pPr>
      <w:r w:rsidRPr="00661F23">
        <w:rPr>
          <w:color w:val="000000" w:themeColor="text1"/>
          <w:sz w:val="18"/>
          <w:lang w:eastAsia="en-AU"/>
        </w:rPr>
        <w:t>Sustainability Victoria</w:t>
      </w:r>
    </w:p>
    <w:p w:rsidR="00336793" w:rsidRPr="00661F23" w:rsidRDefault="00336793" w:rsidP="00DF0B96">
      <w:pPr>
        <w:pStyle w:val="TableTextindent"/>
        <w:ind w:left="5"/>
        <w:rPr>
          <w:color w:val="000000" w:themeColor="text1"/>
          <w:sz w:val="18"/>
          <w:lang w:eastAsia="en-AU"/>
        </w:rPr>
      </w:pPr>
      <w:r w:rsidRPr="00661F23">
        <w:rPr>
          <w:color w:val="000000" w:themeColor="text1"/>
          <w:sz w:val="18"/>
          <w:lang w:eastAsia="en-AU"/>
        </w:rPr>
        <w:t>Trust for Nature (Victoria)</w:t>
      </w:r>
    </w:p>
    <w:p w:rsidR="00336793" w:rsidRDefault="00336793" w:rsidP="00DF0B96">
      <w:pPr>
        <w:spacing w:after="0"/>
        <w:rPr>
          <w:rFonts w:ascii="Calibri" w:hAnsi="Calibri"/>
          <w:color w:val="000000" w:themeColor="text1"/>
          <w:sz w:val="18"/>
          <w:szCs w:val="18"/>
          <w:lang w:eastAsia="en-AU"/>
        </w:rPr>
      </w:pPr>
      <w:r w:rsidRPr="00661F23">
        <w:rPr>
          <w:rFonts w:ascii="Calibri" w:hAnsi="Calibri"/>
          <w:color w:val="000000" w:themeColor="text1"/>
          <w:sz w:val="18"/>
          <w:szCs w:val="18"/>
          <w:lang w:eastAsia="en-AU"/>
        </w:rPr>
        <w:t>Victorian Building Authority</w:t>
      </w:r>
    </w:p>
    <w:p w:rsidR="00336793" w:rsidRDefault="00336793" w:rsidP="00DF0B96">
      <w:pPr>
        <w:spacing w:after="0"/>
        <w:rPr>
          <w:rFonts w:ascii="Calibri" w:hAnsi="Calibri"/>
          <w:color w:val="000000" w:themeColor="text1"/>
          <w:sz w:val="18"/>
          <w:szCs w:val="18"/>
          <w:lang w:eastAsia="en-AU"/>
        </w:rPr>
      </w:pPr>
      <w:r w:rsidRPr="003D0BDF">
        <w:rPr>
          <w:rFonts w:ascii="Calibri" w:hAnsi="Calibri"/>
          <w:color w:val="000000" w:themeColor="text1"/>
          <w:sz w:val="18"/>
          <w:szCs w:val="18"/>
          <w:lang w:eastAsia="en-AU"/>
        </w:rPr>
        <w:t>Victorian Environmental Water Holder</w:t>
      </w:r>
    </w:p>
    <w:p w:rsidR="00336793" w:rsidRPr="00661F23" w:rsidRDefault="00336793" w:rsidP="00DF0B96">
      <w:pPr>
        <w:spacing w:after="0"/>
        <w:rPr>
          <w:rFonts w:ascii="Calibri" w:hAnsi="Calibri"/>
          <w:color w:val="000000" w:themeColor="text1"/>
          <w:sz w:val="18"/>
          <w:szCs w:val="18"/>
          <w:lang w:eastAsia="en-AU"/>
        </w:rPr>
      </w:pPr>
      <w:r w:rsidRPr="003D0BDF">
        <w:rPr>
          <w:rFonts w:ascii="Calibri" w:hAnsi="Calibri"/>
          <w:color w:val="000000" w:themeColor="text1"/>
          <w:sz w:val="18"/>
          <w:szCs w:val="18"/>
          <w:lang w:eastAsia="en-AU"/>
        </w:rPr>
        <w:t xml:space="preserve">Yorta Yorta Traditional Owner Land Management Board </w:t>
      </w:r>
    </w:p>
    <w:p w:rsidR="00336793" w:rsidRPr="00BB3501" w:rsidRDefault="00336793" w:rsidP="00DF0B96">
      <w:pPr>
        <w:shd w:val="clear" w:color="auto" w:fill="FFFFFF" w:themeFill="background1"/>
        <w:spacing w:after="0"/>
        <w:rPr>
          <w:rFonts w:ascii="Calibri" w:hAnsi="Calibri"/>
          <w:b/>
          <w:bCs/>
          <w:color w:val="000000" w:themeColor="text1"/>
          <w:sz w:val="4"/>
          <w:szCs w:val="18"/>
          <w:shd w:val="clear" w:color="auto" w:fill="FFFFFF" w:themeFill="background1"/>
          <w:lang w:eastAsia="en-AU"/>
        </w:rPr>
      </w:pPr>
    </w:p>
    <w:p w:rsidR="00336793" w:rsidRPr="00997CAC" w:rsidRDefault="00336793" w:rsidP="00DF0B96">
      <w:pPr>
        <w:pStyle w:val="ControlledEntitiesHeading2"/>
      </w:pPr>
      <w:r w:rsidRPr="00BF2907">
        <w:t>Department of Health and Human Services</w:t>
      </w:r>
    </w:p>
    <w:p w:rsidR="00336793" w:rsidRPr="00B6650D" w:rsidRDefault="00336793" w:rsidP="00DF0B96">
      <w:pPr>
        <w:pStyle w:val="ControlledEntitiesText"/>
        <w:ind w:right="-162"/>
        <w:rPr>
          <w:rFonts w:asciiTheme="minorHAnsi" w:hAnsiTheme="minorHAnsi" w:cstheme="minorHAnsi"/>
          <w:sz w:val="21"/>
          <w:szCs w:val="21"/>
        </w:rPr>
      </w:pPr>
      <w:r w:rsidRPr="009A7525">
        <w:t>Commission for Children and Young People</w:t>
      </w:r>
    </w:p>
    <w:p w:rsidR="00336793" w:rsidRPr="00B6650D" w:rsidRDefault="00336793" w:rsidP="00DF0B96">
      <w:pPr>
        <w:pStyle w:val="ControlledEntitiesText"/>
        <w:rPr>
          <w:rFonts w:asciiTheme="minorHAnsi" w:hAnsiTheme="minorHAnsi" w:cstheme="minorHAnsi"/>
          <w:sz w:val="21"/>
          <w:szCs w:val="21"/>
        </w:rPr>
      </w:pPr>
      <w:r w:rsidRPr="009A7525">
        <w:t>Health Purchasing Victoria</w:t>
      </w:r>
    </w:p>
    <w:p w:rsidR="00336793" w:rsidRPr="009A7525" w:rsidRDefault="00336793" w:rsidP="00DF0B96">
      <w:pPr>
        <w:pStyle w:val="ControlledEntitiesText"/>
        <w:rPr>
          <w:rFonts w:asciiTheme="minorHAnsi" w:hAnsiTheme="minorHAnsi" w:cstheme="minorHAnsi"/>
          <w:sz w:val="21"/>
          <w:szCs w:val="21"/>
        </w:rPr>
      </w:pPr>
      <w:r w:rsidRPr="009A7525">
        <w:t>Hospitals, Health and Ambulance Services including:</w:t>
      </w:r>
    </w:p>
    <w:p w:rsidR="00336793" w:rsidRPr="009A7525" w:rsidRDefault="00336793" w:rsidP="00DF0B96">
      <w:pPr>
        <w:pStyle w:val="ControlledEntitiesDash"/>
      </w:pPr>
      <w:r w:rsidRPr="009A7525">
        <w:t xml:space="preserve">Albury Wodonga Health </w:t>
      </w:r>
    </w:p>
    <w:p w:rsidR="00336793" w:rsidRPr="009A7525" w:rsidRDefault="00336793" w:rsidP="00DF0B96">
      <w:pPr>
        <w:pStyle w:val="ControlledEntitiesDash"/>
      </w:pPr>
      <w:r w:rsidRPr="009A7525">
        <w:t>Alexandra District Hospital</w:t>
      </w:r>
    </w:p>
    <w:p w:rsidR="00336793" w:rsidRPr="009A7525" w:rsidRDefault="00336793" w:rsidP="00DF0B96">
      <w:pPr>
        <w:pStyle w:val="ControlledEntitiesDash"/>
      </w:pPr>
      <w:r w:rsidRPr="009A7525">
        <w:t>Alfred Health</w:t>
      </w:r>
    </w:p>
    <w:p w:rsidR="00336793" w:rsidRPr="009A7525" w:rsidRDefault="00336793" w:rsidP="00DF0B96">
      <w:pPr>
        <w:pStyle w:val="ControlledEntitiesDash"/>
      </w:pPr>
      <w:r w:rsidRPr="009A7525">
        <w:t>Alpine Health</w:t>
      </w:r>
    </w:p>
    <w:p w:rsidR="00336793" w:rsidRPr="009A7525" w:rsidRDefault="00336793" w:rsidP="00DF0B96">
      <w:pPr>
        <w:pStyle w:val="ControlledEntitiesDash"/>
      </w:pPr>
      <w:r w:rsidRPr="009A7525">
        <w:t>Ambulance Victoria</w:t>
      </w:r>
    </w:p>
    <w:p w:rsidR="00336793" w:rsidRPr="009A7525" w:rsidRDefault="00336793" w:rsidP="00DF0B96">
      <w:pPr>
        <w:pStyle w:val="ControlledEntitiesDash"/>
      </w:pPr>
      <w:r w:rsidRPr="009A7525">
        <w:t>Austin Health</w:t>
      </w:r>
    </w:p>
    <w:p w:rsidR="00336793" w:rsidRPr="009A7525" w:rsidRDefault="00336793" w:rsidP="00DF0B96">
      <w:pPr>
        <w:pStyle w:val="ControlledEntitiesDash"/>
      </w:pPr>
      <w:r w:rsidRPr="009A7525">
        <w:t>Bairnsdale Regional Health Service</w:t>
      </w:r>
    </w:p>
    <w:p w:rsidR="00336793" w:rsidRPr="009A7525" w:rsidRDefault="00336793" w:rsidP="00DF0B96">
      <w:pPr>
        <w:pStyle w:val="ControlledEntitiesDash"/>
      </w:pPr>
      <w:r w:rsidRPr="009A7525">
        <w:t>Ballarat Health Services</w:t>
      </w:r>
    </w:p>
    <w:p w:rsidR="00336793" w:rsidRPr="009A7525" w:rsidRDefault="00336793" w:rsidP="00DF0B96">
      <w:pPr>
        <w:pStyle w:val="ControlledEntitiesDash"/>
      </w:pPr>
      <w:r w:rsidRPr="009A7525">
        <w:t>Barwon Health</w:t>
      </w:r>
    </w:p>
    <w:p w:rsidR="00336793" w:rsidRPr="009A7525" w:rsidRDefault="00336793" w:rsidP="00DF0B96">
      <w:pPr>
        <w:pStyle w:val="ControlledEntitiesDash"/>
      </w:pPr>
      <w:r w:rsidRPr="009A7525">
        <w:t xml:space="preserve">Bass Coast Health </w:t>
      </w:r>
      <w:r w:rsidRPr="00241022">
        <w:rPr>
          <w:vertAlign w:val="superscript"/>
        </w:rPr>
        <w:t>(e)</w:t>
      </w:r>
    </w:p>
    <w:p w:rsidR="00336793" w:rsidRPr="009A7525" w:rsidRDefault="00336793" w:rsidP="00DF0B96">
      <w:pPr>
        <w:pStyle w:val="ControlledEntitiesDash"/>
      </w:pPr>
      <w:r w:rsidRPr="009A7525">
        <w:t>Beaufort and Skipton Health Service</w:t>
      </w:r>
    </w:p>
    <w:p w:rsidR="00336793" w:rsidRPr="009A7525" w:rsidRDefault="00336793" w:rsidP="00DF0B96">
      <w:pPr>
        <w:pStyle w:val="ControlledEntitiesDash"/>
      </w:pPr>
      <w:r w:rsidRPr="009A7525">
        <w:t>Beechworth Health Service</w:t>
      </w:r>
    </w:p>
    <w:p w:rsidR="00336793" w:rsidRPr="009A7525" w:rsidRDefault="00336793" w:rsidP="00DF0B96">
      <w:pPr>
        <w:pStyle w:val="ControlledEntitiesDash"/>
      </w:pPr>
      <w:r w:rsidRPr="009A7525">
        <w:t>Benalla Health</w:t>
      </w:r>
    </w:p>
    <w:p w:rsidR="00336793" w:rsidRPr="009A7525" w:rsidRDefault="00336793" w:rsidP="00DF0B96">
      <w:pPr>
        <w:pStyle w:val="ControlledEntitiesDash"/>
      </w:pPr>
      <w:r w:rsidRPr="009A7525">
        <w:t>Bendigo Health Care Group</w:t>
      </w:r>
    </w:p>
    <w:p w:rsidR="00336793" w:rsidRPr="009A7525" w:rsidRDefault="00336793" w:rsidP="00DF0B96">
      <w:pPr>
        <w:pStyle w:val="ControlledEntitiesDash"/>
      </w:pPr>
      <w:r w:rsidRPr="009A7525">
        <w:t>Boort District Health</w:t>
      </w:r>
    </w:p>
    <w:p w:rsidR="00336793" w:rsidRPr="007A43A2" w:rsidRDefault="00336793" w:rsidP="00DF0B96">
      <w:pPr>
        <w:pStyle w:val="ControlledEntitiesDash"/>
      </w:pPr>
      <w:r w:rsidRPr="007A43A2">
        <w:t>Casterton Memorial Hospital</w:t>
      </w:r>
    </w:p>
    <w:p w:rsidR="00336793" w:rsidRPr="007A43A2" w:rsidRDefault="00336793" w:rsidP="00DF0B96">
      <w:pPr>
        <w:pStyle w:val="ControlledEntitiesDash"/>
      </w:pPr>
      <w:r w:rsidRPr="007A43A2">
        <w:t xml:space="preserve">Castlemaine Health </w:t>
      </w:r>
    </w:p>
    <w:p w:rsidR="00336793" w:rsidRPr="007A43A2" w:rsidRDefault="00336793" w:rsidP="00DF0B96">
      <w:pPr>
        <w:pStyle w:val="ControlledEntitiesDash"/>
      </w:pPr>
      <w:r w:rsidRPr="007A43A2">
        <w:t>Central Gippsland Health Service</w:t>
      </w:r>
    </w:p>
    <w:p w:rsidR="00336793" w:rsidRPr="007A43A2" w:rsidRDefault="00336793" w:rsidP="00DF0B96">
      <w:pPr>
        <w:pStyle w:val="ControlledEntitiesDash"/>
      </w:pPr>
      <w:r w:rsidRPr="007A43A2">
        <w:t>Cobram District Health</w:t>
      </w:r>
    </w:p>
    <w:p w:rsidR="00336793" w:rsidRPr="007A43A2" w:rsidRDefault="00336793" w:rsidP="00DF0B96">
      <w:pPr>
        <w:pStyle w:val="ControlledEntitiesDash"/>
      </w:pPr>
      <w:r w:rsidRPr="007A43A2">
        <w:t>Cohuna District Hospital</w:t>
      </w:r>
    </w:p>
    <w:p w:rsidR="00336793" w:rsidRPr="007A43A2" w:rsidRDefault="00336793" w:rsidP="00DF0B96">
      <w:pPr>
        <w:pStyle w:val="ControlledEntitiesDash"/>
      </w:pPr>
      <w:r w:rsidRPr="007A43A2">
        <w:t>Colac Area Health</w:t>
      </w:r>
    </w:p>
    <w:p w:rsidR="00336793" w:rsidRPr="007A43A2" w:rsidRDefault="00336793" w:rsidP="00DF0B96">
      <w:pPr>
        <w:pStyle w:val="ControlledEntitiesDash"/>
      </w:pPr>
      <w:r w:rsidRPr="007A43A2">
        <w:t>Dental Health Services Victoria</w:t>
      </w:r>
    </w:p>
    <w:p w:rsidR="00336793" w:rsidRPr="007A43A2" w:rsidRDefault="00336793" w:rsidP="00DF0B96">
      <w:pPr>
        <w:pStyle w:val="ControlledEntitiesDash"/>
      </w:pPr>
      <w:r w:rsidRPr="007A43A2">
        <w:t>Djerriwarrh Health Services</w:t>
      </w:r>
    </w:p>
    <w:p w:rsidR="00336793" w:rsidRPr="007A43A2" w:rsidRDefault="00336793" w:rsidP="00DF0B96">
      <w:pPr>
        <w:pStyle w:val="ControlledEntitiesDash"/>
      </w:pPr>
      <w:r w:rsidRPr="007A43A2">
        <w:t>Dunmunkle Health Services</w:t>
      </w:r>
    </w:p>
    <w:p w:rsidR="00336793" w:rsidRPr="007A43A2" w:rsidRDefault="00336793" w:rsidP="00DF0B96">
      <w:pPr>
        <w:pStyle w:val="ControlledEntitiesDash"/>
      </w:pPr>
      <w:r>
        <w:t>E</w:t>
      </w:r>
      <w:r w:rsidRPr="007A43A2">
        <w:t>ast Grampians Health Service</w:t>
      </w:r>
    </w:p>
    <w:p w:rsidR="00336793" w:rsidRPr="007A43A2" w:rsidRDefault="00336793" w:rsidP="00DF0B96">
      <w:pPr>
        <w:pStyle w:val="ControlledEntitiesDash"/>
      </w:pPr>
      <w:r w:rsidRPr="007A43A2">
        <w:t>East Wimmera Health Service</w:t>
      </w:r>
    </w:p>
    <w:p w:rsidR="00336793" w:rsidRPr="007A43A2" w:rsidRDefault="00336793" w:rsidP="00DF0B96">
      <w:pPr>
        <w:pStyle w:val="ControlledEntitiesDash"/>
      </w:pPr>
      <w:r w:rsidRPr="007A43A2">
        <w:lastRenderedPageBreak/>
        <w:t>Eastern Health</w:t>
      </w:r>
    </w:p>
    <w:p w:rsidR="00336793" w:rsidRPr="007A43A2" w:rsidRDefault="00336793" w:rsidP="00DF0B96">
      <w:pPr>
        <w:pStyle w:val="ControlledEntitiesDash"/>
      </w:pPr>
      <w:r w:rsidRPr="007A43A2">
        <w:t>Echuca Regional Health</w:t>
      </w:r>
    </w:p>
    <w:p w:rsidR="00336793" w:rsidRPr="007A43A2" w:rsidRDefault="00336793" w:rsidP="00DF0B96">
      <w:pPr>
        <w:pStyle w:val="ControlledEntitiesDash"/>
      </w:pPr>
      <w:r w:rsidRPr="007A43A2">
        <w:t>Edenhope and District Memorial Hospital</w:t>
      </w:r>
    </w:p>
    <w:p w:rsidR="00336793" w:rsidRPr="007A43A2" w:rsidRDefault="00336793" w:rsidP="00DF0B96">
      <w:pPr>
        <w:pStyle w:val="ControlledEntitiesDash"/>
      </w:pPr>
      <w:r w:rsidRPr="007A43A2">
        <w:t>Gippsland Southern Health Service</w:t>
      </w:r>
    </w:p>
    <w:p w:rsidR="00336793" w:rsidRPr="007A43A2" w:rsidRDefault="00336793" w:rsidP="00DF0B96">
      <w:pPr>
        <w:pStyle w:val="ControlledEntitiesDash"/>
      </w:pPr>
      <w:r w:rsidRPr="007A43A2">
        <w:t>Goulburn Valley Health</w:t>
      </w:r>
    </w:p>
    <w:p w:rsidR="00336793" w:rsidRPr="007A43A2" w:rsidRDefault="00336793" w:rsidP="00DF0B96">
      <w:pPr>
        <w:pStyle w:val="ControlledEntitiesDash"/>
      </w:pPr>
      <w:r w:rsidRPr="007A43A2">
        <w:t xml:space="preserve">Heathcote Health </w:t>
      </w:r>
    </w:p>
    <w:p w:rsidR="00336793" w:rsidRPr="007A43A2" w:rsidRDefault="00336793" w:rsidP="00DF0B96">
      <w:pPr>
        <w:pStyle w:val="ControlledEntitiesDash"/>
      </w:pPr>
      <w:r w:rsidRPr="007A43A2">
        <w:t>Hepburn Health Service</w:t>
      </w:r>
    </w:p>
    <w:p w:rsidR="00336793" w:rsidRPr="007A43A2" w:rsidRDefault="00336793" w:rsidP="00DF0B96">
      <w:pPr>
        <w:pStyle w:val="ControlledEntitiesDash"/>
      </w:pPr>
      <w:r w:rsidRPr="007A43A2">
        <w:t>Hesse Rural Health Service</w:t>
      </w:r>
    </w:p>
    <w:p w:rsidR="00336793" w:rsidRPr="007A43A2" w:rsidRDefault="00336793" w:rsidP="00DF0B96">
      <w:pPr>
        <w:pStyle w:val="ControlledEntitiesDash"/>
      </w:pPr>
      <w:r w:rsidRPr="007A43A2">
        <w:t>Heywood Rural Health</w:t>
      </w:r>
    </w:p>
    <w:p w:rsidR="00336793" w:rsidRPr="007A43A2" w:rsidRDefault="00336793" w:rsidP="00DF0B96">
      <w:pPr>
        <w:pStyle w:val="ControlledEntitiesDash"/>
      </w:pPr>
      <w:r w:rsidRPr="007A43A2">
        <w:t>Inglewood and Districts Health Service</w:t>
      </w:r>
    </w:p>
    <w:p w:rsidR="00336793" w:rsidRPr="007A43A2" w:rsidRDefault="00336793" w:rsidP="00DF0B96">
      <w:pPr>
        <w:pStyle w:val="ControlledEntitiesDash"/>
      </w:pPr>
      <w:r w:rsidRPr="007A43A2">
        <w:t xml:space="preserve">Kerang District Health </w:t>
      </w:r>
    </w:p>
    <w:p w:rsidR="00336793" w:rsidRPr="007A43A2" w:rsidRDefault="00336793" w:rsidP="00DF0B96">
      <w:pPr>
        <w:pStyle w:val="ControlledEntitiesDash"/>
      </w:pPr>
      <w:r w:rsidRPr="007A43A2">
        <w:t>Kooweerup Regional Health Service</w:t>
      </w:r>
    </w:p>
    <w:p w:rsidR="00336793" w:rsidRPr="007A43A2" w:rsidRDefault="00336793" w:rsidP="00DF0B96">
      <w:pPr>
        <w:pStyle w:val="ControlledEntitiesDash"/>
      </w:pPr>
      <w:r w:rsidRPr="007A43A2">
        <w:t>Kyabram and District Health Services</w:t>
      </w:r>
    </w:p>
    <w:p w:rsidR="00336793" w:rsidRPr="007A43A2" w:rsidRDefault="00336793" w:rsidP="00DF0B96">
      <w:pPr>
        <w:pStyle w:val="ControlledEntitiesDash"/>
      </w:pPr>
      <w:r w:rsidRPr="007A43A2">
        <w:t>Kyneton District Health Service</w:t>
      </w:r>
    </w:p>
    <w:p w:rsidR="00336793" w:rsidRPr="007A43A2" w:rsidRDefault="00336793" w:rsidP="00DF0B96">
      <w:pPr>
        <w:pStyle w:val="ControlledEntitiesDash"/>
      </w:pPr>
      <w:r w:rsidRPr="007A43A2">
        <w:t>Latrobe Regional Hospital</w:t>
      </w:r>
    </w:p>
    <w:p w:rsidR="00336793" w:rsidRPr="007A43A2" w:rsidRDefault="00336793" w:rsidP="00DF0B96">
      <w:pPr>
        <w:pStyle w:val="ControlledEntitiesDash"/>
      </w:pPr>
      <w:r w:rsidRPr="007A43A2">
        <w:t>Lorne Community Hospital</w:t>
      </w:r>
    </w:p>
    <w:p w:rsidR="00336793" w:rsidRPr="007A43A2" w:rsidRDefault="00336793" w:rsidP="00DF0B96">
      <w:pPr>
        <w:pStyle w:val="ControlledEntitiesDash"/>
      </w:pPr>
      <w:r w:rsidRPr="007A43A2">
        <w:t>Maldon Hospital</w:t>
      </w:r>
    </w:p>
    <w:p w:rsidR="00336793" w:rsidRPr="007A43A2" w:rsidRDefault="00336793" w:rsidP="00DF0B96">
      <w:pPr>
        <w:pStyle w:val="ControlledEntitiesDash"/>
      </w:pPr>
      <w:r w:rsidRPr="007A43A2">
        <w:t>Mallee Track Health and Community Service</w:t>
      </w:r>
    </w:p>
    <w:p w:rsidR="00336793" w:rsidRPr="007A43A2" w:rsidRDefault="00336793" w:rsidP="00DF0B96">
      <w:pPr>
        <w:pStyle w:val="ControlledEntitiesDash"/>
      </w:pPr>
      <w:r w:rsidRPr="007A43A2">
        <w:t xml:space="preserve">Mansfield District Hospital </w:t>
      </w:r>
    </w:p>
    <w:p w:rsidR="00336793" w:rsidRPr="007A43A2" w:rsidRDefault="00336793" w:rsidP="00DF0B96">
      <w:pPr>
        <w:pStyle w:val="ControlledEntitiesDash"/>
      </w:pPr>
      <w:r w:rsidRPr="007A43A2">
        <w:t>Maryborough District Health Service</w:t>
      </w:r>
    </w:p>
    <w:p w:rsidR="00336793" w:rsidRPr="007A43A2" w:rsidRDefault="00336793" w:rsidP="00DF0B96">
      <w:pPr>
        <w:pStyle w:val="ControlledEntitiesDash"/>
      </w:pPr>
      <w:r w:rsidRPr="007A43A2">
        <w:t>Melbourne Health</w:t>
      </w:r>
    </w:p>
    <w:p w:rsidR="00336793" w:rsidRPr="007A43A2" w:rsidRDefault="00336793" w:rsidP="00DF0B96">
      <w:pPr>
        <w:pStyle w:val="ControlledEntitiesDash"/>
      </w:pPr>
      <w:r w:rsidRPr="007A43A2">
        <w:t>Monash Health</w:t>
      </w:r>
    </w:p>
    <w:p w:rsidR="00336793" w:rsidRPr="007A43A2" w:rsidRDefault="00336793" w:rsidP="00DF0B96">
      <w:pPr>
        <w:pStyle w:val="ControlledEntitiesDash"/>
      </w:pPr>
      <w:r w:rsidRPr="007A43A2">
        <w:t>Moyne Health Services</w:t>
      </w:r>
    </w:p>
    <w:p w:rsidR="00336793" w:rsidRPr="007A43A2" w:rsidRDefault="00336793" w:rsidP="00DF0B96">
      <w:pPr>
        <w:pStyle w:val="ControlledEntitiesDash"/>
      </w:pPr>
      <w:r w:rsidRPr="007A43A2">
        <w:t>Nathalia District Hospital</w:t>
      </w:r>
    </w:p>
    <w:p w:rsidR="00336793" w:rsidRPr="007A43A2" w:rsidRDefault="00336793" w:rsidP="00DF0B96">
      <w:pPr>
        <w:pStyle w:val="ControlledEntitiesDash"/>
      </w:pPr>
      <w:r w:rsidRPr="007A43A2">
        <w:t>Northeast Health Wangaratta</w:t>
      </w:r>
    </w:p>
    <w:p w:rsidR="00336793" w:rsidRPr="007A43A2" w:rsidRDefault="00336793" w:rsidP="00DF0B96">
      <w:pPr>
        <w:pStyle w:val="ControlledEntitiesDash"/>
      </w:pPr>
      <w:r w:rsidRPr="007A43A2">
        <w:t>Northern Health</w:t>
      </w:r>
    </w:p>
    <w:p w:rsidR="00336793" w:rsidRPr="007A43A2" w:rsidRDefault="00336793" w:rsidP="00DF0B96">
      <w:pPr>
        <w:pStyle w:val="ControlledEntitiesDash"/>
      </w:pPr>
      <w:r w:rsidRPr="007A43A2">
        <w:t>Numurkah District Health Service</w:t>
      </w:r>
    </w:p>
    <w:p w:rsidR="00336793" w:rsidRPr="00661F23" w:rsidRDefault="00336793" w:rsidP="00DF0B96">
      <w:pPr>
        <w:pStyle w:val="ControlledEntitiesDash"/>
      </w:pPr>
      <w:r w:rsidRPr="007A43A2">
        <w:t>Omeo District Health</w:t>
      </w:r>
    </w:p>
    <w:p w:rsidR="00336793" w:rsidRPr="007A43A2" w:rsidRDefault="00336793" w:rsidP="00DF0B96">
      <w:pPr>
        <w:pStyle w:val="ControlledEntitiesDash"/>
      </w:pPr>
      <w:r w:rsidRPr="007A43A2">
        <w:t>Orbost Regional Health</w:t>
      </w:r>
    </w:p>
    <w:p w:rsidR="00336793" w:rsidRPr="007A43A2" w:rsidRDefault="00336793" w:rsidP="00DF0B96">
      <w:pPr>
        <w:pStyle w:val="ControlledEntitiesDash"/>
      </w:pPr>
      <w:r w:rsidRPr="007A43A2">
        <w:t>Otway Health</w:t>
      </w:r>
    </w:p>
    <w:p w:rsidR="00336793" w:rsidRPr="007A43A2" w:rsidRDefault="00336793" w:rsidP="00DF0B96">
      <w:pPr>
        <w:pStyle w:val="ControlledEntitiesDash"/>
      </w:pPr>
      <w:r w:rsidRPr="007A43A2">
        <w:t>Peninsula Health</w:t>
      </w:r>
    </w:p>
    <w:p w:rsidR="00336793" w:rsidRPr="007A43A2" w:rsidRDefault="00336793" w:rsidP="00DF0B96">
      <w:pPr>
        <w:pStyle w:val="ControlledEntitiesDash"/>
      </w:pPr>
      <w:r w:rsidRPr="007A43A2">
        <w:t>Peter MacCallum Cancer Institute</w:t>
      </w:r>
    </w:p>
    <w:p w:rsidR="00336793" w:rsidRPr="007A43A2" w:rsidRDefault="00336793" w:rsidP="00DF0B96">
      <w:pPr>
        <w:pStyle w:val="ControlledEntitiesDash"/>
      </w:pPr>
      <w:r w:rsidRPr="007A43A2">
        <w:t>Portland District Health</w:t>
      </w:r>
    </w:p>
    <w:p w:rsidR="00336793" w:rsidRPr="007A43A2" w:rsidRDefault="00336793" w:rsidP="00DF0B96">
      <w:pPr>
        <w:pStyle w:val="ControlledEntitiesDash"/>
      </w:pPr>
      <w:r w:rsidRPr="007A43A2">
        <w:t>Robinvale District Health Services</w:t>
      </w:r>
    </w:p>
    <w:p w:rsidR="00336793" w:rsidRPr="007A43A2" w:rsidRDefault="00336793" w:rsidP="00DF0B96">
      <w:pPr>
        <w:pStyle w:val="ControlledEntitiesDash"/>
      </w:pPr>
      <w:r w:rsidRPr="007A43A2">
        <w:t>Rochester and Elmore District Health Service</w:t>
      </w:r>
    </w:p>
    <w:p w:rsidR="00336793" w:rsidRPr="007A43A2" w:rsidRDefault="00336793" w:rsidP="00DF0B96">
      <w:pPr>
        <w:pStyle w:val="ControlledEntitiesDash"/>
      </w:pPr>
      <w:r w:rsidRPr="007A43A2">
        <w:t>Rural Northwest Health</w:t>
      </w:r>
    </w:p>
    <w:p w:rsidR="00336793" w:rsidRPr="007A43A2" w:rsidRDefault="00336793" w:rsidP="00DF0B96">
      <w:pPr>
        <w:pStyle w:val="ControlledEntitiesDash"/>
      </w:pPr>
      <w:r w:rsidRPr="007A43A2">
        <w:t>Seymour Health</w:t>
      </w:r>
    </w:p>
    <w:p w:rsidR="00336793" w:rsidRPr="007A43A2" w:rsidRDefault="00336793" w:rsidP="00DF0B96">
      <w:pPr>
        <w:pStyle w:val="ControlledEntitiesDash"/>
      </w:pPr>
      <w:r w:rsidRPr="007A43A2">
        <w:t>South Gippsland Hospital</w:t>
      </w:r>
    </w:p>
    <w:p w:rsidR="00336793" w:rsidRPr="007A43A2" w:rsidRDefault="00336793" w:rsidP="00DF0B96">
      <w:pPr>
        <w:pStyle w:val="ControlledEntitiesDash"/>
      </w:pPr>
      <w:r w:rsidRPr="007A43A2">
        <w:t>South West Healthcare</w:t>
      </w:r>
    </w:p>
    <w:p w:rsidR="00336793" w:rsidRPr="007A43A2" w:rsidRDefault="00336793" w:rsidP="00DF0B96">
      <w:pPr>
        <w:pStyle w:val="ControlledEntitiesDash"/>
      </w:pPr>
      <w:r w:rsidRPr="007A43A2">
        <w:t>Stawell Regional Health</w:t>
      </w:r>
    </w:p>
    <w:p w:rsidR="00336793" w:rsidRPr="007A43A2" w:rsidRDefault="00336793" w:rsidP="00DF0B96">
      <w:pPr>
        <w:pStyle w:val="ControlledEntitiesDash"/>
      </w:pPr>
      <w:r w:rsidRPr="007A43A2">
        <w:t>Swan Hill District Health</w:t>
      </w:r>
    </w:p>
    <w:p w:rsidR="00336793" w:rsidRPr="007A43A2" w:rsidRDefault="00336793" w:rsidP="00DF0B96">
      <w:pPr>
        <w:pStyle w:val="ControlledEntitiesDash"/>
      </w:pPr>
      <w:r w:rsidRPr="007A43A2">
        <w:t>Tallangatta Health Service</w:t>
      </w:r>
    </w:p>
    <w:p w:rsidR="00336793" w:rsidRPr="007A43A2" w:rsidRDefault="00336793" w:rsidP="00DF0B96">
      <w:pPr>
        <w:pStyle w:val="ControlledEntitiesDash"/>
      </w:pPr>
      <w:r w:rsidRPr="007A43A2">
        <w:t>Terang and Mortlake Health Service</w:t>
      </w:r>
    </w:p>
    <w:p w:rsidR="00336793" w:rsidRPr="007A43A2" w:rsidRDefault="00336793" w:rsidP="00DF0B96">
      <w:pPr>
        <w:pStyle w:val="ControlledEntitiesDash"/>
      </w:pPr>
      <w:r w:rsidRPr="007A43A2">
        <w:t>The Kilmore and District Hospital</w:t>
      </w:r>
    </w:p>
    <w:p w:rsidR="00336793" w:rsidRPr="007A43A2" w:rsidRDefault="00336793" w:rsidP="00DF0B96">
      <w:pPr>
        <w:pStyle w:val="ControlledEntitiesDash"/>
      </w:pPr>
      <w:r w:rsidRPr="007A43A2">
        <w:t>The Royal Children</w:t>
      </w:r>
      <w:r>
        <w:t>’</w:t>
      </w:r>
      <w:r w:rsidRPr="007A43A2">
        <w:t>s Hospital</w:t>
      </w:r>
    </w:p>
    <w:p w:rsidR="00336793" w:rsidRDefault="00336793" w:rsidP="00DF0B96">
      <w:pPr>
        <w:pStyle w:val="ControlledEntitiesDash"/>
        <w:numPr>
          <w:ilvl w:val="0"/>
          <w:numId w:val="0"/>
        </w:numPr>
        <w:sectPr w:rsidR="00336793" w:rsidSect="00DF0B96">
          <w:footerReference w:type="even" r:id="rId140"/>
          <w:type w:val="continuous"/>
          <w:pgSz w:w="11906" w:h="16838" w:code="9"/>
          <w:pgMar w:top="1152" w:right="1152" w:bottom="1152" w:left="1152" w:header="720" w:footer="720" w:gutter="0"/>
          <w:cols w:num="3" w:space="184"/>
          <w:docGrid w:linePitch="360"/>
        </w:sectPr>
      </w:pPr>
    </w:p>
    <w:p w:rsidR="00336793" w:rsidRPr="0088347B" w:rsidRDefault="00336793" w:rsidP="00DF0B96">
      <w:pPr>
        <w:pStyle w:val="Heading2NotesContd"/>
        <w:spacing w:before="0"/>
        <w:rPr>
          <w:i/>
        </w:rPr>
      </w:pPr>
      <w:r>
        <w:lastRenderedPageBreak/>
        <w:t>Note 42:</w:t>
      </w:r>
      <w:r>
        <w:tab/>
        <w:t xml:space="preserve">Controlled entities </w:t>
      </w:r>
      <w:r>
        <w:rPr>
          <w:i/>
        </w:rPr>
        <w:t>(continued)</w:t>
      </w:r>
    </w:p>
    <w:p w:rsidR="00336793" w:rsidRPr="00DB3AE5" w:rsidRDefault="00336793" w:rsidP="00DF0B96">
      <w:pPr>
        <w:pStyle w:val="ControlledEntitiesHeading1"/>
        <w:rPr>
          <w:rFonts w:ascii="Calibri" w:hAnsi="Calibri"/>
          <w:b w:val="0"/>
          <w:sz w:val="18"/>
          <w:szCs w:val="18"/>
        </w:rPr>
      </w:pPr>
      <w:r w:rsidRPr="00DB3AE5">
        <w:rPr>
          <w:b w:val="0"/>
        </w:rPr>
        <w:t xml:space="preserve">General government (continued) </w:t>
      </w:r>
      <w:r w:rsidRPr="00DB3AE5">
        <w:rPr>
          <w:b w:val="0"/>
          <w:vertAlign w:val="superscript"/>
        </w:rPr>
        <w:t>(a)</w:t>
      </w:r>
    </w:p>
    <w:p w:rsidR="00336793" w:rsidRDefault="00336793" w:rsidP="00DF0B96">
      <w:pPr>
        <w:pStyle w:val="ControlledEntitiesDash"/>
        <w:sectPr w:rsidR="00336793" w:rsidSect="00DF0B96">
          <w:type w:val="continuous"/>
          <w:pgSz w:w="11906" w:h="16838" w:code="9"/>
          <w:pgMar w:top="1152" w:right="1152" w:bottom="1152" w:left="1152" w:header="720" w:footer="720" w:gutter="0"/>
          <w:cols w:space="184"/>
          <w:docGrid w:linePitch="360"/>
        </w:sectPr>
      </w:pPr>
    </w:p>
    <w:p w:rsidR="00336793" w:rsidRPr="007A43A2" w:rsidRDefault="00336793" w:rsidP="00DF0B96">
      <w:pPr>
        <w:pStyle w:val="ControlledEntitiesDash"/>
      </w:pPr>
      <w:r w:rsidRPr="007A43A2">
        <w:lastRenderedPageBreak/>
        <w:t>The Royal Victorian Eye and Ear Hospital</w:t>
      </w:r>
    </w:p>
    <w:p w:rsidR="00336793" w:rsidRPr="007A43A2" w:rsidRDefault="00336793" w:rsidP="00DF0B96">
      <w:pPr>
        <w:pStyle w:val="ControlledEntitiesDash"/>
      </w:pPr>
      <w:r w:rsidRPr="007A43A2">
        <w:t>The Royal Women</w:t>
      </w:r>
      <w:r>
        <w:t>’</w:t>
      </w:r>
      <w:r w:rsidRPr="007A43A2">
        <w:t>s Hospital</w:t>
      </w:r>
    </w:p>
    <w:p w:rsidR="00336793" w:rsidRDefault="00336793" w:rsidP="00DF0B96">
      <w:pPr>
        <w:pStyle w:val="ControlledEntitiesDash"/>
      </w:pPr>
      <w:r w:rsidRPr="007A43A2">
        <w:t>Timboon and District Healthcare Service</w:t>
      </w:r>
    </w:p>
    <w:p w:rsidR="00336793" w:rsidRPr="007A43A2" w:rsidRDefault="00336793" w:rsidP="00DF0B96">
      <w:pPr>
        <w:pStyle w:val="ControlledEntitiesDash"/>
      </w:pPr>
      <w:r w:rsidRPr="007A43A2">
        <w:t>Upper Murray Health and Community Services</w:t>
      </w:r>
    </w:p>
    <w:p w:rsidR="00336793" w:rsidRPr="007A43A2" w:rsidRDefault="00336793" w:rsidP="00DF0B96">
      <w:pPr>
        <w:pStyle w:val="ControlledEntitiesDash"/>
      </w:pPr>
      <w:r w:rsidRPr="007A43A2">
        <w:t xml:space="preserve">Victorian Assisted Reproductive Treatment Authority </w:t>
      </w:r>
    </w:p>
    <w:p w:rsidR="00336793" w:rsidRPr="007A43A2" w:rsidRDefault="00336793" w:rsidP="00DF0B96">
      <w:pPr>
        <w:pStyle w:val="ControlledEntitiesDash"/>
      </w:pPr>
      <w:r w:rsidRPr="007A43A2">
        <w:t>Victorian Institute of Forensic Mental Health</w:t>
      </w:r>
    </w:p>
    <w:p w:rsidR="00336793" w:rsidRPr="007A43A2" w:rsidRDefault="00336793" w:rsidP="00DF0B96">
      <w:pPr>
        <w:pStyle w:val="ControlledEntitiesDash"/>
      </w:pPr>
      <w:r w:rsidRPr="007A43A2">
        <w:t>West Gippsland Healthcare Group</w:t>
      </w:r>
    </w:p>
    <w:p w:rsidR="00336793" w:rsidRPr="007A43A2" w:rsidRDefault="00336793" w:rsidP="00DF0B96">
      <w:pPr>
        <w:pStyle w:val="ControlledEntitiesDash"/>
      </w:pPr>
      <w:r w:rsidRPr="007A43A2">
        <w:t>West Wimmera Health Service</w:t>
      </w:r>
    </w:p>
    <w:p w:rsidR="00336793" w:rsidRPr="007A43A2" w:rsidRDefault="00336793" w:rsidP="00DF0B96">
      <w:pPr>
        <w:pStyle w:val="ControlledEntitiesDash"/>
      </w:pPr>
      <w:r w:rsidRPr="007A43A2">
        <w:t>Western District Health Service</w:t>
      </w:r>
    </w:p>
    <w:p w:rsidR="00336793" w:rsidRPr="007A43A2" w:rsidRDefault="00336793" w:rsidP="00DF0B96">
      <w:pPr>
        <w:pStyle w:val="ControlledEntitiesDash"/>
      </w:pPr>
      <w:r w:rsidRPr="007A43A2">
        <w:t>Western Health</w:t>
      </w:r>
    </w:p>
    <w:p w:rsidR="00336793" w:rsidRPr="007A43A2" w:rsidRDefault="00336793" w:rsidP="00DF0B96">
      <w:pPr>
        <w:pStyle w:val="ControlledEntitiesDash"/>
      </w:pPr>
      <w:r>
        <w:t xml:space="preserve"> </w:t>
      </w:r>
      <w:r w:rsidRPr="007A43A2">
        <w:t>Wimmera Health Care Group</w:t>
      </w:r>
    </w:p>
    <w:p w:rsidR="00336793" w:rsidRPr="007A43A2" w:rsidRDefault="00336793" w:rsidP="00DF0B96">
      <w:pPr>
        <w:pStyle w:val="ControlledEntitiesDash"/>
      </w:pPr>
      <w:r w:rsidRPr="007A43A2">
        <w:t>Yarram and District Health Service</w:t>
      </w:r>
    </w:p>
    <w:p w:rsidR="00336793" w:rsidRPr="007A43A2" w:rsidRDefault="00336793" w:rsidP="00DF0B96">
      <w:pPr>
        <w:pStyle w:val="ControlledEntitiesDash"/>
      </w:pPr>
      <w:r w:rsidRPr="007A43A2">
        <w:t>Yarrawonga Health</w:t>
      </w:r>
    </w:p>
    <w:p w:rsidR="00336793" w:rsidRPr="007A43A2" w:rsidRDefault="00336793" w:rsidP="00DF0B96">
      <w:pPr>
        <w:pStyle w:val="ControlledEntitiesDash"/>
      </w:pPr>
      <w:r w:rsidRPr="007A43A2">
        <w:t>Yea and District Memorial Hospital</w:t>
      </w:r>
    </w:p>
    <w:p w:rsidR="00336793" w:rsidRPr="001927BD" w:rsidRDefault="00336793" w:rsidP="00DF0B96">
      <w:pPr>
        <w:pStyle w:val="ControlledEntitiesDash"/>
      </w:pPr>
      <w:r w:rsidRPr="001927BD">
        <w:t>The Queen Elizabeth Centre</w:t>
      </w:r>
    </w:p>
    <w:p w:rsidR="00336793" w:rsidRPr="001927BD" w:rsidRDefault="00336793" w:rsidP="00DF0B96">
      <w:pPr>
        <w:pStyle w:val="ControlledEntitiesDash"/>
      </w:pPr>
      <w:r>
        <w:t xml:space="preserve">Tweddle Child and Family Health </w:t>
      </w:r>
      <w:r w:rsidRPr="001927BD">
        <w:t>Service</w:t>
      </w:r>
    </w:p>
    <w:p w:rsidR="00336793" w:rsidRPr="001927BD" w:rsidRDefault="00336793" w:rsidP="00DF0B96">
      <w:pPr>
        <w:pStyle w:val="ControlledEntitiesText"/>
      </w:pPr>
      <w:r w:rsidRPr="001927BD">
        <w:t>Victorian Health Promotion Foundation</w:t>
      </w:r>
    </w:p>
    <w:p w:rsidR="00336793" w:rsidRPr="001927BD" w:rsidRDefault="00336793" w:rsidP="00DF0B96">
      <w:pPr>
        <w:pStyle w:val="ControlledEntitiesText"/>
      </w:pPr>
      <w:r w:rsidRPr="001927BD">
        <w:t>Victorian Institute of Sport Limited</w:t>
      </w:r>
    </w:p>
    <w:p w:rsidR="00336793" w:rsidRDefault="00336793" w:rsidP="00DF0B96">
      <w:pPr>
        <w:pStyle w:val="ControlledEntitiesText"/>
      </w:pPr>
      <w:r w:rsidRPr="00C75CF1">
        <w:t>Victorian Institute of Sport Trust</w:t>
      </w:r>
    </w:p>
    <w:p w:rsidR="00336793" w:rsidRPr="00B30CCD" w:rsidRDefault="00336793" w:rsidP="00DF0B96">
      <w:pPr>
        <w:pStyle w:val="ControlledEntitiesHeading2"/>
        <w:rPr>
          <w:vertAlign w:val="superscript"/>
        </w:rPr>
      </w:pPr>
      <w:r w:rsidRPr="007F2BF7">
        <w:t>Department of Justice and Regulation</w:t>
      </w:r>
      <w:r>
        <w:rPr>
          <w:vertAlign w:val="superscript"/>
        </w:rPr>
        <w:t>(f)</w:t>
      </w:r>
    </w:p>
    <w:p w:rsidR="00336793" w:rsidRPr="00D447CF" w:rsidRDefault="00336793" w:rsidP="00DF0B96">
      <w:pPr>
        <w:pStyle w:val="ControlledEntitiesText"/>
      </w:pPr>
      <w:r w:rsidRPr="00D447CF">
        <w:t>Country Fire Authority</w:t>
      </w:r>
    </w:p>
    <w:p w:rsidR="00336793" w:rsidRPr="00D447CF" w:rsidRDefault="00336793" w:rsidP="00DF0B96">
      <w:pPr>
        <w:pStyle w:val="ControlledEntitiesText"/>
      </w:pPr>
      <w:r w:rsidRPr="00D447CF">
        <w:t>Emergency Services Telecommunications Authority</w:t>
      </w:r>
    </w:p>
    <w:p w:rsidR="00336793" w:rsidRPr="00D447CF" w:rsidRDefault="00336793" w:rsidP="00DF0B96">
      <w:pPr>
        <w:pStyle w:val="ControlledEntitiesText"/>
      </w:pPr>
      <w:r w:rsidRPr="00D447CF">
        <w:t>Legal Services Board</w:t>
      </w:r>
    </w:p>
    <w:p w:rsidR="00336793" w:rsidRPr="00D447CF" w:rsidRDefault="00336793" w:rsidP="00DF0B96">
      <w:pPr>
        <w:pStyle w:val="ControlledEntitiesText"/>
      </w:pPr>
      <w:r w:rsidRPr="00D447CF">
        <w:t>Legal Services Commissioner</w:t>
      </w:r>
    </w:p>
    <w:p w:rsidR="00336793" w:rsidRDefault="00336793" w:rsidP="00DF0B96">
      <w:pPr>
        <w:pStyle w:val="ControlledEntitiesText"/>
      </w:pPr>
      <w:r w:rsidRPr="00D447CF">
        <w:t>Metropolitan Fire and Emergency Services Board</w:t>
      </w:r>
    </w:p>
    <w:p w:rsidR="00336793" w:rsidRPr="0084684A" w:rsidRDefault="00336793" w:rsidP="00DF0B96">
      <w:pPr>
        <w:pStyle w:val="ControlledEntitiesText"/>
      </w:pPr>
      <w:r w:rsidRPr="0084684A">
        <w:t>Office of Public Prosecutions</w:t>
      </w:r>
    </w:p>
    <w:p w:rsidR="00336793" w:rsidRDefault="00336793" w:rsidP="00DF0B96">
      <w:pPr>
        <w:pStyle w:val="ControlledEntitiesText"/>
      </w:pPr>
      <w:r>
        <w:br w:type="column"/>
      </w:r>
      <w:r w:rsidRPr="0084684A">
        <w:lastRenderedPageBreak/>
        <w:t>Sentencing Advisory Council</w:t>
      </w:r>
    </w:p>
    <w:p w:rsidR="00336793" w:rsidRPr="0084684A" w:rsidRDefault="00336793" w:rsidP="00DF0B96">
      <w:pPr>
        <w:pStyle w:val="ControlledEntitiesText"/>
      </w:pPr>
      <w:r w:rsidRPr="00C627E8">
        <w:t>Residential Tenancies Bond Authority</w:t>
      </w:r>
    </w:p>
    <w:p w:rsidR="00336793" w:rsidRPr="0084684A" w:rsidRDefault="00336793" w:rsidP="00DF0B96">
      <w:pPr>
        <w:pStyle w:val="ControlledEntitiesText"/>
      </w:pPr>
      <w:r w:rsidRPr="0084684A">
        <w:t>Victoria Legal Aid</w:t>
      </w:r>
    </w:p>
    <w:p w:rsidR="00336793" w:rsidRPr="0084684A" w:rsidRDefault="00336793" w:rsidP="00DF0B96">
      <w:pPr>
        <w:pStyle w:val="ControlledEntitiesText"/>
      </w:pPr>
      <w:r w:rsidRPr="0084684A">
        <w:t>Victoria Police (Office of the Chief Commissioner of Police)</w:t>
      </w:r>
    </w:p>
    <w:p w:rsidR="00336793" w:rsidRPr="00596054" w:rsidRDefault="00336793" w:rsidP="00DF0B96">
      <w:pPr>
        <w:pStyle w:val="ControlledEntitiesText"/>
        <w:ind w:right="-162"/>
      </w:pPr>
      <w:r w:rsidRPr="00596054">
        <w:t>Victoria State Emergency Service Authority</w:t>
      </w:r>
    </w:p>
    <w:p w:rsidR="00336793" w:rsidRPr="00596054" w:rsidRDefault="00336793" w:rsidP="00DF0B96">
      <w:pPr>
        <w:pStyle w:val="ControlledEntitiesText"/>
      </w:pPr>
      <w:r w:rsidRPr="00596054">
        <w:t>Victorian Commission for Gambling and Liquor Regulation</w:t>
      </w:r>
    </w:p>
    <w:p w:rsidR="00336793" w:rsidRPr="00596054" w:rsidRDefault="00336793" w:rsidP="00DF0B96">
      <w:pPr>
        <w:pStyle w:val="ControlledEntitiesText"/>
      </w:pPr>
      <w:r w:rsidRPr="00596054">
        <w:t>Victorian Equal Opportunity and Human Rights Commission</w:t>
      </w:r>
    </w:p>
    <w:p w:rsidR="00336793" w:rsidRDefault="00336793" w:rsidP="00DF0B96">
      <w:pPr>
        <w:pStyle w:val="ControlledEntitiesText"/>
      </w:pPr>
      <w:r w:rsidRPr="00596054">
        <w:t>Victorian Institute of Forensic Medicine</w:t>
      </w:r>
    </w:p>
    <w:p w:rsidR="00336793" w:rsidRPr="00596054" w:rsidRDefault="00336793" w:rsidP="00DF0B96">
      <w:pPr>
        <w:pStyle w:val="ControlledEntitiesText"/>
      </w:pPr>
      <w:r w:rsidRPr="00596054">
        <w:t>Victorian Law Reform Commission</w:t>
      </w:r>
    </w:p>
    <w:p w:rsidR="00336793" w:rsidRPr="00596054" w:rsidRDefault="00336793" w:rsidP="00DF0B96">
      <w:pPr>
        <w:pStyle w:val="ControlledEntitiesText"/>
      </w:pPr>
      <w:r w:rsidRPr="00596054">
        <w:t>Victorian Professional Standards Council</w:t>
      </w:r>
    </w:p>
    <w:p w:rsidR="00336793" w:rsidRDefault="00336793" w:rsidP="00DF0B96">
      <w:pPr>
        <w:pStyle w:val="ControlledEntitiesText"/>
      </w:pPr>
      <w:r w:rsidRPr="00596054">
        <w:t>Victorian R</w:t>
      </w:r>
      <w:r>
        <w:t xml:space="preserve">esponsible Gambling Foundation </w:t>
      </w:r>
    </w:p>
    <w:p w:rsidR="00336793" w:rsidRPr="0065046C" w:rsidRDefault="00336793" w:rsidP="00DF0B96">
      <w:pPr>
        <w:pStyle w:val="ControlledEntitiesHeading2"/>
      </w:pPr>
      <w:r w:rsidRPr="0065046C">
        <w:t>Department of Premier and Cabinet</w:t>
      </w:r>
    </w:p>
    <w:p w:rsidR="00336793" w:rsidRPr="0065046C" w:rsidRDefault="00336793" w:rsidP="00DF0B96">
      <w:pPr>
        <w:pStyle w:val="ControlledEntitiesText"/>
      </w:pPr>
      <w:r w:rsidRPr="0065046C">
        <w:t>Freedom of Information Commissioner</w:t>
      </w:r>
    </w:p>
    <w:p w:rsidR="00336793" w:rsidRPr="0065046C" w:rsidRDefault="00336793" w:rsidP="00DF0B96">
      <w:pPr>
        <w:pStyle w:val="ControlledEntitiesText"/>
      </w:pPr>
      <w:r w:rsidRPr="0065046C">
        <w:t>Independent Broad</w:t>
      </w:r>
      <w:r>
        <w:noBreakHyphen/>
      </w:r>
      <w:r w:rsidRPr="0065046C">
        <w:t>Based Anti</w:t>
      </w:r>
      <w:r>
        <w:noBreakHyphen/>
      </w:r>
      <w:r w:rsidRPr="0065046C">
        <w:t>Corruption Commission (IBAC)</w:t>
      </w:r>
    </w:p>
    <w:p w:rsidR="00336793" w:rsidRPr="0065046C" w:rsidRDefault="00336793" w:rsidP="00DF0B96">
      <w:pPr>
        <w:pStyle w:val="ControlledEntitiesText"/>
      </w:pPr>
      <w:r w:rsidRPr="0065046C">
        <w:t xml:space="preserve">Office of the Commissioner for Privacy and Data Protection </w:t>
      </w:r>
      <w:r w:rsidRPr="0065046C">
        <w:rPr>
          <w:vertAlign w:val="superscript"/>
        </w:rPr>
        <w:t>(g)</w:t>
      </w:r>
    </w:p>
    <w:p w:rsidR="00336793" w:rsidRPr="0065046C" w:rsidRDefault="00336793" w:rsidP="00DF0B96">
      <w:pPr>
        <w:pStyle w:val="ControlledEntitiesText"/>
      </w:pPr>
      <w:r w:rsidRPr="0065046C">
        <w:t xml:space="preserve">Ombudsman Victoria </w:t>
      </w:r>
    </w:p>
    <w:p w:rsidR="00336793" w:rsidRPr="0065046C" w:rsidRDefault="00336793" w:rsidP="00DF0B96">
      <w:pPr>
        <w:pStyle w:val="ControlledEntitiesText"/>
      </w:pPr>
      <w:r w:rsidRPr="0065046C">
        <w:t>Shrine of Remembrance Trustees</w:t>
      </w:r>
    </w:p>
    <w:p w:rsidR="00336793" w:rsidRPr="0065046C" w:rsidRDefault="00336793" w:rsidP="00DF0B96">
      <w:pPr>
        <w:pStyle w:val="ControlledEntitiesText"/>
      </w:pPr>
      <w:r w:rsidRPr="00456176">
        <w:rPr>
          <w:shd w:val="clear" w:color="auto" w:fill="FFFFFF" w:themeFill="background1"/>
        </w:rPr>
        <w:t>Victorian Aboriginal Heritage Council</w:t>
      </w:r>
    </w:p>
    <w:p w:rsidR="00336793" w:rsidRPr="0065046C" w:rsidRDefault="00336793" w:rsidP="00DF0B96">
      <w:pPr>
        <w:pStyle w:val="ControlledEntitiesText"/>
      </w:pPr>
      <w:r w:rsidRPr="0065046C">
        <w:t>Victorian Competition and Efficiency Commission</w:t>
      </w:r>
      <w:r w:rsidRPr="009B6530">
        <w:rPr>
          <w:vertAlign w:val="superscript"/>
        </w:rPr>
        <w:t>(h)</w:t>
      </w:r>
    </w:p>
    <w:p w:rsidR="00336793" w:rsidRPr="0065046C" w:rsidRDefault="00336793" w:rsidP="00DF0B96">
      <w:pPr>
        <w:pStyle w:val="ControlledEntitiesText"/>
      </w:pPr>
      <w:r w:rsidRPr="0065046C">
        <w:t>Victorian Electoral Commission</w:t>
      </w:r>
    </w:p>
    <w:p w:rsidR="00336793" w:rsidRPr="0065046C" w:rsidRDefault="00336793" w:rsidP="00DF0B96">
      <w:pPr>
        <w:pStyle w:val="ControlledEntitiesText"/>
      </w:pPr>
      <w:r w:rsidRPr="0065046C">
        <w:t>Victorian Inspectorate</w:t>
      </w:r>
    </w:p>
    <w:p w:rsidR="00336793" w:rsidRPr="0065046C" w:rsidRDefault="00336793" w:rsidP="00DF0B96">
      <w:pPr>
        <w:pStyle w:val="ControlledEntitiesText"/>
      </w:pPr>
      <w:r w:rsidRPr="0065046C">
        <w:t xml:space="preserve">Victorian Multicultural Commission </w:t>
      </w:r>
    </w:p>
    <w:p w:rsidR="00336793" w:rsidRPr="0065046C" w:rsidRDefault="00336793" w:rsidP="00DF0B96">
      <w:pPr>
        <w:pStyle w:val="ControlledEntitiesText"/>
      </w:pPr>
      <w:r w:rsidRPr="0065046C">
        <w:t>Victorian Public Sector Commission</w:t>
      </w:r>
    </w:p>
    <w:p w:rsidR="00336793" w:rsidRDefault="00336793" w:rsidP="00DF0B96">
      <w:pPr>
        <w:pStyle w:val="ControlledEntitiesText"/>
      </w:pPr>
      <w:r w:rsidRPr="0065046C">
        <w:t>Victorian Veterans Council</w:t>
      </w:r>
    </w:p>
    <w:p w:rsidR="00336793" w:rsidRDefault="00336793" w:rsidP="00DF0B96">
      <w:pPr>
        <w:pStyle w:val="ControlledEntitiesText"/>
      </w:pPr>
    </w:p>
    <w:p w:rsidR="00336793" w:rsidRDefault="00336793" w:rsidP="00DF0B96">
      <w:pPr>
        <w:pStyle w:val="Smallline"/>
      </w:pPr>
      <w:r>
        <w:br w:type="column"/>
      </w:r>
    </w:p>
    <w:p w:rsidR="00336793" w:rsidRDefault="00336793" w:rsidP="00DF0B96">
      <w:pPr>
        <w:pStyle w:val="ControlledEntitiesHeading2"/>
      </w:pPr>
      <w:r>
        <w:t>Department of Economic Development, Jobs, Transport and Resources</w:t>
      </w:r>
    </w:p>
    <w:p w:rsidR="00336793" w:rsidRDefault="00336793" w:rsidP="00DF0B96">
      <w:pPr>
        <w:pStyle w:val="ControlledEntitiesText"/>
      </w:pPr>
      <w:r>
        <w:t>Australian Centre for the Moving Image</w:t>
      </w:r>
    </w:p>
    <w:p w:rsidR="00336793" w:rsidRDefault="00336793" w:rsidP="00DF0B96">
      <w:pPr>
        <w:pStyle w:val="ControlledEntitiesText"/>
      </w:pPr>
      <w:r>
        <w:t>Australian Synchrotron Holding Company </w:t>
      </w:r>
      <w:r>
        <w:rPr>
          <w:vertAlign w:val="superscript"/>
        </w:rPr>
        <w:t>(i</w:t>
      </w:r>
      <w:r w:rsidRPr="009B6530">
        <w:rPr>
          <w:vertAlign w:val="superscript"/>
        </w:rPr>
        <w:t>)</w:t>
      </w:r>
      <w:r>
        <w:t xml:space="preserve"> </w:t>
      </w:r>
    </w:p>
    <w:p w:rsidR="00336793" w:rsidRDefault="00336793" w:rsidP="00DF0B96">
      <w:pPr>
        <w:pStyle w:val="ControlledEntitiesText"/>
      </w:pPr>
      <w:r>
        <w:t>Docklands Studios Melbourne Pty Ltd</w:t>
      </w:r>
    </w:p>
    <w:p w:rsidR="00336793" w:rsidRDefault="00336793" w:rsidP="00DF0B96">
      <w:pPr>
        <w:pStyle w:val="ControlledEntitiesText"/>
      </w:pPr>
      <w:r>
        <w:t>Energy Safe Victoria</w:t>
      </w:r>
    </w:p>
    <w:p w:rsidR="00336793" w:rsidRDefault="00336793" w:rsidP="00DF0B96">
      <w:pPr>
        <w:pStyle w:val="ControlledEntitiesText"/>
      </w:pPr>
      <w:r>
        <w:t>Film Victoria</w:t>
      </w:r>
    </w:p>
    <w:p w:rsidR="00336793" w:rsidRDefault="00336793" w:rsidP="00DF0B96">
      <w:pPr>
        <w:pStyle w:val="ControlledEntitiesText"/>
      </w:pPr>
      <w:r>
        <w:t xml:space="preserve">Game Management Authority </w:t>
      </w:r>
      <w:r>
        <w:rPr>
          <w:vertAlign w:val="superscript"/>
        </w:rPr>
        <w:t>(j</w:t>
      </w:r>
      <w:r w:rsidRPr="003406B7">
        <w:rPr>
          <w:vertAlign w:val="superscript"/>
        </w:rPr>
        <w:t>)</w:t>
      </w:r>
    </w:p>
    <w:p w:rsidR="00336793" w:rsidRDefault="00336793" w:rsidP="00DF0B96">
      <w:pPr>
        <w:pStyle w:val="ControlledEntitiesText"/>
      </w:pPr>
      <w:r>
        <w:t>Library Board of Victoria</w:t>
      </w:r>
    </w:p>
    <w:p w:rsidR="00336793" w:rsidRDefault="00336793" w:rsidP="00DF0B96">
      <w:pPr>
        <w:pStyle w:val="ControlledEntitiesText"/>
      </w:pPr>
      <w:r>
        <w:t xml:space="preserve">Linking Melbourne Authority </w:t>
      </w:r>
      <w:r>
        <w:rPr>
          <w:vertAlign w:val="superscript"/>
        </w:rPr>
        <w:t>(k</w:t>
      </w:r>
      <w:r w:rsidRPr="003406B7">
        <w:rPr>
          <w:vertAlign w:val="superscript"/>
        </w:rPr>
        <w:t>)</w:t>
      </w:r>
    </w:p>
    <w:p w:rsidR="00336793" w:rsidRDefault="00336793" w:rsidP="00DF0B96">
      <w:pPr>
        <w:pStyle w:val="ControlledEntitiesText"/>
      </w:pPr>
      <w:r>
        <w:t>Major Projects Victoria</w:t>
      </w:r>
    </w:p>
    <w:p w:rsidR="00336793" w:rsidRDefault="00336793" w:rsidP="00DF0B96">
      <w:pPr>
        <w:pStyle w:val="ControlledEntitiesText"/>
      </w:pPr>
      <w:r>
        <w:t>Melbourne Cricket Ground Trust</w:t>
      </w:r>
    </w:p>
    <w:p w:rsidR="00336793" w:rsidRDefault="00336793" w:rsidP="00DF0B96">
      <w:pPr>
        <w:pStyle w:val="ControlledEntitiesText"/>
      </w:pPr>
      <w:r>
        <w:t>Melbourne Recital Centre Limited</w:t>
      </w:r>
    </w:p>
    <w:p w:rsidR="00336793" w:rsidRDefault="00336793" w:rsidP="00DF0B96">
      <w:pPr>
        <w:pStyle w:val="ControlledEntitiesText"/>
      </w:pPr>
      <w:r>
        <w:t>Museums Board of Victoria</w:t>
      </w:r>
    </w:p>
    <w:p w:rsidR="00336793" w:rsidRDefault="00336793" w:rsidP="00DF0B96">
      <w:pPr>
        <w:pStyle w:val="ControlledEntitiesText"/>
      </w:pPr>
      <w:r>
        <w:t>National Gallery of Victoria, Council of Trustees</w:t>
      </w:r>
    </w:p>
    <w:p w:rsidR="00336793" w:rsidRDefault="00336793" w:rsidP="00DF0B96">
      <w:pPr>
        <w:pStyle w:val="ControlledEntitiesText"/>
      </w:pPr>
      <w:r>
        <w:t>Public Transport Development Authority</w:t>
      </w:r>
    </w:p>
    <w:p w:rsidR="00336793" w:rsidRDefault="00336793" w:rsidP="00DF0B96">
      <w:pPr>
        <w:pStyle w:val="ControlledEntitiesText"/>
      </w:pPr>
      <w:r>
        <w:t>Regional Development Victoria</w:t>
      </w:r>
    </w:p>
    <w:p w:rsidR="00336793" w:rsidRDefault="00336793" w:rsidP="00DF0B96">
      <w:pPr>
        <w:pStyle w:val="ControlledEntitiesText"/>
      </w:pPr>
      <w:r>
        <w:t>Roads Corporation</w:t>
      </w:r>
    </w:p>
    <w:p w:rsidR="00336793" w:rsidRDefault="00336793" w:rsidP="00DF0B96">
      <w:pPr>
        <w:pStyle w:val="ControlledEntitiesText"/>
      </w:pPr>
      <w:r>
        <w:t>Taxi Services Commission</w:t>
      </w:r>
    </w:p>
    <w:p w:rsidR="00336793" w:rsidRDefault="00336793" w:rsidP="00DF0B96">
      <w:pPr>
        <w:pStyle w:val="ControlledEntitiesText"/>
      </w:pPr>
      <w:r>
        <w:t>Tourism Victoria</w:t>
      </w:r>
      <w:r w:rsidRPr="009B6530">
        <w:rPr>
          <w:vertAlign w:val="superscript"/>
        </w:rPr>
        <w:t>(l)</w:t>
      </w:r>
    </w:p>
    <w:p w:rsidR="00336793" w:rsidRDefault="00336793" w:rsidP="00DF0B96">
      <w:pPr>
        <w:pStyle w:val="ControlledEntitiesText"/>
      </w:pPr>
      <w:r>
        <w:t>Veterinary Practitioners Registration Board of Victoria</w:t>
      </w:r>
    </w:p>
    <w:p w:rsidR="00336793" w:rsidRDefault="00336793" w:rsidP="00DF0B96">
      <w:pPr>
        <w:pStyle w:val="ControlledEntitiesHeading2"/>
      </w:pPr>
      <w:r>
        <w:t>Department of Treasury and Finance</w:t>
      </w:r>
    </w:p>
    <w:p w:rsidR="00336793" w:rsidRDefault="00336793" w:rsidP="00DF0B96">
      <w:pPr>
        <w:pStyle w:val="ControlledEntitiesText"/>
      </w:pPr>
      <w:r>
        <w:t>CenITex</w:t>
      </w:r>
    </w:p>
    <w:p w:rsidR="00336793" w:rsidRDefault="00336793" w:rsidP="00DF0B96">
      <w:pPr>
        <w:pStyle w:val="ControlledEntitiesText"/>
      </w:pPr>
      <w:r>
        <w:t>Domestic (HIH) Indemnity Fund and Housing Guarantee Claims</w:t>
      </w:r>
    </w:p>
    <w:p w:rsidR="00336793" w:rsidRDefault="00336793" w:rsidP="00DF0B96">
      <w:pPr>
        <w:pStyle w:val="ControlledEntitiesText"/>
      </w:pPr>
      <w:r>
        <w:t>Essential Services Commission</w:t>
      </w:r>
    </w:p>
    <w:p w:rsidR="00336793" w:rsidRDefault="00336793" w:rsidP="00DF0B96">
      <w:pPr>
        <w:pStyle w:val="ControlledEntitiesHeading2"/>
      </w:pPr>
      <w:r>
        <w:t xml:space="preserve">Court Services Victoria </w:t>
      </w:r>
      <w:r>
        <w:rPr>
          <w:vertAlign w:val="superscript"/>
        </w:rPr>
        <w:t>(m</w:t>
      </w:r>
      <w:r w:rsidRPr="00FC5149">
        <w:rPr>
          <w:vertAlign w:val="superscript"/>
        </w:rPr>
        <w:t>)</w:t>
      </w:r>
    </w:p>
    <w:p w:rsidR="00336793" w:rsidRDefault="00336793" w:rsidP="00DF0B96">
      <w:pPr>
        <w:pStyle w:val="ControlledEntitiesText"/>
      </w:pPr>
      <w:r>
        <w:t xml:space="preserve">Judicial College of Victoria </w:t>
      </w:r>
      <w:r>
        <w:rPr>
          <w:vertAlign w:val="superscript"/>
        </w:rPr>
        <w:t>(m</w:t>
      </w:r>
      <w:r w:rsidRPr="00FC5149">
        <w:rPr>
          <w:vertAlign w:val="superscript"/>
        </w:rPr>
        <w:t>)</w:t>
      </w:r>
    </w:p>
    <w:p w:rsidR="00336793" w:rsidRDefault="00336793" w:rsidP="00DF0B96">
      <w:pPr>
        <w:pStyle w:val="ControlledEntitiesHeading2"/>
      </w:pPr>
      <w:r>
        <w:t>Parliament of Victoria</w:t>
      </w:r>
    </w:p>
    <w:p w:rsidR="00336793" w:rsidRDefault="00336793" w:rsidP="00DF0B96">
      <w:pPr>
        <w:pStyle w:val="ControlledEntitiesText"/>
      </w:pPr>
    </w:p>
    <w:p w:rsidR="00336793" w:rsidRDefault="00336793" w:rsidP="00DF0B96">
      <w:pPr>
        <w:pStyle w:val="ControlledEntitiesHeading2"/>
      </w:pPr>
      <w:r>
        <w:t>Victorian Auditor General’s Office</w:t>
      </w:r>
    </w:p>
    <w:p w:rsidR="00336793" w:rsidRDefault="00336793" w:rsidP="00DF0B96">
      <w:pPr>
        <w:pStyle w:val="ControlledEntitiesText"/>
      </w:pPr>
    </w:p>
    <w:p w:rsidR="00336793" w:rsidRDefault="00336793" w:rsidP="00DF0B96">
      <w:pPr>
        <w:pStyle w:val="ControlledEntitiesText"/>
        <w:sectPr w:rsidR="00336793" w:rsidSect="00DF0B96">
          <w:type w:val="continuous"/>
          <w:pgSz w:w="11906" w:h="16838" w:code="9"/>
          <w:pgMar w:top="1152" w:right="1152" w:bottom="1152" w:left="1152" w:header="720" w:footer="720" w:gutter="0"/>
          <w:cols w:num="3" w:space="184"/>
          <w:docGrid w:linePitch="360"/>
        </w:sectPr>
      </w:pPr>
    </w:p>
    <w:p w:rsidR="00336793" w:rsidRPr="00DB3AE5" w:rsidRDefault="00336793" w:rsidP="00DF0B96">
      <w:pPr>
        <w:pStyle w:val="ControlledEntitiesHeading1"/>
        <w:rPr>
          <w:b w:val="0"/>
        </w:rPr>
      </w:pPr>
      <w:r w:rsidRPr="00DB3AE5">
        <w:rPr>
          <w:b w:val="0"/>
        </w:rPr>
        <w:lastRenderedPageBreak/>
        <w:t>Public non</w:t>
      </w:r>
      <w:r>
        <w:rPr>
          <w:b w:val="0"/>
        </w:rPr>
        <w:noBreakHyphen/>
      </w:r>
      <w:r w:rsidRPr="00DB3AE5">
        <w:rPr>
          <w:b w:val="0"/>
        </w:rPr>
        <w:t xml:space="preserve">financial corporations </w:t>
      </w:r>
      <w:r w:rsidRPr="00DB3AE5">
        <w:rPr>
          <w:b w:val="0"/>
          <w:vertAlign w:val="superscript"/>
        </w:rPr>
        <w:t>(a)</w:t>
      </w:r>
    </w:p>
    <w:p w:rsidR="00336793" w:rsidRDefault="00336793" w:rsidP="00DF0B96">
      <w:pPr>
        <w:pStyle w:val="ControlledEntitiesText"/>
        <w:sectPr w:rsidR="00336793" w:rsidSect="00DF0B96">
          <w:type w:val="continuous"/>
          <w:pgSz w:w="11906" w:h="16838" w:code="9"/>
          <w:pgMar w:top="1152" w:right="1152" w:bottom="1152" w:left="1152" w:header="720" w:footer="720" w:gutter="0"/>
          <w:cols w:space="184"/>
          <w:docGrid w:linePitch="360"/>
        </w:sectPr>
      </w:pPr>
    </w:p>
    <w:p w:rsidR="00336793" w:rsidRDefault="00336793" w:rsidP="00DF0B96">
      <w:pPr>
        <w:pStyle w:val="Smallline"/>
      </w:pPr>
    </w:p>
    <w:p w:rsidR="00336793" w:rsidRDefault="00336793" w:rsidP="00DF0B96">
      <w:pPr>
        <w:pStyle w:val="ControlledEntitiesHeading2"/>
      </w:pPr>
      <w:r>
        <w:t>Department of Environment, Land, Water and Planning</w:t>
      </w:r>
    </w:p>
    <w:p w:rsidR="00336793" w:rsidRDefault="00336793" w:rsidP="00DF0B96">
      <w:pPr>
        <w:pStyle w:val="ControlledEntitiesText"/>
      </w:pPr>
      <w:r>
        <w:t>Alpine Resorts Management Board including:</w:t>
      </w:r>
    </w:p>
    <w:p w:rsidR="00336793" w:rsidRDefault="00336793" w:rsidP="00DF0B96">
      <w:pPr>
        <w:pStyle w:val="ControlledEntitiesDash"/>
      </w:pPr>
      <w:r>
        <w:t>Alpine Resorts Co</w:t>
      </w:r>
      <w:r>
        <w:noBreakHyphen/>
        <w:t>ordinating Council</w:t>
      </w:r>
    </w:p>
    <w:p w:rsidR="00336793" w:rsidRDefault="00336793" w:rsidP="00DF0B96">
      <w:pPr>
        <w:pStyle w:val="ControlledEntitiesDash"/>
      </w:pPr>
      <w:r>
        <w:t>Falls Creek Alpine Resort Management Board</w:t>
      </w:r>
    </w:p>
    <w:p w:rsidR="00336793" w:rsidRDefault="00336793" w:rsidP="00DF0B96">
      <w:pPr>
        <w:pStyle w:val="ControlledEntitiesDash"/>
      </w:pPr>
      <w:r>
        <w:t>Lake Mountain Alpine Resort Management Board</w:t>
      </w:r>
    </w:p>
    <w:p w:rsidR="00336793" w:rsidRDefault="00336793" w:rsidP="00DF0B96">
      <w:pPr>
        <w:pStyle w:val="ControlledEntitiesDash"/>
      </w:pPr>
      <w:r>
        <w:t>Mount Baw Baw Alpine Resort Management Board</w:t>
      </w:r>
    </w:p>
    <w:p w:rsidR="00336793" w:rsidRDefault="00336793" w:rsidP="00DF0B96">
      <w:pPr>
        <w:pStyle w:val="ControlledEntitiesDash"/>
      </w:pPr>
      <w:r>
        <w:t>Mount Buller and Mount Stirling Alpine Resort Management Board</w:t>
      </w:r>
    </w:p>
    <w:p w:rsidR="00336793" w:rsidRDefault="00336793" w:rsidP="00DF0B96">
      <w:pPr>
        <w:pStyle w:val="ControlledEntitiesDash"/>
      </w:pPr>
      <w:r>
        <w:t>Mount Hotham Alpine Resort Management Board</w:t>
      </w:r>
    </w:p>
    <w:p w:rsidR="00336793" w:rsidRDefault="00336793" w:rsidP="00DF0B96">
      <w:pPr>
        <w:pStyle w:val="ControlledEntitiesText"/>
      </w:pPr>
      <w:r>
        <w:t>Phillip Island Nature Parks</w:t>
      </w:r>
    </w:p>
    <w:p w:rsidR="00336793" w:rsidRDefault="00336793" w:rsidP="00DF0B96">
      <w:pPr>
        <w:pStyle w:val="ControlledEntitiesText"/>
      </w:pPr>
      <w:r>
        <w:t>Urban Renewal Authority Victoria (Places Victoria)</w:t>
      </w:r>
    </w:p>
    <w:p w:rsidR="00336793" w:rsidRDefault="00336793" w:rsidP="00DF0B96">
      <w:pPr>
        <w:pStyle w:val="ControlledEntitiesText"/>
      </w:pPr>
      <w:r>
        <w:t>Waste and Resource Recovery Groups including:</w:t>
      </w:r>
    </w:p>
    <w:p w:rsidR="00336793" w:rsidRPr="009E0163" w:rsidRDefault="00336793" w:rsidP="00DF0B96">
      <w:pPr>
        <w:pStyle w:val="ControlledEntitiesDash"/>
      </w:pPr>
      <w:r w:rsidRPr="00F3516A">
        <w:t>Barwon</w:t>
      </w:r>
      <w:r w:rsidRPr="005C063B">
        <w:t xml:space="preserve"> South West Waste and Resource Recovery</w:t>
      </w:r>
      <w:r>
        <w:t xml:space="preserve"> Group </w:t>
      </w:r>
      <w:r>
        <w:rPr>
          <w:vertAlign w:val="superscript"/>
        </w:rPr>
        <w:t>(n</w:t>
      </w:r>
      <w:r w:rsidRPr="00670DC6">
        <w:rPr>
          <w:vertAlign w:val="superscript"/>
        </w:rPr>
        <w:t>)</w:t>
      </w:r>
    </w:p>
    <w:p w:rsidR="00336793" w:rsidRPr="009E0163" w:rsidRDefault="00336793" w:rsidP="00DF0B96">
      <w:pPr>
        <w:pStyle w:val="ControlledEntitiesDash"/>
      </w:pPr>
      <w:r w:rsidRPr="00F3516A">
        <w:lastRenderedPageBreak/>
        <w:t>Gippsland Waste and Resource Recovery</w:t>
      </w:r>
      <w:r>
        <w:t xml:space="preserve"> Group </w:t>
      </w:r>
      <w:r>
        <w:rPr>
          <w:vertAlign w:val="superscript"/>
        </w:rPr>
        <w:t>(n</w:t>
      </w:r>
      <w:r w:rsidRPr="00670DC6">
        <w:rPr>
          <w:vertAlign w:val="superscript"/>
        </w:rPr>
        <w:t>)</w:t>
      </w:r>
    </w:p>
    <w:p w:rsidR="00336793" w:rsidRDefault="00336793" w:rsidP="00DF0B96">
      <w:pPr>
        <w:pStyle w:val="ControlledEntitiesDash"/>
      </w:pPr>
      <w:r>
        <w:t xml:space="preserve">Goulburn Valley Waste and Resource Recovery Group </w:t>
      </w:r>
      <w:r>
        <w:rPr>
          <w:vertAlign w:val="superscript"/>
        </w:rPr>
        <w:t>(n</w:t>
      </w:r>
      <w:r w:rsidRPr="00670DC6">
        <w:rPr>
          <w:vertAlign w:val="superscript"/>
        </w:rPr>
        <w:t>)</w:t>
      </w:r>
    </w:p>
    <w:p w:rsidR="00336793" w:rsidRDefault="00336793" w:rsidP="00DF0B96">
      <w:pPr>
        <w:pStyle w:val="ControlledEntitiesDash"/>
      </w:pPr>
      <w:r>
        <w:t xml:space="preserve">Grampians Central Waste West and Resource Recovery Group </w:t>
      </w:r>
      <w:r>
        <w:rPr>
          <w:vertAlign w:val="superscript"/>
        </w:rPr>
        <w:t>(n</w:t>
      </w:r>
      <w:r w:rsidRPr="00670DC6">
        <w:rPr>
          <w:vertAlign w:val="superscript"/>
        </w:rPr>
        <w:t>)</w:t>
      </w:r>
    </w:p>
    <w:p w:rsidR="00336793" w:rsidRDefault="00336793" w:rsidP="00DF0B96">
      <w:pPr>
        <w:pStyle w:val="ControlledEntitiesDash"/>
      </w:pPr>
      <w:r>
        <w:t xml:space="preserve">Metropolitan Waste and Resource Recovery Group </w:t>
      </w:r>
      <w:r>
        <w:rPr>
          <w:vertAlign w:val="superscript"/>
        </w:rPr>
        <w:t>(n</w:t>
      </w:r>
      <w:r w:rsidRPr="00670DC6">
        <w:rPr>
          <w:vertAlign w:val="superscript"/>
        </w:rPr>
        <w:t>)</w:t>
      </w:r>
    </w:p>
    <w:p w:rsidR="00336793" w:rsidRDefault="00336793" w:rsidP="00DF0B96">
      <w:pPr>
        <w:pStyle w:val="ControlledEntitiesDash"/>
      </w:pPr>
      <w:r>
        <w:t xml:space="preserve">Loddon Mallee Waste and Resource Recovery Group </w:t>
      </w:r>
      <w:r>
        <w:rPr>
          <w:vertAlign w:val="superscript"/>
        </w:rPr>
        <w:t>(n</w:t>
      </w:r>
      <w:r w:rsidRPr="00670DC6">
        <w:rPr>
          <w:vertAlign w:val="superscript"/>
        </w:rPr>
        <w:t>)</w:t>
      </w:r>
    </w:p>
    <w:p w:rsidR="00336793" w:rsidRDefault="00336793" w:rsidP="00DF0B96">
      <w:pPr>
        <w:pStyle w:val="ControlledEntitiesDash"/>
      </w:pPr>
      <w:r>
        <w:t xml:space="preserve">North East Waste and Resource Recovery Group </w:t>
      </w:r>
      <w:r>
        <w:rPr>
          <w:vertAlign w:val="superscript"/>
        </w:rPr>
        <w:t>(n</w:t>
      </w:r>
      <w:r w:rsidRPr="00670DC6">
        <w:rPr>
          <w:vertAlign w:val="superscript"/>
        </w:rPr>
        <w:t>)</w:t>
      </w:r>
    </w:p>
    <w:p w:rsidR="00336793" w:rsidRDefault="00336793" w:rsidP="00DF0B96">
      <w:pPr>
        <w:pStyle w:val="ControlledEntitiesText"/>
      </w:pPr>
      <w:r>
        <w:t>Water Authorities including:</w:t>
      </w:r>
    </w:p>
    <w:p w:rsidR="00336793" w:rsidRDefault="00336793" w:rsidP="00DF0B96">
      <w:pPr>
        <w:pStyle w:val="ControlledEntitiesDash"/>
      </w:pPr>
      <w:r>
        <w:t>Barwon Region Water Corporation</w:t>
      </w:r>
    </w:p>
    <w:p w:rsidR="00336793" w:rsidRDefault="00336793" w:rsidP="00DF0B96">
      <w:pPr>
        <w:pStyle w:val="ControlledEntitiesDash"/>
      </w:pPr>
      <w:r>
        <w:t>Central Gippsland Region Water Corporation</w:t>
      </w:r>
    </w:p>
    <w:p w:rsidR="00336793" w:rsidRDefault="00336793" w:rsidP="00DF0B96">
      <w:pPr>
        <w:pStyle w:val="ControlledEntitiesDash"/>
      </w:pPr>
      <w:r>
        <w:t>Central Highlands Region Water Corporation</w:t>
      </w:r>
    </w:p>
    <w:p w:rsidR="00336793" w:rsidRDefault="00336793" w:rsidP="00DF0B96">
      <w:pPr>
        <w:pStyle w:val="ControlledEntitiesDash"/>
      </w:pPr>
      <w:r>
        <w:t xml:space="preserve">City West Water Corporation </w:t>
      </w:r>
    </w:p>
    <w:p w:rsidR="00336793" w:rsidRDefault="00336793" w:rsidP="00DF0B96">
      <w:pPr>
        <w:pStyle w:val="ControlledEntitiesDash"/>
      </w:pPr>
      <w:r>
        <w:t>Coliban Region Water Corporation</w:t>
      </w:r>
    </w:p>
    <w:p w:rsidR="00336793" w:rsidRDefault="00336793" w:rsidP="00DF0B96">
      <w:pPr>
        <w:pStyle w:val="ControlledEntitiesDash"/>
      </w:pPr>
      <w:r>
        <w:t>East Gippsland Region Water Corporation</w:t>
      </w:r>
    </w:p>
    <w:p w:rsidR="00336793" w:rsidRDefault="00336793" w:rsidP="00DF0B96">
      <w:pPr>
        <w:pStyle w:val="ControlledEntitiesDash"/>
      </w:pPr>
      <w:r>
        <w:lastRenderedPageBreak/>
        <w:t>Gippsland and Southern Rural Water Corporation</w:t>
      </w:r>
    </w:p>
    <w:p w:rsidR="00336793" w:rsidRDefault="00336793" w:rsidP="00DF0B96">
      <w:pPr>
        <w:pStyle w:val="ControlledEntitiesDash"/>
      </w:pPr>
      <w:r>
        <w:t>Goulburn</w:t>
      </w:r>
      <w:r>
        <w:noBreakHyphen/>
        <w:t>Murray Rural Water Corporation</w:t>
      </w:r>
    </w:p>
    <w:p w:rsidR="00336793" w:rsidRDefault="00336793" w:rsidP="00DF0B96">
      <w:pPr>
        <w:pStyle w:val="ControlledEntitiesDash"/>
      </w:pPr>
      <w:r>
        <w:t>Goulburn Valley Region Water Corporation</w:t>
      </w:r>
    </w:p>
    <w:p w:rsidR="00336793" w:rsidRDefault="00336793" w:rsidP="00DF0B96">
      <w:pPr>
        <w:pStyle w:val="ControlledEntitiesDash"/>
      </w:pPr>
      <w:r>
        <w:t>Grampians Wimmera Mallee Water Corporation</w:t>
      </w:r>
    </w:p>
    <w:p w:rsidR="00336793" w:rsidRDefault="00336793" w:rsidP="00DF0B96">
      <w:pPr>
        <w:pStyle w:val="ControlledEntitiesDash"/>
      </w:pPr>
      <w:r>
        <w:t>Lower Murray Urban and Rural Water Corporation</w:t>
      </w:r>
    </w:p>
    <w:p w:rsidR="00336793" w:rsidRDefault="00336793" w:rsidP="00DF0B96">
      <w:pPr>
        <w:pStyle w:val="ControlledEntitiesDash"/>
      </w:pPr>
      <w:r>
        <w:t xml:space="preserve">Melbourne Water Corporation </w:t>
      </w:r>
    </w:p>
    <w:p w:rsidR="00336793" w:rsidRDefault="00336793" w:rsidP="00DF0B96">
      <w:pPr>
        <w:pStyle w:val="ControlledEntitiesDash"/>
      </w:pPr>
      <w:r>
        <w:t>North East Region Water Corporation</w:t>
      </w:r>
    </w:p>
    <w:p w:rsidR="00336793" w:rsidRDefault="00336793" w:rsidP="00DF0B96">
      <w:pPr>
        <w:pStyle w:val="ControlledEntitiesDash"/>
      </w:pPr>
      <w:r>
        <w:t xml:space="preserve">South East Water Corporation </w:t>
      </w:r>
    </w:p>
    <w:p w:rsidR="00336793" w:rsidRDefault="00336793" w:rsidP="00DF0B96">
      <w:pPr>
        <w:pStyle w:val="ControlledEntitiesDash"/>
      </w:pPr>
      <w:r>
        <w:t>South Gippsland Region Water Corporation</w:t>
      </w:r>
    </w:p>
    <w:p w:rsidR="00336793" w:rsidRDefault="00336793" w:rsidP="00DF0B96">
      <w:pPr>
        <w:pStyle w:val="ControlledEntitiesDash"/>
      </w:pPr>
      <w:r>
        <w:t>Wannon Region Water Corporation</w:t>
      </w:r>
    </w:p>
    <w:p w:rsidR="00336793" w:rsidRDefault="00336793" w:rsidP="00DF0B96">
      <w:pPr>
        <w:pStyle w:val="ControlledEntitiesDash"/>
      </w:pPr>
      <w:r>
        <w:t>Western Region Water Corporation</w:t>
      </w:r>
    </w:p>
    <w:p w:rsidR="00336793" w:rsidRDefault="00336793" w:rsidP="00DF0B96">
      <w:pPr>
        <w:pStyle w:val="ControlledEntitiesDash"/>
      </w:pPr>
      <w:r>
        <w:t>Westernport Region Water Corporation</w:t>
      </w:r>
    </w:p>
    <w:p w:rsidR="00336793" w:rsidRDefault="00336793" w:rsidP="00DF0B96">
      <w:pPr>
        <w:pStyle w:val="ControlledEntitiesDash"/>
      </w:pPr>
      <w:r>
        <w:t xml:space="preserve">Yarra Valley Water Corporation </w:t>
      </w:r>
    </w:p>
    <w:p w:rsidR="00336793" w:rsidRDefault="00336793" w:rsidP="00DF0B96">
      <w:pPr>
        <w:pStyle w:val="ControlledEntitiesText"/>
      </w:pPr>
      <w:r>
        <w:t>Zoological Parks and Gardens Board</w:t>
      </w:r>
    </w:p>
    <w:p w:rsidR="00336793" w:rsidRDefault="00336793" w:rsidP="00DF0B96">
      <w:pPr>
        <w:pStyle w:val="ControlledEntitiesText"/>
      </w:pPr>
    </w:p>
    <w:p w:rsidR="00336793" w:rsidRDefault="00336793" w:rsidP="00DF0B96">
      <w:pPr>
        <w:pStyle w:val="Smallline"/>
        <w:sectPr w:rsidR="00336793" w:rsidSect="00DF0B96">
          <w:type w:val="continuous"/>
          <w:pgSz w:w="11906" w:h="16838" w:code="9"/>
          <w:pgMar w:top="1152" w:right="1152" w:bottom="1152" w:left="1152" w:header="720" w:footer="720" w:gutter="0"/>
          <w:cols w:num="3" w:space="184"/>
          <w:docGrid w:linePitch="360"/>
        </w:sectPr>
      </w:pPr>
    </w:p>
    <w:p w:rsidR="00336793" w:rsidRDefault="00336793" w:rsidP="00DF0B96">
      <w:pPr>
        <w:pStyle w:val="Smallline"/>
      </w:pPr>
    </w:p>
    <w:p w:rsidR="00336793" w:rsidRPr="0088347B" w:rsidRDefault="00336793" w:rsidP="00DF0B96">
      <w:pPr>
        <w:pStyle w:val="Heading2NotesContd"/>
        <w:rPr>
          <w:i/>
        </w:rPr>
      </w:pPr>
      <w:r>
        <w:lastRenderedPageBreak/>
        <w:t>Note 42:</w:t>
      </w:r>
      <w:r>
        <w:tab/>
        <w:t xml:space="preserve">Controlled entities </w:t>
      </w:r>
      <w:r>
        <w:rPr>
          <w:i/>
        </w:rPr>
        <w:t>(continued)</w:t>
      </w:r>
    </w:p>
    <w:p w:rsidR="00336793" w:rsidRPr="00DB3AE5" w:rsidRDefault="00336793" w:rsidP="00DF0B96">
      <w:pPr>
        <w:pStyle w:val="ControlledEntitiesHeading1"/>
        <w:rPr>
          <w:rFonts w:ascii="Calibri" w:hAnsi="Calibri"/>
          <w:b w:val="0"/>
          <w:sz w:val="18"/>
          <w:szCs w:val="18"/>
        </w:rPr>
      </w:pPr>
      <w:r w:rsidRPr="00DB3AE5">
        <w:rPr>
          <w:b w:val="0"/>
        </w:rPr>
        <w:t>Public non</w:t>
      </w:r>
      <w:r>
        <w:rPr>
          <w:b w:val="0"/>
        </w:rPr>
        <w:noBreakHyphen/>
      </w:r>
      <w:r w:rsidRPr="00DB3AE5">
        <w:rPr>
          <w:b w:val="0"/>
        </w:rPr>
        <w:t xml:space="preserve">financial corporations </w:t>
      </w:r>
      <w:r w:rsidRPr="00DB3AE5">
        <w:rPr>
          <w:b w:val="0"/>
          <w:vertAlign w:val="superscript"/>
        </w:rPr>
        <w:t>(a)</w:t>
      </w:r>
    </w:p>
    <w:p w:rsidR="00336793" w:rsidRDefault="00336793" w:rsidP="00DF0B96">
      <w:pPr>
        <w:sectPr w:rsidR="00336793" w:rsidSect="00DF0B96">
          <w:type w:val="continuous"/>
          <w:pgSz w:w="11906" w:h="16838" w:code="9"/>
          <w:pgMar w:top="1152" w:right="1152" w:bottom="1152" w:left="1152" w:header="720" w:footer="720" w:gutter="0"/>
          <w:cols w:space="184"/>
          <w:docGrid w:linePitch="360"/>
        </w:sectPr>
      </w:pPr>
    </w:p>
    <w:p w:rsidR="00336793" w:rsidRDefault="00336793" w:rsidP="00DF0B96">
      <w:pPr>
        <w:pStyle w:val="Smallline"/>
      </w:pPr>
    </w:p>
    <w:p w:rsidR="00336793" w:rsidRDefault="00336793" w:rsidP="00DF0B96">
      <w:pPr>
        <w:pStyle w:val="ControlledEntitiesHeading2"/>
      </w:pPr>
      <w:r>
        <w:t>Department of Health and Human Services</w:t>
      </w:r>
    </w:p>
    <w:p w:rsidR="00336793" w:rsidRDefault="00336793" w:rsidP="00DF0B96">
      <w:pPr>
        <w:pStyle w:val="ControlledEntitiesText"/>
        <w:spacing w:after="0"/>
      </w:pPr>
      <w:r>
        <w:t>Cemeteries including:</w:t>
      </w:r>
    </w:p>
    <w:p w:rsidR="00336793" w:rsidRDefault="00336793" w:rsidP="00DF0B96">
      <w:pPr>
        <w:pStyle w:val="ControlledEntitiesDash"/>
      </w:pPr>
      <w:r>
        <w:t>Ballaarat General Cemeteries Trust</w:t>
      </w:r>
    </w:p>
    <w:p w:rsidR="00336793" w:rsidRDefault="00336793" w:rsidP="00DF0B96">
      <w:pPr>
        <w:pStyle w:val="ControlledEntitiesDash"/>
      </w:pPr>
      <w:r>
        <w:t>Bendigo Cemeteries Trust</w:t>
      </w:r>
    </w:p>
    <w:p w:rsidR="00336793" w:rsidRDefault="00336793" w:rsidP="00DF0B96">
      <w:pPr>
        <w:pStyle w:val="ControlledEntitiesDash"/>
      </w:pPr>
      <w:r>
        <w:t>Geelong Cemeteries Trust</w:t>
      </w:r>
    </w:p>
    <w:p w:rsidR="00336793" w:rsidRDefault="00336793" w:rsidP="00DF0B96">
      <w:pPr>
        <w:pStyle w:val="ControlledEntitiesDash"/>
      </w:pPr>
      <w:r>
        <w:t>Greater Metropolitan Cemeteries Trust</w:t>
      </w:r>
    </w:p>
    <w:p w:rsidR="00336793" w:rsidRDefault="00336793" w:rsidP="00DF0B96">
      <w:pPr>
        <w:pStyle w:val="ControlledEntitiesDash"/>
      </w:pPr>
      <w:r>
        <w:t>Southern Metropolitan Cemeteries Trust</w:t>
      </w:r>
    </w:p>
    <w:p w:rsidR="00336793" w:rsidRDefault="00336793" w:rsidP="00DF0B96">
      <w:pPr>
        <w:pStyle w:val="ControlledEntitiesDash"/>
      </w:pPr>
      <w:r>
        <w:t>Mildura Cemetery Trust</w:t>
      </w:r>
    </w:p>
    <w:p w:rsidR="00336793" w:rsidRDefault="00336793" w:rsidP="00DF0B96">
      <w:pPr>
        <w:pStyle w:val="ControlledEntitiesText"/>
      </w:pPr>
      <w:r>
        <w:t>Director of Housing (PNFC)</w:t>
      </w:r>
    </w:p>
    <w:p w:rsidR="00336793" w:rsidRDefault="00336793" w:rsidP="00DF0B96">
      <w:pPr>
        <w:pStyle w:val="ControlledEntitiesText"/>
      </w:pPr>
      <w:r>
        <w:t>State Sport Centres Trust</w:t>
      </w:r>
    </w:p>
    <w:p w:rsidR="00336793" w:rsidRDefault="00336793" w:rsidP="00DF0B96">
      <w:pPr>
        <w:pStyle w:val="Smallline"/>
      </w:pPr>
    </w:p>
    <w:p w:rsidR="00336793" w:rsidRDefault="00336793" w:rsidP="00DF0B96">
      <w:pPr>
        <w:pStyle w:val="ControlledEntitiesHeading2"/>
      </w:pPr>
      <w:r>
        <w:t>Department of Justice and Regulation</w:t>
      </w:r>
    </w:p>
    <w:p w:rsidR="00336793" w:rsidRDefault="00336793" w:rsidP="00DF0B96">
      <w:pPr>
        <w:pStyle w:val="ControlledEntitiesText"/>
      </w:pPr>
      <w:r>
        <w:t>Greyhound Racing Victoria</w:t>
      </w:r>
    </w:p>
    <w:p w:rsidR="00336793" w:rsidRDefault="00336793" w:rsidP="00DF0B96">
      <w:pPr>
        <w:pStyle w:val="ControlledEntitiesText"/>
      </w:pPr>
      <w:r>
        <w:t>Harness Racing Victoria</w:t>
      </w:r>
    </w:p>
    <w:p w:rsidR="00336793" w:rsidRDefault="00336793" w:rsidP="00DF0B96">
      <w:pPr>
        <w:pStyle w:val="Smallline"/>
      </w:pPr>
      <w:r>
        <w:br w:type="column"/>
      </w:r>
    </w:p>
    <w:p w:rsidR="00336793" w:rsidRDefault="00336793" w:rsidP="00DF0B96">
      <w:pPr>
        <w:pStyle w:val="ControlledEntitiesHeading2"/>
      </w:pPr>
      <w:r>
        <w:t>Department of Premier and Cabinet</w:t>
      </w:r>
    </w:p>
    <w:p w:rsidR="00336793" w:rsidRDefault="00336793" w:rsidP="00DF0B96">
      <w:pPr>
        <w:pStyle w:val="ControlledEntitiesText"/>
      </w:pPr>
      <w:r>
        <w:t>Queen Victoria Women’s Centre Trust</w:t>
      </w:r>
    </w:p>
    <w:p w:rsidR="00336793" w:rsidRDefault="00336793" w:rsidP="00DF0B96">
      <w:pPr>
        <w:pStyle w:val="ControlledEntitiesText"/>
      </w:pPr>
      <w:r>
        <w:t xml:space="preserve">VITS Languagelink </w:t>
      </w:r>
    </w:p>
    <w:p w:rsidR="00336793" w:rsidRDefault="00336793" w:rsidP="00DF0B96">
      <w:pPr>
        <w:pStyle w:val="Smallline"/>
      </w:pPr>
    </w:p>
    <w:p w:rsidR="00336793" w:rsidRDefault="00336793" w:rsidP="00DF0B96">
      <w:pPr>
        <w:pStyle w:val="ControlledEntitiesHeading2"/>
      </w:pPr>
      <w:r>
        <w:t>Department of Economic Development, Jobs, Transport and Resources</w:t>
      </w:r>
    </w:p>
    <w:p w:rsidR="00336793" w:rsidRPr="007F2BF7" w:rsidRDefault="00336793" w:rsidP="00DF0B96">
      <w:pPr>
        <w:pStyle w:val="ControlledEntitiesText"/>
      </w:pPr>
      <w:r w:rsidRPr="007F2BF7">
        <w:t>Agriculture Victoria Services Pty Ltd</w:t>
      </w:r>
    </w:p>
    <w:p w:rsidR="00336793" w:rsidRPr="007F2BF7" w:rsidRDefault="00336793" w:rsidP="00DF0B96">
      <w:pPr>
        <w:pStyle w:val="ControlledEntitiesText"/>
      </w:pPr>
      <w:r w:rsidRPr="007F2BF7">
        <w:t>Australian Grand Prix Corporation</w:t>
      </w:r>
    </w:p>
    <w:p w:rsidR="00336793" w:rsidRPr="007F2BF7" w:rsidRDefault="00336793" w:rsidP="00DF0B96">
      <w:pPr>
        <w:pStyle w:val="ControlledEntitiesText"/>
      </w:pPr>
      <w:r w:rsidRPr="007F2BF7">
        <w:t>Dairy Food Safety Victoria</w:t>
      </w:r>
    </w:p>
    <w:p w:rsidR="00336793" w:rsidRPr="007F2BF7" w:rsidRDefault="00336793" w:rsidP="00DF0B96">
      <w:pPr>
        <w:pStyle w:val="ControlledEntitiesText"/>
      </w:pPr>
      <w:r w:rsidRPr="007F2BF7">
        <w:t>Emerald Tourist Railway Board</w:t>
      </w:r>
    </w:p>
    <w:p w:rsidR="00336793" w:rsidRPr="007F2BF7" w:rsidRDefault="00336793" w:rsidP="00DF0B96">
      <w:pPr>
        <w:pStyle w:val="ControlledEntitiesText"/>
      </w:pPr>
      <w:r w:rsidRPr="007F2BF7">
        <w:t>Fed Square Pty Ltd</w:t>
      </w:r>
    </w:p>
    <w:p w:rsidR="00336793" w:rsidRDefault="00336793" w:rsidP="00DF0B96">
      <w:pPr>
        <w:pStyle w:val="ControlledEntitiesText"/>
      </w:pPr>
      <w:r w:rsidRPr="007F2BF7">
        <w:t>Geelong Performing Arts Centre Trust</w:t>
      </w:r>
    </w:p>
    <w:p w:rsidR="00336793" w:rsidRPr="007F2BF7" w:rsidRDefault="00336793" w:rsidP="00DF0B96">
      <w:pPr>
        <w:pStyle w:val="ControlledEntitiesText"/>
      </w:pPr>
      <w:r w:rsidRPr="00B678CD">
        <w:t>Greater Sunraysia Pest Free Area Industry Development Committee</w:t>
      </w:r>
      <w:r w:rsidRPr="009B6530">
        <w:rPr>
          <w:vertAlign w:val="superscript"/>
        </w:rPr>
        <w:t>(o)</w:t>
      </w:r>
    </w:p>
    <w:p w:rsidR="00336793" w:rsidRPr="007F2BF7" w:rsidRDefault="00336793" w:rsidP="00DF0B96">
      <w:pPr>
        <w:pStyle w:val="ControlledEntitiesText"/>
      </w:pPr>
      <w:r w:rsidRPr="007F2BF7">
        <w:t>Melbourne and Olympic Parks Trust</w:t>
      </w:r>
    </w:p>
    <w:p w:rsidR="00336793" w:rsidRPr="007F2BF7" w:rsidRDefault="00336793" w:rsidP="00DF0B96">
      <w:pPr>
        <w:pStyle w:val="ControlledEntitiesText"/>
      </w:pPr>
      <w:r w:rsidRPr="007F2BF7">
        <w:t>Melbourne Convention and Exhibition Trust</w:t>
      </w:r>
    </w:p>
    <w:p w:rsidR="00336793" w:rsidRPr="007F2BF7" w:rsidRDefault="00336793" w:rsidP="00DF0B96">
      <w:pPr>
        <w:pStyle w:val="ControlledEntitiesText"/>
      </w:pPr>
      <w:r w:rsidRPr="007F2BF7">
        <w:t xml:space="preserve">Melbourne Market Authority </w:t>
      </w:r>
    </w:p>
    <w:p w:rsidR="00336793" w:rsidRPr="007F2BF7" w:rsidRDefault="00336793" w:rsidP="00DF0B96">
      <w:pPr>
        <w:pStyle w:val="ControlledEntitiesText"/>
      </w:pPr>
      <w:r w:rsidRPr="007F2BF7">
        <w:t>Murray Valley Wine Grape Industry Development Committee</w:t>
      </w:r>
    </w:p>
    <w:p w:rsidR="00336793" w:rsidRPr="007F2BF7" w:rsidRDefault="00336793" w:rsidP="00DF0B96">
      <w:pPr>
        <w:pStyle w:val="ControlledEntitiesText"/>
      </w:pPr>
      <w:r>
        <w:br w:type="column"/>
      </w:r>
      <w:r w:rsidRPr="007F2BF7">
        <w:lastRenderedPageBreak/>
        <w:t>Northern Victorian Fresh Tomato Industry Development Committee</w:t>
      </w:r>
    </w:p>
    <w:p w:rsidR="00336793" w:rsidRPr="007F2BF7" w:rsidRDefault="00336793" w:rsidP="00DF0B96">
      <w:pPr>
        <w:pStyle w:val="ControlledEntitiesText"/>
      </w:pPr>
      <w:r w:rsidRPr="007F2BF7">
        <w:t>Phytogene Pty Ltd</w:t>
      </w:r>
    </w:p>
    <w:p w:rsidR="00336793" w:rsidRPr="007F2BF7" w:rsidRDefault="00336793" w:rsidP="00DF0B96">
      <w:pPr>
        <w:pStyle w:val="ControlledEntitiesText"/>
      </w:pPr>
      <w:r w:rsidRPr="007F2BF7">
        <w:t>Port of Hastings Development Authority</w:t>
      </w:r>
    </w:p>
    <w:p w:rsidR="00336793" w:rsidRPr="007F2BF7" w:rsidRDefault="00336793" w:rsidP="00DF0B96">
      <w:pPr>
        <w:pStyle w:val="ControlledEntitiesText"/>
      </w:pPr>
      <w:r w:rsidRPr="007F2BF7">
        <w:t>Port of Melbourne Corporation</w:t>
      </w:r>
    </w:p>
    <w:p w:rsidR="00336793" w:rsidRPr="007F2BF7" w:rsidRDefault="00336793" w:rsidP="00DF0B96">
      <w:pPr>
        <w:pStyle w:val="ControlledEntitiesText"/>
      </w:pPr>
      <w:r w:rsidRPr="007F2BF7">
        <w:t>PrimeSafe</w:t>
      </w:r>
    </w:p>
    <w:p w:rsidR="00336793" w:rsidRPr="007F2BF7" w:rsidRDefault="00336793" w:rsidP="00DF0B96">
      <w:pPr>
        <w:pStyle w:val="ControlledEntitiesText"/>
      </w:pPr>
      <w:r w:rsidRPr="007F2BF7">
        <w:t>V/Line Corporation</w:t>
      </w:r>
    </w:p>
    <w:p w:rsidR="00336793" w:rsidRPr="007F2BF7" w:rsidRDefault="00336793" w:rsidP="00DF0B96">
      <w:pPr>
        <w:pStyle w:val="ControlledEntitiesText"/>
      </w:pPr>
      <w:r w:rsidRPr="007F2BF7">
        <w:t>VicForests</w:t>
      </w:r>
    </w:p>
    <w:p w:rsidR="00336793" w:rsidRPr="007F2BF7" w:rsidRDefault="00336793" w:rsidP="00DF0B96">
      <w:pPr>
        <w:pStyle w:val="ControlledEntitiesText"/>
      </w:pPr>
      <w:r w:rsidRPr="007F2BF7">
        <w:t>Victorian Arts Centre Trust</w:t>
      </w:r>
    </w:p>
    <w:p w:rsidR="00336793" w:rsidRPr="007F2BF7" w:rsidRDefault="00336793" w:rsidP="00DF0B96">
      <w:pPr>
        <w:pStyle w:val="ControlledEntitiesText"/>
      </w:pPr>
      <w:r>
        <w:t xml:space="preserve">Victorian Major Events Company </w:t>
      </w:r>
      <w:r w:rsidRPr="007F2BF7">
        <w:t>Limited</w:t>
      </w:r>
      <w:r w:rsidRPr="009B6530">
        <w:rPr>
          <w:vertAlign w:val="superscript"/>
        </w:rPr>
        <w:t>(l)</w:t>
      </w:r>
    </w:p>
    <w:p w:rsidR="00336793" w:rsidRPr="007F2BF7" w:rsidRDefault="00336793" w:rsidP="00DF0B96">
      <w:pPr>
        <w:pStyle w:val="ControlledEntitiesText"/>
      </w:pPr>
      <w:r w:rsidRPr="007F2BF7">
        <w:t>Victorian Rail Track</w:t>
      </w:r>
    </w:p>
    <w:p w:rsidR="00336793" w:rsidRPr="007F2BF7" w:rsidRDefault="00336793" w:rsidP="00DF0B96">
      <w:pPr>
        <w:pStyle w:val="ControlledEntitiesText"/>
      </w:pPr>
      <w:r w:rsidRPr="007F2BF7">
        <w:t>Victorian Regional Channels Authority</w:t>
      </w:r>
    </w:p>
    <w:p w:rsidR="00336793" w:rsidRDefault="00336793" w:rsidP="00DF0B96">
      <w:pPr>
        <w:pStyle w:val="ControlledEntitiesText"/>
      </w:pPr>
      <w:r>
        <w:t>Victorian Strawberry Industry Development Committee</w:t>
      </w:r>
    </w:p>
    <w:p w:rsidR="00336793" w:rsidRDefault="00336793" w:rsidP="00DF0B96">
      <w:pPr>
        <w:pStyle w:val="Smallline"/>
      </w:pPr>
    </w:p>
    <w:p w:rsidR="00336793" w:rsidRDefault="00336793" w:rsidP="00DF0B96">
      <w:pPr>
        <w:pStyle w:val="ControlledEntitiesHeading2"/>
      </w:pPr>
      <w:r>
        <w:t>Department of Treasury and Finance</w:t>
      </w:r>
    </w:p>
    <w:p w:rsidR="00336793" w:rsidRDefault="00336793" w:rsidP="00DF0B96">
      <w:pPr>
        <w:pStyle w:val="ControlledEntitiesText"/>
      </w:pPr>
      <w:r>
        <w:t>State Electricity Commission of Victoria</w:t>
      </w:r>
    </w:p>
    <w:p w:rsidR="00336793" w:rsidRDefault="00336793" w:rsidP="00DF0B96">
      <w:pPr>
        <w:pStyle w:val="ControlledEntitiesText"/>
      </w:pPr>
      <w:r>
        <w:t>Victorian Plantations Corporation (shell)</w:t>
      </w:r>
    </w:p>
    <w:p w:rsidR="00336793" w:rsidRDefault="00336793" w:rsidP="00DF0B96">
      <w:pPr>
        <w:pStyle w:val="ControlledEntitiesText"/>
        <w:sectPr w:rsidR="00336793" w:rsidSect="00DF0B96">
          <w:type w:val="continuous"/>
          <w:pgSz w:w="11906" w:h="16838" w:code="9"/>
          <w:pgMar w:top="1152" w:right="1152" w:bottom="1152" w:left="1152" w:header="720" w:footer="720" w:gutter="0"/>
          <w:cols w:num="3" w:space="172"/>
          <w:docGrid w:linePitch="360"/>
        </w:sectPr>
      </w:pPr>
    </w:p>
    <w:p w:rsidR="00336793" w:rsidRPr="00DB3AE5" w:rsidRDefault="00336793" w:rsidP="00DF0B96">
      <w:pPr>
        <w:pStyle w:val="ControlledEntitiesHeading1"/>
        <w:rPr>
          <w:b w:val="0"/>
        </w:rPr>
      </w:pPr>
      <w:r w:rsidRPr="00DB3AE5">
        <w:rPr>
          <w:b w:val="0"/>
        </w:rPr>
        <w:lastRenderedPageBreak/>
        <w:t xml:space="preserve">Public financial corporations </w:t>
      </w:r>
      <w:r w:rsidRPr="00DB3AE5">
        <w:rPr>
          <w:rFonts w:ascii="Calibri" w:hAnsi="Calibri"/>
          <w:b w:val="0"/>
          <w:bCs/>
          <w:sz w:val="18"/>
          <w:szCs w:val="18"/>
          <w:vertAlign w:val="superscript"/>
        </w:rPr>
        <w:t>(a)</w:t>
      </w:r>
    </w:p>
    <w:p w:rsidR="00336793" w:rsidRDefault="00336793" w:rsidP="00DF0B96">
      <w:pPr>
        <w:pStyle w:val="ControlledEntitiesText"/>
        <w:sectPr w:rsidR="00336793" w:rsidSect="00DF0B96">
          <w:type w:val="continuous"/>
          <w:pgSz w:w="11906" w:h="16838" w:code="9"/>
          <w:pgMar w:top="1152" w:right="1152" w:bottom="1152" w:left="1152" w:header="720" w:footer="720" w:gutter="0"/>
          <w:cols w:space="184"/>
          <w:docGrid w:linePitch="360"/>
        </w:sectPr>
      </w:pPr>
    </w:p>
    <w:p w:rsidR="00336793" w:rsidRDefault="00336793" w:rsidP="00DF0B96">
      <w:pPr>
        <w:pStyle w:val="Smallline"/>
      </w:pPr>
    </w:p>
    <w:p w:rsidR="00336793" w:rsidRPr="007E659C" w:rsidRDefault="00336793" w:rsidP="00DF0B96">
      <w:pPr>
        <w:pStyle w:val="ControlledEntitiesHeading2"/>
      </w:pPr>
      <w:r w:rsidRPr="007E659C">
        <w:t>Department of Treasury and Finance</w:t>
      </w:r>
    </w:p>
    <w:p w:rsidR="00336793" w:rsidRPr="007E659C" w:rsidRDefault="00336793" w:rsidP="00DF0B96">
      <w:pPr>
        <w:pStyle w:val="ControlledEntitiesText"/>
      </w:pPr>
      <w:r w:rsidRPr="007E659C">
        <w:t>Rural Finance Corporation of Victoria</w:t>
      </w:r>
      <w:r w:rsidRPr="009B6530">
        <w:rPr>
          <w:vertAlign w:val="superscript"/>
        </w:rPr>
        <w:t>(p)</w:t>
      </w:r>
    </w:p>
    <w:p w:rsidR="00336793" w:rsidRPr="001F1567" w:rsidRDefault="00336793" w:rsidP="00DF0B96">
      <w:pPr>
        <w:pStyle w:val="ControlledEntitiesText"/>
      </w:pPr>
      <w:r w:rsidRPr="007E659C">
        <w:t>State Trustees Limited</w:t>
      </w:r>
    </w:p>
    <w:p w:rsidR="00336793" w:rsidRPr="007E659C" w:rsidRDefault="00336793" w:rsidP="00DF0B96">
      <w:pPr>
        <w:pStyle w:val="ControlledEntitiesText"/>
      </w:pPr>
      <w:r>
        <w:br w:type="column"/>
      </w:r>
      <w:r w:rsidRPr="007E659C">
        <w:lastRenderedPageBreak/>
        <w:t>Transport Accident Commission</w:t>
      </w:r>
    </w:p>
    <w:p w:rsidR="00336793" w:rsidRDefault="00336793" w:rsidP="00DF0B96">
      <w:pPr>
        <w:pStyle w:val="ControlledEntitiesText"/>
      </w:pPr>
      <w:r w:rsidRPr="007E659C">
        <w:t>Treasury Corporation of Victoria</w:t>
      </w:r>
      <w:r>
        <w:t xml:space="preserve"> </w:t>
      </w:r>
    </w:p>
    <w:p w:rsidR="00336793" w:rsidRPr="007E659C" w:rsidRDefault="00336793" w:rsidP="00DF0B96">
      <w:pPr>
        <w:pStyle w:val="ControlledEntitiesText"/>
      </w:pPr>
      <w:r w:rsidRPr="007E659C">
        <w:t>Victorian Funds Management Corporation</w:t>
      </w:r>
    </w:p>
    <w:p w:rsidR="00336793" w:rsidRPr="007E659C" w:rsidRDefault="00336793" w:rsidP="00DF0B96">
      <w:pPr>
        <w:pStyle w:val="ControlledEntitiesText"/>
      </w:pPr>
      <w:r>
        <w:br w:type="column"/>
      </w:r>
      <w:r w:rsidRPr="007E659C">
        <w:lastRenderedPageBreak/>
        <w:t>Victorian Managed Insurance Authority</w:t>
      </w:r>
    </w:p>
    <w:p w:rsidR="00336793" w:rsidRDefault="00336793" w:rsidP="00DF0B96">
      <w:pPr>
        <w:pStyle w:val="ControlledEntitiesText"/>
      </w:pPr>
      <w:r w:rsidRPr="007E659C">
        <w:t>Victorian WorkCover Authority (WorkSafe Victoria)</w:t>
      </w:r>
    </w:p>
    <w:p w:rsidR="00336793" w:rsidRDefault="00336793" w:rsidP="00DF0B96">
      <w:pPr>
        <w:sectPr w:rsidR="00336793" w:rsidSect="00DF0B96">
          <w:type w:val="continuous"/>
          <w:pgSz w:w="11906" w:h="16838" w:code="9"/>
          <w:pgMar w:top="1152" w:right="1152" w:bottom="1152" w:left="1152" w:header="720" w:footer="720" w:gutter="0"/>
          <w:cols w:num="3" w:space="184"/>
          <w:docGrid w:linePitch="360"/>
        </w:sectPr>
      </w:pPr>
    </w:p>
    <w:p w:rsidR="00336793" w:rsidRDefault="00336793" w:rsidP="00DF0B96">
      <w:pPr>
        <w:pStyle w:val="Notes"/>
        <w:pBdr>
          <w:top w:val="single" w:sz="12" w:space="1" w:color="auto"/>
        </w:pBdr>
      </w:pPr>
      <w:r w:rsidRPr="006A75A2">
        <w:lastRenderedPageBreak/>
        <w:t>Notes</w:t>
      </w:r>
      <w:r>
        <w:t>:</w:t>
      </w:r>
    </w:p>
    <w:p w:rsidR="00336793" w:rsidRPr="00424F91" w:rsidRDefault="00336793" w:rsidP="005370A8">
      <w:pPr>
        <w:pStyle w:val="Notes"/>
      </w:pPr>
      <w:r>
        <w:t>(a)</w:t>
      </w:r>
      <w:r>
        <w:tab/>
        <w:t xml:space="preserve">On 4 </w:t>
      </w:r>
      <w:r w:rsidRPr="001E4A6F">
        <w:t>December</w:t>
      </w:r>
      <w:r>
        <w:t xml:space="preserve"> 2014, the Premier announced </w:t>
      </w:r>
      <w:r w:rsidRPr="00424F91">
        <w:t>machinery of government changes effective 1 January 201</w:t>
      </w:r>
      <w:r>
        <w:t>5. The following Victorian government departments were affected:</w:t>
      </w:r>
    </w:p>
    <w:p w:rsidR="00336793" w:rsidRPr="001E4A6F" w:rsidRDefault="00336793" w:rsidP="00DF0B96">
      <w:pPr>
        <w:pStyle w:val="NotesDash"/>
      </w:pPr>
      <w:r w:rsidRPr="001E4A6F">
        <w:t xml:space="preserve">Department of Education and Early Childhood Development was renamed to the Department of Education and Training; </w:t>
      </w:r>
    </w:p>
    <w:p w:rsidR="00336793" w:rsidRPr="001E4A6F" w:rsidRDefault="00336793" w:rsidP="00DF0B96">
      <w:pPr>
        <w:pStyle w:val="NotesDash"/>
      </w:pPr>
      <w:r w:rsidRPr="001E4A6F">
        <w:t xml:space="preserve">Department of Environment and Primary Industries was renamed to the Department of Environment, Land, Water and Planning; </w:t>
      </w:r>
    </w:p>
    <w:p w:rsidR="00336793" w:rsidRPr="001E4A6F" w:rsidRDefault="00336793" w:rsidP="00DF0B96">
      <w:pPr>
        <w:pStyle w:val="NotesDash"/>
      </w:pPr>
      <w:r w:rsidRPr="001E4A6F">
        <w:t xml:space="preserve">Department of Health was renamed to the Department of Health and Human Services; </w:t>
      </w:r>
    </w:p>
    <w:p w:rsidR="00336793" w:rsidRPr="001E4A6F" w:rsidRDefault="00336793" w:rsidP="00DF0B96">
      <w:pPr>
        <w:pStyle w:val="NotesDash"/>
      </w:pPr>
      <w:r w:rsidRPr="001E4A6F">
        <w:t xml:space="preserve">Department of Justice was renamed to the Department of Justice and Regulation; </w:t>
      </w:r>
    </w:p>
    <w:p w:rsidR="00336793" w:rsidRPr="001E4A6F" w:rsidRDefault="00336793" w:rsidP="00DF0B96">
      <w:pPr>
        <w:pStyle w:val="NotesDash"/>
      </w:pPr>
      <w:r w:rsidRPr="001E4A6F">
        <w:t>Department of State Development, Business and Innovation was renamed to the Department of Economic Development, Jobs, Transport and Resources;</w:t>
      </w:r>
    </w:p>
    <w:p w:rsidR="00336793" w:rsidRPr="001E4A6F" w:rsidRDefault="00336793" w:rsidP="00DF0B96">
      <w:pPr>
        <w:pStyle w:val="NotesDash"/>
      </w:pPr>
      <w:r w:rsidRPr="001E4A6F">
        <w:t>Department of Human Services ceased to exist; and</w:t>
      </w:r>
    </w:p>
    <w:p w:rsidR="00336793" w:rsidRPr="00424F91" w:rsidRDefault="00336793" w:rsidP="00DF0B96">
      <w:pPr>
        <w:pStyle w:val="NotesDash"/>
      </w:pPr>
      <w:r w:rsidRPr="001E4A6F">
        <w:t>Department of Transport</w:t>
      </w:r>
      <w:r w:rsidRPr="00424F91">
        <w:t>, Planning and Local Infrastructure ceased to exist.</w:t>
      </w:r>
    </w:p>
    <w:p w:rsidR="00336793" w:rsidRPr="00424F91" w:rsidRDefault="00336793" w:rsidP="00DF0B96">
      <w:pPr>
        <w:pStyle w:val="Notes"/>
      </w:pPr>
      <w:r>
        <w:tab/>
      </w:r>
      <w:r w:rsidRPr="00424F91">
        <w:t xml:space="preserve">The two ceasing departments had their functions and operations transferred to other Victorian government departments. Functions and </w:t>
      </w:r>
      <w:r w:rsidRPr="009248FE">
        <w:t>operations</w:t>
      </w:r>
      <w:r w:rsidRPr="00424F91">
        <w:t xml:space="preserve"> of </w:t>
      </w:r>
      <w:r w:rsidRPr="00D53D63">
        <w:t>the</w:t>
      </w:r>
      <w:r w:rsidRPr="00424F91">
        <w:t xml:space="preserve"> Department of Human Services were transferred to the new Department of Health and Human Services portfolio and </w:t>
      </w:r>
      <w:r>
        <w:t xml:space="preserve">to </w:t>
      </w:r>
      <w:r w:rsidRPr="00424F91">
        <w:t xml:space="preserve">the </w:t>
      </w:r>
      <w:r w:rsidRPr="00CC2E36">
        <w:t>Department</w:t>
      </w:r>
      <w:r w:rsidRPr="00424F91">
        <w:t xml:space="preserve"> of Premier and Cabinet portfolio. Functions and operations of the Department of Transport, Planning and Local Infrastructure were transferred to new Department of Environment, Land, Water and Planning portfolio, the new Department of Health and Human Services portfolio and </w:t>
      </w:r>
      <w:r>
        <w:t xml:space="preserve">to </w:t>
      </w:r>
      <w:r w:rsidRPr="00424F91">
        <w:t xml:space="preserve">the new Department of Economic Development, Jobs, Transport and Resources portfolio. Certain functions and operations of </w:t>
      </w:r>
      <w:r>
        <w:t>continuing</w:t>
      </w:r>
      <w:r w:rsidRPr="00424F91">
        <w:t xml:space="preserve"> Victorian government departments were also transferred as part of the machinery of government changes.</w:t>
      </w:r>
    </w:p>
    <w:p w:rsidR="00336793" w:rsidRDefault="00336793" w:rsidP="00DF0B96">
      <w:pPr>
        <w:pStyle w:val="Notes"/>
      </w:pPr>
      <w:r>
        <w:t>(b)</w:t>
      </w:r>
      <w:r>
        <w:tab/>
      </w:r>
      <w:r w:rsidRPr="002E1213">
        <w:t>The Bendigo Kangan Institute was established on 1 July 2014 as a result of a merge between Bendigo TAFE and Kangan Institute of TAFE.</w:t>
      </w:r>
    </w:p>
    <w:p w:rsidR="00336793" w:rsidRDefault="00336793" w:rsidP="00DF0B96">
      <w:pPr>
        <w:pStyle w:val="Notes"/>
      </w:pPr>
      <w:r>
        <w:t>(c)</w:t>
      </w:r>
      <w:r>
        <w:tab/>
        <w:t>Effective 2 October 2014, Northern Melbourne Institute of TAFE was renamed as Melbourne Polytechnic.</w:t>
      </w:r>
    </w:p>
    <w:p w:rsidR="00336793" w:rsidRPr="00424F91" w:rsidRDefault="00336793" w:rsidP="00DF0B96">
      <w:pPr>
        <w:pStyle w:val="Notes"/>
      </w:pPr>
      <w:r w:rsidRPr="003D0BDF">
        <w:t xml:space="preserve">(d)  </w:t>
      </w:r>
      <w:r w:rsidRPr="003D0BDF">
        <w:tab/>
      </w:r>
      <w:r>
        <w:t xml:space="preserve">Effective 17 July 2014, </w:t>
      </w:r>
      <w:r w:rsidRPr="003D0BDF">
        <w:t xml:space="preserve">The Dhelkunya Dja Land Management Board was established by the Victorian Government under the </w:t>
      </w:r>
      <w:r w:rsidRPr="003A0AF0">
        <w:rPr>
          <w:i w:val="0"/>
        </w:rPr>
        <w:t>Conservation, Forests and Lands Act 1987</w:t>
      </w:r>
      <w:r>
        <w:rPr>
          <w:i w:val="0"/>
        </w:rPr>
        <w:t>,</w:t>
      </w:r>
      <w:r w:rsidRPr="003A0AF0">
        <w:rPr>
          <w:i w:val="0"/>
        </w:rPr>
        <w:t xml:space="preserve"> </w:t>
      </w:r>
      <w:r>
        <w:t>to</w:t>
      </w:r>
      <w:r w:rsidRPr="003D0BDF">
        <w:t xml:space="preserve"> manage a number of parks and reserves in central Victoria. </w:t>
      </w:r>
    </w:p>
    <w:p w:rsidR="00336793" w:rsidRDefault="00336793" w:rsidP="00DF0B96">
      <w:pPr>
        <w:pStyle w:val="Notes"/>
      </w:pPr>
      <w:r>
        <w:t>(e)</w:t>
      </w:r>
      <w:r>
        <w:tab/>
        <w:t xml:space="preserve">Effective 4 September 2014, </w:t>
      </w:r>
      <w:r w:rsidRPr="00424F91">
        <w:t>Bass Coast Regional Health was renamed to Bass Coast Health.</w:t>
      </w:r>
    </w:p>
    <w:p w:rsidR="00336793" w:rsidRPr="00B53E77" w:rsidRDefault="00336793" w:rsidP="00DF0B96">
      <w:pPr>
        <w:pStyle w:val="Notes"/>
      </w:pPr>
      <w:r>
        <w:t>(f)</w:t>
      </w:r>
      <w:r>
        <w:tab/>
      </w:r>
      <w:r w:rsidRPr="00B53E77">
        <w:t>Effective</w:t>
      </w:r>
      <w:r>
        <w:t xml:space="preserve"> </w:t>
      </w:r>
      <w:r w:rsidRPr="00B53E77">
        <w:t xml:space="preserve">31 December 2014, </w:t>
      </w:r>
      <w:r>
        <w:t xml:space="preserve">the </w:t>
      </w:r>
      <w:r w:rsidRPr="00B53E77">
        <w:t>Fire Services Levy Monitor ceased to exist</w:t>
      </w:r>
      <w:r>
        <w:t>.</w:t>
      </w:r>
    </w:p>
    <w:p w:rsidR="00336793" w:rsidRDefault="00336793" w:rsidP="00DF0B96">
      <w:pPr>
        <w:pStyle w:val="Notes"/>
      </w:pPr>
      <w:r>
        <w:t>(g)</w:t>
      </w:r>
      <w:r>
        <w:tab/>
      </w:r>
      <w:r w:rsidRPr="00424F91">
        <w:t xml:space="preserve">Effective 17 September 2014, the Office of the Commissioner for Privacy and Data Protection commenced operations replacing the Office of the Victorian Privacy Commissioner, which ceased operations on 16 September 2014. </w:t>
      </w:r>
    </w:p>
    <w:p w:rsidR="00336793" w:rsidRDefault="00336793" w:rsidP="00DF0B96">
      <w:pPr>
        <w:pStyle w:val="Notes"/>
      </w:pPr>
      <w:r w:rsidRPr="009B6530">
        <w:t>(h)</w:t>
      </w:r>
      <w:r>
        <w:tab/>
        <w:t>Effective 22 September 2015, the Victorian Competition and Efficiency Commission ceased to exist and operations were transferred to the Commissioner for Better Regulation. The new entity has been established under the Department of Treasury and Finance portfolio.</w:t>
      </w:r>
    </w:p>
    <w:p w:rsidR="00336793" w:rsidRDefault="00336793" w:rsidP="00DF0B96">
      <w:pPr>
        <w:pStyle w:val="Notes"/>
      </w:pPr>
      <w:r w:rsidRPr="009B6530">
        <w:t xml:space="preserve">(i) </w:t>
      </w:r>
      <w:r w:rsidRPr="009B6530">
        <w:tab/>
      </w:r>
      <w:r w:rsidRPr="00DB7083">
        <w:t>The Australian Synchrotron Holding Company is a private company limited by shares, with the State of Victoria owning 76</w:t>
      </w:r>
      <w:r>
        <w:t> per cent</w:t>
      </w:r>
      <w:r w:rsidRPr="00DB7083">
        <w:t xml:space="preserve"> of the total shares on issue.</w:t>
      </w:r>
    </w:p>
    <w:p w:rsidR="00336793" w:rsidRDefault="00336793" w:rsidP="00DF0B96">
      <w:pPr>
        <w:pStyle w:val="Notes"/>
      </w:pPr>
      <w:r>
        <w:t>(j)</w:t>
      </w:r>
      <w:r>
        <w:tab/>
        <w:t>E</w:t>
      </w:r>
      <w:r w:rsidRPr="00424F91">
        <w:t>ffective from 1 July 2014</w:t>
      </w:r>
      <w:r>
        <w:t>, t</w:t>
      </w:r>
      <w:r w:rsidRPr="00424F91">
        <w:t xml:space="preserve">he </w:t>
      </w:r>
      <w:r w:rsidRPr="006175AA">
        <w:rPr>
          <w:i w:val="0"/>
        </w:rPr>
        <w:t>Game Management Authority Act 2014</w:t>
      </w:r>
      <w:r w:rsidRPr="00424F91">
        <w:t xml:space="preserve"> established the Game Management Authority as a statutory authority to improve the effectiveness of game management and promote responsibility in game hunti</w:t>
      </w:r>
      <w:r>
        <w:t>ng</w:t>
      </w:r>
      <w:r w:rsidRPr="00424F91">
        <w:t>.</w:t>
      </w:r>
    </w:p>
    <w:p w:rsidR="00336793" w:rsidRDefault="00336793" w:rsidP="00DF0B96">
      <w:pPr>
        <w:pStyle w:val="Notes"/>
      </w:pPr>
      <w:r>
        <w:t>(k)</w:t>
      </w:r>
      <w:r>
        <w:tab/>
        <w:t>In the 2015</w:t>
      </w:r>
      <w:r>
        <w:noBreakHyphen/>
        <w:t>16 financial year</w:t>
      </w:r>
      <w:r w:rsidRPr="00424F91">
        <w:t>, Linking Melbourne Authority will cease to exist.</w:t>
      </w:r>
    </w:p>
    <w:p w:rsidR="00336793" w:rsidRPr="00424F91" w:rsidRDefault="00336793" w:rsidP="00DF0B96">
      <w:pPr>
        <w:pStyle w:val="Notes"/>
      </w:pPr>
      <w:r w:rsidRPr="009B6530">
        <w:t>(l)</w:t>
      </w:r>
      <w:r>
        <w:tab/>
      </w:r>
      <w:r w:rsidRPr="00B678CD">
        <w:t>On 13 August 2015</w:t>
      </w:r>
      <w:r>
        <w:t xml:space="preserve">, </w:t>
      </w:r>
      <w:r w:rsidRPr="00B678CD">
        <w:t>Tourism Victoria and Victorian Major Events Company Limited</w:t>
      </w:r>
      <w:r>
        <w:t xml:space="preserve"> ceased to exist and their operations combined to a new entity, Visit Victoria. Visit Victoria will operate as a public non</w:t>
      </w:r>
      <w:r>
        <w:noBreakHyphen/>
        <w:t>financial corporation</w:t>
      </w:r>
      <w:r w:rsidRPr="00B678CD">
        <w:t>.</w:t>
      </w:r>
    </w:p>
    <w:p w:rsidR="00336793" w:rsidRDefault="00336793" w:rsidP="00DF0B96">
      <w:pPr>
        <w:pStyle w:val="Notes"/>
      </w:pPr>
      <w:r>
        <w:t>(m)</w:t>
      </w:r>
      <w:r>
        <w:tab/>
      </w:r>
      <w:r w:rsidRPr="00424F91">
        <w:t xml:space="preserve">The </w:t>
      </w:r>
      <w:r>
        <w:rPr>
          <w:i w:val="0"/>
        </w:rPr>
        <w:t>Court Services Victoria Act </w:t>
      </w:r>
      <w:r w:rsidRPr="006175AA">
        <w:rPr>
          <w:i w:val="0"/>
        </w:rPr>
        <w:t>2014</w:t>
      </w:r>
      <w:r w:rsidRPr="00424F91">
        <w:t xml:space="preserve"> established Court Services Victoria as a statutory public sector body to provide the administrative services and facilities for Victoria</w:t>
      </w:r>
      <w:r>
        <w:t>’</w:t>
      </w:r>
      <w:r w:rsidRPr="00424F91">
        <w:t>s courts, the Victorian Civil Administrative Tribunal and the Judicial College o</w:t>
      </w:r>
      <w:r>
        <w:t>f Victoria taking effect from 1 </w:t>
      </w:r>
      <w:r w:rsidRPr="00424F91">
        <w:t>July 2014</w:t>
      </w:r>
      <w:bookmarkEnd w:id="131"/>
      <w:bookmarkEnd w:id="132"/>
      <w:bookmarkEnd w:id="133"/>
      <w:r>
        <w:t xml:space="preserve">. </w:t>
      </w:r>
    </w:p>
    <w:p w:rsidR="00336793" w:rsidRDefault="00336793">
      <w:pPr>
        <w:spacing w:after="0"/>
        <w:rPr>
          <w:rFonts w:ascii="Calibri" w:hAnsi="Calibri"/>
          <w:i/>
          <w:sz w:val="16"/>
          <w:lang w:eastAsia="en-AU"/>
        </w:rPr>
      </w:pPr>
      <w:r>
        <w:br w:type="page"/>
      </w:r>
    </w:p>
    <w:p w:rsidR="00336793" w:rsidRDefault="00336793" w:rsidP="00DF0B96">
      <w:pPr>
        <w:pStyle w:val="Heading2NotesContd"/>
        <w:rPr>
          <w:i/>
        </w:rPr>
      </w:pPr>
      <w:r>
        <w:lastRenderedPageBreak/>
        <w:t>Note 42:</w:t>
      </w:r>
      <w:r>
        <w:tab/>
        <w:t xml:space="preserve">Controlled entities </w:t>
      </w:r>
      <w:r>
        <w:rPr>
          <w:i/>
        </w:rPr>
        <w:t>(continued)</w:t>
      </w:r>
    </w:p>
    <w:p w:rsidR="00336793" w:rsidRPr="0088347B" w:rsidRDefault="00336793" w:rsidP="00DF0B96">
      <w:pPr>
        <w:pStyle w:val="Notes"/>
      </w:pPr>
      <w:r>
        <w:t>Notes (continued):</w:t>
      </w:r>
    </w:p>
    <w:p w:rsidR="00336793" w:rsidRPr="00424F91" w:rsidRDefault="00336793" w:rsidP="001E4A6F">
      <w:pPr>
        <w:pStyle w:val="Notes"/>
      </w:pPr>
      <w:r>
        <w:t>(n)</w:t>
      </w:r>
      <w:r>
        <w:tab/>
      </w:r>
      <w:r w:rsidRPr="00424F91">
        <w:t xml:space="preserve">Under changes to the </w:t>
      </w:r>
      <w:r w:rsidRPr="00B74921">
        <w:rPr>
          <w:i w:val="0"/>
        </w:rPr>
        <w:t>Environment Protection Act 1970</w:t>
      </w:r>
      <w:r w:rsidRPr="00424F91">
        <w:t xml:space="preserve">, the 12 regional Waste Management Groups wound up on 31 July 2014 and </w:t>
      </w:r>
      <w:r>
        <w:t xml:space="preserve">seven </w:t>
      </w:r>
      <w:r w:rsidRPr="001E4A6F">
        <w:t>new</w:t>
      </w:r>
      <w:r w:rsidRPr="00424F91">
        <w:t xml:space="preserve"> regional Waste and Resource Recovery Groups were established, effective from 1 August 2014 as follows:</w:t>
      </w:r>
    </w:p>
    <w:p w:rsidR="00336793" w:rsidRPr="00424F91" w:rsidRDefault="00336793" w:rsidP="00DF0B96">
      <w:pPr>
        <w:pStyle w:val="NotesDash"/>
      </w:pPr>
      <w:r w:rsidRPr="00424F91">
        <w:t xml:space="preserve">South </w:t>
      </w:r>
      <w:r w:rsidRPr="002C1D9A">
        <w:t>Western</w:t>
      </w:r>
      <w:r w:rsidRPr="00424F91">
        <w:t xml:space="preserve"> Regional Waste Management Group and Barwon Regional Waste Management Group have been transferred into the Barwon South West Waste and Resource Recovery Group;</w:t>
      </w:r>
    </w:p>
    <w:p w:rsidR="00336793" w:rsidRPr="00424F91" w:rsidRDefault="00336793" w:rsidP="00DF0B96">
      <w:pPr>
        <w:pStyle w:val="NotesDash"/>
      </w:pPr>
      <w:r w:rsidRPr="00424F91">
        <w:t>Gippsland Regional Waste Management Group has been transferred to the Gippsland Waste and Resource Recovery Group;</w:t>
      </w:r>
    </w:p>
    <w:p w:rsidR="00336793" w:rsidRPr="00424F91" w:rsidRDefault="00336793" w:rsidP="00DF0B96">
      <w:pPr>
        <w:pStyle w:val="NotesDash"/>
      </w:pPr>
      <w:r w:rsidRPr="00424F91">
        <w:t>Goulburn Valley Regional Waste Management Group has been transferred to the Goulburn Valley Waste and Resource Recovery Group;</w:t>
      </w:r>
    </w:p>
    <w:p w:rsidR="00336793" w:rsidRPr="00424F91" w:rsidRDefault="00336793" w:rsidP="00DF0B96">
      <w:pPr>
        <w:pStyle w:val="NotesDash"/>
      </w:pPr>
      <w:r w:rsidRPr="00424F91">
        <w:t>Desert Fringe Regional Waste Management Group, Grampians Regional Waste Management Group and Highlands Regional Waste Management Group have been transferred to the Grampians Central Waste and Resource Recovery Group;</w:t>
      </w:r>
    </w:p>
    <w:p w:rsidR="00336793" w:rsidRPr="00424F91" w:rsidRDefault="00336793" w:rsidP="00DF0B96">
      <w:pPr>
        <w:pStyle w:val="NotesDash"/>
        <w:rPr>
          <w:sz w:val="15"/>
        </w:rPr>
      </w:pPr>
      <w:r w:rsidRPr="00424F91">
        <w:t>Calder Regional Waste Management Group, Central Murray Regional Waste Management Group and Mildura Regional Waste Management Group have been transferred to the Loddon Mallee Waste and Resource Recovery Group;</w:t>
      </w:r>
    </w:p>
    <w:p w:rsidR="00336793" w:rsidRPr="00424F91" w:rsidRDefault="00336793" w:rsidP="00DF0B96">
      <w:pPr>
        <w:pStyle w:val="NotesDash"/>
      </w:pPr>
      <w:r w:rsidRPr="00424F91">
        <w:t>North East Victorian Regional Waste Management Group has been transferred to the North East Waste and Resource Recovery Group; and</w:t>
      </w:r>
    </w:p>
    <w:p w:rsidR="00336793" w:rsidRDefault="00336793" w:rsidP="00DF0B96">
      <w:pPr>
        <w:pStyle w:val="NotesDash"/>
      </w:pPr>
      <w:r w:rsidRPr="00424F91">
        <w:t xml:space="preserve">Mornington Peninsula Waste Management Group has been transferred into the Metropolitan Waste </w:t>
      </w:r>
      <w:r>
        <w:t>and Resource Recovery Group, an </w:t>
      </w:r>
      <w:r w:rsidRPr="00424F91">
        <w:t>existing e</w:t>
      </w:r>
      <w:r>
        <w:t>ntity.</w:t>
      </w:r>
    </w:p>
    <w:p w:rsidR="00336793" w:rsidRPr="00DB7083" w:rsidRDefault="00336793" w:rsidP="00DF0B96">
      <w:pPr>
        <w:pStyle w:val="Notes"/>
      </w:pPr>
      <w:r>
        <w:t>(o)</w:t>
      </w:r>
      <w:r w:rsidRPr="009B6530">
        <w:tab/>
      </w:r>
      <w:r>
        <w:t xml:space="preserve">On 25 September 2014, the </w:t>
      </w:r>
      <w:r w:rsidRPr="00DB7083">
        <w:t>Greater Sunraysia Pest Free Area Industry Development Committee</w:t>
      </w:r>
      <w:r>
        <w:t xml:space="preserve"> commenced operations.</w:t>
      </w:r>
    </w:p>
    <w:p w:rsidR="00336793" w:rsidRDefault="00336793" w:rsidP="00DF0B96">
      <w:pPr>
        <w:pStyle w:val="Notes"/>
      </w:pPr>
      <w:r w:rsidRPr="009B6530">
        <w:t>(p)</w:t>
      </w:r>
      <w:r>
        <w:tab/>
      </w:r>
      <w:r w:rsidRPr="00C02DEA">
        <w:t>On 1 July 2014, the sale of the Rural Finance Corporation to Bendigo and Adelaide Bank was completed</w:t>
      </w:r>
      <w:r>
        <w:t>.</w:t>
      </w:r>
    </w:p>
    <w:p w:rsidR="00336793" w:rsidRDefault="00336793" w:rsidP="00DF0B96">
      <w:pPr>
        <w:pStyle w:val="Notes"/>
      </w:pPr>
    </w:p>
    <w:p w:rsidR="00336793" w:rsidRDefault="00336793" w:rsidP="00DF0B96">
      <w:pPr>
        <w:pStyle w:val="Notes"/>
      </w:pPr>
    </w:p>
    <w:p w:rsidR="00336793" w:rsidRDefault="00336793">
      <w:pPr>
        <w:spacing w:after="0"/>
        <w:rPr>
          <w:rFonts w:ascii="Calibri" w:hAnsi="Calibri"/>
          <w:i/>
          <w:sz w:val="16"/>
          <w:lang w:eastAsia="en-AU"/>
        </w:rPr>
      </w:pPr>
      <w:r>
        <w:br w:type="page"/>
      </w:r>
    </w:p>
    <w:p w:rsidR="00336793" w:rsidRDefault="00336793" w:rsidP="00DF0B96">
      <w:pPr>
        <w:pStyle w:val="Notes"/>
      </w:pPr>
    </w:p>
    <w:p w:rsidR="00336793" w:rsidRDefault="00336793" w:rsidP="0028370C"/>
    <w:p w:rsidR="00336793" w:rsidRDefault="00336793" w:rsidP="009B024D">
      <w:pPr>
        <w:sectPr w:rsidR="00336793" w:rsidSect="003C06CE">
          <w:headerReference w:type="even" r:id="rId141"/>
          <w:headerReference w:type="default" r:id="rId142"/>
          <w:footerReference w:type="even" r:id="rId143"/>
          <w:footerReference w:type="default" r:id="rId144"/>
          <w:type w:val="continuous"/>
          <w:pgSz w:w="11906" w:h="16838" w:code="9"/>
          <w:pgMar w:top="1152" w:right="1152" w:bottom="1152" w:left="1152" w:header="720" w:footer="720" w:gutter="0"/>
          <w:cols w:space="708"/>
          <w:docGrid w:linePitch="360"/>
        </w:sectPr>
      </w:pPr>
    </w:p>
    <w:p w:rsidR="00336793" w:rsidRDefault="00336793" w:rsidP="00DF0B96">
      <w:pPr>
        <w:pStyle w:val="ChapterHeading"/>
      </w:pPr>
      <w:bookmarkStart w:id="135" w:name="_Toc398715640"/>
      <w:bookmarkStart w:id="136" w:name="_Toc433984477"/>
      <w:r w:rsidRPr="00B714F2">
        <w:lastRenderedPageBreak/>
        <w:t>Chapter</w:t>
      </w:r>
      <w:r w:rsidRPr="002C6A10">
        <w:t xml:space="preserve"> 5 – Supplementary Uniform Presentation Framework tables</w:t>
      </w:r>
      <w:bookmarkEnd w:id="135"/>
      <w:bookmarkEnd w:id="136"/>
    </w:p>
    <w:p w:rsidR="00336793" w:rsidRPr="002C6A10" w:rsidRDefault="00336793" w:rsidP="00DF0B96">
      <w:pPr>
        <w:pStyle w:val="Heading1"/>
      </w:pPr>
      <w:bookmarkStart w:id="137" w:name="_Toc367967899"/>
      <w:bookmarkStart w:id="138" w:name="_Toc398715641"/>
      <w:bookmarkStart w:id="139" w:name="_Toc433984478"/>
      <w:r w:rsidRPr="002C6A10">
        <w:t xml:space="preserve">The accrual </w:t>
      </w:r>
      <w:r w:rsidRPr="00B714F2">
        <w:t>Government</w:t>
      </w:r>
      <w:r w:rsidRPr="002C6A10">
        <w:t xml:space="preserve"> Finance Statistics presentation</w:t>
      </w:r>
      <w:bookmarkEnd w:id="137"/>
      <w:bookmarkEnd w:id="138"/>
      <w:bookmarkEnd w:id="139"/>
    </w:p>
    <w:p w:rsidR="00336793" w:rsidRDefault="00336793" w:rsidP="00DF0B96">
      <w:r>
        <w:t>The Government Finance Statistics (GFS) system employed by the Australian Bureau of Statistics (ABS) is designed to provide statistics relating to the finances of the Australian public sector. The statistics show consolidated transactions of the various institutional sectors of government from an economic viewpoint, providing details of the revenue, expenses, payments, receipts, assets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depletion and destruction of assets. These gains and losses are classified as other economic flows.</w:t>
      </w:r>
    </w:p>
    <w:p w:rsidR="00336793" w:rsidRPr="002C6A10" w:rsidRDefault="00336793" w:rsidP="00DF0B96">
      <w:pPr>
        <w:pStyle w:val="Heading1"/>
      </w:pPr>
      <w:bookmarkStart w:id="140" w:name="_Toc367967900"/>
      <w:bookmarkStart w:id="141" w:name="_Toc398715642"/>
      <w:bookmarkStart w:id="142" w:name="_Toc433984479"/>
      <w:r w:rsidRPr="002C6A10">
        <w:t>Generally accepted accounting principles/Government Finance Statistics harmonisation</w:t>
      </w:r>
      <w:bookmarkEnd w:id="140"/>
      <w:bookmarkEnd w:id="141"/>
      <w:bookmarkEnd w:id="142"/>
    </w:p>
    <w:p w:rsidR="00336793" w:rsidRDefault="00336793" w:rsidP="00DF0B96">
      <w:r>
        <w:t xml:space="preserve">In October 2007, the Australian Accounting Standards Board issue a new standard AASB 1049 </w:t>
      </w:r>
      <w:r>
        <w:rPr>
          <w:i/>
        </w:rPr>
        <w:t>Whole of Government and General Government Sector Financial Reporting</w:t>
      </w:r>
      <w:r>
        <w:t>, applicable from 1 July 2008. The objective as set out by the Financial Reporting Council in December 2002 is ‘to achieve an Australian accounting standard for a single set of government reports which are auditable, comparable between jurisdictions, and in which the outcome statements as directly comparable with the relevant budget statements’. This standard incorporates the major elements of the GFS framework, including the presentation formats and key fiscal aggregates, into a standard based on generally accepted accounting principles (GAAP).</w:t>
      </w:r>
    </w:p>
    <w:p w:rsidR="00336793" w:rsidRDefault="00336793" w:rsidP="00DF0B96">
      <w:r>
        <w:t>A revised Uniform Presentation Framework (UPF) was agreed by the Australian Loan Council in March 2008, based on AASB 1049, and similarly applicable from the reporting period commencing 1 July 2008. In addition to the audited Annual Financial Report presented in Chapter 4, the following statements are also required to be presented under the UPF.</w:t>
      </w:r>
    </w:p>
    <w:p w:rsidR="00336793" w:rsidRPr="00BB22C4" w:rsidRDefault="00336793" w:rsidP="00DF0B96"/>
    <w:p w:rsidR="00336793" w:rsidRDefault="00336793">
      <w:pPr>
        <w:spacing w:after="0"/>
        <w:rPr>
          <w:rFonts w:ascii="Calibri" w:hAnsi="Calibri"/>
          <w:b/>
          <w:kern w:val="28"/>
          <w:sz w:val="28"/>
          <w:szCs w:val="22"/>
        </w:rPr>
      </w:pPr>
      <w:r>
        <w:br w:type="page"/>
      </w:r>
    </w:p>
    <w:p w:rsidR="00336793" w:rsidRPr="002C6A10" w:rsidRDefault="00336793" w:rsidP="00DF0B96">
      <w:pPr>
        <w:pStyle w:val="Heading2"/>
      </w:pPr>
      <w:r w:rsidRPr="002C6A10">
        <w:lastRenderedPageBreak/>
        <w:t>Financial statements for the non</w:t>
      </w:r>
      <w:r>
        <w:noBreakHyphen/>
      </w:r>
      <w:r w:rsidRPr="002C6A10">
        <w:t>financial public sector</w:t>
      </w:r>
    </w:p>
    <w:p w:rsidR="00336793" w:rsidRDefault="00336793" w:rsidP="00DF0B96">
      <w:pPr>
        <w:pStyle w:val="Tableheading"/>
      </w:pPr>
      <w:r w:rsidRPr="002C6A10">
        <w:t xml:space="preserve">Table 5.1: </w:t>
      </w:r>
      <w:r w:rsidRPr="002C6A10">
        <w:tab/>
        <w:t>Non</w:t>
      </w:r>
      <w:r>
        <w:noBreakHyphen/>
      </w:r>
      <w:r w:rsidRPr="002C6A10">
        <w:t>financial public sector operating statement for the financial year ended 30 June</w:t>
      </w:r>
    </w:p>
    <w:p w:rsidR="00336793" w:rsidRPr="00B714F2" w:rsidRDefault="00336793" w:rsidP="00DF0B96">
      <w:pPr>
        <w:pStyle w:val="million"/>
      </w:pPr>
      <w:r>
        <w:t xml:space="preserve">($ million) </w:t>
      </w:r>
    </w:p>
    <w:tbl>
      <w:tblPr>
        <w:tblW w:w="9637" w:type="dxa"/>
        <w:tblInd w:w="28" w:type="dxa"/>
        <w:tblLayout w:type="fixed"/>
        <w:tblCellMar>
          <w:left w:w="45" w:type="dxa"/>
          <w:right w:w="45" w:type="dxa"/>
        </w:tblCellMar>
        <w:tblLook w:val="0000" w:firstRow="0" w:lastRow="0" w:firstColumn="0" w:lastColumn="0" w:noHBand="0" w:noVBand="0"/>
      </w:tblPr>
      <w:tblGrid>
        <w:gridCol w:w="7307"/>
        <w:gridCol w:w="1210"/>
        <w:gridCol w:w="1120"/>
      </w:tblGrid>
      <w:tr w:rsidR="00336793" w:rsidRPr="00B714F2" w:rsidTr="00DF0B96">
        <w:tc>
          <w:tcPr>
            <w:tcW w:w="7307" w:type="dxa"/>
            <w:tcBorders>
              <w:top w:val="single" w:sz="6" w:space="0" w:color="auto"/>
              <w:left w:val="single" w:sz="6" w:space="0" w:color="auto"/>
              <w:bottom w:val="single" w:sz="6" w:space="0" w:color="auto"/>
              <w:right w:val="nil"/>
            </w:tcBorders>
            <w:shd w:val="clear" w:color="000000" w:fill="000000"/>
          </w:tcPr>
          <w:p w:rsidR="00336793" w:rsidRPr="00B714F2" w:rsidRDefault="00336793" w:rsidP="00DF0B96">
            <w:pPr>
              <w:pStyle w:val="Tabletext"/>
              <w:rPr>
                <w:rFonts w:eastAsiaTheme="minorEastAsia"/>
                <w:i/>
                <w:sz w:val="21"/>
                <w:lang w:eastAsia="en-AU"/>
              </w:rPr>
            </w:pPr>
            <w:r w:rsidRPr="00B714F2">
              <w:rPr>
                <w:rFonts w:eastAsiaTheme="minorEastAsia"/>
                <w:i/>
                <w:sz w:val="21"/>
                <w:lang w:eastAsia="en-AU"/>
              </w:rPr>
              <w:t xml:space="preserve"> </w:t>
            </w:r>
          </w:p>
        </w:tc>
        <w:tc>
          <w:tcPr>
            <w:tcW w:w="1210" w:type="dxa"/>
            <w:tcBorders>
              <w:top w:val="single" w:sz="6" w:space="0" w:color="auto"/>
              <w:left w:val="nil"/>
              <w:bottom w:val="single" w:sz="6" w:space="0" w:color="auto"/>
              <w:right w:val="nil"/>
            </w:tcBorders>
            <w:shd w:val="clear" w:color="000000" w:fill="000000"/>
          </w:tcPr>
          <w:p w:rsidR="00336793" w:rsidRPr="00B714F2" w:rsidRDefault="00336793" w:rsidP="00DF0B96">
            <w:pPr>
              <w:pStyle w:val="Tabletextheading"/>
              <w:rPr>
                <w:rFonts w:eastAsiaTheme="minorEastAsia"/>
                <w:color w:val="FFFFFF"/>
                <w:sz w:val="21"/>
                <w:lang w:eastAsia="en-AU"/>
              </w:rPr>
            </w:pPr>
            <w:r w:rsidRPr="00B714F2">
              <w:rPr>
                <w:rFonts w:eastAsiaTheme="minorEastAsia"/>
                <w:color w:val="FFFFFF"/>
                <w:sz w:val="21"/>
                <w:lang w:eastAsia="en-AU"/>
              </w:rPr>
              <w:t>2015</w:t>
            </w:r>
          </w:p>
        </w:tc>
        <w:tc>
          <w:tcPr>
            <w:tcW w:w="1120" w:type="dxa"/>
            <w:tcBorders>
              <w:top w:val="single" w:sz="6" w:space="0" w:color="auto"/>
              <w:left w:val="nil"/>
              <w:bottom w:val="single" w:sz="6" w:space="0" w:color="auto"/>
              <w:right w:val="single" w:sz="6" w:space="0" w:color="auto"/>
            </w:tcBorders>
            <w:shd w:val="clear" w:color="000000" w:fill="000000"/>
          </w:tcPr>
          <w:p w:rsidR="00336793" w:rsidRPr="00B714F2" w:rsidRDefault="00336793" w:rsidP="00DF0B96">
            <w:pPr>
              <w:pStyle w:val="Tabletextheading"/>
              <w:rPr>
                <w:rFonts w:eastAsiaTheme="minorEastAsia" w:cs="Calibri"/>
                <w:iCs/>
                <w:color w:val="FFFFFF"/>
                <w:szCs w:val="22"/>
                <w:vertAlign w:val="superscript"/>
                <w:lang w:eastAsia="en-AU"/>
              </w:rPr>
            </w:pPr>
            <w:r w:rsidRPr="00B714F2">
              <w:rPr>
                <w:rFonts w:eastAsiaTheme="minorEastAsia"/>
                <w:color w:val="FFFFFF"/>
                <w:sz w:val="21"/>
                <w:lang w:eastAsia="en-AU"/>
              </w:rPr>
              <w:t>2014</w:t>
            </w:r>
            <w:r w:rsidRPr="00B714F2">
              <w:rPr>
                <w:rFonts w:eastAsiaTheme="minorEastAsia"/>
                <w:color w:val="FFFFFF"/>
                <w:sz w:val="21"/>
                <w:vertAlign w:val="superscript"/>
                <w:lang w:eastAsia="en-AU"/>
              </w:rPr>
              <w:t>(</w:t>
            </w:r>
            <w:r w:rsidRPr="00B714F2">
              <w:rPr>
                <w:rFonts w:eastAsiaTheme="minorEastAsia" w:cs="Calibri"/>
                <w:iCs/>
                <w:color w:val="FFFFFF"/>
                <w:szCs w:val="22"/>
                <w:vertAlign w:val="superscript"/>
                <w:lang w:eastAsia="en-AU"/>
              </w:rPr>
              <w:t>a)</w:t>
            </w:r>
          </w:p>
        </w:tc>
      </w:tr>
      <w:tr w:rsidR="00336793" w:rsidRPr="00B714F2" w:rsidTr="00DF0B96">
        <w:tc>
          <w:tcPr>
            <w:tcW w:w="7307" w:type="dxa"/>
            <w:tcBorders>
              <w:top w:val="single" w:sz="6" w:space="0" w:color="auto"/>
              <w:left w:val="nil"/>
              <w:bottom w:val="nil"/>
              <w:right w:val="nil"/>
            </w:tcBorders>
            <w:shd w:val="solid" w:color="FFFFFF" w:fill="auto"/>
          </w:tcPr>
          <w:p w:rsidR="00336793" w:rsidRPr="00B714F2" w:rsidRDefault="00336793" w:rsidP="00DF0B96">
            <w:pPr>
              <w:pStyle w:val="Tabletext"/>
              <w:rPr>
                <w:rFonts w:eastAsiaTheme="minorEastAsia"/>
                <w:b/>
                <w:bCs/>
                <w:sz w:val="21"/>
                <w:lang w:eastAsia="en-AU"/>
              </w:rPr>
            </w:pPr>
            <w:r w:rsidRPr="00B714F2">
              <w:rPr>
                <w:rFonts w:eastAsiaTheme="minorEastAsia"/>
                <w:b/>
                <w:bCs/>
                <w:sz w:val="21"/>
                <w:lang w:eastAsia="en-AU"/>
              </w:rPr>
              <w:t>Revenue from transactions</w:t>
            </w:r>
          </w:p>
        </w:tc>
        <w:tc>
          <w:tcPr>
            <w:tcW w:w="1210" w:type="dxa"/>
            <w:tcBorders>
              <w:top w:val="single" w:sz="6" w:space="0" w:color="auto"/>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c>
          <w:tcPr>
            <w:tcW w:w="1120" w:type="dxa"/>
            <w:tcBorders>
              <w:top w:val="single" w:sz="6" w:space="0" w:color="auto"/>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Taxation revenue</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17 949.3</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16 505.3</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Interest</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396.1</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401.1</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vertAlign w:val="superscript"/>
                <w:lang w:eastAsia="en-AU"/>
              </w:rPr>
            </w:pPr>
            <w:r w:rsidRPr="00B714F2">
              <w:rPr>
                <w:rFonts w:eastAsiaTheme="minorEastAsia"/>
                <w:sz w:val="21"/>
                <w:lang w:eastAsia="en-AU"/>
              </w:rPr>
              <w:t>Dividends and income tax equivalent and rate equivalent revenue</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748.8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194.9</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Sales of goods and services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10 596.2</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11 005.3</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Grant revenue</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24 500.0</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25 124.9</w:t>
            </w:r>
          </w:p>
        </w:tc>
      </w:tr>
      <w:tr w:rsidR="00336793" w:rsidRPr="00B714F2" w:rsidTr="00DF0B96">
        <w:tc>
          <w:tcPr>
            <w:tcW w:w="7307" w:type="dxa"/>
            <w:tcBorders>
              <w:top w:val="nil"/>
              <w:left w:val="nil"/>
              <w:bottom w:val="single" w:sz="6" w:space="0" w:color="000000"/>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Other revenue</w:t>
            </w:r>
          </w:p>
        </w:tc>
        <w:tc>
          <w:tcPr>
            <w:tcW w:w="121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3 066.9</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2 729.7</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sz w:val="21"/>
                <w:vertAlign w:val="superscript"/>
                <w:lang w:eastAsia="en-AU"/>
              </w:rPr>
            </w:pPr>
            <w:r w:rsidRPr="00B714F2">
              <w:rPr>
                <w:rFonts w:eastAsiaTheme="minorEastAsia"/>
                <w:b/>
                <w:bCs/>
                <w:sz w:val="21"/>
                <w:lang w:eastAsia="en-AU"/>
              </w:rPr>
              <w:t>Total revenue from transactions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57 257.4</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55 961.2</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sz w:val="21"/>
                <w:lang w:eastAsia="en-AU"/>
              </w:rPr>
            </w:pPr>
            <w:r w:rsidRPr="00B714F2">
              <w:rPr>
                <w:rFonts w:eastAsiaTheme="minorEastAsia"/>
                <w:b/>
                <w:bCs/>
                <w:sz w:val="21"/>
                <w:lang w:eastAsia="en-AU"/>
              </w:rPr>
              <w:t>Expenses from transactions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Employee expenses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19 858.8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19 010.7</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vertAlign w:val="superscript"/>
                <w:lang w:eastAsia="en-AU"/>
              </w:rPr>
            </w:pPr>
            <w:r>
              <w:rPr>
                <w:rFonts w:eastAsiaTheme="minorEastAsia"/>
                <w:sz w:val="21"/>
                <w:lang w:eastAsia="en-AU"/>
              </w:rPr>
              <w:t>Net s</w:t>
            </w:r>
            <w:r w:rsidRPr="00B714F2">
              <w:rPr>
                <w:rFonts w:eastAsiaTheme="minorEastAsia"/>
                <w:sz w:val="21"/>
                <w:lang w:eastAsia="en-AU"/>
              </w:rPr>
              <w:t>uperannuation interest expense</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1 040.8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1 077.3</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vertAlign w:val="superscript"/>
                <w:lang w:eastAsia="en-AU"/>
              </w:rPr>
            </w:pPr>
            <w:r w:rsidRPr="00B714F2">
              <w:rPr>
                <w:rFonts w:eastAsiaTheme="minorEastAsia"/>
                <w:sz w:val="21"/>
                <w:lang w:eastAsia="en-AU"/>
              </w:rPr>
              <w:t>Other superannuation</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2 080.2</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1 941.9</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vertAlign w:val="superscript"/>
                <w:lang w:eastAsia="en-AU"/>
              </w:rPr>
            </w:pPr>
            <w:r w:rsidRPr="00B714F2">
              <w:rPr>
                <w:rFonts w:eastAsiaTheme="minorEastAsia"/>
                <w:sz w:val="21"/>
                <w:lang w:eastAsia="en-AU"/>
              </w:rPr>
              <w:t>Depreciation</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4 403.8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4 291.0</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Interest expense</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2 801.1</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2 823.5</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Grant expense</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5 824.5</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5 044.8</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Other operating expenses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20 448.1</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20 069.8</w:t>
            </w:r>
          </w:p>
        </w:tc>
      </w:tr>
      <w:tr w:rsidR="00336793" w:rsidRPr="00B714F2" w:rsidTr="00DF0B96">
        <w:tc>
          <w:tcPr>
            <w:tcW w:w="7307" w:type="dxa"/>
            <w:tcBorders>
              <w:top w:val="single" w:sz="6" w:space="0" w:color="000000"/>
              <w:left w:val="nil"/>
              <w:bottom w:val="nil"/>
              <w:right w:val="nil"/>
            </w:tcBorders>
            <w:shd w:val="solid" w:color="FFFFFF" w:fill="auto"/>
          </w:tcPr>
          <w:p w:rsidR="00336793" w:rsidRPr="00B714F2" w:rsidRDefault="00336793" w:rsidP="00DF0B96">
            <w:pPr>
              <w:pStyle w:val="Tabletext"/>
              <w:rPr>
                <w:rFonts w:eastAsiaTheme="minorEastAsia"/>
                <w:b/>
                <w:bCs/>
                <w:sz w:val="21"/>
                <w:vertAlign w:val="superscript"/>
                <w:lang w:eastAsia="en-AU"/>
              </w:rPr>
            </w:pPr>
            <w:r w:rsidRPr="00B714F2">
              <w:rPr>
                <w:rFonts w:eastAsiaTheme="minorEastAsia"/>
                <w:b/>
                <w:bCs/>
                <w:sz w:val="21"/>
                <w:lang w:eastAsia="en-AU"/>
              </w:rPr>
              <w:t>Total expenses from transactions</w:t>
            </w:r>
          </w:p>
        </w:tc>
        <w:tc>
          <w:tcPr>
            <w:tcW w:w="121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56 457.4</w:t>
            </w:r>
          </w:p>
        </w:tc>
        <w:tc>
          <w:tcPr>
            <w:tcW w:w="112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54 259.0</w:t>
            </w:r>
          </w:p>
        </w:tc>
      </w:tr>
      <w:tr w:rsidR="00336793" w:rsidRPr="00B714F2" w:rsidTr="00DF0B96">
        <w:tc>
          <w:tcPr>
            <w:tcW w:w="7307"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text"/>
              <w:rPr>
                <w:rFonts w:eastAsiaTheme="minorEastAsia"/>
                <w:b/>
                <w:bCs/>
                <w:sz w:val="21"/>
                <w:vertAlign w:val="superscript"/>
                <w:lang w:eastAsia="en-AU"/>
              </w:rPr>
            </w:pPr>
            <w:r w:rsidRPr="00B714F2">
              <w:rPr>
                <w:rFonts w:eastAsiaTheme="minorEastAsia"/>
                <w:b/>
                <w:bCs/>
                <w:sz w:val="21"/>
                <w:lang w:eastAsia="en-AU"/>
              </w:rPr>
              <w:t>Net result from transactions – net operating balance</w:t>
            </w:r>
          </w:p>
        </w:tc>
        <w:tc>
          <w:tcPr>
            <w:tcW w:w="1210"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800.0</w:t>
            </w:r>
          </w:p>
        </w:tc>
        <w:tc>
          <w:tcPr>
            <w:tcW w:w="1120"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1 702.1</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sz w:val="21"/>
                <w:lang w:eastAsia="en-AU"/>
              </w:rPr>
            </w:pPr>
            <w:r w:rsidRPr="00B714F2">
              <w:rPr>
                <w:rFonts w:eastAsiaTheme="minorEastAsia"/>
                <w:b/>
                <w:bCs/>
                <w:sz w:val="21"/>
                <w:lang w:eastAsia="en-AU"/>
              </w:rPr>
              <w:t>Other economic flows included in net result</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Net gain/(loss) on disposal of non</w:t>
            </w:r>
            <w:r>
              <w:rPr>
                <w:rFonts w:eastAsiaTheme="minorEastAsia"/>
                <w:sz w:val="21"/>
                <w:lang w:eastAsia="en-AU"/>
              </w:rPr>
              <w:noBreakHyphen/>
            </w:r>
            <w:r w:rsidRPr="00B714F2">
              <w:rPr>
                <w:rFonts w:eastAsiaTheme="minorEastAsia"/>
                <w:sz w:val="21"/>
                <w:lang w:eastAsia="en-AU"/>
              </w:rPr>
              <w:t>financial assets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 w:val="21"/>
                <w:szCs w:val="22"/>
                <w:lang w:eastAsia="en-AU"/>
              </w:rPr>
            </w:pPr>
            <w:r w:rsidRPr="00B714F2">
              <w:rPr>
                <w:rFonts w:eastAsiaTheme="minorEastAsia"/>
                <w:sz w:val="21"/>
                <w:lang w:eastAsia="en-AU"/>
              </w:rPr>
              <w:t xml:space="preserve"> </w:t>
            </w:r>
            <w:r w:rsidRPr="00B714F2">
              <w:rPr>
                <w:rFonts w:eastAsiaTheme="minorEastAsia" w:cs="Calibri"/>
                <w:color w:val="000000"/>
                <w:sz w:val="21"/>
                <w:szCs w:val="22"/>
                <w:lang w:eastAsia="en-AU"/>
              </w:rPr>
              <w:t>8.5</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B714F2">
              <w:rPr>
                <w:rFonts w:eastAsiaTheme="minorEastAsia" w:cs="Calibri"/>
                <w:color w:val="000000"/>
                <w:szCs w:val="22"/>
                <w:lang w:eastAsia="en-AU"/>
              </w:rPr>
              <w:t>12.3)</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Net gain/(loss) on financial assets or liabilities at fair value</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81.0</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B714F2">
              <w:rPr>
                <w:rFonts w:eastAsiaTheme="minorEastAsia" w:cs="Calibri"/>
                <w:color w:val="000000"/>
                <w:szCs w:val="22"/>
                <w:lang w:eastAsia="en-AU"/>
              </w:rPr>
              <w:t>63.4)</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vertAlign w:val="superscript"/>
                <w:lang w:eastAsia="en-AU"/>
              </w:rPr>
            </w:pPr>
            <w:r w:rsidRPr="00B714F2">
              <w:rPr>
                <w:rFonts w:eastAsiaTheme="minorEastAsia"/>
                <w:sz w:val="21"/>
                <w:lang w:eastAsia="en-AU"/>
              </w:rPr>
              <w:t>Share of net profit/(loss) from associates/joint venture entities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B714F2">
              <w:rPr>
                <w:rFonts w:eastAsiaTheme="minorEastAsia" w:cs="Calibri"/>
                <w:color w:val="000000"/>
                <w:szCs w:val="22"/>
                <w:lang w:eastAsia="en-AU"/>
              </w:rPr>
              <w:t>29.8)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108.1</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vertAlign w:val="superscript"/>
                <w:lang w:eastAsia="en-AU"/>
              </w:rPr>
            </w:pPr>
            <w:r w:rsidRPr="00B714F2">
              <w:rPr>
                <w:rFonts w:eastAsiaTheme="minorEastAsia"/>
                <w:sz w:val="21"/>
                <w:lang w:eastAsia="en-AU"/>
              </w:rPr>
              <w:t>Other gains/(losses) from other economic flows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B714F2">
              <w:rPr>
                <w:rFonts w:eastAsiaTheme="minorEastAsia" w:cs="Calibri"/>
                <w:color w:val="000000"/>
                <w:szCs w:val="22"/>
                <w:lang w:eastAsia="en-AU"/>
              </w:rPr>
              <w:t>731.8)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 w:val="21"/>
                <w:szCs w:val="22"/>
                <w:lang w:eastAsia="en-AU"/>
              </w:rPr>
            </w:pPr>
            <w:r w:rsidRPr="00B714F2">
              <w:rPr>
                <w:rFonts w:eastAsiaTheme="minorEastAsia"/>
                <w:sz w:val="21"/>
                <w:lang w:eastAsia="en-AU"/>
              </w:rPr>
              <w:t xml:space="preserve"> (1 135.8)</w:t>
            </w:r>
          </w:p>
        </w:tc>
      </w:tr>
      <w:tr w:rsidR="00336793" w:rsidRPr="00B714F2" w:rsidTr="00DF0B96">
        <w:tc>
          <w:tcPr>
            <w:tcW w:w="7307" w:type="dxa"/>
            <w:tcBorders>
              <w:top w:val="single" w:sz="6" w:space="0" w:color="000000"/>
              <w:left w:val="nil"/>
              <w:bottom w:val="nil"/>
              <w:right w:val="nil"/>
            </w:tcBorders>
            <w:shd w:val="solid" w:color="FFFFFF" w:fill="auto"/>
          </w:tcPr>
          <w:p w:rsidR="00336793" w:rsidRPr="00B714F2" w:rsidRDefault="00336793" w:rsidP="00DF0B96">
            <w:pPr>
              <w:pStyle w:val="Tabletext"/>
              <w:rPr>
                <w:rFonts w:eastAsiaTheme="minorEastAsia"/>
                <w:b/>
                <w:bCs/>
                <w:sz w:val="21"/>
                <w:vertAlign w:val="superscript"/>
                <w:lang w:eastAsia="en-AU"/>
              </w:rPr>
            </w:pPr>
            <w:r w:rsidRPr="00B714F2">
              <w:rPr>
                <w:rFonts w:eastAsiaTheme="minorEastAsia"/>
                <w:b/>
                <w:bCs/>
                <w:sz w:val="21"/>
                <w:lang w:eastAsia="en-AU"/>
              </w:rPr>
              <w:t>Total other economic flows included in net result</w:t>
            </w:r>
          </w:p>
        </w:tc>
        <w:tc>
          <w:tcPr>
            <w:tcW w:w="121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cs="Calibri"/>
                <w:b/>
                <w:bCs/>
                <w:color w:val="000000"/>
                <w:szCs w:val="22"/>
                <w:lang w:eastAsia="en-AU"/>
              </w:rPr>
            </w:pPr>
            <w:r>
              <w:rPr>
                <w:rFonts w:eastAsiaTheme="minorEastAsia"/>
                <w:b/>
                <w:bCs/>
                <w:sz w:val="21"/>
                <w:lang w:eastAsia="en-AU"/>
              </w:rPr>
              <w:t>(</w:t>
            </w:r>
            <w:r w:rsidRPr="00B714F2">
              <w:rPr>
                <w:rFonts w:eastAsiaTheme="minorEastAsia" w:cs="Calibri"/>
                <w:b/>
                <w:bCs/>
                <w:color w:val="000000"/>
                <w:szCs w:val="22"/>
                <w:lang w:eastAsia="en-AU"/>
              </w:rPr>
              <w:t>672.1)</w:t>
            </w:r>
          </w:p>
        </w:tc>
        <w:tc>
          <w:tcPr>
            <w:tcW w:w="112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cs="Calibri"/>
                <w:b/>
                <w:bCs/>
                <w:color w:val="000000"/>
                <w:sz w:val="21"/>
                <w:szCs w:val="22"/>
                <w:lang w:eastAsia="en-AU"/>
              </w:rPr>
            </w:pPr>
            <w:r w:rsidRPr="00B714F2">
              <w:rPr>
                <w:rFonts w:eastAsiaTheme="minorEastAsia"/>
                <w:b/>
                <w:bCs/>
                <w:sz w:val="21"/>
                <w:lang w:eastAsia="en-AU"/>
              </w:rPr>
              <w:t xml:space="preserve"> (1 103.4)</w:t>
            </w:r>
          </w:p>
        </w:tc>
      </w:tr>
      <w:tr w:rsidR="00336793" w:rsidRPr="00B714F2" w:rsidTr="00DF0B96">
        <w:tc>
          <w:tcPr>
            <w:tcW w:w="7307"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text"/>
              <w:rPr>
                <w:rFonts w:eastAsiaTheme="minorEastAsia"/>
                <w:b/>
                <w:bCs/>
                <w:sz w:val="21"/>
                <w:vertAlign w:val="superscript"/>
                <w:lang w:eastAsia="en-AU"/>
              </w:rPr>
            </w:pPr>
            <w:r w:rsidRPr="00B714F2">
              <w:rPr>
                <w:rFonts w:eastAsiaTheme="minorEastAsia"/>
                <w:b/>
                <w:bCs/>
                <w:sz w:val="21"/>
                <w:lang w:eastAsia="en-AU"/>
              </w:rPr>
              <w:t>Net result</w:t>
            </w:r>
          </w:p>
        </w:tc>
        <w:tc>
          <w:tcPr>
            <w:tcW w:w="1210"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128.0</w:t>
            </w:r>
          </w:p>
        </w:tc>
        <w:tc>
          <w:tcPr>
            <w:tcW w:w="1120"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598.8</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sz w:val="21"/>
                <w:lang w:eastAsia="en-AU"/>
              </w:rPr>
            </w:pPr>
            <w:r w:rsidRPr="00B714F2">
              <w:rPr>
                <w:rFonts w:eastAsiaTheme="minorEastAsia"/>
                <w:b/>
                <w:bCs/>
                <w:sz w:val="21"/>
                <w:lang w:eastAsia="en-AU"/>
              </w:rPr>
              <w:t>Other economic flows – other comprehensive income</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sz w:val="21"/>
                <w:lang w:eastAsia="en-AU"/>
              </w:rPr>
            </w:pPr>
            <w:r w:rsidRPr="00B714F2">
              <w:rPr>
                <w:rFonts w:eastAsiaTheme="minorEastAsia"/>
                <w:b/>
                <w:bCs/>
                <w:sz w:val="21"/>
                <w:lang w:eastAsia="en-AU"/>
              </w:rPr>
              <w:t>Items that will not be reclassified to net result</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vertAlign w:val="superscript"/>
                <w:lang w:eastAsia="en-AU"/>
              </w:rPr>
            </w:pPr>
            <w:r w:rsidRPr="00B714F2">
              <w:rPr>
                <w:rFonts w:eastAsiaTheme="minorEastAsia"/>
                <w:sz w:val="21"/>
                <w:lang w:eastAsia="en-AU"/>
              </w:rPr>
              <w:t>Changes in non</w:t>
            </w:r>
            <w:r>
              <w:rPr>
                <w:rFonts w:eastAsiaTheme="minorEastAsia"/>
                <w:sz w:val="21"/>
                <w:lang w:eastAsia="en-AU"/>
              </w:rPr>
              <w:noBreakHyphen/>
            </w:r>
            <w:r w:rsidRPr="00B714F2">
              <w:rPr>
                <w:rFonts w:eastAsiaTheme="minorEastAsia"/>
                <w:sz w:val="21"/>
                <w:lang w:eastAsia="en-AU"/>
              </w:rPr>
              <w:t>financial assets revaluation surplus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7 404.3</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4 958.8</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vertAlign w:val="superscript"/>
                <w:lang w:eastAsia="en-AU"/>
              </w:rPr>
            </w:pPr>
            <w:r w:rsidRPr="00B714F2">
              <w:rPr>
                <w:rFonts w:eastAsiaTheme="minorEastAsia"/>
                <w:sz w:val="21"/>
                <w:lang w:eastAsia="en-AU"/>
              </w:rPr>
              <w:t>Remeasurement of superannuation defined benefits plans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556.3</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B714F2">
              <w:rPr>
                <w:rFonts w:eastAsiaTheme="minorEastAsia" w:cs="Calibri"/>
                <w:color w:val="000000"/>
                <w:szCs w:val="22"/>
                <w:lang w:eastAsia="en-AU"/>
              </w:rPr>
              <w:t>266.1)</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Net gain/(loss) on equity investments in other sector entities at proportional share of the carrying amount of net assets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636.0</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944.3</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Other movements in equity</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B714F2">
              <w:rPr>
                <w:rFonts w:eastAsiaTheme="minorEastAsia" w:cs="Calibri"/>
                <w:color w:val="000000"/>
                <w:szCs w:val="22"/>
                <w:lang w:eastAsia="en-AU"/>
              </w:rPr>
              <w:t>153.1)</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562.1</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sz w:val="21"/>
                <w:lang w:eastAsia="en-AU"/>
              </w:rPr>
            </w:pPr>
            <w:r w:rsidRPr="00B714F2">
              <w:rPr>
                <w:rFonts w:eastAsiaTheme="minorEastAsia"/>
                <w:b/>
                <w:bCs/>
                <w:sz w:val="21"/>
                <w:lang w:eastAsia="en-AU"/>
              </w:rPr>
              <w:t>Items that may be reclassified subsequently to net result</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Net gain/(loss) on financial assets at fair value</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B714F2">
              <w:rPr>
                <w:rFonts w:eastAsiaTheme="minorEastAsia" w:cs="Calibri"/>
                <w:color w:val="000000"/>
                <w:szCs w:val="22"/>
                <w:lang w:eastAsia="en-AU"/>
              </w:rPr>
              <w:t>9.8)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B714F2">
              <w:rPr>
                <w:rFonts w:eastAsiaTheme="minorEastAsia" w:cs="Calibri"/>
                <w:color w:val="000000"/>
                <w:szCs w:val="22"/>
                <w:lang w:eastAsia="en-AU"/>
              </w:rPr>
              <w:t>8.6)</w:t>
            </w:r>
          </w:p>
        </w:tc>
      </w:tr>
      <w:tr w:rsidR="00336793" w:rsidRPr="00B714F2" w:rsidTr="00DF0B96">
        <w:tc>
          <w:tcPr>
            <w:tcW w:w="7307" w:type="dxa"/>
            <w:tcBorders>
              <w:top w:val="single" w:sz="6" w:space="0" w:color="000000"/>
              <w:left w:val="nil"/>
              <w:bottom w:val="nil"/>
              <w:right w:val="nil"/>
            </w:tcBorders>
            <w:shd w:val="solid" w:color="FFFFFF" w:fill="auto"/>
          </w:tcPr>
          <w:p w:rsidR="00336793" w:rsidRPr="00B714F2" w:rsidRDefault="00336793" w:rsidP="00DF0B96">
            <w:pPr>
              <w:pStyle w:val="Tabletext"/>
              <w:rPr>
                <w:rFonts w:eastAsiaTheme="minorEastAsia"/>
                <w:b/>
                <w:bCs/>
                <w:sz w:val="21"/>
                <w:vertAlign w:val="superscript"/>
                <w:lang w:eastAsia="en-AU"/>
              </w:rPr>
            </w:pPr>
            <w:r w:rsidRPr="00B714F2">
              <w:rPr>
                <w:rFonts w:eastAsiaTheme="minorEastAsia"/>
                <w:b/>
                <w:bCs/>
                <w:sz w:val="21"/>
                <w:lang w:eastAsia="en-AU"/>
              </w:rPr>
              <w:t>Total other economic flows – other comprehensive income</w:t>
            </w:r>
          </w:p>
        </w:tc>
        <w:tc>
          <w:tcPr>
            <w:tcW w:w="121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8 433.7</w:t>
            </w:r>
          </w:p>
        </w:tc>
        <w:tc>
          <w:tcPr>
            <w:tcW w:w="112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6 190.5</w:t>
            </w:r>
          </w:p>
        </w:tc>
      </w:tr>
      <w:tr w:rsidR="00336793" w:rsidRPr="00B714F2" w:rsidTr="00DF0B96">
        <w:tc>
          <w:tcPr>
            <w:tcW w:w="7307" w:type="dxa"/>
            <w:tcBorders>
              <w:top w:val="single" w:sz="6" w:space="0" w:color="000000"/>
              <w:left w:val="nil"/>
              <w:bottom w:val="nil"/>
              <w:right w:val="nil"/>
            </w:tcBorders>
            <w:shd w:val="solid" w:color="FFFFFF" w:fill="auto"/>
          </w:tcPr>
          <w:p w:rsidR="00336793" w:rsidRPr="00B714F2" w:rsidRDefault="00336793" w:rsidP="00DF0B96">
            <w:pPr>
              <w:pStyle w:val="Tabletext"/>
              <w:rPr>
                <w:rFonts w:eastAsiaTheme="minorEastAsia"/>
                <w:b/>
                <w:bCs/>
                <w:sz w:val="21"/>
                <w:vertAlign w:val="superscript"/>
                <w:lang w:eastAsia="en-AU"/>
              </w:rPr>
            </w:pPr>
            <w:r w:rsidRPr="00B714F2">
              <w:rPr>
                <w:rFonts w:eastAsiaTheme="minorEastAsia"/>
                <w:b/>
                <w:bCs/>
                <w:sz w:val="21"/>
                <w:lang w:eastAsia="en-AU"/>
              </w:rPr>
              <w:t>Comprehensive result – total change in net worth</w:t>
            </w:r>
          </w:p>
        </w:tc>
        <w:tc>
          <w:tcPr>
            <w:tcW w:w="121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8 561.7</w:t>
            </w:r>
          </w:p>
        </w:tc>
        <w:tc>
          <w:tcPr>
            <w:tcW w:w="112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6 789.3</w:t>
            </w:r>
          </w:p>
        </w:tc>
      </w:tr>
      <w:tr w:rsidR="00336793" w:rsidRPr="00B714F2" w:rsidTr="00DF0B96">
        <w:trPr>
          <w:trHeight w:hRule="exact" w:val="120"/>
        </w:trPr>
        <w:tc>
          <w:tcPr>
            <w:tcW w:w="7307" w:type="dxa"/>
            <w:tcBorders>
              <w:top w:val="single" w:sz="12" w:space="0" w:color="000000"/>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 xml:space="preserve"> </w:t>
            </w:r>
          </w:p>
        </w:tc>
        <w:tc>
          <w:tcPr>
            <w:tcW w:w="1210" w:type="dxa"/>
            <w:tcBorders>
              <w:top w:val="single" w:sz="12" w:space="0" w:color="000000"/>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w:t>
            </w:r>
          </w:p>
        </w:tc>
        <w:tc>
          <w:tcPr>
            <w:tcW w:w="1120" w:type="dxa"/>
            <w:tcBorders>
              <w:top w:val="single" w:sz="12" w:space="0" w:color="000000"/>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ind w:left="187" w:hanging="187"/>
              <w:rPr>
                <w:rFonts w:eastAsiaTheme="minorEastAsia"/>
                <w:b/>
                <w:bCs/>
                <w:sz w:val="21"/>
                <w:lang w:eastAsia="en-AU"/>
              </w:rPr>
            </w:pPr>
            <w:r w:rsidRPr="00B714F2">
              <w:rPr>
                <w:rFonts w:eastAsiaTheme="minorEastAsia"/>
                <w:b/>
                <w:bCs/>
                <w:sz w:val="21"/>
                <w:lang w:eastAsia="en-AU"/>
              </w:rPr>
              <w:t>FISCAL AGGREGRATES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sz w:val="21"/>
                <w:vertAlign w:val="superscript"/>
                <w:lang w:eastAsia="en-AU"/>
              </w:rPr>
            </w:pPr>
            <w:r w:rsidRPr="00B714F2">
              <w:rPr>
                <w:rFonts w:eastAsiaTheme="minorEastAsia"/>
                <w:b/>
                <w:bCs/>
                <w:sz w:val="21"/>
                <w:lang w:eastAsia="en-AU"/>
              </w:rPr>
              <w:t>Net operating balance</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800.0</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1 702.1</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sz w:val="21"/>
                <w:lang w:eastAsia="en-AU"/>
              </w:rPr>
            </w:pPr>
            <w:r w:rsidRPr="00B714F2">
              <w:rPr>
                <w:rFonts w:eastAsiaTheme="minorEastAsia"/>
                <w:b/>
                <w:bCs/>
                <w:sz w:val="21"/>
                <w:lang w:eastAsia="en-AU"/>
              </w:rPr>
              <w:t>Net acquisition of non</w:t>
            </w:r>
            <w:r>
              <w:rPr>
                <w:rFonts w:eastAsiaTheme="minorEastAsia"/>
                <w:b/>
                <w:bCs/>
                <w:sz w:val="21"/>
                <w:lang w:eastAsia="en-AU"/>
              </w:rPr>
              <w:noBreakHyphen/>
            </w:r>
            <w:r w:rsidRPr="00B714F2">
              <w:rPr>
                <w:rFonts w:eastAsiaTheme="minorEastAsia"/>
                <w:b/>
                <w:bCs/>
                <w:sz w:val="21"/>
                <w:lang w:eastAsia="en-AU"/>
              </w:rPr>
              <w:t>financial assets from transactions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 xml:space="preserve"> </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Purchases of non</w:t>
            </w:r>
            <w:r>
              <w:rPr>
                <w:rFonts w:eastAsiaTheme="minorEastAsia"/>
                <w:sz w:val="21"/>
                <w:lang w:eastAsia="en-AU"/>
              </w:rPr>
              <w:noBreakHyphen/>
            </w:r>
            <w:r w:rsidRPr="00B714F2">
              <w:rPr>
                <w:rFonts w:eastAsiaTheme="minorEastAsia"/>
                <w:sz w:val="21"/>
                <w:lang w:eastAsia="en-AU"/>
              </w:rPr>
              <w:t>financial assets (including change in inventories)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6 604.5</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7 297.4</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Less: Sales of non</w:t>
            </w:r>
            <w:r>
              <w:rPr>
                <w:rFonts w:eastAsiaTheme="minorEastAsia"/>
                <w:sz w:val="21"/>
                <w:lang w:eastAsia="en-AU"/>
              </w:rPr>
              <w:noBreakHyphen/>
            </w:r>
            <w:r w:rsidRPr="00B714F2">
              <w:rPr>
                <w:rFonts w:eastAsiaTheme="minorEastAsia"/>
                <w:sz w:val="21"/>
                <w:lang w:eastAsia="en-AU"/>
              </w:rPr>
              <w:t>financial assets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B714F2">
              <w:rPr>
                <w:rFonts w:eastAsiaTheme="minorEastAsia" w:cs="Calibri"/>
                <w:color w:val="000000"/>
                <w:szCs w:val="22"/>
                <w:lang w:eastAsia="en-AU"/>
              </w:rPr>
              <w:t>593.7)</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sz w:val="21"/>
                <w:lang w:eastAsia="en-AU"/>
              </w:rPr>
              <w:t>(</w:t>
            </w:r>
            <w:r w:rsidRPr="00B714F2">
              <w:rPr>
                <w:rFonts w:eastAsiaTheme="minorEastAsia" w:cs="Calibri"/>
                <w:color w:val="000000"/>
                <w:szCs w:val="22"/>
                <w:lang w:eastAsia="en-AU"/>
              </w:rPr>
              <w:t>477.3)</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vertAlign w:val="superscript"/>
                <w:lang w:eastAsia="en-AU"/>
              </w:rPr>
            </w:pPr>
            <w:r w:rsidRPr="00B714F2">
              <w:rPr>
                <w:rFonts w:eastAsiaTheme="minorEastAsia"/>
                <w:sz w:val="21"/>
                <w:lang w:eastAsia="en-AU"/>
              </w:rPr>
              <w:t>Less: Depreciation</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 w:val="21"/>
                <w:szCs w:val="22"/>
                <w:lang w:eastAsia="en-AU"/>
              </w:rPr>
            </w:pPr>
            <w:r w:rsidRPr="00B714F2">
              <w:rPr>
                <w:rFonts w:eastAsiaTheme="minorEastAsia"/>
                <w:sz w:val="21"/>
                <w:lang w:eastAsia="en-AU"/>
              </w:rPr>
              <w:t xml:space="preserve"> (4 403.8)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 w:val="21"/>
                <w:szCs w:val="22"/>
                <w:lang w:eastAsia="en-AU"/>
              </w:rPr>
            </w:pPr>
            <w:r w:rsidRPr="00B714F2">
              <w:rPr>
                <w:rFonts w:eastAsiaTheme="minorEastAsia"/>
                <w:sz w:val="21"/>
                <w:lang w:eastAsia="en-AU"/>
              </w:rPr>
              <w:t xml:space="preserve"> (4 291.0)</w:t>
            </w:r>
          </w:p>
        </w:tc>
      </w:tr>
      <w:tr w:rsidR="00336793" w:rsidRPr="00B714F2" w:rsidTr="00DF0B96">
        <w:tc>
          <w:tcPr>
            <w:tcW w:w="7307" w:type="dxa"/>
            <w:tcBorders>
              <w:top w:val="nil"/>
              <w:left w:val="nil"/>
              <w:bottom w:val="nil"/>
              <w:right w:val="nil"/>
            </w:tcBorders>
            <w:shd w:val="solid" w:color="FFFFFF" w:fill="auto"/>
          </w:tcPr>
          <w:p w:rsidR="00336793" w:rsidRPr="00B714F2" w:rsidRDefault="00336793" w:rsidP="00DF0B96">
            <w:pPr>
              <w:pStyle w:val="Tabletext"/>
              <w:rPr>
                <w:rFonts w:eastAsiaTheme="minorEastAsia"/>
                <w:sz w:val="21"/>
                <w:lang w:eastAsia="en-AU"/>
              </w:rPr>
            </w:pPr>
            <w:r w:rsidRPr="00B714F2">
              <w:rPr>
                <w:rFonts w:eastAsiaTheme="minorEastAsia"/>
                <w:sz w:val="21"/>
                <w:lang w:eastAsia="en-AU"/>
              </w:rPr>
              <w:t>Plus: Other movements in non</w:t>
            </w:r>
            <w:r>
              <w:rPr>
                <w:rFonts w:eastAsiaTheme="minorEastAsia"/>
                <w:sz w:val="21"/>
                <w:lang w:eastAsia="en-AU"/>
              </w:rPr>
              <w:noBreakHyphen/>
            </w:r>
            <w:r w:rsidRPr="00B714F2">
              <w:rPr>
                <w:rFonts w:eastAsiaTheme="minorEastAsia"/>
                <w:sz w:val="21"/>
                <w:lang w:eastAsia="en-AU"/>
              </w:rPr>
              <w:t>financial assets</w:t>
            </w:r>
          </w:p>
        </w:tc>
        <w:tc>
          <w:tcPr>
            <w:tcW w:w="121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240.8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sz w:val="21"/>
                <w:lang w:eastAsia="en-AU"/>
              </w:rPr>
            </w:pPr>
            <w:r w:rsidRPr="00B714F2">
              <w:rPr>
                <w:rFonts w:eastAsiaTheme="minorEastAsia"/>
                <w:sz w:val="21"/>
                <w:lang w:eastAsia="en-AU"/>
              </w:rPr>
              <w:t xml:space="preserve"> 270.4</w:t>
            </w:r>
          </w:p>
        </w:tc>
      </w:tr>
      <w:tr w:rsidR="00336793" w:rsidRPr="00B714F2" w:rsidTr="00DF0B96">
        <w:tc>
          <w:tcPr>
            <w:tcW w:w="7307" w:type="dxa"/>
            <w:tcBorders>
              <w:top w:val="nil"/>
              <w:left w:val="nil"/>
              <w:bottom w:val="single" w:sz="6" w:space="0" w:color="000000"/>
              <w:right w:val="nil"/>
            </w:tcBorders>
            <w:shd w:val="solid" w:color="FFFFFF" w:fill="auto"/>
          </w:tcPr>
          <w:p w:rsidR="00336793" w:rsidRPr="00B714F2" w:rsidRDefault="00336793" w:rsidP="00DF0B96">
            <w:pPr>
              <w:pStyle w:val="Tabletext"/>
              <w:rPr>
                <w:rFonts w:eastAsiaTheme="minorEastAsia"/>
                <w:b/>
                <w:bCs/>
                <w:sz w:val="21"/>
                <w:vertAlign w:val="superscript"/>
                <w:lang w:eastAsia="en-AU"/>
              </w:rPr>
            </w:pPr>
            <w:r w:rsidRPr="00B714F2">
              <w:rPr>
                <w:rFonts w:eastAsiaTheme="minorEastAsia"/>
                <w:b/>
                <w:bCs/>
                <w:sz w:val="21"/>
                <w:lang w:eastAsia="en-AU"/>
              </w:rPr>
              <w:t>Less: Net acquisition of non</w:t>
            </w:r>
            <w:r>
              <w:rPr>
                <w:rFonts w:eastAsiaTheme="minorEastAsia"/>
                <w:b/>
                <w:bCs/>
                <w:sz w:val="21"/>
                <w:lang w:eastAsia="en-AU"/>
              </w:rPr>
              <w:noBreakHyphen/>
            </w:r>
            <w:r w:rsidRPr="00B714F2">
              <w:rPr>
                <w:rFonts w:eastAsiaTheme="minorEastAsia"/>
                <w:b/>
                <w:bCs/>
                <w:sz w:val="21"/>
                <w:lang w:eastAsia="en-AU"/>
              </w:rPr>
              <w:t>financial assets from transactions</w:t>
            </w:r>
          </w:p>
        </w:tc>
        <w:tc>
          <w:tcPr>
            <w:tcW w:w="121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1 847.9</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sz w:val="21"/>
                <w:lang w:eastAsia="en-AU"/>
              </w:rPr>
            </w:pPr>
            <w:r w:rsidRPr="00B714F2">
              <w:rPr>
                <w:rFonts w:eastAsiaTheme="minorEastAsia"/>
                <w:b/>
                <w:bCs/>
                <w:sz w:val="21"/>
                <w:lang w:eastAsia="en-AU"/>
              </w:rPr>
              <w:t>2 799.5</w:t>
            </w:r>
          </w:p>
        </w:tc>
      </w:tr>
      <w:tr w:rsidR="00336793" w:rsidRPr="00B714F2" w:rsidTr="00DF0B96">
        <w:tc>
          <w:tcPr>
            <w:tcW w:w="7307"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text"/>
              <w:rPr>
                <w:rFonts w:eastAsiaTheme="minorEastAsia"/>
                <w:b/>
                <w:bCs/>
                <w:sz w:val="21"/>
                <w:vertAlign w:val="superscript"/>
                <w:lang w:eastAsia="en-AU"/>
              </w:rPr>
            </w:pPr>
            <w:r w:rsidRPr="00B714F2">
              <w:rPr>
                <w:rFonts w:eastAsiaTheme="minorEastAsia"/>
                <w:b/>
                <w:bCs/>
                <w:sz w:val="21"/>
                <w:lang w:eastAsia="en-AU"/>
              </w:rPr>
              <w:t>Net lending/(borrowing)</w:t>
            </w:r>
          </w:p>
        </w:tc>
        <w:tc>
          <w:tcPr>
            <w:tcW w:w="1210"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ofFigures"/>
              <w:rPr>
                <w:rFonts w:eastAsiaTheme="minorEastAsia" w:cs="Calibri"/>
                <w:b/>
                <w:bCs/>
                <w:color w:val="000000"/>
                <w:sz w:val="21"/>
                <w:szCs w:val="22"/>
                <w:lang w:eastAsia="en-AU"/>
              </w:rPr>
            </w:pPr>
            <w:r w:rsidRPr="00B714F2">
              <w:rPr>
                <w:rFonts w:eastAsiaTheme="minorEastAsia"/>
                <w:b/>
                <w:bCs/>
                <w:sz w:val="21"/>
                <w:lang w:eastAsia="en-AU"/>
              </w:rPr>
              <w:t xml:space="preserve"> (1 </w:t>
            </w:r>
            <w:r w:rsidRPr="00B714F2">
              <w:rPr>
                <w:rFonts w:eastAsiaTheme="minorEastAsia" w:cs="Calibri"/>
                <w:b/>
                <w:bCs/>
                <w:color w:val="000000"/>
                <w:sz w:val="21"/>
                <w:szCs w:val="22"/>
                <w:lang w:eastAsia="en-AU"/>
              </w:rPr>
              <w:t>047.9)</w:t>
            </w:r>
          </w:p>
        </w:tc>
        <w:tc>
          <w:tcPr>
            <w:tcW w:w="1120"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ofFigures"/>
              <w:rPr>
                <w:rFonts w:eastAsiaTheme="minorEastAsia" w:cs="Calibri"/>
                <w:b/>
                <w:bCs/>
                <w:color w:val="000000"/>
                <w:sz w:val="21"/>
                <w:szCs w:val="22"/>
                <w:lang w:eastAsia="en-AU"/>
              </w:rPr>
            </w:pPr>
            <w:r w:rsidRPr="00B714F2">
              <w:rPr>
                <w:rFonts w:eastAsiaTheme="minorEastAsia"/>
                <w:b/>
                <w:bCs/>
                <w:sz w:val="21"/>
                <w:lang w:eastAsia="en-AU"/>
              </w:rPr>
              <w:t xml:space="preserve"> (1 097.3)</w:t>
            </w:r>
          </w:p>
        </w:tc>
      </w:tr>
    </w:tbl>
    <w:p w:rsidR="00336793" w:rsidRDefault="00336793" w:rsidP="00DF0B96">
      <w:pPr>
        <w:pStyle w:val="Source"/>
      </w:pPr>
      <w:r>
        <w:t>Source: Department of Treasury and Finance</w:t>
      </w:r>
    </w:p>
    <w:p w:rsidR="00336793" w:rsidRPr="006A75A2" w:rsidRDefault="00336793" w:rsidP="00DF0B96">
      <w:pPr>
        <w:pStyle w:val="Notes"/>
      </w:pPr>
      <w:r>
        <w:t>Note</w:t>
      </w:r>
      <w:r w:rsidRPr="006A75A2">
        <w:t>:</w:t>
      </w:r>
    </w:p>
    <w:p w:rsidR="00336793" w:rsidRPr="00B057D5" w:rsidRDefault="00336793" w:rsidP="00DF0B96">
      <w:pPr>
        <w:pStyle w:val="Notes"/>
      </w:pPr>
      <w:r>
        <w:t>(a)</w:t>
      </w:r>
      <w:r>
        <w:tab/>
        <w:t xml:space="preserve">June </w:t>
      </w:r>
      <w:r w:rsidRPr="00404FD9">
        <w:t>2014</w:t>
      </w:r>
      <w:r>
        <w:t xml:space="preserve"> comparative figures have been restated. See Chapter 4, Note 37</w:t>
      </w:r>
      <w:r w:rsidRPr="006A75A2">
        <w:t>.</w:t>
      </w:r>
      <w:r>
        <w:t xml:space="preserve"> </w:t>
      </w:r>
    </w:p>
    <w:p w:rsidR="00336793" w:rsidRPr="002C6A10" w:rsidRDefault="00336793" w:rsidP="00DF0B96">
      <w:pPr>
        <w:pStyle w:val="Tableheading"/>
      </w:pPr>
      <w:r w:rsidRPr="002C6A10">
        <w:lastRenderedPageBreak/>
        <w:t xml:space="preserve">Table 5.2: </w:t>
      </w:r>
      <w:r w:rsidRPr="002C6A10">
        <w:tab/>
        <w:t>Non</w:t>
      </w:r>
      <w:r>
        <w:noBreakHyphen/>
      </w:r>
      <w:r w:rsidRPr="002C6A10">
        <w:t>financial public sector balance sheet for the financial year ended 30 June</w:t>
      </w:r>
    </w:p>
    <w:p w:rsidR="00336793" w:rsidRPr="00B714F2"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1120"/>
      </w:tblGrid>
      <w:tr w:rsidR="00336793" w:rsidRPr="00B714F2" w:rsidTr="00DF0B96">
        <w:tc>
          <w:tcPr>
            <w:tcW w:w="7397" w:type="dxa"/>
            <w:tcBorders>
              <w:top w:val="single" w:sz="6" w:space="0" w:color="auto"/>
              <w:left w:val="single" w:sz="6" w:space="0" w:color="auto"/>
              <w:bottom w:val="single" w:sz="6" w:space="0" w:color="auto"/>
              <w:right w:val="nil"/>
            </w:tcBorders>
            <w:shd w:val="clear" w:color="000000" w:fill="000000"/>
          </w:tcPr>
          <w:p w:rsidR="00336793" w:rsidRPr="00B714F2" w:rsidRDefault="00336793" w:rsidP="00DF0B96">
            <w:pPr>
              <w:pStyle w:val="Tabletext"/>
              <w:rPr>
                <w:rFonts w:eastAsiaTheme="minorEastAsia"/>
                <w:i/>
                <w:lang w:eastAsia="en-AU"/>
              </w:rPr>
            </w:pPr>
            <w:r w:rsidRPr="00B714F2">
              <w:rPr>
                <w:rFonts w:eastAsiaTheme="minorEastAsia"/>
                <w:i/>
                <w:lang w:eastAsia="en-AU"/>
              </w:rPr>
              <w:t xml:space="preserve"> </w:t>
            </w:r>
          </w:p>
        </w:tc>
        <w:tc>
          <w:tcPr>
            <w:tcW w:w="1120" w:type="dxa"/>
            <w:tcBorders>
              <w:top w:val="single" w:sz="6" w:space="0" w:color="auto"/>
              <w:left w:val="nil"/>
              <w:bottom w:val="single" w:sz="6" w:space="0" w:color="auto"/>
              <w:right w:val="nil"/>
            </w:tcBorders>
            <w:shd w:val="clear" w:color="000000" w:fill="000000"/>
          </w:tcPr>
          <w:p w:rsidR="00336793" w:rsidRPr="00B714F2" w:rsidRDefault="00336793" w:rsidP="00DF0B96">
            <w:pPr>
              <w:pStyle w:val="Tabletextheading"/>
              <w:rPr>
                <w:rFonts w:eastAsiaTheme="minorEastAsia"/>
                <w:color w:val="FFFFFF"/>
                <w:lang w:eastAsia="en-AU"/>
              </w:rPr>
            </w:pPr>
            <w:r w:rsidRPr="00B714F2">
              <w:rPr>
                <w:rFonts w:eastAsiaTheme="minorEastAsia"/>
                <w:color w:val="FFFFFF"/>
                <w:lang w:eastAsia="en-AU"/>
              </w:rPr>
              <w:t>2015</w:t>
            </w:r>
          </w:p>
        </w:tc>
        <w:tc>
          <w:tcPr>
            <w:tcW w:w="1120" w:type="dxa"/>
            <w:tcBorders>
              <w:top w:val="single" w:sz="6" w:space="0" w:color="auto"/>
              <w:left w:val="nil"/>
              <w:bottom w:val="single" w:sz="6" w:space="0" w:color="auto"/>
              <w:right w:val="single" w:sz="6" w:space="0" w:color="auto"/>
            </w:tcBorders>
            <w:shd w:val="clear" w:color="000000" w:fill="000000"/>
          </w:tcPr>
          <w:p w:rsidR="00336793" w:rsidRPr="00B714F2" w:rsidRDefault="00336793" w:rsidP="00DF0B96">
            <w:pPr>
              <w:pStyle w:val="Tabletextheading"/>
              <w:rPr>
                <w:rFonts w:eastAsiaTheme="minorEastAsia" w:cs="Calibri"/>
                <w:iCs/>
                <w:color w:val="FFFFFF"/>
                <w:szCs w:val="22"/>
                <w:vertAlign w:val="superscript"/>
                <w:lang w:eastAsia="en-AU"/>
              </w:rPr>
            </w:pPr>
            <w:r w:rsidRPr="00B714F2">
              <w:rPr>
                <w:rFonts w:eastAsiaTheme="minorEastAsia"/>
                <w:color w:val="FFFFFF"/>
                <w:lang w:eastAsia="en-AU"/>
              </w:rPr>
              <w:t>2014</w:t>
            </w:r>
            <w:r w:rsidRPr="00B714F2">
              <w:rPr>
                <w:rFonts w:eastAsiaTheme="minorEastAsia"/>
                <w:color w:val="FFFFFF"/>
                <w:vertAlign w:val="superscript"/>
                <w:lang w:eastAsia="en-AU"/>
              </w:rPr>
              <w:t>(</w:t>
            </w:r>
            <w:r w:rsidRPr="00B714F2">
              <w:rPr>
                <w:rFonts w:eastAsiaTheme="minorEastAsia" w:cs="Calibri"/>
                <w:iCs/>
                <w:color w:val="FFFFFF"/>
                <w:szCs w:val="22"/>
                <w:vertAlign w:val="superscript"/>
                <w:lang w:eastAsia="en-AU"/>
              </w:rPr>
              <w:t>a)</w:t>
            </w:r>
          </w:p>
        </w:tc>
      </w:tr>
      <w:tr w:rsidR="00336793" w:rsidRPr="00B714F2" w:rsidTr="00DF0B96">
        <w:tc>
          <w:tcPr>
            <w:tcW w:w="7397" w:type="dxa"/>
            <w:tcBorders>
              <w:top w:val="single" w:sz="6" w:space="0" w:color="auto"/>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Assets</w:t>
            </w:r>
          </w:p>
        </w:tc>
        <w:tc>
          <w:tcPr>
            <w:tcW w:w="1120" w:type="dxa"/>
            <w:tcBorders>
              <w:top w:val="single" w:sz="6" w:space="0" w:color="auto"/>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c>
          <w:tcPr>
            <w:tcW w:w="1120" w:type="dxa"/>
            <w:tcBorders>
              <w:top w:val="single" w:sz="6" w:space="0" w:color="auto"/>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Financial assets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Cash and deposits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5 373.5</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5 566.7</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Advances paid</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89.2</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86.1</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Receivables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5 802.7</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5 256.0</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Investments, loans and placements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4 395.3</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4 015.3</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Investments accounted for using the equity method</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2 020.8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1 555.1</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Investments in other sector entities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3 209.5</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2 896.1</w:t>
            </w:r>
          </w:p>
        </w:tc>
      </w:tr>
      <w:tr w:rsidR="00336793" w:rsidRPr="00B714F2" w:rsidTr="00DF0B96">
        <w:tc>
          <w:tcPr>
            <w:tcW w:w="7397"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Total financial assets</w:t>
            </w:r>
          </w:p>
        </w:tc>
        <w:tc>
          <w:tcPr>
            <w:tcW w:w="1120"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20 891.0</w:t>
            </w:r>
          </w:p>
        </w:tc>
        <w:tc>
          <w:tcPr>
            <w:tcW w:w="1120"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19 375.3</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Non</w:t>
            </w:r>
            <w:r>
              <w:rPr>
                <w:rFonts w:eastAsiaTheme="minorEastAsia"/>
                <w:b/>
                <w:bCs/>
                <w:lang w:eastAsia="en-AU"/>
              </w:rPr>
              <w:noBreakHyphen/>
            </w:r>
            <w:r w:rsidRPr="00B714F2">
              <w:rPr>
                <w:rFonts w:eastAsiaTheme="minorEastAsia"/>
                <w:b/>
                <w:bCs/>
                <w:lang w:eastAsia="en-AU"/>
              </w:rPr>
              <w:t>financial assets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Inventories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709.9</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785.4</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vertAlign w:val="superscript"/>
                <w:lang w:eastAsia="en-AU"/>
              </w:rPr>
            </w:pPr>
            <w:r w:rsidRPr="00B714F2">
              <w:rPr>
                <w:rFonts w:eastAsiaTheme="minorEastAsia"/>
                <w:lang w:eastAsia="en-AU"/>
              </w:rPr>
              <w:t>Non</w:t>
            </w:r>
            <w:r>
              <w:rPr>
                <w:rFonts w:eastAsiaTheme="minorEastAsia"/>
                <w:lang w:eastAsia="en-AU"/>
              </w:rPr>
              <w:noBreakHyphen/>
            </w:r>
            <w:r w:rsidRPr="00B714F2">
              <w:rPr>
                <w:rFonts w:eastAsiaTheme="minorEastAsia"/>
                <w:lang w:eastAsia="en-AU"/>
              </w:rPr>
              <w:t>financial assets held for sale</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205.2</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160.9</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vertAlign w:val="superscript"/>
                <w:lang w:eastAsia="en-AU"/>
              </w:rPr>
            </w:pPr>
            <w:r w:rsidRPr="00B714F2">
              <w:rPr>
                <w:rFonts w:eastAsiaTheme="minorEastAsia"/>
                <w:lang w:eastAsia="en-AU"/>
              </w:rPr>
              <w:t>Land, buildings, infrastructure, plant and equipment</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206 893.3</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198 409.0</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Other non</w:t>
            </w:r>
            <w:r>
              <w:rPr>
                <w:rFonts w:eastAsiaTheme="minorEastAsia"/>
                <w:lang w:eastAsia="en-AU"/>
              </w:rPr>
              <w:noBreakHyphen/>
            </w:r>
            <w:r w:rsidRPr="00B714F2">
              <w:rPr>
                <w:rFonts w:eastAsiaTheme="minorEastAsia"/>
                <w:lang w:eastAsia="en-AU"/>
              </w:rPr>
              <w:t>financial assets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1 932.5</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2 252.9</w:t>
            </w:r>
          </w:p>
        </w:tc>
      </w:tr>
      <w:tr w:rsidR="00336793" w:rsidRPr="00B714F2" w:rsidTr="00DF0B96">
        <w:tc>
          <w:tcPr>
            <w:tcW w:w="7397"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text"/>
              <w:rPr>
                <w:rFonts w:eastAsiaTheme="minorEastAsia"/>
                <w:b/>
                <w:bCs/>
                <w:vertAlign w:val="superscript"/>
                <w:lang w:eastAsia="en-AU"/>
              </w:rPr>
            </w:pPr>
            <w:r w:rsidRPr="00B714F2">
              <w:rPr>
                <w:rFonts w:eastAsiaTheme="minorEastAsia"/>
                <w:b/>
                <w:bCs/>
                <w:lang w:eastAsia="en-AU"/>
              </w:rPr>
              <w:t>Total non</w:t>
            </w:r>
            <w:r>
              <w:rPr>
                <w:rFonts w:eastAsiaTheme="minorEastAsia"/>
                <w:b/>
                <w:bCs/>
                <w:lang w:eastAsia="en-AU"/>
              </w:rPr>
              <w:noBreakHyphen/>
            </w:r>
            <w:r w:rsidRPr="00B714F2">
              <w:rPr>
                <w:rFonts w:eastAsiaTheme="minorEastAsia"/>
                <w:b/>
                <w:bCs/>
                <w:lang w:eastAsia="en-AU"/>
              </w:rPr>
              <w:t>financial assets</w:t>
            </w:r>
          </w:p>
        </w:tc>
        <w:tc>
          <w:tcPr>
            <w:tcW w:w="1120"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209 740.9</w:t>
            </w:r>
          </w:p>
        </w:tc>
        <w:tc>
          <w:tcPr>
            <w:tcW w:w="1120"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201 608.2</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vertAlign w:val="superscript"/>
                <w:lang w:eastAsia="en-AU"/>
              </w:rPr>
            </w:pPr>
            <w:r w:rsidRPr="00B714F2">
              <w:rPr>
                <w:rFonts w:eastAsiaTheme="minorEastAsia"/>
                <w:b/>
                <w:bCs/>
                <w:lang w:eastAsia="en-AU"/>
              </w:rPr>
              <w:t>Total assets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230 631.9</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220 983.5</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Liabilities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 xml:space="preserve">Deposits held and advances received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636.8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541.5</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Payables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6 480.1</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6 333.5</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 xml:space="preserve">Borrowings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45 769.4</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45 052.5</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Employee benefits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5 984.8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5 620.6</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vertAlign w:val="superscript"/>
                <w:lang w:eastAsia="en-AU"/>
              </w:rPr>
            </w:pPr>
            <w:r w:rsidRPr="00B714F2">
              <w:rPr>
                <w:rFonts w:eastAsiaTheme="minorEastAsia"/>
                <w:lang w:eastAsia="en-AU"/>
              </w:rPr>
              <w:t>Superannuation</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25 988.4</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26 301.2</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Other provisions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1 050.5</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974.0</w:t>
            </w:r>
          </w:p>
        </w:tc>
      </w:tr>
      <w:tr w:rsidR="00336793" w:rsidRPr="00B714F2" w:rsidTr="00DF0B96">
        <w:tc>
          <w:tcPr>
            <w:tcW w:w="7397" w:type="dxa"/>
            <w:tcBorders>
              <w:top w:val="single" w:sz="6" w:space="0" w:color="000000"/>
              <w:left w:val="nil"/>
              <w:bottom w:val="nil"/>
              <w:right w:val="nil"/>
            </w:tcBorders>
            <w:shd w:val="solid" w:color="FFFFFF" w:fill="auto"/>
          </w:tcPr>
          <w:p w:rsidR="00336793" w:rsidRPr="00B714F2" w:rsidRDefault="00336793" w:rsidP="00DF0B96">
            <w:pPr>
              <w:pStyle w:val="Tabletext"/>
              <w:rPr>
                <w:rFonts w:eastAsiaTheme="minorEastAsia"/>
                <w:b/>
                <w:bCs/>
                <w:vertAlign w:val="superscript"/>
                <w:lang w:eastAsia="en-AU"/>
              </w:rPr>
            </w:pPr>
            <w:r w:rsidRPr="00B714F2">
              <w:rPr>
                <w:rFonts w:eastAsiaTheme="minorEastAsia"/>
                <w:b/>
                <w:bCs/>
                <w:lang w:eastAsia="en-AU"/>
              </w:rPr>
              <w:t>Total liabilities</w:t>
            </w:r>
          </w:p>
        </w:tc>
        <w:tc>
          <w:tcPr>
            <w:tcW w:w="112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85 910.1</w:t>
            </w:r>
          </w:p>
        </w:tc>
        <w:tc>
          <w:tcPr>
            <w:tcW w:w="112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84 823.3</w:t>
            </w:r>
          </w:p>
        </w:tc>
      </w:tr>
      <w:tr w:rsidR="00336793" w:rsidRPr="00B714F2" w:rsidTr="00DF0B96">
        <w:tc>
          <w:tcPr>
            <w:tcW w:w="7397"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text"/>
              <w:rPr>
                <w:rFonts w:eastAsiaTheme="minorEastAsia"/>
                <w:b/>
                <w:bCs/>
                <w:vertAlign w:val="superscript"/>
                <w:lang w:eastAsia="en-AU"/>
              </w:rPr>
            </w:pPr>
            <w:r w:rsidRPr="00B714F2">
              <w:rPr>
                <w:rFonts w:eastAsiaTheme="minorEastAsia"/>
                <w:b/>
                <w:bCs/>
                <w:lang w:eastAsia="en-AU"/>
              </w:rPr>
              <w:t>Net assets</w:t>
            </w:r>
          </w:p>
        </w:tc>
        <w:tc>
          <w:tcPr>
            <w:tcW w:w="1120"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144 721.8</w:t>
            </w:r>
          </w:p>
        </w:tc>
        <w:tc>
          <w:tcPr>
            <w:tcW w:w="1120"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136 160.2</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vertAlign w:val="superscript"/>
                <w:lang w:eastAsia="en-AU"/>
              </w:rPr>
            </w:pPr>
            <w:r w:rsidRPr="00B714F2">
              <w:rPr>
                <w:rFonts w:eastAsiaTheme="minorEastAsia"/>
                <w:lang w:eastAsia="en-AU"/>
              </w:rPr>
              <w:t>Accumulated surplus/(deficit)</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62 838.6</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47 091.3</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vertAlign w:val="superscript"/>
                <w:lang w:eastAsia="en-AU"/>
              </w:rPr>
            </w:pPr>
            <w:r w:rsidRPr="00B714F2">
              <w:rPr>
                <w:rFonts w:eastAsiaTheme="minorEastAsia"/>
                <w:lang w:eastAsia="en-AU"/>
              </w:rPr>
              <w:t>Reserves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81 833.2</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89 018.8</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Non</w:t>
            </w:r>
            <w:r>
              <w:rPr>
                <w:rFonts w:eastAsiaTheme="minorEastAsia"/>
                <w:lang w:eastAsia="en-AU"/>
              </w:rPr>
              <w:noBreakHyphen/>
            </w:r>
            <w:r w:rsidRPr="00B714F2">
              <w:rPr>
                <w:rFonts w:eastAsiaTheme="minorEastAsia"/>
                <w:lang w:eastAsia="en-AU"/>
              </w:rPr>
              <w:t>controlling interest</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50.0</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50.0</w:t>
            </w:r>
          </w:p>
        </w:tc>
      </w:tr>
      <w:tr w:rsidR="00336793" w:rsidRPr="00B714F2" w:rsidTr="00DF0B96">
        <w:tc>
          <w:tcPr>
            <w:tcW w:w="7397" w:type="dxa"/>
            <w:tcBorders>
              <w:top w:val="single" w:sz="6" w:space="0" w:color="000000"/>
              <w:left w:val="nil"/>
              <w:bottom w:val="nil"/>
              <w:right w:val="nil"/>
            </w:tcBorders>
            <w:shd w:val="solid" w:color="FFFFFF" w:fill="auto"/>
          </w:tcPr>
          <w:p w:rsidR="00336793" w:rsidRPr="00B714F2" w:rsidRDefault="00336793" w:rsidP="00DF0B96">
            <w:pPr>
              <w:pStyle w:val="Tabletext"/>
              <w:rPr>
                <w:rFonts w:eastAsiaTheme="minorEastAsia"/>
                <w:b/>
                <w:bCs/>
                <w:vertAlign w:val="superscript"/>
                <w:lang w:eastAsia="en-AU"/>
              </w:rPr>
            </w:pPr>
            <w:r w:rsidRPr="00B714F2">
              <w:rPr>
                <w:rFonts w:eastAsiaTheme="minorEastAsia"/>
                <w:b/>
                <w:bCs/>
                <w:lang w:eastAsia="en-AU"/>
              </w:rPr>
              <w:t>Net worth</w:t>
            </w:r>
          </w:p>
        </w:tc>
        <w:tc>
          <w:tcPr>
            <w:tcW w:w="112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144 721.8</w:t>
            </w:r>
          </w:p>
        </w:tc>
        <w:tc>
          <w:tcPr>
            <w:tcW w:w="112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136 160.2</w:t>
            </w:r>
          </w:p>
        </w:tc>
      </w:tr>
      <w:tr w:rsidR="00336793" w:rsidRPr="00B714F2" w:rsidTr="00DF0B96">
        <w:trPr>
          <w:trHeight w:hRule="exact" w:val="120"/>
        </w:trPr>
        <w:tc>
          <w:tcPr>
            <w:tcW w:w="7397" w:type="dxa"/>
            <w:tcBorders>
              <w:top w:val="single" w:sz="12" w:space="0" w:color="000000"/>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 xml:space="preserve"> </w:t>
            </w:r>
          </w:p>
        </w:tc>
        <w:tc>
          <w:tcPr>
            <w:tcW w:w="1120" w:type="dxa"/>
            <w:tcBorders>
              <w:top w:val="single" w:sz="12" w:space="0" w:color="000000"/>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w:t>
            </w:r>
          </w:p>
        </w:tc>
        <w:tc>
          <w:tcPr>
            <w:tcW w:w="1120" w:type="dxa"/>
            <w:tcBorders>
              <w:top w:val="single" w:sz="12" w:space="0" w:color="000000"/>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FISCAL AGGREGATES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vertAlign w:val="superscript"/>
                <w:lang w:eastAsia="en-AU"/>
              </w:rPr>
            </w:pPr>
            <w:r w:rsidRPr="00B714F2">
              <w:rPr>
                <w:rFonts w:eastAsiaTheme="minorEastAsia"/>
                <w:lang w:eastAsia="en-AU"/>
              </w:rPr>
              <w:t>Net financial worth</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sidRPr="00B714F2">
              <w:rPr>
                <w:rFonts w:eastAsiaTheme="minorEastAsia"/>
                <w:lang w:eastAsia="en-AU"/>
              </w:rPr>
              <w:t xml:space="preserve"> (65 019.0)</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sidRPr="00B714F2">
              <w:rPr>
                <w:rFonts w:eastAsiaTheme="minorEastAsia"/>
                <w:lang w:eastAsia="en-AU"/>
              </w:rPr>
              <w:t xml:space="preserve"> (65 448.0)</w:t>
            </w:r>
          </w:p>
        </w:tc>
      </w:tr>
      <w:tr w:rsidR="00336793" w:rsidRPr="00B714F2" w:rsidTr="00DF0B96">
        <w:tc>
          <w:tcPr>
            <w:tcW w:w="7397" w:type="dxa"/>
            <w:tcBorders>
              <w:top w:val="nil"/>
              <w:left w:val="nil"/>
              <w:right w:val="nil"/>
            </w:tcBorders>
            <w:shd w:val="solid" w:color="FFFFFF" w:fill="auto"/>
          </w:tcPr>
          <w:p w:rsidR="00336793" w:rsidRPr="00B714F2" w:rsidRDefault="00336793" w:rsidP="00DF0B96">
            <w:pPr>
              <w:pStyle w:val="Tabletext"/>
              <w:rPr>
                <w:rFonts w:eastAsiaTheme="minorEastAsia"/>
                <w:vertAlign w:val="superscript"/>
                <w:lang w:eastAsia="en-AU"/>
              </w:rPr>
            </w:pPr>
            <w:r w:rsidRPr="00B714F2">
              <w:rPr>
                <w:rFonts w:eastAsiaTheme="minorEastAsia"/>
                <w:lang w:eastAsia="en-AU"/>
              </w:rPr>
              <w:t>Net financial liabilities</w:t>
            </w:r>
          </w:p>
        </w:tc>
        <w:tc>
          <w:tcPr>
            <w:tcW w:w="1120" w:type="dxa"/>
            <w:tcBorders>
              <w:top w:val="nil"/>
              <w:left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68 228.6</w:t>
            </w:r>
          </w:p>
        </w:tc>
        <w:tc>
          <w:tcPr>
            <w:tcW w:w="1120" w:type="dxa"/>
            <w:tcBorders>
              <w:top w:val="nil"/>
              <w:left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68 344.1</w:t>
            </w:r>
          </w:p>
        </w:tc>
      </w:tr>
      <w:tr w:rsidR="00336793" w:rsidRPr="00B714F2" w:rsidTr="00DF0B96">
        <w:tc>
          <w:tcPr>
            <w:tcW w:w="7397" w:type="dxa"/>
            <w:tcBorders>
              <w:top w:val="nil"/>
              <w:left w:val="nil"/>
              <w:bottom w:val="single" w:sz="12" w:space="0" w:color="000000"/>
              <w:right w:val="nil"/>
            </w:tcBorders>
            <w:shd w:val="solid" w:color="FFFFFF" w:fill="auto"/>
          </w:tcPr>
          <w:p w:rsidR="00336793" w:rsidRPr="00B714F2" w:rsidRDefault="00336793" w:rsidP="00DF0B96">
            <w:pPr>
              <w:pStyle w:val="Tabletext"/>
              <w:rPr>
                <w:rFonts w:eastAsiaTheme="minorEastAsia"/>
                <w:vertAlign w:val="superscript"/>
                <w:lang w:eastAsia="en-AU"/>
              </w:rPr>
            </w:pPr>
            <w:r w:rsidRPr="00B714F2">
              <w:rPr>
                <w:rFonts w:eastAsiaTheme="minorEastAsia"/>
                <w:lang w:eastAsia="en-AU"/>
              </w:rPr>
              <w:t>Net debt</w:t>
            </w:r>
          </w:p>
        </w:tc>
        <w:tc>
          <w:tcPr>
            <w:tcW w:w="1120" w:type="dxa"/>
            <w:tcBorders>
              <w:top w:val="nil"/>
              <w:left w:val="nil"/>
              <w:bottom w:val="single" w:sz="12" w:space="0" w:color="000000"/>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36 548.2</w:t>
            </w:r>
          </w:p>
        </w:tc>
        <w:tc>
          <w:tcPr>
            <w:tcW w:w="1120" w:type="dxa"/>
            <w:tcBorders>
              <w:top w:val="nil"/>
              <w:left w:val="nil"/>
              <w:bottom w:val="single" w:sz="12" w:space="0" w:color="000000"/>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35 925.9</w:t>
            </w:r>
          </w:p>
        </w:tc>
      </w:tr>
    </w:tbl>
    <w:p w:rsidR="00336793" w:rsidRDefault="00336793" w:rsidP="00DF0B96">
      <w:pPr>
        <w:pStyle w:val="Source"/>
      </w:pPr>
      <w:r>
        <w:t>Source: Department of Treasury and Finance</w:t>
      </w:r>
    </w:p>
    <w:p w:rsidR="00336793" w:rsidRPr="006A75A2" w:rsidRDefault="00336793" w:rsidP="00DF0B96">
      <w:pPr>
        <w:pStyle w:val="Notes"/>
      </w:pPr>
      <w:r>
        <w:t>Note</w:t>
      </w:r>
      <w:r w:rsidRPr="006A75A2">
        <w:t>:</w:t>
      </w:r>
    </w:p>
    <w:p w:rsidR="00336793" w:rsidRDefault="00336793" w:rsidP="00DF0B96">
      <w:pPr>
        <w:pStyle w:val="Notes"/>
      </w:pPr>
      <w:r>
        <w:t>(a)</w:t>
      </w:r>
      <w:r>
        <w:tab/>
        <w:t>June 2014 comparative figures have been restated. See Chapter 4, Note 37</w:t>
      </w:r>
      <w:r w:rsidRPr="006A75A2">
        <w:t>.</w:t>
      </w:r>
    </w:p>
    <w:p w:rsidR="00336793" w:rsidRDefault="00336793">
      <w:pPr>
        <w:spacing w:after="0"/>
        <w:rPr>
          <w:rFonts w:ascii="Calibri" w:hAnsi="Calibri"/>
          <w:b/>
          <w:sz w:val="25"/>
        </w:rPr>
      </w:pPr>
      <w:r>
        <w:br w:type="page"/>
      </w:r>
    </w:p>
    <w:p w:rsidR="00336793" w:rsidRDefault="00336793" w:rsidP="00DF0B96">
      <w:pPr>
        <w:pStyle w:val="Tableheading"/>
      </w:pPr>
      <w:r w:rsidRPr="002C6A10">
        <w:lastRenderedPageBreak/>
        <w:t>Table 5.3:</w:t>
      </w:r>
      <w:r w:rsidRPr="002C6A10">
        <w:tab/>
        <w:t>Non</w:t>
      </w:r>
      <w:r>
        <w:noBreakHyphen/>
      </w:r>
      <w:r w:rsidRPr="002C6A10">
        <w:t>financial public sector cash flow statement for the financial year ended 30 June</w:t>
      </w:r>
    </w:p>
    <w:p w:rsidR="00336793" w:rsidRPr="00B714F2"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1120"/>
      </w:tblGrid>
      <w:tr w:rsidR="00336793" w:rsidRPr="00B714F2" w:rsidTr="00DF0B96">
        <w:tc>
          <w:tcPr>
            <w:tcW w:w="7397" w:type="dxa"/>
            <w:tcBorders>
              <w:top w:val="single" w:sz="6" w:space="0" w:color="auto"/>
              <w:left w:val="single" w:sz="6" w:space="0" w:color="auto"/>
              <w:bottom w:val="single" w:sz="6" w:space="0" w:color="auto"/>
              <w:right w:val="nil"/>
            </w:tcBorders>
            <w:shd w:val="clear" w:color="000000" w:fill="000000"/>
          </w:tcPr>
          <w:p w:rsidR="00336793" w:rsidRPr="00B714F2" w:rsidRDefault="00336793" w:rsidP="00DF0B96">
            <w:pPr>
              <w:pStyle w:val="Tabletext"/>
              <w:rPr>
                <w:rFonts w:eastAsiaTheme="minorEastAsia"/>
                <w:i/>
                <w:lang w:eastAsia="en-AU"/>
              </w:rPr>
            </w:pPr>
            <w:r w:rsidRPr="00B714F2">
              <w:rPr>
                <w:rFonts w:eastAsiaTheme="minorEastAsia"/>
                <w:i/>
                <w:lang w:eastAsia="en-AU"/>
              </w:rPr>
              <w:t xml:space="preserve"> </w:t>
            </w:r>
          </w:p>
        </w:tc>
        <w:tc>
          <w:tcPr>
            <w:tcW w:w="1120" w:type="dxa"/>
            <w:tcBorders>
              <w:top w:val="single" w:sz="6" w:space="0" w:color="auto"/>
              <w:left w:val="nil"/>
              <w:bottom w:val="single" w:sz="6" w:space="0" w:color="auto"/>
              <w:right w:val="nil"/>
            </w:tcBorders>
            <w:shd w:val="clear" w:color="000000" w:fill="000000"/>
          </w:tcPr>
          <w:p w:rsidR="00336793" w:rsidRPr="00B714F2" w:rsidRDefault="00336793" w:rsidP="00DF0B96">
            <w:pPr>
              <w:pStyle w:val="Tabletextheading"/>
              <w:rPr>
                <w:rFonts w:eastAsiaTheme="minorEastAsia"/>
                <w:color w:val="FFFFFF"/>
                <w:lang w:eastAsia="en-AU"/>
              </w:rPr>
            </w:pPr>
            <w:r w:rsidRPr="00B714F2">
              <w:rPr>
                <w:rFonts w:eastAsiaTheme="minorEastAsia"/>
                <w:color w:val="FFFFFF"/>
                <w:lang w:eastAsia="en-AU"/>
              </w:rPr>
              <w:t>2015</w:t>
            </w:r>
          </w:p>
        </w:tc>
        <w:tc>
          <w:tcPr>
            <w:tcW w:w="1120" w:type="dxa"/>
            <w:tcBorders>
              <w:top w:val="single" w:sz="6" w:space="0" w:color="auto"/>
              <w:left w:val="nil"/>
              <w:bottom w:val="single" w:sz="6" w:space="0" w:color="auto"/>
              <w:right w:val="single" w:sz="6" w:space="0" w:color="auto"/>
            </w:tcBorders>
            <w:shd w:val="clear" w:color="000000" w:fill="000000"/>
          </w:tcPr>
          <w:p w:rsidR="00336793" w:rsidRPr="00B714F2" w:rsidRDefault="00336793" w:rsidP="00DF0B96">
            <w:pPr>
              <w:pStyle w:val="Tabletextheading"/>
              <w:rPr>
                <w:rFonts w:eastAsiaTheme="minorEastAsia"/>
                <w:color w:val="FFFFFF"/>
                <w:lang w:eastAsia="en-AU"/>
              </w:rPr>
            </w:pPr>
            <w:r w:rsidRPr="00B714F2">
              <w:rPr>
                <w:rFonts w:eastAsiaTheme="minorEastAsia"/>
                <w:color w:val="FFFFFF"/>
                <w:lang w:eastAsia="en-AU"/>
              </w:rPr>
              <w:t>2014</w:t>
            </w:r>
          </w:p>
        </w:tc>
      </w:tr>
      <w:tr w:rsidR="00336793" w:rsidRPr="00B714F2" w:rsidTr="00DF0B96">
        <w:tc>
          <w:tcPr>
            <w:tcW w:w="7397" w:type="dxa"/>
            <w:tcBorders>
              <w:top w:val="single" w:sz="6" w:space="0" w:color="auto"/>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Cash flows from operating activities</w:t>
            </w:r>
          </w:p>
        </w:tc>
        <w:tc>
          <w:tcPr>
            <w:tcW w:w="1120" w:type="dxa"/>
            <w:tcBorders>
              <w:top w:val="single" w:sz="6" w:space="0" w:color="auto"/>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c>
          <w:tcPr>
            <w:tcW w:w="1120" w:type="dxa"/>
            <w:tcBorders>
              <w:top w:val="single" w:sz="6" w:space="0" w:color="auto"/>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 xml:space="preserve">Receipts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Taxes received</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18 026.4</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16 323.8</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Grants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24 486.0</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25 151.2</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vertAlign w:val="superscript"/>
                <w:lang w:eastAsia="en-AU"/>
              </w:rPr>
            </w:pPr>
            <w:r w:rsidRPr="00B714F2">
              <w:rPr>
                <w:rFonts w:eastAsiaTheme="minorEastAsia"/>
                <w:lang w:eastAsia="en-AU"/>
              </w:rPr>
              <w:t>Sales of goods and services</w:t>
            </w:r>
            <w:r w:rsidRPr="00E96950">
              <w:rPr>
                <w:rFonts w:eastAsiaTheme="minorEastAsia"/>
                <w:vertAlign w:val="superscript"/>
                <w:lang w:eastAsia="en-AU"/>
              </w:rPr>
              <w:t xml:space="preserve"> (</w:t>
            </w:r>
            <w:r w:rsidRPr="00B714F2">
              <w:rPr>
                <w:rFonts w:eastAsiaTheme="minorEastAsia"/>
                <w:vertAlign w:val="superscript"/>
                <w:lang w:eastAsia="en-AU"/>
              </w:rPr>
              <w:t>a)</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11 597.7</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12 232.8</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 xml:space="preserve">Interest received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372.3</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370.4</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cs="Calibri"/>
                <w:color w:val="000000"/>
                <w:szCs w:val="22"/>
                <w:vertAlign w:val="superscript"/>
                <w:lang w:eastAsia="en-AU"/>
              </w:rPr>
            </w:pPr>
            <w:r w:rsidRPr="00B714F2">
              <w:rPr>
                <w:rFonts w:eastAsiaTheme="minorEastAsia"/>
                <w:lang w:eastAsia="en-AU"/>
              </w:rPr>
              <w:t>Dividends and income tax equivalent and rate equivalent receipts</w:t>
            </w:r>
            <w:r w:rsidRPr="00E96950">
              <w:rPr>
                <w:rFonts w:eastAsiaTheme="minorEastAsia"/>
                <w:vertAlign w:val="superscript"/>
                <w:lang w:eastAsia="en-AU"/>
              </w:rPr>
              <w:t xml:space="preserve"> (</w:t>
            </w:r>
            <w:r w:rsidRPr="00B714F2">
              <w:rPr>
                <w:rFonts w:eastAsiaTheme="minorEastAsia" w:cs="Calibri"/>
                <w:color w:val="000000"/>
                <w:szCs w:val="22"/>
                <w:vertAlign w:val="superscript"/>
                <w:lang w:eastAsia="en-AU"/>
              </w:rPr>
              <w:t>b)</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633.1</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193.4</w:t>
            </w:r>
          </w:p>
        </w:tc>
      </w:tr>
      <w:tr w:rsidR="00336793" w:rsidRPr="00B714F2" w:rsidTr="00DF0B96">
        <w:tc>
          <w:tcPr>
            <w:tcW w:w="7397" w:type="dxa"/>
            <w:tcBorders>
              <w:top w:val="nil"/>
              <w:left w:val="nil"/>
              <w:bottom w:val="single" w:sz="6" w:space="0" w:color="000000"/>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Other receipts</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2 285.0</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1 884.5</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cs="Calibri"/>
                <w:b/>
                <w:bCs/>
                <w:color w:val="000000"/>
                <w:szCs w:val="22"/>
                <w:vertAlign w:val="superscript"/>
                <w:lang w:eastAsia="en-AU"/>
              </w:rPr>
            </w:pPr>
            <w:r w:rsidRPr="00B714F2">
              <w:rPr>
                <w:rFonts w:eastAsiaTheme="minorEastAsia"/>
                <w:b/>
                <w:bCs/>
                <w:lang w:eastAsia="en-AU"/>
              </w:rPr>
              <w:t>Total receipts</w:t>
            </w:r>
            <w:r w:rsidRPr="00E96950">
              <w:rPr>
                <w:rFonts w:eastAsiaTheme="minorEastAsia"/>
                <w:b/>
                <w:bCs/>
                <w:vertAlign w:val="superscript"/>
                <w:lang w:eastAsia="en-AU"/>
              </w:rPr>
              <w:t xml:space="preserve"> (</w:t>
            </w:r>
            <w:r w:rsidRPr="00B714F2">
              <w:rPr>
                <w:rFonts w:eastAsiaTheme="minorEastAsia" w:cs="Calibri"/>
                <w:b/>
                <w:bCs/>
                <w:color w:val="000000"/>
                <w:szCs w:val="22"/>
                <w:vertAlign w:val="superscript"/>
                <w:lang w:eastAsia="en-AU"/>
              </w:rPr>
              <w:t>b)</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57 400.7</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56 156.1</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 xml:space="preserve">Payments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Payments for employees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sidRPr="00B714F2">
              <w:rPr>
                <w:rFonts w:eastAsiaTheme="minorEastAsia"/>
                <w:lang w:eastAsia="en-AU"/>
              </w:rPr>
              <w:t xml:space="preserve"> (19 620.9)</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sidRPr="00B714F2">
              <w:rPr>
                <w:rFonts w:eastAsiaTheme="minorEastAsia"/>
                <w:lang w:eastAsia="en-AU"/>
              </w:rPr>
              <w:t xml:space="preserve"> (18 904.4)</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Superannuation</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(2 877.5)</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(2 788.4)</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Interest paid</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(2 743.3)</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(2 722.9)</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Grants and subsidies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(5 749.3)</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(5 041.9)</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cs="Calibri"/>
                <w:color w:val="000000"/>
                <w:szCs w:val="22"/>
                <w:vertAlign w:val="superscript"/>
                <w:lang w:eastAsia="en-AU"/>
              </w:rPr>
            </w:pPr>
            <w:r w:rsidRPr="00B714F2">
              <w:rPr>
                <w:rFonts w:eastAsiaTheme="minorEastAsia"/>
                <w:lang w:eastAsia="en-AU"/>
              </w:rPr>
              <w:t>Goods and services</w:t>
            </w:r>
            <w:r w:rsidRPr="00E96950">
              <w:rPr>
                <w:rFonts w:eastAsiaTheme="minorEastAsia"/>
                <w:vertAlign w:val="superscript"/>
                <w:lang w:eastAsia="en-AU"/>
              </w:rPr>
              <w:t xml:space="preserve"> (</w:t>
            </w:r>
            <w:r w:rsidRPr="00B714F2">
              <w:rPr>
                <w:rFonts w:eastAsiaTheme="minorEastAsia" w:cs="Calibri"/>
                <w:color w:val="000000"/>
                <w:szCs w:val="22"/>
                <w:vertAlign w:val="superscript"/>
                <w:lang w:eastAsia="en-AU"/>
              </w:rPr>
              <w:t>a)</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(20 129.0)</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(20 287.9)</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Other payments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(1 061.8)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lang w:eastAsia="en-AU"/>
              </w:rPr>
              <w:t>(</w:t>
            </w:r>
            <w:r w:rsidRPr="00B714F2">
              <w:rPr>
                <w:rFonts w:eastAsiaTheme="minorEastAsia" w:cs="Calibri"/>
                <w:color w:val="000000"/>
                <w:szCs w:val="22"/>
                <w:lang w:eastAsia="en-AU"/>
              </w:rPr>
              <w:t>818.3)</w:t>
            </w:r>
          </w:p>
        </w:tc>
      </w:tr>
      <w:tr w:rsidR="00336793" w:rsidRPr="00B714F2" w:rsidTr="00DF0B96">
        <w:tc>
          <w:tcPr>
            <w:tcW w:w="7397"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Total payments</w:t>
            </w:r>
          </w:p>
        </w:tc>
        <w:tc>
          <w:tcPr>
            <w:tcW w:w="1120"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(52 181.9)</w:t>
            </w:r>
          </w:p>
        </w:tc>
        <w:tc>
          <w:tcPr>
            <w:tcW w:w="1120"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(50 563.9)</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cs="Calibri"/>
                <w:b/>
                <w:bCs/>
                <w:color w:val="000000"/>
                <w:szCs w:val="22"/>
                <w:vertAlign w:val="superscript"/>
                <w:lang w:eastAsia="en-AU"/>
              </w:rPr>
            </w:pPr>
            <w:r w:rsidRPr="00B714F2">
              <w:rPr>
                <w:rFonts w:eastAsiaTheme="minorEastAsia"/>
                <w:b/>
                <w:bCs/>
                <w:lang w:eastAsia="en-AU"/>
              </w:rPr>
              <w:t>Net cash flows from operating activities</w:t>
            </w:r>
            <w:r w:rsidRPr="00E96950">
              <w:rPr>
                <w:rFonts w:eastAsiaTheme="minorEastAsia"/>
                <w:b/>
                <w:bCs/>
                <w:vertAlign w:val="superscript"/>
                <w:lang w:eastAsia="en-AU"/>
              </w:rPr>
              <w:t xml:space="preserve"> (</w:t>
            </w:r>
            <w:r w:rsidRPr="00B714F2">
              <w:rPr>
                <w:rFonts w:eastAsiaTheme="minorEastAsia" w:cs="Calibri"/>
                <w:b/>
                <w:bCs/>
                <w:color w:val="000000"/>
                <w:szCs w:val="22"/>
                <w:vertAlign w:val="superscript"/>
                <w:lang w:eastAsia="en-AU"/>
              </w:rPr>
              <w:t>b)</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5 218.8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5 592.2</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Cash flows from investing activities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Purchases of non</w:t>
            </w:r>
            <w:r>
              <w:rPr>
                <w:rFonts w:eastAsiaTheme="minorEastAsia"/>
                <w:lang w:eastAsia="en-AU"/>
              </w:rPr>
              <w:noBreakHyphen/>
            </w:r>
            <w:r w:rsidRPr="00B714F2">
              <w:rPr>
                <w:rFonts w:eastAsiaTheme="minorEastAsia"/>
                <w:lang w:eastAsia="en-AU"/>
              </w:rPr>
              <w:t>financial assets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(6 604.5)</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(7 297.4)</w:t>
            </w:r>
          </w:p>
        </w:tc>
      </w:tr>
      <w:tr w:rsidR="00336793" w:rsidRPr="00B714F2" w:rsidTr="00DF0B96">
        <w:tc>
          <w:tcPr>
            <w:tcW w:w="7397" w:type="dxa"/>
            <w:tcBorders>
              <w:top w:val="nil"/>
              <w:left w:val="nil"/>
              <w:bottom w:val="single" w:sz="6" w:space="0" w:color="000000"/>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Sales of non</w:t>
            </w:r>
            <w:r>
              <w:rPr>
                <w:rFonts w:eastAsiaTheme="minorEastAsia"/>
                <w:lang w:eastAsia="en-AU"/>
              </w:rPr>
              <w:noBreakHyphen/>
            </w:r>
            <w:r w:rsidRPr="00B714F2">
              <w:rPr>
                <w:rFonts w:eastAsiaTheme="minorEastAsia"/>
                <w:lang w:eastAsia="en-AU"/>
              </w:rPr>
              <w:t>financial assets</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593.7</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477.3</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Cash flows from investments in non</w:t>
            </w:r>
            <w:r>
              <w:rPr>
                <w:rFonts w:eastAsiaTheme="minorEastAsia"/>
                <w:b/>
                <w:bCs/>
                <w:lang w:eastAsia="en-AU"/>
              </w:rPr>
              <w:noBreakHyphen/>
            </w:r>
            <w:r w:rsidRPr="00B714F2">
              <w:rPr>
                <w:rFonts w:eastAsiaTheme="minorEastAsia"/>
                <w:b/>
                <w:bCs/>
                <w:lang w:eastAsia="en-AU"/>
              </w:rPr>
              <w:t>financial assets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(6 010.8)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(6 820.1)</w:t>
            </w:r>
          </w:p>
        </w:tc>
      </w:tr>
      <w:tr w:rsidR="00336793" w:rsidRPr="00B714F2" w:rsidTr="00DF0B96">
        <w:tc>
          <w:tcPr>
            <w:tcW w:w="7397" w:type="dxa"/>
            <w:tcBorders>
              <w:top w:val="nil"/>
              <w:left w:val="nil"/>
              <w:bottom w:val="single" w:sz="6" w:space="0" w:color="000000"/>
              <w:right w:val="nil"/>
            </w:tcBorders>
            <w:shd w:val="solid" w:color="FFFFFF" w:fill="auto"/>
          </w:tcPr>
          <w:p w:rsidR="00336793" w:rsidRPr="00B714F2" w:rsidRDefault="00336793" w:rsidP="00DF0B96">
            <w:pPr>
              <w:pStyle w:val="Tabletext"/>
              <w:rPr>
                <w:rFonts w:eastAsiaTheme="minorEastAsia" w:cs="Calibri"/>
                <w:color w:val="000000"/>
                <w:szCs w:val="22"/>
                <w:vertAlign w:val="superscript"/>
                <w:lang w:eastAsia="en-AU"/>
              </w:rPr>
            </w:pPr>
            <w:r w:rsidRPr="00B714F2">
              <w:rPr>
                <w:rFonts w:eastAsiaTheme="minorEastAsia"/>
                <w:lang w:eastAsia="en-AU"/>
              </w:rPr>
              <w:t>Net cash flows from investments in financial assets for policy purposes</w:t>
            </w:r>
            <w:r w:rsidRPr="00E96950">
              <w:rPr>
                <w:rFonts w:eastAsiaTheme="minorEastAsia"/>
                <w:vertAlign w:val="superscript"/>
                <w:lang w:eastAsia="en-AU"/>
              </w:rPr>
              <w:t xml:space="preserve"> (</w:t>
            </w:r>
            <w:r w:rsidRPr="00B714F2">
              <w:rPr>
                <w:rFonts w:eastAsiaTheme="minorEastAsia" w:cs="Calibri"/>
                <w:color w:val="000000"/>
                <w:szCs w:val="22"/>
                <w:vertAlign w:val="superscript"/>
                <w:lang w:eastAsia="en-AU"/>
              </w:rPr>
              <w:t>b)</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199.4</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85.1</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cs="Calibri"/>
                <w:b/>
                <w:bCs/>
                <w:color w:val="000000"/>
                <w:szCs w:val="22"/>
                <w:vertAlign w:val="superscript"/>
                <w:lang w:eastAsia="en-AU"/>
              </w:rPr>
            </w:pPr>
            <w:r w:rsidRPr="00B714F2">
              <w:rPr>
                <w:rFonts w:eastAsiaTheme="minorEastAsia"/>
                <w:b/>
                <w:bCs/>
                <w:lang w:eastAsia="en-AU"/>
              </w:rPr>
              <w:t>Sub</w:t>
            </w:r>
            <w:r>
              <w:rPr>
                <w:rFonts w:eastAsiaTheme="minorEastAsia"/>
                <w:b/>
                <w:bCs/>
                <w:lang w:eastAsia="en-AU"/>
              </w:rPr>
              <w:noBreakHyphen/>
            </w:r>
            <w:r w:rsidRPr="00B714F2">
              <w:rPr>
                <w:rFonts w:eastAsiaTheme="minorEastAsia"/>
                <w:b/>
                <w:bCs/>
                <w:lang w:eastAsia="en-AU"/>
              </w:rPr>
              <w:t>total</w:t>
            </w:r>
            <w:r w:rsidRPr="00E96950">
              <w:rPr>
                <w:rFonts w:eastAsiaTheme="minorEastAsia"/>
                <w:b/>
                <w:bCs/>
                <w:vertAlign w:val="superscript"/>
                <w:lang w:eastAsia="en-AU"/>
              </w:rPr>
              <w:t xml:space="preserve"> (</w:t>
            </w:r>
            <w:r w:rsidRPr="00B714F2">
              <w:rPr>
                <w:rFonts w:eastAsiaTheme="minorEastAsia" w:cs="Calibri"/>
                <w:b/>
                <w:bCs/>
                <w:color w:val="000000"/>
                <w:szCs w:val="22"/>
                <w:vertAlign w:val="superscript"/>
                <w:lang w:eastAsia="en-AU"/>
              </w:rPr>
              <w:t>b)</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(5 811.4)</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(6 735.0)</w:t>
            </w:r>
          </w:p>
        </w:tc>
      </w:tr>
      <w:tr w:rsidR="00336793" w:rsidRPr="00B714F2" w:rsidTr="00DF0B96">
        <w:tc>
          <w:tcPr>
            <w:tcW w:w="7397" w:type="dxa"/>
            <w:tcBorders>
              <w:top w:val="nil"/>
              <w:left w:val="nil"/>
              <w:bottom w:val="single" w:sz="6" w:space="0" w:color="000000"/>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Net cash flows from investments in financial assets for liquidity management purposes</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lang w:eastAsia="en-AU"/>
              </w:rPr>
              <w:t>(</w:t>
            </w:r>
            <w:r w:rsidRPr="00B714F2">
              <w:rPr>
                <w:rFonts w:eastAsiaTheme="minorEastAsia" w:cs="Calibri"/>
                <w:color w:val="000000"/>
                <w:szCs w:val="22"/>
                <w:lang w:eastAsia="en-AU"/>
              </w:rPr>
              <w:t>270.5)</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316.8</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cs="Calibri"/>
                <w:b/>
                <w:bCs/>
                <w:color w:val="000000"/>
                <w:szCs w:val="22"/>
                <w:vertAlign w:val="superscript"/>
                <w:lang w:eastAsia="en-AU"/>
              </w:rPr>
            </w:pPr>
            <w:r w:rsidRPr="00B714F2">
              <w:rPr>
                <w:rFonts w:eastAsiaTheme="minorEastAsia"/>
                <w:b/>
                <w:bCs/>
                <w:lang w:eastAsia="en-AU"/>
              </w:rPr>
              <w:t>Net cash flows from investing activities</w:t>
            </w:r>
            <w:r w:rsidRPr="00E96950">
              <w:rPr>
                <w:rFonts w:eastAsiaTheme="minorEastAsia"/>
                <w:b/>
                <w:bCs/>
                <w:vertAlign w:val="superscript"/>
                <w:lang w:eastAsia="en-AU"/>
              </w:rPr>
              <w:t xml:space="preserve"> (</w:t>
            </w:r>
            <w:r w:rsidRPr="00B714F2">
              <w:rPr>
                <w:rFonts w:eastAsiaTheme="minorEastAsia" w:cs="Calibri"/>
                <w:b/>
                <w:bCs/>
                <w:color w:val="000000"/>
                <w:szCs w:val="22"/>
                <w:vertAlign w:val="superscript"/>
                <w:lang w:eastAsia="en-AU"/>
              </w:rPr>
              <w:t>b)</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(6 081.9)</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(6 418.2)</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Cash flows from financing activities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Advances received (net)</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lang w:eastAsia="en-AU"/>
              </w:rPr>
              <w:t>(</w:t>
            </w:r>
            <w:r w:rsidRPr="00B714F2">
              <w:rPr>
                <w:rFonts w:eastAsiaTheme="minorEastAsia" w:cs="Calibri"/>
                <w:color w:val="000000"/>
                <w:szCs w:val="22"/>
                <w:lang w:eastAsia="en-AU"/>
              </w:rPr>
              <w:t>0.6)</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Net borrowings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575.4</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1 671.0</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Deposits received (net)</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95.2</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lang w:eastAsia="en-AU"/>
              </w:rPr>
              <w:t>(</w:t>
            </w:r>
            <w:r w:rsidRPr="00B714F2">
              <w:rPr>
                <w:rFonts w:eastAsiaTheme="minorEastAsia" w:cs="Calibri"/>
                <w:color w:val="000000"/>
                <w:szCs w:val="22"/>
                <w:lang w:eastAsia="en-AU"/>
              </w:rPr>
              <w:t>41.4)</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Other financing (net)</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color w:val="000000"/>
                <w:szCs w:val="22"/>
                <w:lang w:eastAsia="en-AU"/>
              </w:rPr>
            </w:pPr>
            <w:r>
              <w:rPr>
                <w:rFonts w:eastAsiaTheme="minorEastAsia"/>
                <w:lang w:eastAsia="en-AU"/>
              </w:rPr>
              <w:t>..</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3.0</w:t>
            </w:r>
          </w:p>
        </w:tc>
      </w:tr>
      <w:tr w:rsidR="00336793" w:rsidRPr="00B714F2" w:rsidTr="00DF0B96">
        <w:tc>
          <w:tcPr>
            <w:tcW w:w="7397"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Net cash flows from financing activities</w:t>
            </w:r>
          </w:p>
        </w:tc>
        <w:tc>
          <w:tcPr>
            <w:tcW w:w="1120"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670.7</w:t>
            </w:r>
          </w:p>
        </w:tc>
        <w:tc>
          <w:tcPr>
            <w:tcW w:w="1120" w:type="dxa"/>
            <w:tcBorders>
              <w:top w:val="single" w:sz="6" w:space="0" w:color="000000"/>
              <w:left w:val="nil"/>
              <w:bottom w:val="single" w:sz="6" w:space="0" w:color="000000"/>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1 632.0</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 xml:space="preserve">Net increase/(decrease) in cash and cash equivalents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B714F2">
              <w:rPr>
                <w:rFonts w:eastAsiaTheme="minorEastAsia" w:cs="Calibri"/>
                <w:b/>
                <w:bCs/>
                <w:color w:val="000000"/>
                <w:szCs w:val="22"/>
                <w:lang w:eastAsia="en-AU"/>
              </w:rPr>
              <w:t>192.4)</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806.1</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Cash and cash equivalents at beginning of reporting period</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5 565.9</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4 759.8</w:t>
            </w:r>
          </w:p>
        </w:tc>
      </w:tr>
      <w:tr w:rsidR="00336793" w:rsidRPr="00B714F2" w:rsidTr="00DF0B96">
        <w:tc>
          <w:tcPr>
            <w:tcW w:w="7397" w:type="dxa"/>
            <w:tcBorders>
              <w:top w:val="single" w:sz="6" w:space="0" w:color="000000"/>
              <w:left w:val="nil"/>
              <w:bottom w:val="nil"/>
              <w:right w:val="nil"/>
            </w:tcBorders>
            <w:shd w:val="solid" w:color="FFFFFF" w:fill="auto"/>
          </w:tcPr>
          <w:p w:rsidR="00336793" w:rsidRPr="00B714F2" w:rsidRDefault="00336793" w:rsidP="00DF0B96">
            <w:pPr>
              <w:pStyle w:val="Tabletext"/>
              <w:rPr>
                <w:rFonts w:eastAsiaTheme="minorEastAsia" w:cs="Calibri"/>
                <w:b/>
                <w:bCs/>
                <w:color w:val="000000"/>
                <w:szCs w:val="22"/>
                <w:vertAlign w:val="superscript"/>
                <w:lang w:eastAsia="en-AU"/>
              </w:rPr>
            </w:pPr>
            <w:r w:rsidRPr="00B714F2">
              <w:rPr>
                <w:rFonts w:eastAsiaTheme="minorEastAsia"/>
                <w:b/>
                <w:bCs/>
                <w:lang w:eastAsia="en-AU"/>
              </w:rPr>
              <w:t>Cash and cash equivalents at end of the financial year</w:t>
            </w:r>
            <w:r w:rsidRPr="00E96950">
              <w:rPr>
                <w:rFonts w:eastAsiaTheme="minorEastAsia"/>
                <w:b/>
                <w:bCs/>
                <w:vertAlign w:val="superscript"/>
                <w:lang w:eastAsia="en-AU"/>
              </w:rPr>
              <w:t xml:space="preserve"> (</w:t>
            </w:r>
            <w:r w:rsidRPr="00B714F2">
              <w:rPr>
                <w:rFonts w:eastAsiaTheme="minorEastAsia" w:cs="Calibri"/>
                <w:b/>
                <w:bCs/>
                <w:color w:val="000000"/>
                <w:szCs w:val="22"/>
                <w:vertAlign w:val="superscript"/>
                <w:lang w:eastAsia="en-AU"/>
              </w:rPr>
              <w:t>c)</w:t>
            </w:r>
          </w:p>
        </w:tc>
        <w:tc>
          <w:tcPr>
            <w:tcW w:w="112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5 373.5</w:t>
            </w:r>
          </w:p>
        </w:tc>
        <w:tc>
          <w:tcPr>
            <w:tcW w:w="1120" w:type="dxa"/>
            <w:tcBorders>
              <w:top w:val="single" w:sz="6" w:space="0" w:color="000000"/>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5 565.9</w:t>
            </w:r>
          </w:p>
        </w:tc>
      </w:tr>
      <w:tr w:rsidR="00336793" w:rsidRPr="00B714F2" w:rsidTr="00DF0B96">
        <w:trPr>
          <w:trHeight w:hRule="exact" w:val="120"/>
        </w:trPr>
        <w:tc>
          <w:tcPr>
            <w:tcW w:w="7397" w:type="dxa"/>
            <w:tcBorders>
              <w:top w:val="single" w:sz="12" w:space="0" w:color="000000"/>
              <w:left w:val="nil"/>
              <w:bottom w:val="nil"/>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 xml:space="preserve"> </w:t>
            </w:r>
          </w:p>
        </w:tc>
        <w:tc>
          <w:tcPr>
            <w:tcW w:w="1120" w:type="dxa"/>
            <w:tcBorders>
              <w:top w:val="single" w:sz="12" w:space="0" w:color="000000"/>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w:t>
            </w:r>
          </w:p>
        </w:tc>
        <w:tc>
          <w:tcPr>
            <w:tcW w:w="1120" w:type="dxa"/>
            <w:tcBorders>
              <w:top w:val="single" w:sz="12" w:space="0" w:color="000000"/>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b/>
                <w:bCs/>
                <w:lang w:eastAsia="en-AU"/>
              </w:rPr>
            </w:pPr>
            <w:r w:rsidRPr="00B714F2">
              <w:rPr>
                <w:rFonts w:eastAsiaTheme="minorEastAsia"/>
                <w:b/>
                <w:bCs/>
                <w:lang w:eastAsia="en-AU"/>
              </w:rPr>
              <w:t>FISCAL AGGREGATES</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w:t>
            </w:r>
          </w:p>
        </w:tc>
      </w:tr>
      <w:tr w:rsidR="00336793" w:rsidRPr="00B714F2" w:rsidTr="00DF0B96">
        <w:tc>
          <w:tcPr>
            <w:tcW w:w="7397" w:type="dxa"/>
            <w:tcBorders>
              <w:top w:val="nil"/>
              <w:left w:val="nil"/>
              <w:bottom w:val="nil"/>
              <w:right w:val="nil"/>
            </w:tcBorders>
            <w:shd w:val="solid" w:color="FFFFFF" w:fill="auto"/>
          </w:tcPr>
          <w:p w:rsidR="00336793" w:rsidRPr="00B714F2" w:rsidRDefault="00336793" w:rsidP="00DF0B96">
            <w:pPr>
              <w:pStyle w:val="Tabletext"/>
              <w:rPr>
                <w:rFonts w:eastAsiaTheme="minorEastAsia" w:cs="Calibri"/>
                <w:color w:val="000000"/>
                <w:szCs w:val="22"/>
                <w:vertAlign w:val="superscript"/>
                <w:lang w:eastAsia="en-AU"/>
              </w:rPr>
            </w:pPr>
            <w:r w:rsidRPr="00B714F2">
              <w:rPr>
                <w:rFonts w:eastAsiaTheme="minorEastAsia"/>
                <w:lang w:eastAsia="en-AU"/>
              </w:rPr>
              <w:t>Net cash flows from operating activities</w:t>
            </w:r>
            <w:r w:rsidRPr="00E96950">
              <w:rPr>
                <w:rFonts w:eastAsiaTheme="minorEastAsia"/>
                <w:vertAlign w:val="superscript"/>
                <w:lang w:eastAsia="en-AU"/>
              </w:rPr>
              <w:t xml:space="preserve"> (</w:t>
            </w:r>
            <w:r w:rsidRPr="00B714F2">
              <w:rPr>
                <w:rFonts w:eastAsiaTheme="minorEastAsia" w:cs="Calibri"/>
                <w:color w:val="000000"/>
                <w:szCs w:val="22"/>
                <w:vertAlign w:val="superscript"/>
                <w:lang w:eastAsia="en-AU"/>
              </w:rPr>
              <w:t>b)</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5 218.8</w:t>
            </w:r>
          </w:p>
        </w:tc>
        <w:tc>
          <w:tcPr>
            <w:tcW w:w="1120" w:type="dxa"/>
            <w:tcBorders>
              <w:top w:val="nil"/>
              <w:left w:val="nil"/>
              <w:bottom w:val="nil"/>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5 592.2</w:t>
            </w:r>
          </w:p>
        </w:tc>
      </w:tr>
      <w:tr w:rsidR="00336793" w:rsidRPr="00B714F2" w:rsidTr="00DF0B96">
        <w:tc>
          <w:tcPr>
            <w:tcW w:w="7397" w:type="dxa"/>
            <w:tcBorders>
              <w:top w:val="nil"/>
              <w:left w:val="nil"/>
              <w:bottom w:val="single" w:sz="6" w:space="0" w:color="000000"/>
              <w:right w:val="nil"/>
            </w:tcBorders>
            <w:shd w:val="solid" w:color="FFFFFF" w:fill="auto"/>
          </w:tcPr>
          <w:p w:rsidR="00336793" w:rsidRPr="00B714F2" w:rsidRDefault="00336793" w:rsidP="00DF0B96">
            <w:pPr>
              <w:pStyle w:val="Tabletext"/>
              <w:rPr>
                <w:rFonts w:eastAsiaTheme="minorEastAsia"/>
                <w:lang w:eastAsia="en-AU"/>
              </w:rPr>
            </w:pPr>
            <w:r w:rsidRPr="00B714F2">
              <w:rPr>
                <w:rFonts w:eastAsiaTheme="minorEastAsia"/>
                <w:lang w:eastAsia="en-AU"/>
              </w:rPr>
              <w:t>Net cash flows from investments in non</w:t>
            </w:r>
            <w:r>
              <w:rPr>
                <w:rFonts w:eastAsiaTheme="minorEastAsia"/>
                <w:lang w:eastAsia="en-AU"/>
              </w:rPr>
              <w:noBreakHyphen/>
            </w:r>
            <w:r w:rsidRPr="00B714F2">
              <w:rPr>
                <w:rFonts w:eastAsiaTheme="minorEastAsia"/>
                <w:lang w:eastAsia="en-AU"/>
              </w:rPr>
              <w:t>financial assets</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(6 010.8)</w:t>
            </w:r>
          </w:p>
        </w:tc>
        <w:tc>
          <w:tcPr>
            <w:tcW w:w="1120" w:type="dxa"/>
            <w:tcBorders>
              <w:top w:val="nil"/>
              <w:left w:val="nil"/>
              <w:bottom w:val="single" w:sz="6" w:space="0" w:color="000000"/>
              <w:right w:val="nil"/>
            </w:tcBorders>
            <w:shd w:val="solid" w:color="FFFFFF" w:fill="auto"/>
          </w:tcPr>
          <w:p w:rsidR="00336793" w:rsidRPr="00B714F2" w:rsidRDefault="00336793" w:rsidP="00DF0B96">
            <w:pPr>
              <w:pStyle w:val="TableofFigures"/>
              <w:rPr>
                <w:rFonts w:eastAsiaTheme="minorEastAsia"/>
                <w:lang w:eastAsia="en-AU"/>
              </w:rPr>
            </w:pPr>
            <w:r w:rsidRPr="00B714F2">
              <w:rPr>
                <w:rFonts w:eastAsiaTheme="minorEastAsia"/>
                <w:lang w:eastAsia="en-AU"/>
              </w:rPr>
              <w:t xml:space="preserve"> (6 820.1)</w:t>
            </w:r>
          </w:p>
        </w:tc>
      </w:tr>
      <w:tr w:rsidR="00336793" w:rsidRPr="00B714F2" w:rsidTr="00DF0B96">
        <w:tc>
          <w:tcPr>
            <w:tcW w:w="7397"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text"/>
              <w:rPr>
                <w:rFonts w:eastAsiaTheme="minorEastAsia" w:cs="Calibri"/>
                <w:b/>
                <w:bCs/>
                <w:color w:val="000000"/>
                <w:szCs w:val="22"/>
                <w:vertAlign w:val="superscript"/>
                <w:lang w:eastAsia="en-AU"/>
              </w:rPr>
            </w:pPr>
            <w:r w:rsidRPr="00B714F2">
              <w:rPr>
                <w:rFonts w:eastAsiaTheme="minorEastAsia"/>
                <w:b/>
                <w:bCs/>
                <w:lang w:eastAsia="en-AU"/>
              </w:rPr>
              <w:t>Cash surplus/(deficit)</w:t>
            </w:r>
            <w:r w:rsidRPr="00B714F2">
              <w:rPr>
                <w:rFonts w:eastAsiaTheme="minorEastAsia"/>
                <w:b/>
                <w:bCs/>
                <w:vertAlign w:val="superscript"/>
                <w:lang w:eastAsia="en-AU"/>
              </w:rPr>
              <w:t>(</w:t>
            </w:r>
            <w:r w:rsidRPr="00B714F2">
              <w:rPr>
                <w:rFonts w:eastAsiaTheme="minorEastAsia" w:cs="Calibri"/>
                <w:b/>
                <w:bCs/>
                <w:color w:val="000000"/>
                <w:szCs w:val="22"/>
                <w:vertAlign w:val="superscript"/>
                <w:lang w:eastAsia="en-AU"/>
              </w:rPr>
              <w:t>b)</w:t>
            </w:r>
          </w:p>
        </w:tc>
        <w:tc>
          <w:tcPr>
            <w:tcW w:w="1120"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B714F2">
              <w:rPr>
                <w:rFonts w:eastAsiaTheme="minorEastAsia" w:cs="Calibri"/>
                <w:b/>
                <w:bCs/>
                <w:color w:val="000000"/>
                <w:szCs w:val="22"/>
                <w:lang w:eastAsia="en-AU"/>
              </w:rPr>
              <w:t>792.0)</w:t>
            </w:r>
          </w:p>
        </w:tc>
        <w:tc>
          <w:tcPr>
            <w:tcW w:w="1120" w:type="dxa"/>
            <w:tcBorders>
              <w:top w:val="single" w:sz="6" w:space="0" w:color="000000"/>
              <w:left w:val="nil"/>
              <w:bottom w:val="single" w:sz="12" w:space="0" w:color="000000"/>
              <w:right w:val="nil"/>
            </w:tcBorders>
            <w:shd w:val="solid" w:color="FFFFFF" w:fill="auto"/>
          </w:tcPr>
          <w:p w:rsidR="00336793" w:rsidRPr="00B714F2" w:rsidRDefault="00336793" w:rsidP="00DF0B96">
            <w:pPr>
              <w:pStyle w:val="TableofFigures"/>
              <w:rPr>
                <w:rFonts w:eastAsiaTheme="minorEastAsia"/>
                <w:b/>
                <w:bCs/>
                <w:lang w:eastAsia="en-AU"/>
              </w:rPr>
            </w:pPr>
            <w:r w:rsidRPr="00B714F2">
              <w:rPr>
                <w:rFonts w:eastAsiaTheme="minorEastAsia"/>
                <w:b/>
                <w:bCs/>
                <w:lang w:eastAsia="en-AU"/>
              </w:rPr>
              <w:t xml:space="preserve"> (1 227.9)</w:t>
            </w:r>
          </w:p>
        </w:tc>
      </w:tr>
    </w:tbl>
    <w:p w:rsidR="00336793" w:rsidRDefault="00336793" w:rsidP="00DF0B96">
      <w:pPr>
        <w:pStyle w:val="Source"/>
      </w:pPr>
      <w:r>
        <w:t>Source: Department of Treasury and Finance</w:t>
      </w:r>
    </w:p>
    <w:p w:rsidR="00336793" w:rsidRPr="006A75A2" w:rsidRDefault="00336793" w:rsidP="00DF0B96">
      <w:pPr>
        <w:pStyle w:val="Notes"/>
      </w:pPr>
      <w:r>
        <w:t>Notes</w:t>
      </w:r>
      <w:r w:rsidRPr="006A75A2">
        <w:t>:</w:t>
      </w:r>
    </w:p>
    <w:p w:rsidR="00336793" w:rsidRDefault="00336793" w:rsidP="00DF0B96">
      <w:pPr>
        <w:pStyle w:val="Notes"/>
      </w:pPr>
      <w:r>
        <w:t>(a)</w:t>
      </w:r>
      <w:r>
        <w:tab/>
        <w:t>These items are inclusive of goods and services tax.</w:t>
      </w:r>
    </w:p>
    <w:p w:rsidR="00336793" w:rsidRDefault="00336793" w:rsidP="00DF0B96">
      <w:pPr>
        <w:pStyle w:val="Notes"/>
      </w:pPr>
      <w:r>
        <w:t>(b)</w:t>
      </w:r>
      <w:r>
        <w:tab/>
        <w:t>June 2014 comparative figures have been restated. See Chapter 4, Note 37</w:t>
      </w:r>
      <w:r w:rsidRPr="006A75A2">
        <w:t>.</w:t>
      </w:r>
    </w:p>
    <w:p w:rsidR="00336793" w:rsidRDefault="00336793" w:rsidP="00DF0B96">
      <w:pPr>
        <w:pStyle w:val="Notes"/>
      </w:pPr>
      <w:r>
        <w:t>(c)</w:t>
      </w:r>
      <w:r>
        <w:tab/>
      </w:r>
      <w:r w:rsidRPr="00BD6814">
        <w:rPr>
          <w:szCs w:val="16"/>
        </w:rPr>
        <w:t>Cash and cash equivalents at the end of the reporting period does not equal cash and deposits on the balance sheet. This is due to overdrafts being included in the cash flow statement balances.</w:t>
      </w:r>
    </w:p>
    <w:p w:rsidR="00336793" w:rsidRDefault="00336793" w:rsidP="00DF0B96">
      <w:pPr>
        <w:pStyle w:val="Notes"/>
      </w:pPr>
    </w:p>
    <w:p w:rsidR="00336793" w:rsidRDefault="00336793" w:rsidP="00DF0B96"/>
    <w:p w:rsidR="00336793" w:rsidRDefault="00336793" w:rsidP="00DF0B96">
      <w:pPr>
        <w:sectPr w:rsidR="00336793" w:rsidSect="00FA2033">
          <w:headerReference w:type="even" r:id="rId145"/>
          <w:headerReference w:type="default" r:id="rId146"/>
          <w:footerReference w:type="even" r:id="rId147"/>
          <w:footerReference w:type="default" r:id="rId148"/>
          <w:headerReference w:type="first" r:id="rId149"/>
          <w:footerReference w:type="first" r:id="rId150"/>
          <w:type w:val="oddPage"/>
          <w:pgSz w:w="11906" w:h="16838" w:code="9"/>
          <w:pgMar w:top="1152" w:right="1152" w:bottom="1152" w:left="1152" w:header="720" w:footer="720" w:gutter="0"/>
          <w:cols w:space="708"/>
          <w:docGrid w:linePitch="360"/>
        </w:sectPr>
      </w:pPr>
    </w:p>
    <w:p w:rsidR="00336793" w:rsidRPr="002C6A10" w:rsidRDefault="00336793" w:rsidP="00DF0B96">
      <w:pPr>
        <w:pStyle w:val="Tableheading"/>
      </w:pPr>
      <w:r w:rsidRPr="002C6A10">
        <w:lastRenderedPageBreak/>
        <w:t>Table 5.4:</w:t>
      </w:r>
      <w:r w:rsidRPr="002C6A10">
        <w:tab/>
        <w:t>Non</w:t>
      </w:r>
      <w:r>
        <w:noBreakHyphen/>
      </w:r>
      <w:r w:rsidRPr="002C6A10">
        <w:t>financial public sector statement of changes in equity</w:t>
      </w:r>
    </w:p>
    <w:p w:rsidR="00336793" w:rsidRPr="00E51B8A" w:rsidRDefault="00336793" w:rsidP="00DF0B96">
      <w:pPr>
        <w:pStyle w:val="million"/>
        <w:rPr>
          <w:rFonts w:ascii="Times New Roman" w:hAnsi="Times New Roman"/>
          <w:lang w:eastAsia="en-AU"/>
        </w:rPr>
      </w:pPr>
      <w:r>
        <w:t>($ million)</w:t>
      </w:r>
    </w:p>
    <w:tbl>
      <w:tblPr>
        <w:tblW w:w="14570" w:type="dxa"/>
        <w:tblInd w:w="28" w:type="dxa"/>
        <w:tblLayout w:type="fixed"/>
        <w:tblCellMar>
          <w:left w:w="45" w:type="dxa"/>
          <w:right w:w="45" w:type="dxa"/>
        </w:tblCellMar>
        <w:tblLook w:val="0000" w:firstRow="0" w:lastRow="0" w:firstColumn="0" w:lastColumn="0" w:noHBand="0" w:noVBand="0"/>
      </w:tblPr>
      <w:tblGrid>
        <w:gridCol w:w="5597"/>
        <w:gridCol w:w="1530"/>
        <w:gridCol w:w="1440"/>
        <w:gridCol w:w="1803"/>
        <w:gridCol w:w="1797"/>
        <w:gridCol w:w="1350"/>
        <w:gridCol w:w="1053"/>
      </w:tblGrid>
      <w:tr w:rsidR="00336793" w:rsidRPr="00E51B8A" w:rsidTr="00D96F49">
        <w:tc>
          <w:tcPr>
            <w:tcW w:w="5597" w:type="dxa"/>
            <w:tcBorders>
              <w:top w:val="single" w:sz="6" w:space="0" w:color="auto"/>
              <w:left w:val="single" w:sz="6" w:space="0" w:color="auto"/>
              <w:bottom w:val="single" w:sz="6" w:space="0" w:color="auto"/>
              <w:right w:val="nil"/>
            </w:tcBorders>
            <w:shd w:val="clear" w:color="000000" w:fill="000000"/>
          </w:tcPr>
          <w:p w:rsidR="00336793" w:rsidRPr="00E51B8A" w:rsidRDefault="00336793" w:rsidP="00DF0B96">
            <w:pPr>
              <w:pStyle w:val="Tabletextheading"/>
              <w:jc w:val="left"/>
              <w:rPr>
                <w:rFonts w:eastAsiaTheme="minorEastAsia"/>
                <w:color w:val="FFFFFF"/>
                <w:sz w:val="20"/>
                <w:lang w:eastAsia="en-AU"/>
              </w:rPr>
            </w:pPr>
            <w:r w:rsidRPr="00E51B8A">
              <w:rPr>
                <w:rFonts w:eastAsiaTheme="minorEastAsia"/>
                <w:color w:val="FFFFFF"/>
                <w:sz w:val="20"/>
                <w:lang w:eastAsia="en-AU"/>
              </w:rPr>
              <w:t xml:space="preserve"> </w:t>
            </w:r>
          </w:p>
        </w:tc>
        <w:tc>
          <w:tcPr>
            <w:tcW w:w="1530" w:type="dxa"/>
            <w:tcBorders>
              <w:top w:val="single" w:sz="6" w:space="0" w:color="auto"/>
              <w:left w:val="nil"/>
              <w:bottom w:val="single" w:sz="6" w:space="0" w:color="auto"/>
              <w:right w:val="nil"/>
            </w:tcBorders>
            <w:shd w:val="clear" w:color="000000" w:fill="000000"/>
            <w:vAlign w:val="bottom"/>
          </w:tcPr>
          <w:p w:rsidR="00336793" w:rsidRPr="00E51B8A" w:rsidRDefault="00336793" w:rsidP="00D96F49">
            <w:pPr>
              <w:pStyle w:val="Tabletextheading"/>
              <w:rPr>
                <w:rFonts w:eastAsiaTheme="minorEastAsia"/>
                <w:color w:val="FFFFFF"/>
                <w:sz w:val="20"/>
                <w:lang w:eastAsia="en-AU"/>
              </w:rPr>
            </w:pPr>
            <w:r w:rsidRPr="00E51B8A">
              <w:rPr>
                <w:rFonts w:eastAsiaTheme="minorEastAsia"/>
                <w:color w:val="FFFFFF"/>
                <w:sz w:val="20"/>
                <w:lang w:eastAsia="en-AU"/>
              </w:rPr>
              <w:t>Accumulated surplus/(deficit)</w:t>
            </w:r>
          </w:p>
        </w:tc>
        <w:tc>
          <w:tcPr>
            <w:tcW w:w="1440" w:type="dxa"/>
            <w:tcBorders>
              <w:top w:val="single" w:sz="6" w:space="0" w:color="auto"/>
              <w:left w:val="nil"/>
              <w:bottom w:val="single" w:sz="6" w:space="0" w:color="auto"/>
              <w:right w:val="nil"/>
            </w:tcBorders>
            <w:shd w:val="clear" w:color="000000" w:fill="000000"/>
            <w:vAlign w:val="bottom"/>
          </w:tcPr>
          <w:p w:rsidR="00336793" w:rsidRPr="00E51B8A" w:rsidRDefault="00336793" w:rsidP="00D96F49">
            <w:pPr>
              <w:pStyle w:val="Tabletextheading"/>
              <w:rPr>
                <w:rFonts w:eastAsiaTheme="minorEastAsia" w:cs="Calibri"/>
                <w:iCs/>
                <w:color w:val="FFFFFF"/>
                <w:sz w:val="20"/>
                <w:szCs w:val="22"/>
                <w:lang w:eastAsia="en-AU"/>
              </w:rPr>
            </w:pPr>
            <w:r w:rsidRPr="00E51B8A">
              <w:rPr>
                <w:rFonts w:eastAsiaTheme="minorEastAsia"/>
                <w:color w:val="FFFFFF"/>
                <w:sz w:val="20"/>
                <w:lang w:eastAsia="en-AU"/>
              </w:rPr>
              <w:t>Non</w:t>
            </w:r>
            <w:r>
              <w:rPr>
                <w:rFonts w:eastAsiaTheme="minorEastAsia"/>
                <w:color w:val="FFFFFF"/>
                <w:sz w:val="20"/>
                <w:lang w:eastAsia="en-AU"/>
              </w:rPr>
              <w:noBreakHyphen/>
            </w:r>
            <w:r w:rsidRPr="00E51B8A">
              <w:rPr>
                <w:rFonts w:eastAsiaTheme="minorEastAsia"/>
                <w:color w:val="FFFFFF"/>
                <w:sz w:val="20"/>
                <w:lang w:eastAsia="en-AU"/>
              </w:rPr>
              <w:t xml:space="preserve">controlling </w:t>
            </w:r>
          </w:p>
          <w:p w:rsidR="00336793" w:rsidRPr="00E51B8A" w:rsidRDefault="00336793" w:rsidP="00D96F49">
            <w:pPr>
              <w:pStyle w:val="Tabletextheading"/>
              <w:rPr>
                <w:rFonts w:eastAsiaTheme="minorEastAsia"/>
                <w:color w:val="FFFFFF"/>
                <w:sz w:val="20"/>
                <w:lang w:eastAsia="en-AU"/>
              </w:rPr>
            </w:pPr>
            <w:r w:rsidRPr="00E51B8A">
              <w:rPr>
                <w:rFonts w:eastAsiaTheme="minorEastAsia"/>
                <w:color w:val="FFFFFF"/>
                <w:sz w:val="20"/>
                <w:lang w:eastAsia="en-AU"/>
              </w:rPr>
              <w:t>Interest</w:t>
            </w:r>
          </w:p>
        </w:tc>
        <w:tc>
          <w:tcPr>
            <w:tcW w:w="1803" w:type="dxa"/>
            <w:tcBorders>
              <w:top w:val="single" w:sz="6" w:space="0" w:color="auto"/>
              <w:left w:val="nil"/>
              <w:bottom w:val="single" w:sz="6" w:space="0" w:color="auto"/>
              <w:right w:val="nil"/>
            </w:tcBorders>
            <w:shd w:val="clear" w:color="000000" w:fill="000000"/>
            <w:vAlign w:val="bottom"/>
          </w:tcPr>
          <w:p w:rsidR="00336793" w:rsidRPr="00E51B8A" w:rsidRDefault="00336793" w:rsidP="00D96F49">
            <w:pPr>
              <w:pStyle w:val="Tabletextheading"/>
              <w:rPr>
                <w:rFonts w:eastAsiaTheme="minorEastAsia"/>
                <w:color w:val="FFFFFF"/>
                <w:sz w:val="20"/>
                <w:lang w:eastAsia="en-AU"/>
              </w:rPr>
            </w:pPr>
            <w:r w:rsidRPr="00E51B8A">
              <w:rPr>
                <w:rFonts w:eastAsiaTheme="minorEastAsia"/>
                <w:color w:val="FFFFFF"/>
                <w:sz w:val="20"/>
                <w:lang w:eastAsia="en-AU"/>
              </w:rPr>
              <w:t>Non</w:t>
            </w:r>
            <w:r>
              <w:rPr>
                <w:rFonts w:eastAsiaTheme="minorEastAsia"/>
                <w:color w:val="FFFFFF"/>
                <w:sz w:val="20"/>
                <w:lang w:eastAsia="en-AU"/>
              </w:rPr>
              <w:noBreakHyphen/>
            </w:r>
            <w:r w:rsidRPr="00E51B8A">
              <w:rPr>
                <w:rFonts w:eastAsiaTheme="minorEastAsia"/>
                <w:color w:val="FFFFFF"/>
                <w:sz w:val="20"/>
                <w:lang w:eastAsia="en-AU"/>
              </w:rPr>
              <w:t>financial assets</w:t>
            </w:r>
          </w:p>
          <w:p w:rsidR="00336793" w:rsidRPr="00E51B8A" w:rsidRDefault="00336793" w:rsidP="00D96F49">
            <w:pPr>
              <w:pStyle w:val="Tabletextheading"/>
              <w:rPr>
                <w:rFonts w:eastAsiaTheme="minorEastAsia" w:cs="Calibri"/>
                <w:iCs/>
                <w:color w:val="FFFFFF"/>
                <w:sz w:val="20"/>
                <w:szCs w:val="22"/>
                <w:vertAlign w:val="superscript"/>
                <w:lang w:eastAsia="en-AU"/>
              </w:rPr>
            </w:pPr>
            <w:r w:rsidRPr="00E51B8A">
              <w:rPr>
                <w:rFonts w:eastAsiaTheme="minorEastAsia"/>
                <w:color w:val="FFFFFF"/>
                <w:sz w:val="20"/>
                <w:lang w:eastAsia="en-AU"/>
              </w:rPr>
              <w:t xml:space="preserve"> revaluation surplus</w:t>
            </w:r>
            <w:r w:rsidRPr="00E51B8A">
              <w:rPr>
                <w:rFonts w:eastAsiaTheme="minorEastAsia"/>
                <w:color w:val="FFFFFF"/>
                <w:sz w:val="20"/>
                <w:vertAlign w:val="superscript"/>
                <w:lang w:eastAsia="en-AU"/>
              </w:rPr>
              <w:t>(a</w:t>
            </w:r>
            <w:r w:rsidRPr="00E51B8A">
              <w:rPr>
                <w:rFonts w:eastAsiaTheme="minorEastAsia" w:cs="Calibri"/>
                <w:iCs/>
                <w:color w:val="FFFFFF"/>
                <w:sz w:val="20"/>
                <w:szCs w:val="22"/>
                <w:vertAlign w:val="superscript"/>
                <w:lang w:eastAsia="en-AU"/>
              </w:rPr>
              <w:t>)</w:t>
            </w:r>
          </w:p>
        </w:tc>
        <w:tc>
          <w:tcPr>
            <w:tcW w:w="1797" w:type="dxa"/>
            <w:tcBorders>
              <w:top w:val="single" w:sz="6" w:space="0" w:color="auto"/>
              <w:left w:val="nil"/>
              <w:bottom w:val="single" w:sz="6" w:space="0" w:color="auto"/>
              <w:right w:val="nil"/>
            </w:tcBorders>
            <w:shd w:val="clear" w:color="000000" w:fill="000000"/>
            <w:vAlign w:val="bottom"/>
          </w:tcPr>
          <w:p w:rsidR="00336793" w:rsidRPr="00E51B8A" w:rsidRDefault="00336793" w:rsidP="00D96F49">
            <w:pPr>
              <w:pStyle w:val="Tabletextheading"/>
              <w:rPr>
                <w:rFonts w:eastAsiaTheme="minorEastAsia"/>
                <w:color w:val="FFFFFF"/>
                <w:sz w:val="20"/>
                <w:lang w:eastAsia="en-AU"/>
              </w:rPr>
            </w:pPr>
            <w:r w:rsidRPr="00E51B8A">
              <w:rPr>
                <w:rFonts w:eastAsiaTheme="minorEastAsia"/>
                <w:color w:val="FFFFFF"/>
                <w:sz w:val="20"/>
                <w:lang w:eastAsia="en-AU"/>
              </w:rPr>
              <w:t xml:space="preserve">Investment in other </w:t>
            </w:r>
          </w:p>
          <w:p w:rsidR="00336793" w:rsidRPr="00E51B8A" w:rsidRDefault="00336793" w:rsidP="00D96F49">
            <w:pPr>
              <w:pStyle w:val="Tabletextheading"/>
              <w:rPr>
                <w:rFonts w:eastAsiaTheme="minorEastAsia"/>
                <w:color w:val="FFFFFF"/>
                <w:sz w:val="20"/>
                <w:lang w:eastAsia="en-AU"/>
              </w:rPr>
            </w:pPr>
            <w:r w:rsidRPr="00E51B8A">
              <w:rPr>
                <w:rFonts w:eastAsiaTheme="minorEastAsia"/>
                <w:color w:val="FFFFFF"/>
                <w:sz w:val="20"/>
                <w:lang w:eastAsia="en-AU"/>
              </w:rPr>
              <w:t xml:space="preserve">sector entities </w:t>
            </w:r>
          </w:p>
          <w:p w:rsidR="00336793" w:rsidRPr="00E51B8A" w:rsidRDefault="00336793" w:rsidP="00D96F49">
            <w:pPr>
              <w:pStyle w:val="Tabletextheading"/>
              <w:rPr>
                <w:rFonts w:eastAsiaTheme="minorEastAsia"/>
                <w:color w:val="FFFFFF"/>
                <w:sz w:val="20"/>
                <w:lang w:eastAsia="en-AU"/>
              </w:rPr>
            </w:pPr>
            <w:r w:rsidRPr="00E51B8A">
              <w:rPr>
                <w:rFonts w:eastAsiaTheme="minorEastAsia"/>
                <w:color w:val="FFFFFF"/>
                <w:sz w:val="20"/>
                <w:lang w:eastAsia="en-AU"/>
              </w:rPr>
              <w:t>revaluation surplus</w:t>
            </w:r>
          </w:p>
        </w:tc>
        <w:tc>
          <w:tcPr>
            <w:tcW w:w="1350" w:type="dxa"/>
            <w:tcBorders>
              <w:top w:val="single" w:sz="6" w:space="0" w:color="auto"/>
              <w:left w:val="nil"/>
              <w:bottom w:val="single" w:sz="6" w:space="0" w:color="auto"/>
              <w:right w:val="nil"/>
            </w:tcBorders>
            <w:shd w:val="clear" w:color="000000" w:fill="000000"/>
            <w:vAlign w:val="bottom"/>
          </w:tcPr>
          <w:p w:rsidR="00336793" w:rsidRPr="00E51B8A" w:rsidRDefault="00336793" w:rsidP="00D96F49">
            <w:pPr>
              <w:pStyle w:val="Tabletextheading"/>
              <w:rPr>
                <w:rFonts w:eastAsiaTheme="minorEastAsia"/>
                <w:color w:val="FFFFFF"/>
                <w:sz w:val="20"/>
                <w:lang w:eastAsia="en-AU"/>
              </w:rPr>
            </w:pPr>
            <w:r w:rsidRPr="00E51B8A">
              <w:rPr>
                <w:rFonts w:eastAsiaTheme="minorEastAsia"/>
                <w:color w:val="FFFFFF"/>
                <w:sz w:val="20"/>
                <w:lang w:eastAsia="en-AU"/>
              </w:rPr>
              <w:t>Other reserves</w:t>
            </w:r>
          </w:p>
        </w:tc>
        <w:tc>
          <w:tcPr>
            <w:tcW w:w="1053" w:type="dxa"/>
            <w:tcBorders>
              <w:top w:val="single" w:sz="6" w:space="0" w:color="auto"/>
              <w:left w:val="nil"/>
              <w:bottom w:val="single" w:sz="6" w:space="0" w:color="auto"/>
              <w:right w:val="single" w:sz="6" w:space="0" w:color="auto"/>
            </w:tcBorders>
            <w:shd w:val="clear" w:color="000000" w:fill="000000"/>
            <w:vAlign w:val="bottom"/>
          </w:tcPr>
          <w:p w:rsidR="00336793" w:rsidRPr="00E51B8A" w:rsidRDefault="00336793" w:rsidP="00D96F49">
            <w:pPr>
              <w:pStyle w:val="Tabletextheading"/>
              <w:rPr>
                <w:rFonts w:eastAsiaTheme="minorEastAsia"/>
                <w:color w:val="FFFFFF"/>
                <w:sz w:val="20"/>
                <w:lang w:eastAsia="en-AU"/>
              </w:rPr>
            </w:pPr>
          </w:p>
          <w:p w:rsidR="00336793" w:rsidRPr="00E51B8A" w:rsidRDefault="00336793" w:rsidP="00D96F49">
            <w:pPr>
              <w:pStyle w:val="Tabletextheading"/>
              <w:rPr>
                <w:rFonts w:eastAsiaTheme="minorEastAsia"/>
                <w:color w:val="FFFFFF"/>
                <w:sz w:val="20"/>
                <w:lang w:eastAsia="en-AU"/>
              </w:rPr>
            </w:pPr>
            <w:r w:rsidRPr="00E51B8A">
              <w:rPr>
                <w:rFonts w:eastAsiaTheme="minorEastAsia"/>
                <w:color w:val="FFFFFF"/>
                <w:sz w:val="20"/>
                <w:lang w:eastAsia="en-AU"/>
              </w:rPr>
              <w:t>Total</w:t>
            </w:r>
          </w:p>
        </w:tc>
      </w:tr>
      <w:tr w:rsidR="00336793" w:rsidRPr="00E51B8A" w:rsidTr="00DF0B96">
        <w:tc>
          <w:tcPr>
            <w:tcW w:w="5597" w:type="dxa"/>
            <w:tcBorders>
              <w:top w:val="single" w:sz="6" w:space="0" w:color="auto"/>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2015</w:t>
            </w:r>
          </w:p>
        </w:tc>
        <w:tc>
          <w:tcPr>
            <w:tcW w:w="1530" w:type="dxa"/>
            <w:tcBorders>
              <w:top w:val="single" w:sz="6" w:space="0" w:color="auto"/>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c>
          <w:tcPr>
            <w:tcW w:w="1440" w:type="dxa"/>
            <w:tcBorders>
              <w:top w:val="single" w:sz="6" w:space="0" w:color="auto"/>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c>
          <w:tcPr>
            <w:tcW w:w="1803" w:type="dxa"/>
            <w:tcBorders>
              <w:top w:val="single" w:sz="6" w:space="0" w:color="auto"/>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c>
          <w:tcPr>
            <w:tcW w:w="1797" w:type="dxa"/>
            <w:tcBorders>
              <w:top w:val="single" w:sz="6" w:space="0" w:color="auto"/>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c>
          <w:tcPr>
            <w:tcW w:w="1350" w:type="dxa"/>
            <w:tcBorders>
              <w:top w:val="single" w:sz="6" w:space="0" w:color="auto"/>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c>
          <w:tcPr>
            <w:tcW w:w="1053" w:type="dxa"/>
            <w:tcBorders>
              <w:top w:val="single" w:sz="6" w:space="0" w:color="auto"/>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r>
      <w:tr w:rsidR="00336793" w:rsidRPr="00E51B8A" w:rsidTr="00DF0B96">
        <w:tc>
          <w:tcPr>
            <w:tcW w:w="5597"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Balance at 1 July 2014</w:t>
            </w:r>
          </w:p>
        </w:tc>
        <w:tc>
          <w:tcPr>
            <w:tcW w:w="153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47 091.3</w:t>
            </w:r>
          </w:p>
        </w:tc>
        <w:tc>
          <w:tcPr>
            <w:tcW w:w="144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50.0</w:t>
            </w:r>
          </w:p>
        </w:tc>
        <w:tc>
          <w:tcPr>
            <w:tcW w:w="180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85 434.7</w:t>
            </w:r>
          </w:p>
        </w:tc>
        <w:tc>
          <w:tcPr>
            <w:tcW w:w="1797"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2 604.2</w:t>
            </w:r>
          </w:p>
        </w:tc>
        <w:tc>
          <w:tcPr>
            <w:tcW w:w="135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979.9</w:t>
            </w:r>
          </w:p>
        </w:tc>
        <w:tc>
          <w:tcPr>
            <w:tcW w:w="105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136 160.2</w:t>
            </w:r>
          </w:p>
        </w:tc>
      </w:tr>
      <w:tr w:rsidR="00336793" w:rsidRPr="00E51B8A" w:rsidTr="00DF0B96">
        <w:tc>
          <w:tcPr>
            <w:tcW w:w="5597"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Net result for the year</w:t>
            </w:r>
          </w:p>
        </w:tc>
        <w:tc>
          <w:tcPr>
            <w:tcW w:w="153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128.0</w:t>
            </w:r>
          </w:p>
        </w:tc>
        <w:tc>
          <w:tcPr>
            <w:tcW w:w="144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80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797"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35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05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128.0</w:t>
            </w:r>
          </w:p>
        </w:tc>
      </w:tr>
      <w:tr w:rsidR="00336793" w:rsidRPr="00E51B8A" w:rsidTr="00DF0B96">
        <w:tc>
          <w:tcPr>
            <w:tcW w:w="5597"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Other comprehensive income for the year</w:t>
            </w:r>
          </w:p>
        </w:tc>
        <w:tc>
          <w:tcPr>
            <w:tcW w:w="153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207.8</w:t>
            </w:r>
          </w:p>
        </w:tc>
        <w:tc>
          <w:tcPr>
            <w:tcW w:w="144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80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7 404.3</w:t>
            </w:r>
          </w:p>
        </w:tc>
        <w:tc>
          <w:tcPr>
            <w:tcW w:w="1797"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636.0</w:t>
            </w:r>
          </w:p>
        </w:tc>
        <w:tc>
          <w:tcPr>
            <w:tcW w:w="135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185.6</w:t>
            </w:r>
          </w:p>
        </w:tc>
        <w:tc>
          <w:tcPr>
            <w:tcW w:w="105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8 433.7</w:t>
            </w:r>
          </w:p>
        </w:tc>
      </w:tr>
      <w:tr w:rsidR="00336793" w:rsidRPr="00E51B8A" w:rsidTr="00DF0B96">
        <w:tc>
          <w:tcPr>
            <w:tcW w:w="5597"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sz w:val="20"/>
                <w:szCs w:val="22"/>
                <w:vertAlign w:val="superscript"/>
                <w:lang w:eastAsia="en-AU"/>
              </w:rPr>
            </w:pPr>
            <w:r w:rsidRPr="00E51B8A">
              <w:rPr>
                <w:rFonts w:ascii="Calibri" w:eastAsiaTheme="minorEastAsia" w:hAnsi="Calibri" w:cs="Calibri"/>
                <w:sz w:val="20"/>
                <w:szCs w:val="22"/>
                <w:lang w:eastAsia="en-AU"/>
              </w:rPr>
              <w:t>Transfer to accumulated surplus</w:t>
            </w:r>
            <w:r w:rsidRPr="00E51B8A">
              <w:rPr>
                <w:rFonts w:ascii="Calibri" w:eastAsiaTheme="minorEastAsia" w:hAnsi="Calibri" w:cs="Calibri"/>
                <w:sz w:val="20"/>
                <w:szCs w:val="22"/>
                <w:vertAlign w:val="superscript"/>
                <w:lang w:eastAsia="en-AU"/>
              </w:rPr>
              <w:t>(b)</w:t>
            </w:r>
          </w:p>
        </w:tc>
        <w:tc>
          <w:tcPr>
            <w:tcW w:w="153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15 411.6</w:t>
            </w:r>
          </w:p>
        </w:tc>
        <w:tc>
          <w:tcPr>
            <w:tcW w:w="144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80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(15 411.6)</w:t>
            </w:r>
          </w:p>
        </w:tc>
        <w:tc>
          <w:tcPr>
            <w:tcW w:w="1797"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35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05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r>
      <w:tr w:rsidR="00336793" w:rsidRPr="00E51B8A" w:rsidTr="00DF0B96">
        <w:tc>
          <w:tcPr>
            <w:tcW w:w="5597" w:type="dxa"/>
            <w:tcBorders>
              <w:top w:val="nil"/>
              <w:left w:val="nil"/>
              <w:bottom w:val="single" w:sz="6" w:space="0" w:color="auto"/>
              <w:right w:val="nil"/>
            </w:tcBorders>
          </w:tcPr>
          <w:p w:rsidR="00336793" w:rsidRPr="00E51B8A" w:rsidRDefault="00336793" w:rsidP="00DF0B96">
            <w:pPr>
              <w:autoSpaceDE w:val="0"/>
              <w:autoSpaceDN w:val="0"/>
              <w:adjustRightInd w:val="0"/>
              <w:spacing w:after="0"/>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Transactions with owners in their capacity as owners</w:t>
            </w:r>
          </w:p>
        </w:tc>
        <w:tc>
          <w:tcPr>
            <w:tcW w:w="153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44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80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797"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35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05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r>
      <w:tr w:rsidR="00336793" w:rsidRPr="00E51B8A" w:rsidTr="00DF0B96">
        <w:tc>
          <w:tcPr>
            <w:tcW w:w="5597" w:type="dxa"/>
            <w:tcBorders>
              <w:top w:val="nil"/>
              <w:left w:val="nil"/>
              <w:bottom w:val="single" w:sz="12" w:space="0" w:color="auto"/>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Total equity as at 30 June 2015</w:t>
            </w:r>
          </w:p>
        </w:tc>
        <w:tc>
          <w:tcPr>
            <w:tcW w:w="1530" w:type="dxa"/>
            <w:tcBorders>
              <w:top w:val="single" w:sz="6" w:space="0" w:color="auto"/>
              <w:left w:val="nil"/>
              <w:bottom w:val="single" w:sz="12"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62 838.7</w:t>
            </w:r>
          </w:p>
        </w:tc>
        <w:tc>
          <w:tcPr>
            <w:tcW w:w="1440" w:type="dxa"/>
            <w:tcBorders>
              <w:top w:val="single" w:sz="6" w:space="0" w:color="auto"/>
              <w:left w:val="nil"/>
              <w:bottom w:val="single" w:sz="12"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50.0</w:t>
            </w:r>
          </w:p>
        </w:tc>
        <w:tc>
          <w:tcPr>
            <w:tcW w:w="1803" w:type="dxa"/>
            <w:tcBorders>
              <w:top w:val="single" w:sz="6" w:space="0" w:color="auto"/>
              <w:left w:val="nil"/>
              <w:bottom w:val="single" w:sz="12"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77 427.4</w:t>
            </w:r>
          </w:p>
        </w:tc>
        <w:tc>
          <w:tcPr>
            <w:tcW w:w="1797" w:type="dxa"/>
            <w:tcBorders>
              <w:top w:val="single" w:sz="6" w:space="0" w:color="auto"/>
              <w:left w:val="nil"/>
              <w:bottom w:val="single" w:sz="12"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3 240.2</w:t>
            </w:r>
          </w:p>
        </w:tc>
        <w:tc>
          <w:tcPr>
            <w:tcW w:w="1350" w:type="dxa"/>
            <w:tcBorders>
              <w:top w:val="single" w:sz="6" w:space="0" w:color="auto"/>
              <w:left w:val="nil"/>
              <w:bottom w:val="single" w:sz="12"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1 165.6</w:t>
            </w:r>
          </w:p>
        </w:tc>
        <w:tc>
          <w:tcPr>
            <w:tcW w:w="1053" w:type="dxa"/>
            <w:tcBorders>
              <w:top w:val="single" w:sz="6" w:space="0" w:color="auto"/>
              <w:left w:val="nil"/>
              <w:bottom w:val="single" w:sz="12"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144 721.8</w:t>
            </w:r>
          </w:p>
        </w:tc>
      </w:tr>
      <w:tr w:rsidR="00336793" w:rsidRPr="00E51B8A" w:rsidTr="00DF0B96">
        <w:tc>
          <w:tcPr>
            <w:tcW w:w="5597"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2014</w:t>
            </w:r>
          </w:p>
        </w:tc>
        <w:tc>
          <w:tcPr>
            <w:tcW w:w="1530"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c>
          <w:tcPr>
            <w:tcW w:w="1440"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c>
          <w:tcPr>
            <w:tcW w:w="1803"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c>
          <w:tcPr>
            <w:tcW w:w="1797"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c>
          <w:tcPr>
            <w:tcW w:w="1350"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c>
          <w:tcPr>
            <w:tcW w:w="1053"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w:t>
            </w:r>
          </w:p>
        </w:tc>
      </w:tr>
      <w:tr w:rsidR="00336793" w:rsidRPr="00E51B8A" w:rsidTr="00DF0B96">
        <w:tc>
          <w:tcPr>
            <w:tcW w:w="5597"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sz w:val="20"/>
                <w:szCs w:val="22"/>
                <w:vertAlign w:val="superscript"/>
                <w:lang w:eastAsia="en-AU"/>
              </w:rPr>
            </w:pPr>
            <w:r w:rsidRPr="00E51B8A">
              <w:rPr>
                <w:rFonts w:ascii="Calibri" w:eastAsiaTheme="minorEastAsia" w:hAnsi="Calibri" w:cs="Calibri"/>
                <w:sz w:val="20"/>
                <w:szCs w:val="22"/>
                <w:lang w:eastAsia="en-AU"/>
              </w:rPr>
              <w:t>Balance at 1 July 2013</w:t>
            </w:r>
            <w:r w:rsidRPr="00E51B8A">
              <w:rPr>
                <w:rFonts w:ascii="Calibri" w:eastAsiaTheme="minorEastAsia" w:hAnsi="Calibri" w:cs="Calibri"/>
                <w:sz w:val="20"/>
                <w:szCs w:val="22"/>
                <w:vertAlign w:val="superscript"/>
                <w:lang w:eastAsia="en-AU"/>
              </w:rPr>
              <w:t>(c)</w:t>
            </w:r>
          </w:p>
        </w:tc>
        <w:tc>
          <w:tcPr>
            <w:tcW w:w="153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45 988.5</w:t>
            </w:r>
          </w:p>
        </w:tc>
        <w:tc>
          <w:tcPr>
            <w:tcW w:w="144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50.0</w:t>
            </w:r>
          </w:p>
        </w:tc>
        <w:tc>
          <w:tcPr>
            <w:tcW w:w="180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80 760.7</w:t>
            </w:r>
          </w:p>
        </w:tc>
        <w:tc>
          <w:tcPr>
            <w:tcW w:w="1797"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1 659.9</w:t>
            </w:r>
          </w:p>
        </w:tc>
        <w:tc>
          <w:tcPr>
            <w:tcW w:w="135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911.8</w:t>
            </w:r>
          </w:p>
        </w:tc>
        <w:tc>
          <w:tcPr>
            <w:tcW w:w="105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129 370.9</w:t>
            </w:r>
          </w:p>
        </w:tc>
      </w:tr>
      <w:tr w:rsidR="00336793" w:rsidRPr="00E51B8A" w:rsidTr="00DF0B96">
        <w:tc>
          <w:tcPr>
            <w:tcW w:w="5597"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sz w:val="20"/>
                <w:szCs w:val="22"/>
                <w:vertAlign w:val="superscript"/>
                <w:lang w:eastAsia="en-AU"/>
              </w:rPr>
            </w:pPr>
            <w:r w:rsidRPr="00E51B8A">
              <w:rPr>
                <w:rFonts w:ascii="Calibri" w:eastAsiaTheme="minorEastAsia" w:hAnsi="Calibri" w:cs="Calibri"/>
                <w:sz w:val="20"/>
                <w:szCs w:val="22"/>
                <w:lang w:eastAsia="en-AU"/>
              </w:rPr>
              <w:t>Net result for the year</w:t>
            </w:r>
            <w:r w:rsidRPr="00E51B8A">
              <w:rPr>
                <w:rFonts w:ascii="Calibri" w:eastAsiaTheme="minorEastAsia" w:hAnsi="Calibri" w:cs="Calibri"/>
                <w:sz w:val="20"/>
                <w:szCs w:val="22"/>
                <w:vertAlign w:val="superscript"/>
                <w:lang w:eastAsia="en-AU"/>
              </w:rPr>
              <w:t>(c)</w:t>
            </w:r>
          </w:p>
        </w:tc>
        <w:tc>
          <w:tcPr>
            <w:tcW w:w="153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598.8</w:t>
            </w:r>
          </w:p>
        </w:tc>
        <w:tc>
          <w:tcPr>
            <w:tcW w:w="144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80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797"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35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05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598.8</w:t>
            </w:r>
          </w:p>
        </w:tc>
      </w:tr>
      <w:tr w:rsidR="00336793" w:rsidRPr="00E51B8A" w:rsidTr="00DF0B96">
        <w:tc>
          <w:tcPr>
            <w:tcW w:w="5597"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sz w:val="20"/>
                <w:szCs w:val="22"/>
                <w:vertAlign w:val="superscript"/>
                <w:lang w:eastAsia="en-AU"/>
              </w:rPr>
            </w:pPr>
            <w:r w:rsidRPr="00E51B8A">
              <w:rPr>
                <w:rFonts w:ascii="Calibri" w:eastAsiaTheme="minorEastAsia" w:hAnsi="Calibri" w:cs="Calibri"/>
                <w:sz w:val="20"/>
                <w:szCs w:val="22"/>
                <w:lang w:eastAsia="en-AU"/>
              </w:rPr>
              <w:t>Other comprehensive income for the year</w:t>
            </w:r>
            <w:r w:rsidRPr="00E51B8A">
              <w:rPr>
                <w:rFonts w:ascii="Calibri" w:eastAsiaTheme="minorEastAsia" w:hAnsi="Calibri" w:cs="Calibri"/>
                <w:sz w:val="20"/>
                <w:szCs w:val="22"/>
                <w:vertAlign w:val="superscript"/>
                <w:lang w:eastAsia="en-AU"/>
              </w:rPr>
              <w:t>(c)</w:t>
            </w:r>
          </w:p>
        </w:tc>
        <w:tc>
          <w:tcPr>
            <w:tcW w:w="153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219.3</w:t>
            </w:r>
          </w:p>
        </w:tc>
        <w:tc>
          <w:tcPr>
            <w:tcW w:w="144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80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4 958.8</w:t>
            </w:r>
          </w:p>
        </w:tc>
        <w:tc>
          <w:tcPr>
            <w:tcW w:w="1797"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944.3</w:t>
            </w:r>
          </w:p>
        </w:tc>
        <w:tc>
          <w:tcPr>
            <w:tcW w:w="135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68.2</w:t>
            </w:r>
          </w:p>
        </w:tc>
        <w:tc>
          <w:tcPr>
            <w:tcW w:w="105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6 190.5</w:t>
            </w:r>
          </w:p>
        </w:tc>
      </w:tr>
      <w:tr w:rsidR="00336793" w:rsidRPr="00E51B8A" w:rsidTr="00DF0B96">
        <w:tc>
          <w:tcPr>
            <w:tcW w:w="5597" w:type="dxa"/>
            <w:tcBorders>
              <w:top w:val="nil"/>
              <w:left w:val="nil"/>
              <w:bottom w:val="nil"/>
              <w:right w:val="nil"/>
            </w:tcBorders>
          </w:tcPr>
          <w:p w:rsidR="00336793" w:rsidRPr="00E51B8A" w:rsidRDefault="00336793" w:rsidP="00DF0B96">
            <w:pPr>
              <w:autoSpaceDE w:val="0"/>
              <w:autoSpaceDN w:val="0"/>
              <w:adjustRightInd w:val="0"/>
              <w:spacing w:after="0"/>
              <w:rPr>
                <w:rFonts w:ascii="Calibri" w:eastAsiaTheme="minorEastAsia" w:hAnsi="Calibri" w:cs="Calibri"/>
                <w:sz w:val="20"/>
                <w:szCs w:val="22"/>
                <w:vertAlign w:val="superscript"/>
                <w:lang w:eastAsia="en-AU"/>
              </w:rPr>
            </w:pPr>
            <w:r w:rsidRPr="00E51B8A">
              <w:rPr>
                <w:rFonts w:ascii="Calibri" w:eastAsiaTheme="minorEastAsia" w:hAnsi="Calibri" w:cs="Calibri"/>
                <w:sz w:val="20"/>
                <w:szCs w:val="22"/>
                <w:lang w:eastAsia="en-AU"/>
              </w:rPr>
              <w:t>Transfer to accumulated surplus</w:t>
            </w:r>
            <w:r w:rsidRPr="00E51B8A">
              <w:rPr>
                <w:rFonts w:ascii="Calibri" w:eastAsiaTheme="minorEastAsia" w:hAnsi="Calibri" w:cs="Calibri"/>
                <w:sz w:val="20"/>
                <w:szCs w:val="22"/>
                <w:vertAlign w:val="superscript"/>
                <w:lang w:eastAsia="en-AU"/>
              </w:rPr>
              <w:t>(b)</w:t>
            </w:r>
          </w:p>
        </w:tc>
        <w:tc>
          <w:tcPr>
            <w:tcW w:w="153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 xml:space="preserve"> 284.8</w:t>
            </w:r>
          </w:p>
        </w:tc>
        <w:tc>
          <w:tcPr>
            <w:tcW w:w="144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80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0"/>
                <w:szCs w:val="22"/>
                <w:lang w:eastAsia="en-AU"/>
              </w:rPr>
              <w:t>(</w:t>
            </w:r>
            <w:r w:rsidRPr="00E51B8A">
              <w:rPr>
                <w:rFonts w:ascii="Calibri" w:eastAsiaTheme="minorEastAsia" w:hAnsi="Calibri" w:cs="Calibri"/>
                <w:color w:val="000000"/>
                <w:sz w:val="20"/>
                <w:szCs w:val="22"/>
                <w:lang w:eastAsia="en-AU"/>
              </w:rPr>
              <w:t>284.8)</w:t>
            </w:r>
          </w:p>
        </w:tc>
        <w:tc>
          <w:tcPr>
            <w:tcW w:w="1797"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350"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053" w:type="dxa"/>
            <w:tcBorders>
              <w:top w:val="nil"/>
              <w:left w:val="nil"/>
              <w:bottom w:val="nil"/>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r>
      <w:tr w:rsidR="00336793" w:rsidRPr="00E51B8A" w:rsidTr="00DF0B96">
        <w:tc>
          <w:tcPr>
            <w:tcW w:w="5597" w:type="dxa"/>
            <w:tcBorders>
              <w:top w:val="nil"/>
              <w:left w:val="nil"/>
              <w:bottom w:val="single" w:sz="6" w:space="0" w:color="auto"/>
              <w:right w:val="nil"/>
            </w:tcBorders>
          </w:tcPr>
          <w:p w:rsidR="00336793" w:rsidRPr="00E51B8A" w:rsidRDefault="00336793" w:rsidP="00DF0B96">
            <w:pPr>
              <w:autoSpaceDE w:val="0"/>
              <w:autoSpaceDN w:val="0"/>
              <w:adjustRightInd w:val="0"/>
              <w:spacing w:after="0"/>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Transactions with owners in their capacity as owners</w:t>
            </w:r>
          </w:p>
        </w:tc>
        <w:tc>
          <w:tcPr>
            <w:tcW w:w="1530" w:type="dxa"/>
            <w:tcBorders>
              <w:top w:val="nil"/>
              <w:left w:val="nil"/>
              <w:bottom w:val="single" w:sz="6"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Pr>
                <w:rFonts w:ascii="Calibri" w:eastAsiaTheme="minorEastAsia" w:hAnsi="Calibri" w:cs="Calibri"/>
                <w:sz w:val="20"/>
                <w:szCs w:val="22"/>
                <w:lang w:eastAsia="en-AU"/>
              </w:rPr>
              <w:t>..</w:t>
            </w:r>
          </w:p>
        </w:tc>
        <w:tc>
          <w:tcPr>
            <w:tcW w:w="1440" w:type="dxa"/>
            <w:tcBorders>
              <w:top w:val="nil"/>
              <w:left w:val="nil"/>
              <w:bottom w:val="single" w:sz="6"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803" w:type="dxa"/>
            <w:tcBorders>
              <w:top w:val="nil"/>
              <w:left w:val="nil"/>
              <w:bottom w:val="single" w:sz="6"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797" w:type="dxa"/>
            <w:tcBorders>
              <w:top w:val="nil"/>
              <w:left w:val="nil"/>
              <w:bottom w:val="single" w:sz="6"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350" w:type="dxa"/>
            <w:tcBorders>
              <w:top w:val="nil"/>
              <w:left w:val="nil"/>
              <w:bottom w:val="single" w:sz="6"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sidRPr="00E51B8A">
              <w:rPr>
                <w:rFonts w:ascii="Calibri" w:eastAsiaTheme="minorEastAsia" w:hAnsi="Calibri" w:cs="Calibri"/>
                <w:sz w:val="20"/>
                <w:szCs w:val="22"/>
                <w:lang w:eastAsia="en-AU"/>
              </w:rPr>
              <w:t>..</w:t>
            </w:r>
          </w:p>
        </w:tc>
        <w:tc>
          <w:tcPr>
            <w:tcW w:w="1053" w:type="dxa"/>
            <w:tcBorders>
              <w:top w:val="nil"/>
              <w:left w:val="nil"/>
              <w:bottom w:val="single" w:sz="6" w:space="0" w:color="auto"/>
              <w:right w:val="nil"/>
            </w:tcBorders>
          </w:tcPr>
          <w:p w:rsidR="00336793" w:rsidRPr="00E51B8A" w:rsidRDefault="00336793" w:rsidP="00DF0B96">
            <w:pPr>
              <w:autoSpaceDE w:val="0"/>
              <w:autoSpaceDN w:val="0"/>
              <w:adjustRightInd w:val="0"/>
              <w:spacing w:after="0"/>
              <w:jc w:val="right"/>
              <w:rPr>
                <w:rFonts w:ascii="Calibri" w:eastAsiaTheme="minorEastAsia" w:hAnsi="Calibri" w:cs="Calibri"/>
                <w:sz w:val="20"/>
                <w:szCs w:val="22"/>
                <w:lang w:eastAsia="en-AU"/>
              </w:rPr>
            </w:pPr>
            <w:r>
              <w:rPr>
                <w:rFonts w:ascii="Calibri" w:eastAsiaTheme="minorEastAsia" w:hAnsi="Calibri" w:cs="Calibri"/>
                <w:sz w:val="20"/>
                <w:szCs w:val="22"/>
                <w:lang w:eastAsia="en-AU"/>
              </w:rPr>
              <w:t>..</w:t>
            </w:r>
          </w:p>
        </w:tc>
      </w:tr>
      <w:tr w:rsidR="00336793" w:rsidRPr="00E51B8A" w:rsidTr="00DF0B96">
        <w:tc>
          <w:tcPr>
            <w:tcW w:w="5597" w:type="dxa"/>
            <w:tcBorders>
              <w:top w:val="single" w:sz="6" w:space="0" w:color="auto"/>
              <w:left w:val="nil"/>
              <w:bottom w:val="single" w:sz="12" w:space="0" w:color="000000"/>
              <w:right w:val="nil"/>
            </w:tcBorders>
            <w:shd w:val="clear" w:color="auto" w:fill="auto"/>
          </w:tcPr>
          <w:p w:rsidR="00336793" w:rsidRPr="00E51B8A" w:rsidRDefault="00336793" w:rsidP="00DF0B96">
            <w:pPr>
              <w:autoSpaceDE w:val="0"/>
              <w:autoSpaceDN w:val="0"/>
              <w:adjustRightInd w:val="0"/>
              <w:spacing w:after="0"/>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Total equity as at 30 June 2014</w:t>
            </w:r>
          </w:p>
        </w:tc>
        <w:tc>
          <w:tcPr>
            <w:tcW w:w="1530" w:type="dxa"/>
            <w:tcBorders>
              <w:top w:val="single" w:sz="6" w:space="0" w:color="auto"/>
              <w:left w:val="nil"/>
              <w:bottom w:val="single" w:sz="12" w:space="0" w:color="000000"/>
              <w:right w:val="nil"/>
            </w:tcBorders>
            <w:shd w:val="clear" w:color="auto" w:fill="auto"/>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47 091.3</w:t>
            </w:r>
          </w:p>
        </w:tc>
        <w:tc>
          <w:tcPr>
            <w:tcW w:w="1440" w:type="dxa"/>
            <w:tcBorders>
              <w:top w:val="single" w:sz="6" w:space="0" w:color="auto"/>
              <w:left w:val="nil"/>
              <w:bottom w:val="single" w:sz="12" w:space="0" w:color="000000"/>
              <w:right w:val="nil"/>
            </w:tcBorders>
            <w:shd w:val="clear" w:color="auto" w:fill="auto"/>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50.0</w:t>
            </w:r>
          </w:p>
        </w:tc>
        <w:tc>
          <w:tcPr>
            <w:tcW w:w="1803" w:type="dxa"/>
            <w:tcBorders>
              <w:top w:val="single" w:sz="6" w:space="0" w:color="auto"/>
              <w:left w:val="nil"/>
              <w:bottom w:val="single" w:sz="12" w:space="0" w:color="000000"/>
              <w:right w:val="nil"/>
            </w:tcBorders>
            <w:shd w:val="clear" w:color="auto" w:fill="auto"/>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85 434.7</w:t>
            </w:r>
          </w:p>
        </w:tc>
        <w:tc>
          <w:tcPr>
            <w:tcW w:w="1797" w:type="dxa"/>
            <w:tcBorders>
              <w:top w:val="single" w:sz="6" w:space="0" w:color="auto"/>
              <w:left w:val="nil"/>
              <w:bottom w:val="single" w:sz="12" w:space="0" w:color="000000"/>
              <w:right w:val="nil"/>
            </w:tcBorders>
            <w:shd w:val="clear" w:color="auto" w:fill="auto"/>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2 604.2</w:t>
            </w:r>
          </w:p>
        </w:tc>
        <w:tc>
          <w:tcPr>
            <w:tcW w:w="1350" w:type="dxa"/>
            <w:tcBorders>
              <w:top w:val="single" w:sz="6" w:space="0" w:color="auto"/>
              <w:left w:val="nil"/>
              <w:bottom w:val="single" w:sz="12" w:space="0" w:color="000000"/>
              <w:right w:val="nil"/>
            </w:tcBorders>
            <w:shd w:val="clear" w:color="auto" w:fill="auto"/>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 xml:space="preserve"> 979.9</w:t>
            </w:r>
          </w:p>
        </w:tc>
        <w:tc>
          <w:tcPr>
            <w:tcW w:w="1053" w:type="dxa"/>
            <w:tcBorders>
              <w:top w:val="single" w:sz="6" w:space="0" w:color="auto"/>
              <w:left w:val="nil"/>
              <w:bottom w:val="single" w:sz="12" w:space="0" w:color="000000"/>
              <w:right w:val="nil"/>
            </w:tcBorders>
            <w:shd w:val="clear" w:color="auto" w:fill="auto"/>
          </w:tcPr>
          <w:p w:rsidR="00336793" w:rsidRPr="00E51B8A" w:rsidRDefault="00336793" w:rsidP="00DF0B96">
            <w:pPr>
              <w:autoSpaceDE w:val="0"/>
              <w:autoSpaceDN w:val="0"/>
              <w:adjustRightInd w:val="0"/>
              <w:spacing w:after="0"/>
              <w:jc w:val="right"/>
              <w:rPr>
                <w:rFonts w:ascii="Calibri" w:eastAsiaTheme="minorEastAsia" w:hAnsi="Calibri" w:cs="Calibri"/>
                <w:b/>
                <w:bCs/>
                <w:sz w:val="20"/>
                <w:szCs w:val="22"/>
                <w:lang w:eastAsia="en-AU"/>
              </w:rPr>
            </w:pPr>
            <w:r w:rsidRPr="00E51B8A">
              <w:rPr>
                <w:rFonts w:ascii="Calibri" w:eastAsiaTheme="minorEastAsia" w:hAnsi="Calibri" w:cs="Calibri"/>
                <w:b/>
                <w:bCs/>
                <w:sz w:val="20"/>
                <w:szCs w:val="22"/>
                <w:lang w:eastAsia="en-AU"/>
              </w:rPr>
              <w:t>136 160.2</w:t>
            </w:r>
          </w:p>
        </w:tc>
      </w:tr>
    </w:tbl>
    <w:p w:rsidR="00336793" w:rsidRDefault="00336793" w:rsidP="00DF0B96">
      <w:pPr>
        <w:pStyle w:val="Source"/>
        <w:spacing w:after="60"/>
      </w:pPr>
      <w:r>
        <w:t>Source: Department of Treasury and Finance</w:t>
      </w:r>
    </w:p>
    <w:p w:rsidR="00336793" w:rsidRPr="006A75A2" w:rsidRDefault="00336793" w:rsidP="00DF0B96">
      <w:pPr>
        <w:pStyle w:val="Notes"/>
      </w:pPr>
      <w:r>
        <w:t>Notes</w:t>
      </w:r>
      <w:r w:rsidRPr="006A75A2">
        <w:t>:</w:t>
      </w:r>
    </w:p>
    <w:p w:rsidR="00336793" w:rsidRDefault="00336793" w:rsidP="00DF0B96">
      <w:pPr>
        <w:pStyle w:val="Notes"/>
      </w:pPr>
      <w:r>
        <w:t>(a)</w:t>
      </w:r>
      <w:r>
        <w:tab/>
        <w:t>Non</w:t>
      </w:r>
      <w:r>
        <w:noBreakHyphen/>
        <w:t>financial assets revaluation surplus relates to revaluation of land, buildings, infrastructure, plant and equipment.</w:t>
      </w:r>
    </w:p>
    <w:p w:rsidR="00336793" w:rsidRDefault="00336793" w:rsidP="00DF0B96">
      <w:pPr>
        <w:pStyle w:val="Notes"/>
        <w:rPr>
          <w:rFonts w:cs="Garamond"/>
          <w:color w:val="000000"/>
          <w:szCs w:val="24"/>
          <w:lang w:eastAsia="en-AU"/>
        </w:rPr>
      </w:pPr>
      <w:r>
        <w:t>(b)</w:t>
      </w:r>
      <w:r>
        <w:tab/>
      </w:r>
      <w:r>
        <w:rPr>
          <w:rFonts w:cs="Garamond"/>
          <w:color w:val="000000"/>
          <w:szCs w:val="24"/>
          <w:lang w:eastAsia="en-AU"/>
        </w:rPr>
        <w:t>Transfer of reserves to accumulated surplus for ceased departments as part of the Machinery of Government changes effective 1 January 2015. See Note 42.</w:t>
      </w:r>
    </w:p>
    <w:p w:rsidR="00336793" w:rsidRDefault="00336793" w:rsidP="00DF0B96">
      <w:pPr>
        <w:pStyle w:val="Notes"/>
      </w:pPr>
      <w:r>
        <w:t>(c)</w:t>
      </w:r>
      <w:r>
        <w:tab/>
        <w:t>June 2014 comparative figures have been restated. See Chapter 4, Note 37</w:t>
      </w:r>
      <w:r w:rsidRPr="006A75A2">
        <w:t>.</w:t>
      </w:r>
    </w:p>
    <w:p w:rsidR="00336793" w:rsidRDefault="00336793" w:rsidP="00DF0B96">
      <w:pPr>
        <w:pStyle w:val="Notes"/>
      </w:pPr>
    </w:p>
    <w:p w:rsidR="00336793" w:rsidRPr="002C6A10" w:rsidRDefault="00336793" w:rsidP="00DF0B96">
      <w:pPr>
        <w:pStyle w:val="Tableheading"/>
      </w:pPr>
      <w:r w:rsidRPr="002C6A10">
        <w:t>Table 5.5:</w:t>
      </w:r>
      <w:r w:rsidRPr="002C6A10">
        <w:tab/>
        <w:t>Derivation of non</w:t>
      </w:r>
      <w:r>
        <w:noBreakHyphen/>
      </w:r>
      <w:r w:rsidRPr="002C6A10">
        <w:t>financial public sector GFS cash surplus/(deficit)</w:t>
      </w:r>
    </w:p>
    <w:p w:rsidR="00336793" w:rsidRPr="00A154C9" w:rsidRDefault="00336793" w:rsidP="00DF0B96">
      <w:pPr>
        <w:pStyle w:val="million"/>
        <w:rPr>
          <w:rFonts w:ascii="Times New Roman" w:hAnsi="Times New Roman"/>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1120"/>
      </w:tblGrid>
      <w:tr w:rsidR="00336793" w:rsidRPr="00A154C9" w:rsidTr="00DF0B96">
        <w:trPr>
          <w:tblHeader/>
        </w:trPr>
        <w:tc>
          <w:tcPr>
            <w:tcW w:w="7397" w:type="dxa"/>
            <w:tcBorders>
              <w:top w:val="single" w:sz="6" w:space="0" w:color="auto"/>
              <w:left w:val="single" w:sz="6" w:space="0" w:color="auto"/>
              <w:bottom w:val="single" w:sz="6" w:space="0" w:color="auto"/>
              <w:right w:val="nil"/>
            </w:tcBorders>
            <w:shd w:val="clear" w:color="000000" w:fill="000000"/>
            <w:vAlign w:val="bottom"/>
          </w:tcPr>
          <w:p w:rsidR="00336793" w:rsidRPr="00A154C9" w:rsidRDefault="00336793" w:rsidP="00DF0B96">
            <w:pPr>
              <w:pStyle w:val="Tabletext"/>
              <w:rPr>
                <w:rFonts w:eastAsiaTheme="minorEastAsia"/>
                <w:i/>
                <w:sz w:val="20"/>
                <w:lang w:eastAsia="en-AU"/>
              </w:rPr>
            </w:pPr>
            <w:r w:rsidRPr="00A154C9">
              <w:rPr>
                <w:rFonts w:eastAsiaTheme="minorEastAsia"/>
                <w:i/>
                <w:sz w:val="20"/>
                <w:lang w:eastAsia="en-AU"/>
              </w:rPr>
              <w:t xml:space="preserve"> </w:t>
            </w:r>
          </w:p>
        </w:tc>
        <w:tc>
          <w:tcPr>
            <w:tcW w:w="1120" w:type="dxa"/>
            <w:tcBorders>
              <w:top w:val="single" w:sz="6" w:space="0" w:color="auto"/>
              <w:left w:val="nil"/>
              <w:bottom w:val="single" w:sz="6" w:space="0" w:color="auto"/>
              <w:right w:val="nil"/>
            </w:tcBorders>
            <w:shd w:val="clear" w:color="000000" w:fill="000000"/>
            <w:vAlign w:val="bottom"/>
          </w:tcPr>
          <w:p w:rsidR="00336793" w:rsidRPr="00A154C9" w:rsidRDefault="00336793" w:rsidP="00DF0B96">
            <w:pPr>
              <w:pStyle w:val="Tabletextheading"/>
              <w:rPr>
                <w:rFonts w:eastAsiaTheme="minorEastAsia"/>
                <w:color w:val="FFFFFF"/>
                <w:sz w:val="20"/>
                <w:lang w:eastAsia="en-AU"/>
              </w:rPr>
            </w:pPr>
            <w:r w:rsidRPr="00A154C9">
              <w:rPr>
                <w:rFonts w:eastAsiaTheme="minorEastAsia"/>
                <w:color w:val="FFFFFF"/>
                <w:sz w:val="20"/>
                <w:lang w:eastAsia="en-AU"/>
              </w:rPr>
              <w:t>2015</w:t>
            </w:r>
          </w:p>
        </w:tc>
        <w:tc>
          <w:tcPr>
            <w:tcW w:w="1120" w:type="dxa"/>
            <w:tcBorders>
              <w:top w:val="single" w:sz="6" w:space="0" w:color="auto"/>
              <w:left w:val="nil"/>
              <w:bottom w:val="single" w:sz="6" w:space="0" w:color="auto"/>
              <w:right w:val="single" w:sz="6" w:space="0" w:color="auto"/>
            </w:tcBorders>
            <w:shd w:val="clear" w:color="000000" w:fill="000000"/>
            <w:vAlign w:val="bottom"/>
          </w:tcPr>
          <w:p w:rsidR="00336793" w:rsidRPr="00A154C9" w:rsidRDefault="00336793" w:rsidP="00DF0B96">
            <w:pPr>
              <w:pStyle w:val="Tabletextheading"/>
              <w:rPr>
                <w:rFonts w:eastAsiaTheme="minorEastAsia"/>
                <w:color w:val="FFFFFF"/>
                <w:sz w:val="20"/>
                <w:lang w:eastAsia="en-AU"/>
              </w:rPr>
            </w:pPr>
            <w:r w:rsidRPr="00A154C9">
              <w:rPr>
                <w:rFonts w:eastAsiaTheme="minorEastAsia"/>
                <w:color w:val="FFFFFF"/>
                <w:sz w:val="20"/>
                <w:lang w:eastAsia="en-AU"/>
              </w:rPr>
              <w:t>2014</w:t>
            </w:r>
          </w:p>
        </w:tc>
      </w:tr>
      <w:tr w:rsidR="00336793" w:rsidRPr="00A154C9" w:rsidTr="00DF0B96">
        <w:tc>
          <w:tcPr>
            <w:tcW w:w="7397" w:type="dxa"/>
            <w:tcBorders>
              <w:top w:val="single" w:sz="6" w:space="0" w:color="auto"/>
              <w:left w:val="nil"/>
              <w:bottom w:val="nil"/>
              <w:right w:val="nil"/>
            </w:tcBorders>
            <w:shd w:val="solid" w:color="FFFFFF" w:fill="auto"/>
          </w:tcPr>
          <w:p w:rsidR="00336793" w:rsidRPr="00A154C9" w:rsidRDefault="00336793" w:rsidP="00DF0B96">
            <w:pPr>
              <w:pStyle w:val="Tabletext"/>
              <w:rPr>
                <w:rFonts w:eastAsiaTheme="minorEastAsia" w:cs="Calibri"/>
                <w:b/>
                <w:bCs/>
                <w:color w:val="000000"/>
                <w:sz w:val="20"/>
                <w:szCs w:val="22"/>
                <w:vertAlign w:val="superscript"/>
                <w:lang w:eastAsia="en-AU"/>
              </w:rPr>
            </w:pPr>
            <w:r w:rsidRPr="00A154C9">
              <w:rPr>
                <w:rFonts w:eastAsiaTheme="minorEastAsia"/>
                <w:b/>
                <w:bCs/>
                <w:sz w:val="20"/>
                <w:lang w:eastAsia="en-AU"/>
              </w:rPr>
              <w:t>Cash surplus/(deficit)</w:t>
            </w:r>
            <w:r w:rsidRPr="00A154C9">
              <w:rPr>
                <w:rFonts w:eastAsiaTheme="minorEastAsia"/>
                <w:b/>
                <w:bCs/>
                <w:sz w:val="20"/>
                <w:vertAlign w:val="superscript"/>
                <w:lang w:eastAsia="en-AU"/>
              </w:rPr>
              <w:t>(</w:t>
            </w:r>
            <w:r w:rsidRPr="00A154C9">
              <w:rPr>
                <w:rFonts w:eastAsiaTheme="minorEastAsia" w:cs="Calibri"/>
                <w:b/>
                <w:bCs/>
                <w:color w:val="000000"/>
                <w:sz w:val="20"/>
                <w:szCs w:val="22"/>
                <w:vertAlign w:val="superscript"/>
                <w:lang w:eastAsia="en-AU"/>
              </w:rPr>
              <w:t>a)</w:t>
            </w:r>
          </w:p>
        </w:tc>
        <w:tc>
          <w:tcPr>
            <w:tcW w:w="1120" w:type="dxa"/>
            <w:tcBorders>
              <w:top w:val="single" w:sz="6" w:space="0" w:color="auto"/>
              <w:left w:val="nil"/>
              <w:bottom w:val="nil"/>
              <w:right w:val="nil"/>
            </w:tcBorders>
            <w:shd w:val="solid" w:color="FFFFFF" w:fill="auto"/>
          </w:tcPr>
          <w:p w:rsidR="00336793" w:rsidRPr="00A154C9" w:rsidRDefault="00336793" w:rsidP="00DF0B96">
            <w:pPr>
              <w:pStyle w:val="TableofFigures"/>
              <w:rPr>
                <w:rFonts w:eastAsiaTheme="minorEastAsia" w:cs="Calibri"/>
                <w:b/>
                <w:bCs/>
                <w:color w:val="000000"/>
                <w:sz w:val="20"/>
                <w:szCs w:val="22"/>
                <w:lang w:eastAsia="en-AU"/>
              </w:rPr>
            </w:pPr>
            <w:r>
              <w:rPr>
                <w:rFonts w:eastAsiaTheme="minorEastAsia"/>
                <w:b/>
                <w:bCs/>
                <w:sz w:val="20"/>
                <w:lang w:eastAsia="en-AU"/>
              </w:rPr>
              <w:t>(</w:t>
            </w:r>
            <w:r w:rsidRPr="00A154C9">
              <w:rPr>
                <w:rFonts w:eastAsiaTheme="minorEastAsia" w:cs="Calibri"/>
                <w:b/>
                <w:bCs/>
                <w:color w:val="000000"/>
                <w:sz w:val="20"/>
                <w:szCs w:val="22"/>
                <w:lang w:eastAsia="en-AU"/>
              </w:rPr>
              <w:t>792.0)</w:t>
            </w:r>
          </w:p>
        </w:tc>
        <w:tc>
          <w:tcPr>
            <w:tcW w:w="1120" w:type="dxa"/>
            <w:tcBorders>
              <w:top w:val="single" w:sz="6" w:space="0" w:color="auto"/>
              <w:left w:val="nil"/>
              <w:bottom w:val="nil"/>
              <w:right w:val="nil"/>
            </w:tcBorders>
            <w:shd w:val="solid" w:color="FFFFFF" w:fill="auto"/>
          </w:tcPr>
          <w:p w:rsidR="00336793" w:rsidRPr="00A154C9" w:rsidRDefault="00336793" w:rsidP="00DF0B96">
            <w:pPr>
              <w:pStyle w:val="TableofFigures"/>
              <w:rPr>
                <w:rFonts w:eastAsiaTheme="minorEastAsia"/>
                <w:b/>
                <w:bCs/>
                <w:sz w:val="20"/>
                <w:lang w:eastAsia="en-AU"/>
              </w:rPr>
            </w:pPr>
            <w:r w:rsidRPr="00A154C9">
              <w:rPr>
                <w:rFonts w:eastAsiaTheme="minorEastAsia"/>
                <w:b/>
                <w:bCs/>
                <w:sz w:val="20"/>
                <w:lang w:eastAsia="en-AU"/>
              </w:rPr>
              <w:t xml:space="preserve"> (1 227.9)</w:t>
            </w:r>
          </w:p>
        </w:tc>
      </w:tr>
      <w:tr w:rsidR="00336793" w:rsidRPr="00A154C9" w:rsidTr="00DF0B96">
        <w:tc>
          <w:tcPr>
            <w:tcW w:w="7397" w:type="dxa"/>
            <w:tcBorders>
              <w:top w:val="nil"/>
              <w:left w:val="nil"/>
              <w:bottom w:val="single" w:sz="6" w:space="0" w:color="000000"/>
              <w:right w:val="nil"/>
            </w:tcBorders>
            <w:shd w:val="solid" w:color="FFFFFF" w:fill="auto"/>
          </w:tcPr>
          <w:p w:rsidR="00336793" w:rsidRPr="00A154C9" w:rsidRDefault="00336793" w:rsidP="00DF0B96">
            <w:pPr>
              <w:pStyle w:val="Tabletext"/>
              <w:rPr>
                <w:rFonts w:eastAsiaTheme="minorEastAsia"/>
                <w:sz w:val="20"/>
                <w:lang w:eastAsia="en-AU"/>
              </w:rPr>
            </w:pPr>
            <w:r w:rsidRPr="00A154C9">
              <w:rPr>
                <w:rFonts w:eastAsiaTheme="minorEastAsia"/>
                <w:sz w:val="20"/>
                <w:lang w:eastAsia="en-AU"/>
              </w:rPr>
              <w:t>Less: Acquisitions under finance leases and similar arrangements</w:t>
            </w:r>
          </w:p>
        </w:tc>
        <w:tc>
          <w:tcPr>
            <w:tcW w:w="1120" w:type="dxa"/>
            <w:tcBorders>
              <w:top w:val="nil"/>
              <w:left w:val="nil"/>
              <w:bottom w:val="single" w:sz="6" w:space="0" w:color="000000"/>
              <w:right w:val="nil"/>
            </w:tcBorders>
            <w:shd w:val="solid" w:color="FFFFFF" w:fill="auto"/>
          </w:tcPr>
          <w:p w:rsidR="00336793" w:rsidRPr="00A154C9"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A154C9">
              <w:rPr>
                <w:rFonts w:eastAsiaTheme="minorEastAsia" w:cs="Calibri"/>
                <w:color w:val="000000"/>
                <w:sz w:val="20"/>
                <w:szCs w:val="22"/>
                <w:lang w:eastAsia="en-AU"/>
              </w:rPr>
              <w:t>98.5)</w:t>
            </w:r>
          </w:p>
        </w:tc>
        <w:tc>
          <w:tcPr>
            <w:tcW w:w="1120" w:type="dxa"/>
            <w:tcBorders>
              <w:top w:val="nil"/>
              <w:left w:val="nil"/>
              <w:bottom w:val="single" w:sz="6" w:space="0" w:color="000000"/>
              <w:right w:val="nil"/>
            </w:tcBorders>
            <w:shd w:val="solid" w:color="FFFFFF" w:fill="auto"/>
          </w:tcPr>
          <w:p w:rsidR="00336793" w:rsidRPr="00A154C9" w:rsidRDefault="00336793" w:rsidP="00DF0B96">
            <w:pPr>
              <w:pStyle w:val="TableofFigures"/>
              <w:rPr>
                <w:rFonts w:eastAsiaTheme="minorEastAsia" w:cs="Calibri"/>
                <w:color w:val="000000"/>
                <w:sz w:val="20"/>
                <w:szCs w:val="22"/>
                <w:lang w:eastAsia="en-AU"/>
              </w:rPr>
            </w:pPr>
            <w:r>
              <w:rPr>
                <w:rFonts w:eastAsiaTheme="minorEastAsia"/>
                <w:sz w:val="20"/>
                <w:lang w:eastAsia="en-AU"/>
              </w:rPr>
              <w:t>(</w:t>
            </w:r>
            <w:r w:rsidRPr="00A154C9">
              <w:rPr>
                <w:rFonts w:eastAsiaTheme="minorEastAsia" w:cs="Calibri"/>
                <w:color w:val="000000"/>
                <w:sz w:val="20"/>
                <w:szCs w:val="22"/>
                <w:lang w:eastAsia="en-AU"/>
              </w:rPr>
              <w:t>109.5)</w:t>
            </w:r>
          </w:p>
        </w:tc>
      </w:tr>
      <w:tr w:rsidR="00336793" w:rsidRPr="00A154C9" w:rsidTr="00DF0B96">
        <w:tc>
          <w:tcPr>
            <w:tcW w:w="7397" w:type="dxa"/>
            <w:tcBorders>
              <w:top w:val="single" w:sz="6" w:space="0" w:color="000000"/>
              <w:left w:val="nil"/>
              <w:bottom w:val="single" w:sz="12" w:space="0" w:color="000000"/>
              <w:right w:val="nil"/>
            </w:tcBorders>
            <w:shd w:val="solid" w:color="FFFFFF" w:fill="auto"/>
          </w:tcPr>
          <w:p w:rsidR="00336793" w:rsidRPr="00A154C9" w:rsidRDefault="00336793" w:rsidP="00DF0B96">
            <w:pPr>
              <w:pStyle w:val="Tabletext"/>
              <w:rPr>
                <w:rFonts w:eastAsiaTheme="minorEastAsia" w:cs="Calibri"/>
                <w:b/>
                <w:bCs/>
                <w:color w:val="000000"/>
                <w:sz w:val="20"/>
                <w:szCs w:val="22"/>
                <w:vertAlign w:val="superscript"/>
                <w:lang w:eastAsia="en-AU"/>
              </w:rPr>
            </w:pPr>
            <w:r w:rsidRPr="00A154C9">
              <w:rPr>
                <w:rFonts w:eastAsiaTheme="minorEastAsia"/>
                <w:b/>
                <w:bCs/>
                <w:sz w:val="20"/>
                <w:lang w:eastAsia="en-AU"/>
              </w:rPr>
              <w:t>GFS cash surplus/(deficit)</w:t>
            </w:r>
            <w:r w:rsidRPr="00A154C9">
              <w:rPr>
                <w:rFonts w:eastAsiaTheme="minorEastAsia"/>
                <w:b/>
                <w:bCs/>
                <w:sz w:val="20"/>
                <w:vertAlign w:val="superscript"/>
                <w:lang w:eastAsia="en-AU"/>
              </w:rPr>
              <w:t>(a)(</w:t>
            </w:r>
            <w:r w:rsidRPr="00A154C9">
              <w:rPr>
                <w:rFonts w:eastAsiaTheme="minorEastAsia" w:cs="Calibri"/>
                <w:b/>
                <w:bCs/>
                <w:color w:val="000000"/>
                <w:sz w:val="20"/>
                <w:szCs w:val="22"/>
                <w:vertAlign w:val="superscript"/>
                <w:lang w:eastAsia="en-AU"/>
              </w:rPr>
              <w:t>b)</w:t>
            </w:r>
          </w:p>
        </w:tc>
        <w:tc>
          <w:tcPr>
            <w:tcW w:w="1120" w:type="dxa"/>
            <w:tcBorders>
              <w:top w:val="single" w:sz="6" w:space="0" w:color="000000"/>
              <w:left w:val="nil"/>
              <w:bottom w:val="single" w:sz="12" w:space="0" w:color="000000"/>
              <w:right w:val="nil"/>
            </w:tcBorders>
            <w:shd w:val="solid" w:color="FFFFFF" w:fill="auto"/>
          </w:tcPr>
          <w:p w:rsidR="00336793" w:rsidRPr="00A154C9" w:rsidRDefault="00336793" w:rsidP="00DF0B96">
            <w:pPr>
              <w:pStyle w:val="TableofFigures"/>
              <w:rPr>
                <w:rFonts w:eastAsiaTheme="minorEastAsia" w:cs="Calibri"/>
                <w:b/>
                <w:bCs/>
                <w:color w:val="000000"/>
                <w:sz w:val="20"/>
                <w:szCs w:val="22"/>
                <w:lang w:eastAsia="en-AU"/>
              </w:rPr>
            </w:pPr>
            <w:r>
              <w:rPr>
                <w:rFonts w:eastAsiaTheme="minorEastAsia"/>
                <w:b/>
                <w:bCs/>
                <w:sz w:val="20"/>
                <w:lang w:eastAsia="en-AU"/>
              </w:rPr>
              <w:t>(</w:t>
            </w:r>
            <w:r w:rsidRPr="00A154C9">
              <w:rPr>
                <w:rFonts w:eastAsiaTheme="minorEastAsia" w:cs="Calibri"/>
                <w:b/>
                <w:bCs/>
                <w:color w:val="000000"/>
                <w:sz w:val="20"/>
                <w:szCs w:val="22"/>
                <w:lang w:eastAsia="en-AU"/>
              </w:rPr>
              <w:t>890.5)</w:t>
            </w:r>
          </w:p>
        </w:tc>
        <w:tc>
          <w:tcPr>
            <w:tcW w:w="1120" w:type="dxa"/>
            <w:tcBorders>
              <w:top w:val="single" w:sz="6" w:space="0" w:color="000000"/>
              <w:left w:val="nil"/>
              <w:bottom w:val="single" w:sz="12" w:space="0" w:color="000000"/>
              <w:right w:val="nil"/>
            </w:tcBorders>
            <w:shd w:val="solid" w:color="FFFFFF" w:fill="auto"/>
          </w:tcPr>
          <w:p w:rsidR="00336793" w:rsidRPr="00A154C9" w:rsidRDefault="00336793" w:rsidP="00DF0B96">
            <w:pPr>
              <w:pStyle w:val="TableofFigures"/>
              <w:rPr>
                <w:rFonts w:eastAsiaTheme="minorEastAsia"/>
                <w:b/>
                <w:bCs/>
                <w:sz w:val="20"/>
                <w:lang w:eastAsia="en-AU"/>
              </w:rPr>
            </w:pPr>
            <w:r w:rsidRPr="00A154C9">
              <w:rPr>
                <w:rFonts w:eastAsiaTheme="minorEastAsia"/>
                <w:b/>
                <w:bCs/>
                <w:sz w:val="20"/>
                <w:lang w:eastAsia="en-AU"/>
              </w:rPr>
              <w:t xml:space="preserve"> (1 337.4)</w:t>
            </w:r>
          </w:p>
        </w:tc>
      </w:tr>
    </w:tbl>
    <w:p w:rsidR="00336793" w:rsidRDefault="00336793" w:rsidP="00DF0B96">
      <w:pPr>
        <w:pStyle w:val="Source"/>
        <w:spacing w:after="60"/>
      </w:pPr>
      <w:r>
        <w:t>Source: Department of Treasury and Finance</w:t>
      </w:r>
    </w:p>
    <w:p w:rsidR="00336793" w:rsidRDefault="00336793" w:rsidP="00DF0B96">
      <w:pPr>
        <w:pStyle w:val="Notes"/>
      </w:pPr>
      <w:r>
        <w:t>Notes:</w:t>
      </w:r>
    </w:p>
    <w:p w:rsidR="00336793" w:rsidRDefault="00336793" w:rsidP="00DF0B96">
      <w:pPr>
        <w:pStyle w:val="Notes"/>
      </w:pPr>
      <w:r>
        <w:t>(a)</w:t>
      </w:r>
      <w:r>
        <w:tab/>
        <w:t>June 2014 comparative figures have been restated. See Chapter 4, Note 37</w:t>
      </w:r>
      <w:r w:rsidRPr="006A75A2">
        <w:t>.</w:t>
      </w:r>
    </w:p>
    <w:p w:rsidR="00336793" w:rsidRPr="00B3617B" w:rsidRDefault="00336793" w:rsidP="00DF0B96">
      <w:pPr>
        <w:pStyle w:val="Notes"/>
      </w:pPr>
      <w:r>
        <w:t>(b)</w:t>
      </w:r>
      <w:r>
        <w:tab/>
        <w:t xml:space="preserve">Determined in accordance with the ABS GFS manual. </w:t>
      </w:r>
    </w:p>
    <w:p w:rsidR="00336793" w:rsidRDefault="00336793" w:rsidP="00DF0B96">
      <w:pPr>
        <w:sectPr w:rsidR="00336793" w:rsidSect="00DF0B96">
          <w:headerReference w:type="even" r:id="rId151"/>
          <w:headerReference w:type="default" r:id="rId152"/>
          <w:footerReference w:type="even" r:id="rId153"/>
          <w:footerReference w:type="default" r:id="rId154"/>
          <w:pgSz w:w="16838" w:h="11906" w:orient="landscape" w:code="9"/>
          <w:pgMar w:top="1152" w:right="1152" w:bottom="1152" w:left="1152" w:header="720" w:footer="720" w:gutter="0"/>
          <w:cols w:space="708"/>
          <w:docGrid w:linePitch="360"/>
        </w:sectPr>
      </w:pPr>
    </w:p>
    <w:p w:rsidR="00336793" w:rsidRDefault="00336793" w:rsidP="00DF0B96">
      <w:pPr>
        <w:pStyle w:val="Tableheading"/>
        <w:rPr>
          <w:vertAlign w:val="superscript"/>
        </w:rPr>
      </w:pPr>
      <w:r w:rsidRPr="002C6A10">
        <w:lastRenderedPageBreak/>
        <w:t xml:space="preserve">Table 5.6: </w:t>
      </w:r>
      <w:r w:rsidRPr="002C6A10">
        <w:tab/>
        <w:t>General government sector detailed expenses by function</w:t>
      </w:r>
      <w:r>
        <w:rPr>
          <w:vertAlign w:val="superscript"/>
        </w:rPr>
        <w:t>(a)</w:t>
      </w:r>
    </w:p>
    <w:p w:rsidR="00336793" w:rsidRPr="00A154C9"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1120"/>
      </w:tblGrid>
      <w:tr w:rsidR="00336793" w:rsidRPr="00A154C9" w:rsidTr="00DF0B96">
        <w:trPr>
          <w:tblHeader/>
        </w:trPr>
        <w:tc>
          <w:tcPr>
            <w:tcW w:w="7397" w:type="dxa"/>
            <w:tcBorders>
              <w:top w:val="single" w:sz="6" w:space="0" w:color="auto"/>
              <w:left w:val="single" w:sz="6" w:space="0" w:color="auto"/>
              <w:bottom w:val="single" w:sz="6" w:space="0" w:color="auto"/>
              <w:right w:val="nil"/>
            </w:tcBorders>
            <w:shd w:val="clear" w:color="000000" w:fill="000000"/>
            <w:vAlign w:val="bottom"/>
          </w:tcPr>
          <w:p w:rsidR="00336793" w:rsidRPr="00A154C9" w:rsidRDefault="00336793" w:rsidP="00DF0B96">
            <w:pPr>
              <w:pStyle w:val="Tabletextheading"/>
              <w:jc w:val="left"/>
              <w:rPr>
                <w:rFonts w:eastAsiaTheme="minorEastAsia"/>
                <w:color w:val="FFFFFF"/>
                <w:sz w:val="21"/>
                <w:lang w:eastAsia="en-AU"/>
              </w:rPr>
            </w:pPr>
            <w:r w:rsidRPr="00A154C9">
              <w:rPr>
                <w:rFonts w:eastAsiaTheme="minorEastAsia"/>
                <w:color w:val="FFFFFF"/>
                <w:sz w:val="21"/>
                <w:lang w:eastAsia="en-AU"/>
              </w:rPr>
              <w:t xml:space="preserve">  </w:t>
            </w:r>
          </w:p>
        </w:tc>
        <w:tc>
          <w:tcPr>
            <w:tcW w:w="1120" w:type="dxa"/>
            <w:tcBorders>
              <w:top w:val="single" w:sz="6" w:space="0" w:color="auto"/>
              <w:left w:val="nil"/>
              <w:bottom w:val="single" w:sz="6" w:space="0" w:color="auto"/>
              <w:right w:val="nil"/>
            </w:tcBorders>
            <w:shd w:val="clear" w:color="000000" w:fill="000000"/>
            <w:vAlign w:val="bottom"/>
          </w:tcPr>
          <w:p w:rsidR="00336793" w:rsidRPr="00A154C9" w:rsidRDefault="00336793" w:rsidP="00DF0B96">
            <w:pPr>
              <w:pStyle w:val="Tabletextheading"/>
              <w:rPr>
                <w:rFonts w:eastAsiaTheme="minorEastAsia"/>
                <w:bCs/>
                <w:iCs/>
                <w:color w:val="FFFFFF"/>
                <w:sz w:val="21"/>
                <w:lang w:eastAsia="en-AU"/>
              </w:rPr>
            </w:pPr>
            <w:r w:rsidRPr="00A154C9">
              <w:rPr>
                <w:rFonts w:eastAsiaTheme="minorEastAsia"/>
                <w:bCs/>
                <w:iCs/>
                <w:color w:val="FFFFFF"/>
                <w:sz w:val="21"/>
                <w:lang w:eastAsia="en-AU"/>
              </w:rPr>
              <w:t>2014</w:t>
            </w:r>
            <w:r>
              <w:rPr>
                <w:rFonts w:eastAsiaTheme="minorEastAsia"/>
                <w:bCs/>
                <w:iCs/>
                <w:color w:val="FFFFFF"/>
                <w:sz w:val="21"/>
                <w:lang w:eastAsia="en-AU"/>
              </w:rPr>
              <w:noBreakHyphen/>
            </w:r>
            <w:r w:rsidRPr="00A154C9">
              <w:rPr>
                <w:rFonts w:eastAsiaTheme="minorEastAsia"/>
                <w:bCs/>
                <w:iCs/>
                <w:color w:val="FFFFFF"/>
                <w:sz w:val="21"/>
                <w:lang w:eastAsia="en-AU"/>
              </w:rPr>
              <w:t>15</w:t>
            </w:r>
          </w:p>
        </w:tc>
        <w:tc>
          <w:tcPr>
            <w:tcW w:w="1120" w:type="dxa"/>
            <w:tcBorders>
              <w:top w:val="single" w:sz="6" w:space="0" w:color="auto"/>
              <w:left w:val="nil"/>
              <w:bottom w:val="single" w:sz="6" w:space="0" w:color="auto"/>
              <w:right w:val="single" w:sz="6" w:space="0" w:color="auto"/>
            </w:tcBorders>
            <w:shd w:val="clear" w:color="000000" w:fill="000000"/>
            <w:vAlign w:val="bottom"/>
          </w:tcPr>
          <w:p w:rsidR="00336793" w:rsidRPr="00A154C9" w:rsidRDefault="00336793" w:rsidP="00DF0B96">
            <w:pPr>
              <w:pStyle w:val="Tabletextheading"/>
              <w:rPr>
                <w:rFonts w:eastAsiaTheme="minorEastAsia"/>
                <w:bCs/>
                <w:iCs/>
                <w:color w:val="FFFFFF"/>
                <w:sz w:val="21"/>
                <w:lang w:eastAsia="en-AU"/>
              </w:rPr>
            </w:pPr>
            <w:r w:rsidRPr="00A154C9">
              <w:rPr>
                <w:rFonts w:eastAsiaTheme="minorEastAsia"/>
                <w:bCs/>
                <w:iCs/>
                <w:color w:val="FFFFFF"/>
                <w:sz w:val="21"/>
                <w:lang w:eastAsia="en-AU"/>
              </w:rPr>
              <w:t>2013</w:t>
            </w:r>
            <w:r>
              <w:rPr>
                <w:rFonts w:eastAsiaTheme="minorEastAsia"/>
                <w:bCs/>
                <w:iCs/>
                <w:color w:val="FFFFFF"/>
                <w:sz w:val="21"/>
                <w:lang w:eastAsia="en-AU"/>
              </w:rPr>
              <w:noBreakHyphen/>
            </w:r>
            <w:r w:rsidRPr="00A154C9">
              <w:rPr>
                <w:rFonts w:eastAsiaTheme="minorEastAsia"/>
                <w:bCs/>
                <w:iCs/>
                <w:color w:val="FFFFFF"/>
                <w:sz w:val="21"/>
                <w:lang w:eastAsia="en-AU"/>
              </w:rPr>
              <w:t xml:space="preserve">14 </w:t>
            </w:r>
            <w:r w:rsidRPr="00A154C9">
              <w:rPr>
                <w:rFonts w:eastAsiaTheme="minorEastAsia"/>
                <w:bCs/>
                <w:iCs/>
                <w:color w:val="FFFFFF"/>
                <w:sz w:val="21"/>
                <w:vertAlign w:val="superscript"/>
                <w:lang w:eastAsia="en-AU"/>
              </w:rPr>
              <w:t>(d)</w:t>
            </w:r>
          </w:p>
        </w:tc>
      </w:tr>
      <w:tr w:rsidR="00336793" w:rsidRPr="00A154C9" w:rsidTr="00DF0B96">
        <w:tc>
          <w:tcPr>
            <w:tcW w:w="7397" w:type="dxa"/>
            <w:tcBorders>
              <w:top w:val="single" w:sz="6" w:space="0" w:color="auto"/>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vertAlign w:val="superscript"/>
                <w:lang w:eastAsia="en-AU"/>
              </w:rPr>
            </w:pPr>
            <w:r w:rsidRPr="00A154C9">
              <w:rPr>
                <w:rFonts w:ascii="Calibri" w:eastAsiaTheme="minorEastAsia" w:hAnsi="Calibri" w:cs="Calibri"/>
                <w:b/>
                <w:bCs/>
                <w:sz w:val="21"/>
                <w:szCs w:val="22"/>
                <w:lang w:eastAsia="en-AU"/>
              </w:rPr>
              <w:t>General public services</w:t>
            </w:r>
            <w:r w:rsidRPr="00A154C9">
              <w:rPr>
                <w:rFonts w:ascii="Calibri" w:eastAsiaTheme="minorEastAsia" w:hAnsi="Calibri" w:cs="Calibri"/>
                <w:b/>
                <w:bCs/>
                <w:sz w:val="21"/>
                <w:szCs w:val="22"/>
                <w:vertAlign w:val="superscript"/>
                <w:lang w:eastAsia="en-AU"/>
              </w:rPr>
              <w:t>(b)</w:t>
            </w:r>
          </w:p>
        </w:tc>
        <w:tc>
          <w:tcPr>
            <w:tcW w:w="1120" w:type="dxa"/>
            <w:tcBorders>
              <w:top w:val="single" w:sz="6" w:space="0" w:color="auto"/>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2 428.3</w:t>
            </w:r>
          </w:p>
        </w:tc>
        <w:tc>
          <w:tcPr>
            <w:tcW w:w="1120" w:type="dxa"/>
            <w:tcBorders>
              <w:top w:val="single" w:sz="6" w:space="0" w:color="auto"/>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1 811.5</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Other general public services</w:t>
            </w:r>
            <w:r w:rsidRPr="00A154C9">
              <w:rPr>
                <w:rFonts w:ascii="Calibri" w:eastAsiaTheme="minorEastAsia" w:hAnsi="Calibri" w:cs="Calibri"/>
                <w:sz w:val="21"/>
                <w:szCs w:val="22"/>
                <w:vertAlign w:val="superscript"/>
                <w:lang w:eastAsia="en-AU"/>
              </w:rPr>
              <w:t>(b)</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2 428.3</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1 811.5</w:t>
            </w:r>
          </w:p>
        </w:tc>
      </w:tr>
      <w:tr w:rsidR="00336793" w:rsidRPr="00A154C9" w:rsidTr="00DF0B96">
        <w:trPr>
          <w:trHeight w:hRule="exact" w:val="120"/>
        </w:trPr>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Public order and safety</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5 769.1</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5 508.5</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Police and fire protection services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3 399.9</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3 313.7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Police services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2 325.1</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2 159.7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Fire protection services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1 074.7</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1 154.0</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Law courts and legal services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1 044.2</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1 014.7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Prisons and corrective services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962.1</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815.7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Other public order and safety</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362.9</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364.3</w:t>
            </w:r>
          </w:p>
        </w:tc>
      </w:tr>
      <w:tr w:rsidR="00336793" w:rsidRPr="00A154C9" w:rsidTr="00DF0B96">
        <w:trPr>
          <w:trHeight w:hRule="exact" w:val="120"/>
        </w:trPr>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vertAlign w:val="superscript"/>
                <w:lang w:eastAsia="en-AU"/>
              </w:rPr>
            </w:pPr>
            <w:r w:rsidRPr="00A154C9">
              <w:rPr>
                <w:rFonts w:ascii="Calibri" w:eastAsiaTheme="minorEastAsia" w:hAnsi="Calibri" w:cs="Calibri"/>
                <w:b/>
                <w:bCs/>
                <w:sz w:val="21"/>
                <w:szCs w:val="22"/>
                <w:lang w:eastAsia="en-AU"/>
              </w:rPr>
              <w:t>Education</w:t>
            </w:r>
            <w:r w:rsidRPr="00A154C9">
              <w:rPr>
                <w:rFonts w:ascii="Calibri" w:eastAsiaTheme="minorEastAsia" w:hAnsi="Calibri" w:cs="Calibri"/>
                <w:b/>
                <w:bCs/>
                <w:sz w:val="21"/>
                <w:szCs w:val="22"/>
                <w:vertAlign w:val="superscript"/>
                <w:lang w:eastAsia="en-AU"/>
              </w:rPr>
              <w:t>(b)</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12 973.8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12 628.8</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Primary and secondary education</w:t>
            </w:r>
            <w:r w:rsidRPr="00A154C9">
              <w:rPr>
                <w:rFonts w:ascii="Calibri" w:eastAsiaTheme="minorEastAsia" w:hAnsi="Calibri" w:cs="Calibri"/>
                <w:sz w:val="21"/>
                <w:szCs w:val="22"/>
                <w:vertAlign w:val="superscript"/>
                <w:lang w:eastAsia="en-AU"/>
              </w:rPr>
              <w:t>(b)</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9 765.0</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9 336.7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Primary education</w:t>
            </w:r>
            <w:r w:rsidRPr="00A154C9">
              <w:rPr>
                <w:rFonts w:ascii="Calibri" w:eastAsiaTheme="minorEastAsia" w:hAnsi="Calibri" w:cs="Calibri"/>
                <w:sz w:val="21"/>
                <w:szCs w:val="22"/>
                <w:vertAlign w:val="superscript"/>
                <w:lang w:eastAsia="en-AU"/>
              </w:rPr>
              <w:t>(b)</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4 921.0</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4 690.7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Secondary education</w:t>
            </w:r>
            <w:r w:rsidRPr="00A154C9">
              <w:rPr>
                <w:rFonts w:ascii="Calibri" w:eastAsiaTheme="minorEastAsia" w:hAnsi="Calibri" w:cs="Calibri"/>
                <w:sz w:val="21"/>
                <w:szCs w:val="22"/>
                <w:vertAlign w:val="superscript"/>
                <w:lang w:eastAsia="en-AU"/>
              </w:rPr>
              <w:t>(b)</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4 790.2</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4 597.4</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Primary and secondary education NEC</w:t>
            </w:r>
            <w:r w:rsidRPr="00A154C9">
              <w:rPr>
                <w:rFonts w:ascii="Calibri" w:eastAsiaTheme="minorEastAsia" w:hAnsi="Calibri" w:cs="Calibri"/>
                <w:sz w:val="21"/>
                <w:szCs w:val="22"/>
                <w:vertAlign w:val="superscript"/>
                <w:lang w:eastAsia="en-AU"/>
              </w:rPr>
              <w:t>(c)</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53.8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48.6</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Tertiary education</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2 110.5</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2 231.7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Technical and further education</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2 110.5</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2 231.7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Pre</w:t>
            </w:r>
            <w:r>
              <w:rPr>
                <w:rFonts w:ascii="Calibri" w:eastAsiaTheme="minorEastAsia" w:hAnsi="Calibri" w:cs="Calibri"/>
                <w:sz w:val="21"/>
                <w:szCs w:val="22"/>
                <w:lang w:eastAsia="en-AU"/>
              </w:rPr>
              <w:noBreakHyphen/>
            </w:r>
            <w:r w:rsidRPr="00A154C9">
              <w:rPr>
                <w:rFonts w:ascii="Calibri" w:eastAsiaTheme="minorEastAsia" w:hAnsi="Calibri" w:cs="Calibri"/>
                <w:sz w:val="21"/>
                <w:szCs w:val="22"/>
                <w:lang w:eastAsia="en-AU"/>
              </w:rPr>
              <w:t>school education and education not definable by level</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970.5</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939.5</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Pre</w:t>
            </w:r>
            <w:r>
              <w:rPr>
                <w:rFonts w:ascii="Calibri" w:eastAsiaTheme="minorEastAsia" w:hAnsi="Calibri" w:cs="Calibri"/>
                <w:sz w:val="21"/>
                <w:szCs w:val="22"/>
                <w:lang w:eastAsia="en-AU"/>
              </w:rPr>
              <w:noBreakHyphen/>
            </w:r>
            <w:r w:rsidRPr="00A154C9">
              <w:rPr>
                <w:rFonts w:ascii="Calibri" w:eastAsiaTheme="minorEastAsia" w:hAnsi="Calibri" w:cs="Calibri"/>
                <w:sz w:val="21"/>
                <w:szCs w:val="22"/>
                <w:lang w:eastAsia="en-AU"/>
              </w:rPr>
              <w:t>school education</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300.8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311.5</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Special education</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669.7</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628.0</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color w:val="000000"/>
                <w:sz w:val="21"/>
                <w:szCs w:val="22"/>
                <w:lang w:eastAsia="en-AU"/>
              </w:rPr>
            </w:pPr>
            <w:r w:rsidRPr="00A154C9">
              <w:rPr>
                <w:rFonts w:ascii="Calibri" w:eastAsiaTheme="minorEastAsia" w:hAnsi="Calibri" w:cs="Calibri"/>
                <w:sz w:val="21"/>
                <w:szCs w:val="22"/>
                <w:lang w:eastAsia="en-AU"/>
              </w:rPr>
              <w:t xml:space="preserve">   Transportation of students</w:t>
            </w:r>
            <w:r w:rsidRPr="00A154C9">
              <w:rPr>
                <w:rFonts w:ascii="Calibri" w:eastAsiaTheme="minorEastAsia" w:hAnsi="Calibri" w:cs="Calibri"/>
                <w:sz w:val="21"/>
                <w:szCs w:val="22"/>
                <w:vertAlign w:val="superscript"/>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127.8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121.0</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Transportation of non</w:t>
            </w:r>
            <w:r>
              <w:rPr>
                <w:rFonts w:ascii="Calibri" w:eastAsiaTheme="minorEastAsia" w:hAnsi="Calibri" w:cs="Calibri"/>
                <w:sz w:val="21"/>
                <w:szCs w:val="22"/>
                <w:lang w:eastAsia="en-AU"/>
              </w:rPr>
              <w:noBreakHyphen/>
            </w:r>
            <w:r w:rsidRPr="00A154C9">
              <w:rPr>
                <w:rFonts w:ascii="Calibri" w:eastAsiaTheme="minorEastAsia" w:hAnsi="Calibri" w:cs="Calibri"/>
                <w:sz w:val="21"/>
                <w:szCs w:val="22"/>
                <w:lang w:eastAsia="en-AU"/>
              </w:rPr>
              <w:t>urban school children</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38.8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37.3</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Transportation of other students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89.0</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83.6</w:t>
            </w:r>
          </w:p>
        </w:tc>
      </w:tr>
      <w:tr w:rsidR="00336793" w:rsidRPr="00A154C9" w:rsidTr="00DF0B96">
        <w:trPr>
          <w:trHeight w:hRule="exact" w:val="120"/>
        </w:trPr>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Health</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14 369.8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13 811.5</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Acute care institutions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10 719.0</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10 301.4</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Admitted patient services in acute care institutions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8 818.4</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8 528.4</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Non</w:t>
            </w:r>
            <w:r>
              <w:rPr>
                <w:rFonts w:ascii="Calibri" w:eastAsiaTheme="minorEastAsia" w:hAnsi="Calibri" w:cs="Calibri"/>
                <w:sz w:val="21"/>
                <w:szCs w:val="22"/>
                <w:lang w:eastAsia="en-AU"/>
              </w:rPr>
              <w:noBreakHyphen/>
            </w:r>
            <w:r w:rsidRPr="00A154C9">
              <w:rPr>
                <w:rFonts w:ascii="Calibri" w:eastAsiaTheme="minorEastAsia" w:hAnsi="Calibri" w:cs="Calibri"/>
                <w:sz w:val="21"/>
                <w:szCs w:val="22"/>
                <w:lang w:eastAsia="en-AU"/>
              </w:rPr>
              <w:t>admitted patient services in acute care institutions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1 900.6</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1 773.0</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Mental health institutions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59.6</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83.7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Nursing homes for the aged</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508.7</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509.3</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Community health services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2 216.6</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2 111.5</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Community health services (excluding community mental health)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805.4</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789.0</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Community mental health</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716.2</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700.7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Patient transport</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695.0</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621.8</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Public health services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409.1</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358.9</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Pharmaceuticals, medical aids and appliances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382.9</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330.2</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Health research</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61.1</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107.1</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Health administration NEC</w:t>
            </w:r>
            <w:r w:rsidRPr="00A154C9">
              <w:rPr>
                <w:rFonts w:ascii="Calibri" w:eastAsiaTheme="minorEastAsia" w:hAnsi="Calibri" w:cs="Calibri"/>
                <w:sz w:val="21"/>
                <w:szCs w:val="22"/>
                <w:vertAlign w:val="superscript"/>
                <w:lang w:eastAsia="en-AU"/>
              </w:rPr>
              <w:t>(c)</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12.8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9.6</w:t>
            </w:r>
          </w:p>
        </w:tc>
      </w:tr>
      <w:tr w:rsidR="00336793" w:rsidRPr="00A154C9" w:rsidTr="00DF0B96">
        <w:trPr>
          <w:trHeight w:hRule="exact" w:val="120"/>
        </w:trPr>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vertAlign w:val="superscript"/>
                <w:lang w:eastAsia="en-AU"/>
              </w:rPr>
            </w:pPr>
            <w:r w:rsidRPr="00A154C9">
              <w:rPr>
                <w:rFonts w:ascii="Calibri" w:eastAsiaTheme="minorEastAsia" w:hAnsi="Calibri" w:cs="Calibri"/>
                <w:b/>
                <w:bCs/>
                <w:sz w:val="21"/>
                <w:szCs w:val="22"/>
                <w:lang w:eastAsia="en-AU"/>
              </w:rPr>
              <w:t>Social security and welfare</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4 254.9</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3 916.6</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Welfare services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4 254.9</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3 916.6</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Family and child services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1 044.1</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936.2</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Welfare services for the aged</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1 016.4</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975.6</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Welfare services for people with a disability</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1 672.2</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1 456.9</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Welfare services NEC</w:t>
            </w:r>
            <w:r w:rsidRPr="00A154C9">
              <w:rPr>
                <w:rFonts w:ascii="Calibri" w:eastAsiaTheme="minorEastAsia" w:hAnsi="Calibri" w:cs="Calibri"/>
                <w:sz w:val="21"/>
                <w:szCs w:val="22"/>
                <w:vertAlign w:val="superscript"/>
                <w:lang w:eastAsia="en-AU"/>
              </w:rPr>
              <w:t>(c)</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522.2</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547.9</w:t>
            </w:r>
          </w:p>
        </w:tc>
      </w:tr>
      <w:tr w:rsidR="00336793" w:rsidRPr="00A154C9" w:rsidTr="00DF0B96">
        <w:trPr>
          <w:trHeight w:hRule="exact" w:val="120"/>
        </w:trPr>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Housing and community amenities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2 948.2</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2 444.4</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Housing and community development</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2 457.4</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1 902.8</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Housing</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425.1</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436.5</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Aboriginal community development</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14.3</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13.5</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Other community development</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2 018.0</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1 452.8</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Water supply</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123.1</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151.2</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Sanitation and protection of the environment</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359.4</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382.4</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Other community amenities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8.3</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8.0</w:t>
            </w:r>
          </w:p>
        </w:tc>
      </w:tr>
    </w:tbl>
    <w:p w:rsidR="00336793" w:rsidRDefault="00336793" w:rsidP="00146F9C">
      <w:pPr>
        <w:pStyle w:val="Tableheadingcontinued"/>
      </w:pPr>
      <w:r>
        <w:lastRenderedPageBreak/>
        <w:t xml:space="preserve">Table 5.6: </w:t>
      </w:r>
      <w:r>
        <w:tab/>
        <w:t>General government sector detailed expenses by function</w:t>
      </w:r>
      <w:r w:rsidRPr="00146F9C">
        <w:rPr>
          <w:vertAlign w:val="superscript"/>
        </w:rPr>
        <w:t>(a)</w:t>
      </w:r>
      <w:r>
        <w:t xml:space="preserve"> </w:t>
      </w:r>
      <w:r w:rsidRPr="00146F9C">
        <w:rPr>
          <w:i/>
        </w:rPr>
        <w:t>(continued)</w:t>
      </w:r>
    </w:p>
    <w:p w:rsidR="00336793" w:rsidRDefault="00336793" w:rsidP="00146F9C">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97"/>
        <w:gridCol w:w="1120"/>
        <w:gridCol w:w="1120"/>
      </w:tblGrid>
      <w:tr w:rsidR="00336793" w:rsidRPr="00A154C9" w:rsidTr="00DF0B96">
        <w:trPr>
          <w:tblHeader/>
        </w:trPr>
        <w:tc>
          <w:tcPr>
            <w:tcW w:w="7397" w:type="dxa"/>
            <w:tcBorders>
              <w:top w:val="single" w:sz="6" w:space="0" w:color="auto"/>
              <w:left w:val="single" w:sz="6" w:space="0" w:color="auto"/>
              <w:bottom w:val="single" w:sz="6" w:space="0" w:color="auto"/>
              <w:right w:val="nil"/>
            </w:tcBorders>
            <w:shd w:val="clear" w:color="000000" w:fill="000000"/>
            <w:vAlign w:val="bottom"/>
          </w:tcPr>
          <w:p w:rsidR="00336793" w:rsidRPr="00A154C9" w:rsidRDefault="00336793" w:rsidP="00DF0B96">
            <w:pPr>
              <w:pStyle w:val="Tabletextheading"/>
              <w:jc w:val="left"/>
              <w:rPr>
                <w:rFonts w:eastAsiaTheme="minorEastAsia"/>
                <w:color w:val="FFFFFF"/>
                <w:sz w:val="21"/>
                <w:lang w:eastAsia="en-AU"/>
              </w:rPr>
            </w:pPr>
            <w:r w:rsidRPr="00A154C9">
              <w:rPr>
                <w:rFonts w:eastAsiaTheme="minorEastAsia"/>
                <w:color w:val="FFFFFF"/>
                <w:sz w:val="21"/>
                <w:lang w:eastAsia="en-AU"/>
              </w:rPr>
              <w:t xml:space="preserve">  </w:t>
            </w:r>
          </w:p>
        </w:tc>
        <w:tc>
          <w:tcPr>
            <w:tcW w:w="1120" w:type="dxa"/>
            <w:tcBorders>
              <w:top w:val="single" w:sz="6" w:space="0" w:color="auto"/>
              <w:left w:val="nil"/>
              <w:bottom w:val="single" w:sz="6" w:space="0" w:color="auto"/>
              <w:right w:val="nil"/>
            </w:tcBorders>
            <w:shd w:val="clear" w:color="000000" w:fill="000000"/>
            <w:vAlign w:val="bottom"/>
          </w:tcPr>
          <w:p w:rsidR="00336793" w:rsidRPr="00A154C9" w:rsidRDefault="00336793" w:rsidP="00DF0B96">
            <w:pPr>
              <w:pStyle w:val="Tabletextheading"/>
              <w:rPr>
                <w:rFonts w:eastAsiaTheme="minorEastAsia"/>
                <w:bCs/>
                <w:iCs/>
                <w:color w:val="FFFFFF"/>
                <w:sz w:val="21"/>
                <w:lang w:eastAsia="en-AU"/>
              </w:rPr>
            </w:pPr>
            <w:r w:rsidRPr="00A154C9">
              <w:rPr>
                <w:rFonts w:eastAsiaTheme="minorEastAsia"/>
                <w:bCs/>
                <w:iCs/>
                <w:color w:val="FFFFFF"/>
                <w:sz w:val="21"/>
                <w:lang w:eastAsia="en-AU"/>
              </w:rPr>
              <w:t>2014</w:t>
            </w:r>
            <w:r>
              <w:rPr>
                <w:rFonts w:eastAsiaTheme="minorEastAsia"/>
                <w:bCs/>
                <w:iCs/>
                <w:color w:val="FFFFFF"/>
                <w:sz w:val="21"/>
                <w:lang w:eastAsia="en-AU"/>
              </w:rPr>
              <w:noBreakHyphen/>
            </w:r>
            <w:r w:rsidRPr="00A154C9">
              <w:rPr>
                <w:rFonts w:eastAsiaTheme="minorEastAsia"/>
                <w:bCs/>
                <w:iCs/>
                <w:color w:val="FFFFFF"/>
                <w:sz w:val="21"/>
                <w:lang w:eastAsia="en-AU"/>
              </w:rPr>
              <w:t>15</w:t>
            </w:r>
          </w:p>
        </w:tc>
        <w:tc>
          <w:tcPr>
            <w:tcW w:w="1120" w:type="dxa"/>
            <w:tcBorders>
              <w:top w:val="single" w:sz="6" w:space="0" w:color="auto"/>
              <w:left w:val="nil"/>
              <w:bottom w:val="single" w:sz="6" w:space="0" w:color="auto"/>
              <w:right w:val="single" w:sz="6" w:space="0" w:color="auto"/>
            </w:tcBorders>
            <w:shd w:val="clear" w:color="000000" w:fill="000000"/>
            <w:vAlign w:val="bottom"/>
          </w:tcPr>
          <w:p w:rsidR="00336793" w:rsidRPr="00A154C9" w:rsidRDefault="00336793" w:rsidP="00DF0B96">
            <w:pPr>
              <w:pStyle w:val="Tabletextheading"/>
              <w:rPr>
                <w:rFonts w:eastAsiaTheme="minorEastAsia"/>
                <w:bCs/>
                <w:iCs/>
                <w:color w:val="FFFFFF"/>
                <w:sz w:val="21"/>
                <w:lang w:eastAsia="en-AU"/>
              </w:rPr>
            </w:pPr>
            <w:r w:rsidRPr="00A154C9">
              <w:rPr>
                <w:rFonts w:eastAsiaTheme="minorEastAsia"/>
                <w:bCs/>
                <w:iCs/>
                <w:color w:val="FFFFFF"/>
                <w:sz w:val="21"/>
                <w:lang w:eastAsia="en-AU"/>
              </w:rPr>
              <w:t>2013</w:t>
            </w:r>
            <w:r>
              <w:rPr>
                <w:rFonts w:eastAsiaTheme="minorEastAsia"/>
                <w:bCs/>
                <w:iCs/>
                <w:color w:val="FFFFFF"/>
                <w:sz w:val="21"/>
                <w:lang w:eastAsia="en-AU"/>
              </w:rPr>
              <w:noBreakHyphen/>
            </w:r>
            <w:r w:rsidRPr="00A154C9">
              <w:rPr>
                <w:rFonts w:eastAsiaTheme="minorEastAsia"/>
                <w:bCs/>
                <w:iCs/>
                <w:color w:val="FFFFFF"/>
                <w:sz w:val="21"/>
                <w:lang w:eastAsia="en-AU"/>
              </w:rPr>
              <w:t xml:space="preserve">14 </w:t>
            </w:r>
            <w:r w:rsidRPr="00A154C9">
              <w:rPr>
                <w:rFonts w:eastAsiaTheme="minorEastAsia"/>
                <w:bCs/>
                <w:iCs/>
                <w:color w:val="FFFFFF"/>
                <w:sz w:val="21"/>
                <w:vertAlign w:val="superscript"/>
                <w:lang w:eastAsia="en-AU"/>
              </w:rPr>
              <w:t>(d)</w:t>
            </w:r>
          </w:p>
        </w:tc>
      </w:tr>
      <w:tr w:rsidR="00336793" w:rsidRPr="00A154C9" w:rsidTr="00DF0B96">
        <w:trPr>
          <w:trHeight w:hRule="exact" w:val="120"/>
        </w:trPr>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Recreation and culture</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 xml:space="preserve"> 682.6</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 xml:space="preserve"> 687.0</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Recreation facilities and services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291.3</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297.4</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National parks and wildlife</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82.1</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80.3</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Recreation facilities and services NEC</w:t>
            </w:r>
            <w:r w:rsidRPr="00A154C9">
              <w:rPr>
                <w:rFonts w:ascii="Calibri" w:eastAsiaTheme="minorEastAsia" w:hAnsi="Calibri" w:cs="Calibri"/>
                <w:sz w:val="21"/>
                <w:szCs w:val="22"/>
                <w:vertAlign w:val="superscript"/>
                <w:lang w:eastAsia="en-AU"/>
              </w:rPr>
              <w:t xml:space="preserve">(c)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209.2</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217.1</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Cultural facilities and services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391.3</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389.6</w:t>
            </w:r>
          </w:p>
        </w:tc>
      </w:tr>
      <w:tr w:rsidR="00336793" w:rsidRPr="00A154C9" w:rsidTr="00DF0B96">
        <w:trPr>
          <w:trHeight w:hRule="exact" w:val="120"/>
        </w:trPr>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Fuel and energy</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 xml:space="preserve"> 130.4</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 xml:space="preserve"> 123.1</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Electricity and other energy</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130.4</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123.1</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Electricity</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30.6</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29.5</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Fuel and energy NEC</w:t>
            </w:r>
            <w:r w:rsidRPr="00A154C9">
              <w:rPr>
                <w:rFonts w:ascii="Calibri" w:eastAsiaTheme="minorEastAsia" w:hAnsi="Calibri" w:cs="Calibri"/>
                <w:sz w:val="21"/>
                <w:szCs w:val="22"/>
                <w:vertAlign w:val="superscript"/>
                <w:lang w:eastAsia="en-AU"/>
              </w:rPr>
              <w:t xml:space="preserve">(c)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99.8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93.6</w:t>
            </w:r>
          </w:p>
        </w:tc>
      </w:tr>
      <w:tr w:rsidR="00336793" w:rsidRPr="00A154C9" w:rsidTr="00DF0B96">
        <w:trPr>
          <w:trHeight w:hRule="exact" w:val="120"/>
        </w:trPr>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Agriculture, forestry, fishing and hunting</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 xml:space="preserve"> 382.0</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 xml:space="preserve"> 377.8</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Agriculture</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315.2</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377.8</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Forestry, fishing and hunting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66.8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w:t>
            </w:r>
          </w:p>
        </w:tc>
      </w:tr>
      <w:tr w:rsidR="00336793" w:rsidRPr="00A154C9" w:rsidTr="00DF0B96">
        <w:trPr>
          <w:trHeight w:hRule="exact" w:val="120"/>
        </w:trPr>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vertAlign w:val="superscript"/>
                <w:lang w:eastAsia="en-AU"/>
              </w:rPr>
            </w:pPr>
            <w:r w:rsidRPr="00A154C9">
              <w:rPr>
                <w:rFonts w:ascii="Calibri" w:eastAsiaTheme="minorEastAsia" w:hAnsi="Calibri" w:cs="Calibri"/>
                <w:b/>
                <w:bCs/>
                <w:sz w:val="21"/>
                <w:szCs w:val="22"/>
                <w:lang w:eastAsia="en-AU"/>
              </w:rPr>
              <w:t>Transport and communications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6 133.6</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5 961.4</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Road transport</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1 703.9</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1 608.1</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Road maintenance</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479.5</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450.1</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Road construction</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956.7</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849.3</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Road transport NEC</w:t>
            </w:r>
            <w:r w:rsidRPr="00A154C9">
              <w:rPr>
                <w:rFonts w:ascii="Calibri" w:eastAsiaTheme="minorEastAsia" w:hAnsi="Calibri" w:cs="Calibri"/>
                <w:sz w:val="21"/>
                <w:szCs w:val="22"/>
                <w:vertAlign w:val="superscript"/>
                <w:lang w:eastAsia="en-AU"/>
              </w:rPr>
              <w:t>(c)</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267.7</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308.6</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Rail transport</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4 342.9</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4 240.4</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Urban rail transport services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3 420.3</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3 393.9</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Non</w:t>
            </w:r>
            <w:r>
              <w:rPr>
                <w:rFonts w:ascii="Calibri" w:eastAsiaTheme="minorEastAsia" w:hAnsi="Calibri" w:cs="Calibri"/>
                <w:sz w:val="21"/>
                <w:szCs w:val="22"/>
                <w:lang w:eastAsia="en-AU"/>
              </w:rPr>
              <w:noBreakHyphen/>
            </w:r>
            <w:r w:rsidRPr="00A154C9">
              <w:rPr>
                <w:rFonts w:ascii="Calibri" w:eastAsiaTheme="minorEastAsia" w:hAnsi="Calibri" w:cs="Calibri"/>
                <w:sz w:val="21"/>
                <w:szCs w:val="22"/>
                <w:lang w:eastAsia="en-AU"/>
              </w:rPr>
              <w:t>urban rail transport passenger services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922.6</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846.5</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Other transport</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86.8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112.9</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Other transport NEC</w:t>
            </w:r>
            <w:r w:rsidRPr="00A154C9">
              <w:rPr>
                <w:rFonts w:ascii="Calibri" w:eastAsiaTheme="minorEastAsia" w:hAnsi="Calibri" w:cs="Calibri"/>
                <w:sz w:val="21"/>
                <w:szCs w:val="22"/>
                <w:vertAlign w:val="superscript"/>
                <w:lang w:eastAsia="en-AU"/>
              </w:rPr>
              <w:t>(c)</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86.8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112.9</w:t>
            </w:r>
          </w:p>
        </w:tc>
      </w:tr>
      <w:tr w:rsidR="00336793" w:rsidRPr="00A154C9" w:rsidTr="00DF0B96">
        <w:trPr>
          <w:trHeight w:hRule="exact" w:val="120"/>
        </w:trPr>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Other economic affairs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1 108.9</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1 168.5</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Tourism and area promotion</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238.5</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218.1</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Labour and employment affairs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10.5</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9.9</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Other labour and employment affairs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10.5</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9.9</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Other economic affairs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859.9</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940.4</w:t>
            </w:r>
          </w:p>
        </w:tc>
      </w:tr>
      <w:tr w:rsidR="00336793" w:rsidRPr="00A154C9" w:rsidTr="00DF0B96">
        <w:trPr>
          <w:trHeight w:hRule="exact" w:val="120"/>
        </w:trPr>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Other purposes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1 376.4</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1 945.7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Public debt transactions</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1 338.6</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1 366.7</w:t>
            </w:r>
          </w:p>
        </w:tc>
      </w:tr>
      <w:tr w:rsidR="00336793" w:rsidRPr="00A154C9" w:rsidTr="00DF0B96">
        <w:tc>
          <w:tcPr>
            <w:tcW w:w="7397" w:type="dxa"/>
            <w:tcBorders>
              <w:top w:val="nil"/>
              <w:left w:val="nil"/>
              <w:bottom w:val="nil"/>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A154C9">
              <w:rPr>
                <w:rFonts w:ascii="Calibri" w:eastAsiaTheme="minorEastAsia" w:hAnsi="Calibri" w:cs="Calibri"/>
                <w:sz w:val="21"/>
                <w:szCs w:val="22"/>
                <w:lang w:eastAsia="en-AU"/>
              </w:rPr>
              <w:t xml:space="preserve">   Other purposes NEC</w:t>
            </w:r>
            <w:r w:rsidRPr="00A154C9">
              <w:rPr>
                <w:rFonts w:ascii="Calibri" w:eastAsiaTheme="minorEastAsia" w:hAnsi="Calibri" w:cs="Calibri"/>
                <w:sz w:val="21"/>
                <w:szCs w:val="22"/>
                <w:vertAlign w:val="superscript"/>
                <w:lang w:eastAsia="en-AU"/>
              </w:rPr>
              <w:t>(c)</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37.8</w:t>
            </w:r>
          </w:p>
        </w:tc>
        <w:tc>
          <w:tcPr>
            <w:tcW w:w="1120" w:type="dxa"/>
            <w:tcBorders>
              <w:top w:val="nil"/>
              <w:left w:val="nil"/>
              <w:bottom w:val="nil"/>
              <w:right w:val="nil"/>
            </w:tcBorders>
          </w:tcPr>
          <w:p w:rsidR="00336793" w:rsidRPr="00A154C9"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578.9</w:t>
            </w:r>
          </w:p>
        </w:tc>
      </w:tr>
      <w:tr w:rsidR="00336793" w:rsidRPr="00A154C9" w:rsidTr="00DF0B96">
        <w:trPr>
          <w:trHeight w:hRule="exact" w:val="120"/>
        </w:trPr>
        <w:tc>
          <w:tcPr>
            <w:tcW w:w="7397" w:type="dxa"/>
            <w:tcBorders>
              <w:top w:val="nil"/>
              <w:left w:val="nil"/>
              <w:bottom w:val="single" w:sz="6" w:space="0" w:color="auto"/>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single" w:sz="6" w:space="0" w:color="auto"/>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c>
          <w:tcPr>
            <w:tcW w:w="1120" w:type="dxa"/>
            <w:tcBorders>
              <w:top w:val="nil"/>
              <w:left w:val="nil"/>
              <w:bottom w:val="single" w:sz="6" w:space="0" w:color="auto"/>
              <w:right w:val="nil"/>
            </w:tcBorders>
          </w:tcPr>
          <w:p w:rsidR="00336793" w:rsidRPr="00A154C9" w:rsidRDefault="00336793" w:rsidP="00DF0B96">
            <w:pPr>
              <w:autoSpaceDE w:val="0"/>
              <w:autoSpaceDN w:val="0"/>
              <w:adjustRightInd w:val="0"/>
              <w:spacing w:after="0"/>
              <w:rPr>
                <w:rFonts w:ascii="Calibri" w:eastAsiaTheme="minorEastAsia" w:hAnsi="Calibri" w:cs="Calibri"/>
                <w:sz w:val="21"/>
                <w:szCs w:val="22"/>
                <w:lang w:eastAsia="en-AU"/>
              </w:rPr>
            </w:pPr>
            <w:r w:rsidRPr="00A154C9">
              <w:rPr>
                <w:rFonts w:ascii="Calibri" w:eastAsiaTheme="minorEastAsia" w:hAnsi="Calibri" w:cs="Calibri"/>
                <w:sz w:val="21"/>
                <w:szCs w:val="22"/>
                <w:lang w:eastAsia="en-AU"/>
              </w:rPr>
              <w:t xml:space="preserve"> </w:t>
            </w:r>
          </w:p>
        </w:tc>
      </w:tr>
      <w:tr w:rsidR="00336793" w:rsidRPr="00A154C9" w:rsidTr="00DF0B96">
        <w:tc>
          <w:tcPr>
            <w:tcW w:w="7397" w:type="dxa"/>
            <w:tcBorders>
              <w:top w:val="single" w:sz="6" w:space="0" w:color="auto"/>
              <w:left w:val="nil"/>
              <w:bottom w:val="single" w:sz="12" w:space="0" w:color="000000"/>
              <w:right w:val="nil"/>
            </w:tcBorders>
            <w:shd w:val="clear" w:color="auto" w:fill="auto"/>
          </w:tcPr>
          <w:p w:rsidR="00336793" w:rsidRPr="00A154C9" w:rsidRDefault="00336793" w:rsidP="00DF0B96">
            <w:pPr>
              <w:autoSpaceDE w:val="0"/>
              <w:autoSpaceDN w:val="0"/>
              <w:adjustRightInd w:val="0"/>
              <w:spacing w:after="0"/>
              <w:rPr>
                <w:rFonts w:ascii="Calibri" w:eastAsiaTheme="minorEastAsia" w:hAnsi="Calibri" w:cs="Calibri"/>
                <w:b/>
                <w:bCs/>
                <w:sz w:val="21"/>
                <w:szCs w:val="22"/>
                <w:vertAlign w:val="superscript"/>
                <w:lang w:eastAsia="en-AU"/>
              </w:rPr>
            </w:pPr>
            <w:r w:rsidRPr="00A154C9">
              <w:rPr>
                <w:rFonts w:ascii="Calibri" w:eastAsiaTheme="minorEastAsia" w:hAnsi="Calibri" w:cs="Calibri"/>
                <w:b/>
                <w:bCs/>
                <w:sz w:val="21"/>
                <w:szCs w:val="22"/>
                <w:lang w:eastAsia="en-AU"/>
              </w:rPr>
              <w:t>Total</w:t>
            </w:r>
            <w:r w:rsidRPr="00A154C9">
              <w:rPr>
                <w:rFonts w:ascii="Calibri" w:eastAsiaTheme="minorEastAsia" w:hAnsi="Calibri" w:cs="Calibri"/>
                <w:b/>
                <w:bCs/>
                <w:sz w:val="21"/>
                <w:szCs w:val="22"/>
                <w:vertAlign w:val="superscript"/>
                <w:lang w:eastAsia="en-AU"/>
              </w:rPr>
              <w:t>(b)</w:t>
            </w:r>
          </w:p>
        </w:tc>
        <w:tc>
          <w:tcPr>
            <w:tcW w:w="1120" w:type="dxa"/>
            <w:tcBorders>
              <w:top w:val="single" w:sz="6" w:space="0" w:color="auto"/>
              <w:left w:val="nil"/>
              <w:bottom w:val="single" w:sz="12" w:space="0" w:color="000000"/>
              <w:right w:val="nil"/>
            </w:tcBorders>
            <w:shd w:val="clear" w:color="auto" w:fill="auto"/>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52 558.0</w:t>
            </w:r>
          </w:p>
        </w:tc>
        <w:tc>
          <w:tcPr>
            <w:tcW w:w="1120" w:type="dxa"/>
            <w:tcBorders>
              <w:top w:val="single" w:sz="6" w:space="0" w:color="auto"/>
              <w:left w:val="nil"/>
              <w:bottom w:val="single" w:sz="12" w:space="0" w:color="000000"/>
              <w:right w:val="nil"/>
            </w:tcBorders>
            <w:shd w:val="clear" w:color="auto" w:fill="auto"/>
          </w:tcPr>
          <w:p w:rsidR="00336793" w:rsidRPr="00A154C9"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A154C9">
              <w:rPr>
                <w:rFonts w:ascii="Calibri" w:eastAsiaTheme="minorEastAsia" w:hAnsi="Calibri" w:cs="Calibri"/>
                <w:b/>
                <w:bCs/>
                <w:sz w:val="21"/>
                <w:szCs w:val="22"/>
                <w:lang w:eastAsia="en-AU"/>
              </w:rPr>
              <w:t>50 384.9</w:t>
            </w:r>
          </w:p>
        </w:tc>
      </w:tr>
    </w:tbl>
    <w:p w:rsidR="00336793" w:rsidRDefault="00336793" w:rsidP="00DF0B96">
      <w:pPr>
        <w:pStyle w:val="Source"/>
      </w:pPr>
      <w:r>
        <w:t>Source: Department of Treasury and Finance</w:t>
      </w:r>
    </w:p>
    <w:p w:rsidR="00336793" w:rsidRDefault="00336793" w:rsidP="00DF0B96">
      <w:pPr>
        <w:pStyle w:val="Notes"/>
      </w:pPr>
      <w:r>
        <w:t>Notes:</w:t>
      </w:r>
    </w:p>
    <w:p w:rsidR="00336793" w:rsidRPr="00EA0840" w:rsidRDefault="00336793" w:rsidP="00DF0B96">
      <w:pPr>
        <w:pStyle w:val="Notes"/>
      </w:pPr>
      <w:r>
        <w:t>(a)</w:t>
      </w:r>
      <w:r>
        <w:tab/>
      </w:r>
      <w:r w:rsidRPr="00EA0840">
        <w:t>Chapter 4, Note 41 provides definitions and descriptions of government purpose classifications.</w:t>
      </w:r>
    </w:p>
    <w:p w:rsidR="00336793" w:rsidRPr="00EA0840" w:rsidRDefault="00336793" w:rsidP="00DF0B96">
      <w:pPr>
        <w:pStyle w:val="Notes"/>
      </w:pPr>
      <w:r>
        <w:t>(b)</w:t>
      </w:r>
      <w:r>
        <w:tab/>
      </w:r>
      <w:r w:rsidRPr="00EA0840">
        <w:t>June 2014 comparative figures have been restated. See Chapter 4, Note 37.</w:t>
      </w:r>
    </w:p>
    <w:p w:rsidR="00336793" w:rsidRPr="00EA0840" w:rsidRDefault="00336793" w:rsidP="00DF0B96">
      <w:pPr>
        <w:pStyle w:val="Notes"/>
      </w:pPr>
      <w:r>
        <w:t>(c)</w:t>
      </w:r>
      <w:r>
        <w:tab/>
      </w:r>
      <w:r w:rsidRPr="00EA0840">
        <w:t>NEC: Not elsewhere classified.</w:t>
      </w:r>
    </w:p>
    <w:p w:rsidR="00336793" w:rsidRPr="00EA0840" w:rsidRDefault="00336793" w:rsidP="00DF0B96">
      <w:pPr>
        <w:pStyle w:val="Notes"/>
      </w:pPr>
      <w:r>
        <w:t>(d)</w:t>
      </w:r>
      <w:r>
        <w:tab/>
      </w:r>
      <w:r w:rsidRPr="00EA0840">
        <w:t>June 2014 comparative figures ha</w:t>
      </w:r>
      <w:r>
        <w:t>ve been reclassifi</w:t>
      </w:r>
      <w:r w:rsidRPr="00EA0840">
        <w:t xml:space="preserve">ed to reflect more current information. </w:t>
      </w:r>
      <w:bookmarkStart w:id="143" w:name="_Toc398715643"/>
    </w:p>
    <w:p w:rsidR="00336793" w:rsidRDefault="00336793" w:rsidP="00DF0B96">
      <w:pPr>
        <w:rPr>
          <w:rFonts w:ascii="Calibri" w:hAnsi="Calibri"/>
          <w:sz w:val="28"/>
          <w:szCs w:val="22"/>
        </w:rPr>
      </w:pPr>
      <w:r>
        <w:br w:type="page"/>
      </w:r>
    </w:p>
    <w:p w:rsidR="00336793" w:rsidRPr="002C6A10" w:rsidRDefault="00336793" w:rsidP="00DF0B96">
      <w:pPr>
        <w:pStyle w:val="Heading1"/>
      </w:pPr>
      <w:bookmarkStart w:id="144" w:name="_Toc433984480"/>
      <w:r>
        <w:lastRenderedPageBreak/>
        <w:t>Victoria’s 2014</w:t>
      </w:r>
      <w:r>
        <w:noBreakHyphen/>
        <w:t>15</w:t>
      </w:r>
      <w:r w:rsidRPr="002C6A10">
        <w:t xml:space="preserve"> Loan Council Allocation</w:t>
      </w:r>
      <w:bookmarkEnd w:id="143"/>
      <w:bookmarkEnd w:id="144"/>
    </w:p>
    <w:p w:rsidR="00336793" w:rsidRDefault="00336793" w:rsidP="00DF0B96">
      <w:r>
        <w:t xml:space="preserve">Under the Uniform Presentation Framework (UPF), Victoria is required to publish the Loan Council Allocation (LCA) estimates. The LCA is a measure of each government’s net call on financial markets in a given financial year to meet its budget obligations. The method of public release is the responsibility of each jurisdiction. Victoria discloses its LCA information through the Financial Report for the State of Victoria, Budget Paper No. 5 </w:t>
      </w:r>
      <w:r w:rsidRPr="00A37121">
        <w:rPr>
          <w:i/>
        </w:rPr>
        <w:t xml:space="preserve">Statement of Finances </w:t>
      </w:r>
      <w:r>
        <w:t>and Budget Update.</w:t>
      </w:r>
    </w:p>
    <w:p w:rsidR="00336793" w:rsidRDefault="00336793" w:rsidP="00DF0B96">
      <w:r>
        <w:t>Table 5.7 compares the Victorian 2014</w:t>
      </w:r>
      <w:r>
        <w:noBreakHyphen/>
        <w:t xml:space="preserve">15 LCA nomination as published in the </w:t>
      </w:r>
      <w:r>
        <w:rPr>
          <w:i/>
        </w:rPr>
        <w:t>2014</w:t>
      </w:r>
      <w:r>
        <w:rPr>
          <w:i/>
        </w:rPr>
        <w:noBreakHyphen/>
      </w:r>
      <w:r w:rsidRPr="00A37121">
        <w:rPr>
          <w:i/>
        </w:rPr>
        <w:t>15 Budget</w:t>
      </w:r>
      <w:r>
        <w:t xml:space="preserve"> with the 2014</w:t>
      </w:r>
      <w:r>
        <w:noBreakHyphen/>
        <w:t>15 outcome.</w:t>
      </w:r>
    </w:p>
    <w:p w:rsidR="00336793" w:rsidRDefault="00336793" w:rsidP="00DF0B96">
      <w:pPr>
        <w:pStyle w:val="Tableheading"/>
      </w:pPr>
      <w:r w:rsidRPr="002C6A10">
        <w:t>Table 5.7:</w:t>
      </w:r>
      <w:r w:rsidRPr="002C6A10">
        <w:tab/>
        <w:t>Loan Council Alloca</w:t>
      </w:r>
      <w:r>
        <w:t>tion 2014</w:t>
      </w:r>
      <w:r>
        <w:noBreakHyphen/>
        <w:t>15</w:t>
      </w:r>
    </w:p>
    <w:p w:rsidR="00336793" w:rsidRPr="00E2370B" w:rsidRDefault="00336793" w:rsidP="00DF0B96">
      <w:pPr>
        <w:pStyle w:val="million"/>
        <w:rPr>
          <w:rFonts w:ascii="Times New Roman" w:hAnsi="Times New Roman"/>
          <w:i w:val="0"/>
          <w:szCs w:val="20"/>
          <w:lang w:eastAsia="en-AU"/>
        </w:rPr>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7307"/>
        <w:gridCol w:w="1210"/>
        <w:gridCol w:w="1120"/>
      </w:tblGrid>
      <w:tr w:rsidR="00336793" w:rsidRPr="00E2370B" w:rsidTr="00DF0B96">
        <w:tc>
          <w:tcPr>
            <w:tcW w:w="7307" w:type="dxa"/>
            <w:tcBorders>
              <w:top w:val="single" w:sz="6" w:space="0" w:color="auto"/>
              <w:left w:val="single" w:sz="6" w:space="0" w:color="auto"/>
              <w:bottom w:val="nil"/>
              <w:right w:val="nil"/>
            </w:tcBorders>
            <w:shd w:val="clear" w:color="000000" w:fill="000000"/>
          </w:tcPr>
          <w:p w:rsidR="00336793" w:rsidRPr="00E2370B" w:rsidRDefault="00336793" w:rsidP="00DF0B96">
            <w:pPr>
              <w:pStyle w:val="Tabletextheading"/>
              <w:jc w:val="left"/>
              <w:rPr>
                <w:rFonts w:eastAsiaTheme="minorEastAsia"/>
                <w:color w:val="FFFFFF"/>
                <w:lang w:eastAsia="en-AU"/>
              </w:rPr>
            </w:pPr>
            <w:r w:rsidRPr="00E2370B">
              <w:rPr>
                <w:rFonts w:eastAsiaTheme="minorEastAsia"/>
                <w:color w:val="FFFFFF"/>
                <w:lang w:eastAsia="en-AU"/>
              </w:rPr>
              <w:t xml:space="preserve"> </w:t>
            </w:r>
          </w:p>
        </w:tc>
        <w:tc>
          <w:tcPr>
            <w:tcW w:w="1210" w:type="dxa"/>
            <w:tcBorders>
              <w:top w:val="single" w:sz="6" w:space="0" w:color="auto"/>
              <w:left w:val="nil"/>
              <w:bottom w:val="nil"/>
              <w:right w:val="nil"/>
            </w:tcBorders>
            <w:shd w:val="clear" w:color="000000" w:fill="000000"/>
          </w:tcPr>
          <w:p w:rsidR="00336793" w:rsidRPr="00E2370B" w:rsidRDefault="00336793" w:rsidP="00DF0B96">
            <w:pPr>
              <w:pStyle w:val="Tabletextheading"/>
              <w:rPr>
                <w:rFonts w:eastAsiaTheme="minorEastAsia"/>
                <w:iCs/>
                <w:color w:val="FFFFFF"/>
                <w:lang w:eastAsia="en-AU"/>
              </w:rPr>
            </w:pPr>
            <w:r w:rsidRPr="00E2370B">
              <w:rPr>
                <w:rFonts w:eastAsiaTheme="minorEastAsia"/>
                <w:iCs/>
                <w:color w:val="FFFFFF"/>
                <w:lang w:eastAsia="en-AU"/>
              </w:rPr>
              <w:t>2014</w:t>
            </w:r>
            <w:r>
              <w:rPr>
                <w:rFonts w:eastAsiaTheme="minorEastAsia"/>
                <w:iCs/>
                <w:color w:val="FFFFFF"/>
                <w:lang w:eastAsia="en-AU"/>
              </w:rPr>
              <w:noBreakHyphen/>
            </w:r>
            <w:r w:rsidRPr="00E2370B">
              <w:rPr>
                <w:rFonts w:eastAsiaTheme="minorEastAsia"/>
                <w:iCs/>
                <w:color w:val="FFFFFF"/>
                <w:lang w:eastAsia="en-AU"/>
              </w:rPr>
              <w:t>15</w:t>
            </w:r>
          </w:p>
        </w:tc>
        <w:tc>
          <w:tcPr>
            <w:tcW w:w="1120" w:type="dxa"/>
            <w:tcBorders>
              <w:top w:val="single" w:sz="6" w:space="0" w:color="auto"/>
              <w:left w:val="nil"/>
              <w:bottom w:val="nil"/>
              <w:right w:val="single" w:sz="6" w:space="0" w:color="auto"/>
            </w:tcBorders>
            <w:shd w:val="clear" w:color="000000" w:fill="000000"/>
          </w:tcPr>
          <w:p w:rsidR="00336793" w:rsidRPr="00E2370B" w:rsidRDefault="00336793" w:rsidP="00DF0B96">
            <w:pPr>
              <w:pStyle w:val="Tabletextheading"/>
              <w:rPr>
                <w:rFonts w:eastAsiaTheme="minorEastAsia"/>
                <w:iCs/>
                <w:color w:val="FFFFFF"/>
                <w:lang w:eastAsia="en-AU"/>
              </w:rPr>
            </w:pPr>
            <w:r w:rsidRPr="00E2370B">
              <w:rPr>
                <w:rFonts w:eastAsiaTheme="minorEastAsia"/>
                <w:iCs/>
                <w:color w:val="FFFFFF"/>
                <w:lang w:eastAsia="en-AU"/>
              </w:rPr>
              <w:t>2014</w:t>
            </w:r>
            <w:r>
              <w:rPr>
                <w:rFonts w:eastAsiaTheme="minorEastAsia"/>
                <w:iCs/>
                <w:color w:val="FFFFFF"/>
                <w:lang w:eastAsia="en-AU"/>
              </w:rPr>
              <w:noBreakHyphen/>
            </w:r>
            <w:r w:rsidRPr="00E2370B">
              <w:rPr>
                <w:rFonts w:eastAsiaTheme="minorEastAsia"/>
                <w:iCs/>
                <w:color w:val="FFFFFF"/>
                <w:lang w:eastAsia="en-AU"/>
              </w:rPr>
              <w:t>15</w:t>
            </w:r>
          </w:p>
        </w:tc>
      </w:tr>
      <w:tr w:rsidR="00336793" w:rsidRPr="00E2370B" w:rsidTr="00DF0B96">
        <w:tc>
          <w:tcPr>
            <w:tcW w:w="7307" w:type="dxa"/>
            <w:tcBorders>
              <w:top w:val="nil"/>
              <w:left w:val="single" w:sz="6" w:space="0" w:color="auto"/>
              <w:bottom w:val="single" w:sz="6" w:space="0" w:color="auto"/>
              <w:right w:val="nil"/>
            </w:tcBorders>
            <w:shd w:val="clear" w:color="000000" w:fill="000000"/>
          </w:tcPr>
          <w:p w:rsidR="00336793" w:rsidRPr="00E2370B" w:rsidRDefault="00336793" w:rsidP="00DF0B96">
            <w:pPr>
              <w:pStyle w:val="Tabletextheading"/>
              <w:jc w:val="left"/>
              <w:rPr>
                <w:rFonts w:eastAsiaTheme="minorEastAsia"/>
                <w:color w:val="FFFFFF"/>
                <w:lang w:eastAsia="en-AU"/>
              </w:rPr>
            </w:pPr>
            <w:r w:rsidRPr="00E2370B">
              <w:rPr>
                <w:rFonts w:eastAsiaTheme="minorEastAsia"/>
                <w:color w:val="FFFFFF"/>
                <w:lang w:eastAsia="en-AU"/>
              </w:rPr>
              <w:t xml:space="preserve"> </w:t>
            </w:r>
          </w:p>
        </w:tc>
        <w:tc>
          <w:tcPr>
            <w:tcW w:w="1210" w:type="dxa"/>
            <w:tcBorders>
              <w:top w:val="nil"/>
              <w:left w:val="nil"/>
              <w:bottom w:val="single" w:sz="6" w:space="0" w:color="auto"/>
              <w:right w:val="nil"/>
            </w:tcBorders>
            <w:shd w:val="clear" w:color="000000" w:fill="000000"/>
          </w:tcPr>
          <w:p w:rsidR="00336793" w:rsidRPr="00E2370B" w:rsidRDefault="00336793" w:rsidP="00DF0B96">
            <w:pPr>
              <w:pStyle w:val="Tabletextheading"/>
              <w:rPr>
                <w:rFonts w:eastAsiaTheme="minorEastAsia"/>
                <w:iCs/>
                <w:color w:val="FFFFFF"/>
                <w:lang w:eastAsia="en-AU"/>
              </w:rPr>
            </w:pPr>
            <w:r w:rsidRPr="00E2370B">
              <w:rPr>
                <w:rFonts w:eastAsiaTheme="minorEastAsia"/>
                <w:iCs/>
                <w:color w:val="FFFFFF"/>
                <w:lang w:eastAsia="en-AU"/>
              </w:rPr>
              <w:t>budget</w:t>
            </w:r>
          </w:p>
        </w:tc>
        <w:tc>
          <w:tcPr>
            <w:tcW w:w="1120" w:type="dxa"/>
            <w:tcBorders>
              <w:top w:val="nil"/>
              <w:left w:val="nil"/>
              <w:bottom w:val="single" w:sz="6" w:space="0" w:color="auto"/>
              <w:right w:val="single" w:sz="6" w:space="0" w:color="auto"/>
            </w:tcBorders>
            <w:shd w:val="clear" w:color="000000" w:fill="000000"/>
          </w:tcPr>
          <w:p w:rsidR="00336793" w:rsidRPr="00E2370B" w:rsidRDefault="00336793" w:rsidP="00DF0B96">
            <w:pPr>
              <w:pStyle w:val="Tabletextheading"/>
              <w:rPr>
                <w:rFonts w:eastAsiaTheme="minorEastAsia"/>
                <w:iCs/>
                <w:color w:val="FFFFFF"/>
                <w:lang w:eastAsia="en-AU"/>
              </w:rPr>
            </w:pPr>
            <w:r w:rsidRPr="00E2370B">
              <w:rPr>
                <w:rFonts w:eastAsiaTheme="minorEastAsia"/>
                <w:iCs/>
                <w:color w:val="FFFFFF"/>
                <w:lang w:eastAsia="en-AU"/>
              </w:rPr>
              <w:t>actual</w:t>
            </w:r>
          </w:p>
        </w:tc>
      </w:tr>
      <w:tr w:rsidR="00336793" w:rsidRPr="00E2370B" w:rsidTr="00DF0B96">
        <w:tc>
          <w:tcPr>
            <w:tcW w:w="7307" w:type="dxa"/>
            <w:tcBorders>
              <w:top w:val="single" w:sz="6" w:space="0" w:color="auto"/>
              <w:left w:val="nil"/>
              <w:bottom w:val="nil"/>
              <w:right w:val="nil"/>
            </w:tcBorders>
          </w:tcPr>
          <w:p w:rsidR="00336793" w:rsidRPr="00E2370B" w:rsidRDefault="00336793" w:rsidP="00DF0B96">
            <w:pPr>
              <w:autoSpaceDE w:val="0"/>
              <w:autoSpaceDN w:val="0"/>
              <w:adjustRightInd w:val="0"/>
              <w:spacing w:after="0"/>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General government cash deficit(+) or surplus (</w:t>
            </w:r>
            <w:r>
              <w:rPr>
                <w:rFonts w:ascii="Calibri" w:eastAsiaTheme="minorEastAsia" w:hAnsi="Calibri" w:cs="Calibri"/>
                <w:sz w:val="22"/>
                <w:szCs w:val="22"/>
                <w:lang w:eastAsia="en-AU"/>
              </w:rPr>
              <w:noBreakHyphen/>
            </w:r>
            <w:r w:rsidRPr="00E2370B">
              <w:rPr>
                <w:rFonts w:ascii="Calibri" w:eastAsiaTheme="minorEastAsia" w:hAnsi="Calibri" w:cs="Calibri"/>
                <w:sz w:val="22"/>
                <w:szCs w:val="22"/>
                <w:lang w:eastAsia="en-AU"/>
              </w:rPr>
              <w:t>)</w:t>
            </w:r>
          </w:p>
        </w:tc>
        <w:tc>
          <w:tcPr>
            <w:tcW w:w="1210" w:type="dxa"/>
            <w:tcBorders>
              <w:top w:val="single" w:sz="6" w:space="0" w:color="auto"/>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1 088.0</w:t>
            </w:r>
          </w:p>
        </w:tc>
        <w:tc>
          <w:tcPr>
            <w:tcW w:w="1120" w:type="dxa"/>
            <w:tcBorders>
              <w:top w:val="single" w:sz="6" w:space="0" w:color="auto"/>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 xml:space="preserve"> 176.9</w:t>
            </w:r>
          </w:p>
        </w:tc>
      </w:tr>
      <w:tr w:rsidR="00336793" w:rsidRPr="00E2370B" w:rsidTr="00DF0B96">
        <w:tc>
          <w:tcPr>
            <w:tcW w:w="7307" w:type="dxa"/>
            <w:tcBorders>
              <w:top w:val="nil"/>
              <w:left w:val="nil"/>
              <w:bottom w:val="nil"/>
              <w:right w:val="nil"/>
            </w:tcBorders>
          </w:tcPr>
          <w:p w:rsidR="00336793" w:rsidRPr="00E2370B" w:rsidRDefault="00336793" w:rsidP="00DF0B96">
            <w:pPr>
              <w:autoSpaceDE w:val="0"/>
              <w:autoSpaceDN w:val="0"/>
              <w:adjustRightInd w:val="0"/>
              <w:spacing w:after="0"/>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Public non</w:t>
            </w:r>
            <w:r>
              <w:rPr>
                <w:rFonts w:ascii="Calibri" w:eastAsiaTheme="minorEastAsia" w:hAnsi="Calibri" w:cs="Calibri"/>
                <w:sz w:val="22"/>
                <w:szCs w:val="22"/>
                <w:lang w:eastAsia="en-AU"/>
              </w:rPr>
              <w:noBreakHyphen/>
            </w:r>
            <w:r w:rsidRPr="00E2370B">
              <w:rPr>
                <w:rFonts w:ascii="Calibri" w:eastAsiaTheme="minorEastAsia" w:hAnsi="Calibri" w:cs="Calibri"/>
                <w:sz w:val="22"/>
                <w:szCs w:val="22"/>
                <w:lang w:eastAsia="en-AU"/>
              </w:rPr>
              <w:t>financial corporations sector cash deficit(+) or surplus (</w:t>
            </w:r>
            <w:r>
              <w:rPr>
                <w:rFonts w:ascii="Calibri" w:eastAsiaTheme="minorEastAsia" w:hAnsi="Calibri" w:cs="Calibri"/>
                <w:sz w:val="22"/>
                <w:szCs w:val="22"/>
                <w:lang w:eastAsia="en-AU"/>
              </w:rPr>
              <w:noBreakHyphen/>
            </w:r>
            <w:r w:rsidRPr="00E2370B">
              <w:rPr>
                <w:rFonts w:ascii="Calibri" w:eastAsiaTheme="minorEastAsia" w:hAnsi="Calibri" w:cs="Calibri"/>
                <w:sz w:val="22"/>
                <w:szCs w:val="22"/>
                <w:lang w:eastAsia="en-AU"/>
              </w:rPr>
              <w:t>)</w:t>
            </w:r>
          </w:p>
        </w:tc>
        <w:tc>
          <w:tcPr>
            <w:tcW w:w="1210" w:type="dxa"/>
            <w:tcBorders>
              <w:top w:val="nil"/>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1 966.5</w:t>
            </w:r>
          </w:p>
        </w:tc>
        <w:tc>
          <w:tcPr>
            <w:tcW w:w="1120" w:type="dxa"/>
            <w:tcBorders>
              <w:top w:val="nil"/>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 xml:space="preserve"> 614.7</w:t>
            </w:r>
          </w:p>
        </w:tc>
      </w:tr>
      <w:tr w:rsidR="00336793" w:rsidRPr="00E2370B" w:rsidTr="00DF0B96">
        <w:tc>
          <w:tcPr>
            <w:tcW w:w="7307" w:type="dxa"/>
            <w:tcBorders>
              <w:top w:val="single" w:sz="6" w:space="0" w:color="auto"/>
              <w:left w:val="nil"/>
              <w:bottom w:val="nil"/>
              <w:right w:val="nil"/>
            </w:tcBorders>
          </w:tcPr>
          <w:p w:rsidR="00336793" w:rsidRPr="00E2370B" w:rsidRDefault="00336793" w:rsidP="00DF0B96">
            <w:pPr>
              <w:autoSpaceDE w:val="0"/>
              <w:autoSpaceDN w:val="0"/>
              <w:adjustRightInd w:val="0"/>
              <w:spacing w:after="0"/>
              <w:rPr>
                <w:rFonts w:ascii="Calibri" w:eastAsiaTheme="minorEastAsia" w:hAnsi="Calibri" w:cs="Calibri"/>
                <w:sz w:val="22"/>
                <w:szCs w:val="22"/>
                <w:vertAlign w:val="superscript"/>
                <w:lang w:eastAsia="en-AU"/>
              </w:rPr>
            </w:pPr>
            <w:r w:rsidRPr="00E2370B">
              <w:rPr>
                <w:rFonts w:ascii="Calibri" w:eastAsiaTheme="minorEastAsia" w:hAnsi="Calibri" w:cs="Calibri"/>
                <w:sz w:val="22"/>
                <w:szCs w:val="22"/>
                <w:lang w:eastAsia="en-AU"/>
              </w:rPr>
              <w:t>Non</w:t>
            </w:r>
            <w:r>
              <w:rPr>
                <w:rFonts w:ascii="Calibri" w:eastAsiaTheme="minorEastAsia" w:hAnsi="Calibri" w:cs="Calibri"/>
                <w:sz w:val="22"/>
                <w:szCs w:val="22"/>
                <w:lang w:eastAsia="en-AU"/>
              </w:rPr>
              <w:noBreakHyphen/>
            </w:r>
            <w:r w:rsidRPr="00E2370B">
              <w:rPr>
                <w:rFonts w:ascii="Calibri" w:eastAsiaTheme="minorEastAsia" w:hAnsi="Calibri" w:cs="Calibri"/>
                <w:sz w:val="22"/>
                <w:szCs w:val="22"/>
                <w:lang w:eastAsia="en-AU"/>
              </w:rPr>
              <w:t>financial public sector cash deficit(+) or surplus(</w:t>
            </w:r>
            <w:r>
              <w:rPr>
                <w:rFonts w:ascii="Calibri" w:eastAsiaTheme="minorEastAsia" w:hAnsi="Calibri" w:cs="Calibri"/>
                <w:sz w:val="22"/>
                <w:szCs w:val="22"/>
                <w:lang w:eastAsia="en-AU"/>
              </w:rPr>
              <w:noBreakHyphen/>
            </w:r>
            <w:r w:rsidRPr="00E2370B">
              <w:rPr>
                <w:rFonts w:ascii="Calibri" w:eastAsiaTheme="minorEastAsia" w:hAnsi="Calibri" w:cs="Calibri"/>
                <w:sz w:val="22"/>
                <w:szCs w:val="22"/>
                <w:lang w:eastAsia="en-AU"/>
              </w:rPr>
              <w:t>)</w:t>
            </w:r>
            <w:r w:rsidRPr="00E2370B">
              <w:rPr>
                <w:rFonts w:ascii="Calibri" w:eastAsiaTheme="minorEastAsia" w:hAnsi="Calibri" w:cs="Calibri"/>
                <w:sz w:val="22"/>
                <w:szCs w:val="22"/>
                <w:vertAlign w:val="superscript"/>
                <w:lang w:eastAsia="en-AU"/>
              </w:rPr>
              <w:t xml:space="preserve">(a) </w:t>
            </w:r>
          </w:p>
        </w:tc>
        <w:tc>
          <w:tcPr>
            <w:tcW w:w="1210" w:type="dxa"/>
            <w:tcBorders>
              <w:top w:val="single" w:sz="6" w:space="0" w:color="auto"/>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3 086.3</w:t>
            </w:r>
          </w:p>
        </w:tc>
        <w:tc>
          <w:tcPr>
            <w:tcW w:w="1120" w:type="dxa"/>
            <w:tcBorders>
              <w:top w:val="single" w:sz="6" w:space="0" w:color="auto"/>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 xml:space="preserve"> 792.0</w:t>
            </w:r>
          </w:p>
        </w:tc>
      </w:tr>
      <w:tr w:rsidR="00336793" w:rsidRPr="00E2370B" w:rsidTr="00DF0B96">
        <w:tc>
          <w:tcPr>
            <w:tcW w:w="7307" w:type="dxa"/>
            <w:tcBorders>
              <w:top w:val="nil"/>
              <w:left w:val="nil"/>
              <w:bottom w:val="nil"/>
              <w:right w:val="nil"/>
            </w:tcBorders>
          </w:tcPr>
          <w:p w:rsidR="00336793" w:rsidRPr="00E2370B" w:rsidRDefault="00336793" w:rsidP="00DF0B96">
            <w:pPr>
              <w:autoSpaceDE w:val="0"/>
              <w:autoSpaceDN w:val="0"/>
              <w:adjustRightInd w:val="0"/>
              <w:spacing w:after="0"/>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Acquisitions under finance leases and similar arrangements</w:t>
            </w:r>
          </w:p>
        </w:tc>
        <w:tc>
          <w:tcPr>
            <w:tcW w:w="1210" w:type="dxa"/>
            <w:tcBorders>
              <w:top w:val="nil"/>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 xml:space="preserve"> 36.4</w:t>
            </w:r>
          </w:p>
        </w:tc>
        <w:tc>
          <w:tcPr>
            <w:tcW w:w="1120" w:type="dxa"/>
            <w:tcBorders>
              <w:top w:val="nil"/>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 xml:space="preserve"> 98.5</w:t>
            </w:r>
          </w:p>
        </w:tc>
      </w:tr>
      <w:tr w:rsidR="00336793" w:rsidRPr="00E2370B" w:rsidTr="00DF0B96">
        <w:tc>
          <w:tcPr>
            <w:tcW w:w="7307" w:type="dxa"/>
            <w:tcBorders>
              <w:top w:val="single" w:sz="6" w:space="0" w:color="auto"/>
              <w:left w:val="nil"/>
              <w:bottom w:val="nil"/>
              <w:right w:val="nil"/>
            </w:tcBorders>
          </w:tcPr>
          <w:p w:rsidR="00336793" w:rsidRPr="00E2370B" w:rsidRDefault="00336793" w:rsidP="00DF0B96">
            <w:pPr>
              <w:autoSpaceDE w:val="0"/>
              <w:autoSpaceDN w:val="0"/>
              <w:adjustRightInd w:val="0"/>
              <w:spacing w:after="0"/>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ABS GFS cash deficit(+) or surplus(</w:t>
            </w:r>
            <w:r>
              <w:rPr>
                <w:rFonts w:ascii="Calibri" w:eastAsiaTheme="minorEastAsia" w:hAnsi="Calibri" w:cs="Calibri"/>
                <w:sz w:val="22"/>
                <w:szCs w:val="22"/>
                <w:lang w:eastAsia="en-AU"/>
              </w:rPr>
              <w:noBreakHyphen/>
            </w:r>
            <w:r w:rsidRPr="00E2370B">
              <w:rPr>
                <w:rFonts w:ascii="Calibri" w:eastAsiaTheme="minorEastAsia" w:hAnsi="Calibri" w:cs="Calibri"/>
                <w:sz w:val="22"/>
                <w:szCs w:val="22"/>
                <w:lang w:eastAsia="en-AU"/>
              </w:rPr>
              <w:t>)</w:t>
            </w:r>
          </w:p>
        </w:tc>
        <w:tc>
          <w:tcPr>
            <w:tcW w:w="1210" w:type="dxa"/>
            <w:tcBorders>
              <w:top w:val="single" w:sz="6" w:space="0" w:color="auto"/>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3 122.8</w:t>
            </w:r>
          </w:p>
        </w:tc>
        <w:tc>
          <w:tcPr>
            <w:tcW w:w="1120" w:type="dxa"/>
            <w:tcBorders>
              <w:top w:val="single" w:sz="6" w:space="0" w:color="auto"/>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 xml:space="preserve"> 890.5</w:t>
            </w:r>
          </w:p>
        </w:tc>
      </w:tr>
      <w:tr w:rsidR="00336793" w:rsidRPr="00E2370B" w:rsidTr="00DF0B96">
        <w:tc>
          <w:tcPr>
            <w:tcW w:w="7307" w:type="dxa"/>
            <w:tcBorders>
              <w:top w:val="nil"/>
              <w:left w:val="nil"/>
              <w:bottom w:val="nil"/>
              <w:right w:val="nil"/>
            </w:tcBorders>
          </w:tcPr>
          <w:p w:rsidR="00336793" w:rsidRPr="00E2370B" w:rsidRDefault="00336793" w:rsidP="00DF0B96">
            <w:pPr>
              <w:autoSpaceDE w:val="0"/>
              <w:autoSpaceDN w:val="0"/>
              <w:adjustRightInd w:val="0"/>
              <w:spacing w:after="0"/>
              <w:rPr>
                <w:rFonts w:ascii="Calibri" w:eastAsiaTheme="minorEastAsia" w:hAnsi="Calibri" w:cs="Calibri"/>
                <w:i/>
                <w:iCs/>
                <w:sz w:val="22"/>
                <w:szCs w:val="22"/>
                <w:vertAlign w:val="superscript"/>
                <w:lang w:eastAsia="en-AU"/>
              </w:rPr>
            </w:pPr>
            <w:r w:rsidRPr="00E2370B">
              <w:rPr>
                <w:rFonts w:ascii="Calibri" w:eastAsiaTheme="minorEastAsia" w:hAnsi="Calibri" w:cs="Calibri"/>
                <w:i/>
                <w:iCs/>
                <w:sz w:val="22"/>
                <w:szCs w:val="22"/>
                <w:lang w:eastAsia="en-AU"/>
              </w:rPr>
              <w:t>Less Net cash flows from investments in financial assets for policy purposes</w:t>
            </w:r>
            <w:r w:rsidRPr="00E2370B">
              <w:rPr>
                <w:rFonts w:ascii="Calibri" w:eastAsiaTheme="minorEastAsia" w:hAnsi="Calibri" w:cs="Calibri"/>
                <w:i/>
                <w:iCs/>
                <w:sz w:val="22"/>
                <w:szCs w:val="22"/>
                <w:vertAlign w:val="superscript"/>
                <w:lang w:eastAsia="en-AU"/>
              </w:rPr>
              <w:t>(b)</w:t>
            </w:r>
          </w:p>
        </w:tc>
        <w:tc>
          <w:tcPr>
            <w:tcW w:w="1210" w:type="dxa"/>
            <w:tcBorders>
              <w:top w:val="nil"/>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 xml:space="preserve"> 27.6</w:t>
            </w:r>
          </w:p>
        </w:tc>
        <w:tc>
          <w:tcPr>
            <w:tcW w:w="1120" w:type="dxa"/>
            <w:tcBorders>
              <w:top w:val="nil"/>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 xml:space="preserve"> 35.7</w:t>
            </w:r>
          </w:p>
        </w:tc>
      </w:tr>
      <w:tr w:rsidR="00336793" w:rsidRPr="00E2370B" w:rsidTr="00DF0B96">
        <w:tc>
          <w:tcPr>
            <w:tcW w:w="7307" w:type="dxa"/>
            <w:tcBorders>
              <w:top w:val="nil"/>
              <w:left w:val="nil"/>
              <w:bottom w:val="nil"/>
              <w:right w:val="nil"/>
            </w:tcBorders>
          </w:tcPr>
          <w:p w:rsidR="00336793" w:rsidRPr="00E2370B" w:rsidRDefault="00336793" w:rsidP="00DF0B96">
            <w:pPr>
              <w:autoSpaceDE w:val="0"/>
              <w:autoSpaceDN w:val="0"/>
              <w:adjustRightInd w:val="0"/>
              <w:spacing w:after="0"/>
              <w:rPr>
                <w:rFonts w:ascii="Calibri" w:eastAsiaTheme="minorEastAsia" w:hAnsi="Calibri" w:cs="Calibri"/>
                <w:i/>
                <w:iCs/>
                <w:sz w:val="22"/>
                <w:szCs w:val="22"/>
                <w:vertAlign w:val="superscript"/>
                <w:lang w:eastAsia="en-AU"/>
              </w:rPr>
            </w:pPr>
            <w:r w:rsidRPr="00E2370B">
              <w:rPr>
                <w:rFonts w:ascii="Calibri" w:eastAsiaTheme="minorEastAsia" w:hAnsi="Calibri" w:cs="Calibri"/>
                <w:i/>
                <w:iCs/>
                <w:sz w:val="22"/>
                <w:szCs w:val="22"/>
                <w:lang w:eastAsia="en-AU"/>
              </w:rPr>
              <w:t>Plus Memorandum items</w:t>
            </w:r>
            <w:r w:rsidRPr="00E2370B">
              <w:rPr>
                <w:rFonts w:ascii="Calibri" w:eastAsiaTheme="minorEastAsia" w:hAnsi="Calibri" w:cs="Calibri"/>
                <w:i/>
                <w:iCs/>
                <w:sz w:val="22"/>
                <w:szCs w:val="22"/>
                <w:vertAlign w:val="superscript"/>
                <w:lang w:eastAsia="en-AU"/>
              </w:rPr>
              <w:t>(c)</w:t>
            </w:r>
          </w:p>
        </w:tc>
        <w:tc>
          <w:tcPr>
            <w:tcW w:w="1210" w:type="dxa"/>
            <w:tcBorders>
              <w:top w:val="nil"/>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 xml:space="preserve"> 693.9</w:t>
            </w:r>
          </w:p>
        </w:tc>
        <w:tc>
          <w:tcPr>
            <w:tcW w:w="1120" w:type="dxa"/>
            <w:tcBorders>
              <w:top w:val="nil"/>
              <w:left w:val="nil"/>
              <w:bottom w:val="nil"/>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 xml:space="preserve"> 256.6</w:t>
            </w:r>
          </w:p>
        </w:tc>
      </w:tr>
      <w:tr w:rsidR="00336793" w:rsidRPr="00E2370B" w:rsidTr="00DF0B96">
        <w:tc>
          <w:tcPr>
            <w:tcW w:w="7307" w:type="dxa"/>
            <w:tcBorders>
              <w:top w:val="single" w:sz="6" w:space="0" w:color="auto"/>
              <w:left w:val="nil"/>
              <w:bottom w:val="single" w:sz="6" w:space="0" w:color="auto"/>
              <w:right w:val="nil"/>
            </w:tcBorders>
          </w:tcPr>
          <w:p w:rsidR="00336793" w:rsidRPr="00E2370B" w:rsidRDefault="00336793" w:rsidP="00DF0B96">
            <w:pPr>
              <w:autoSpaceDE w:val="0"/>
              <w:autoSpaceDN w:val="0"/>
              <w:adjustRightInd w:val="0"/>
              <w:spacing w:after="0"/>
              <w:rPr>
                <w:rFonts w:ascii="Calibri" w:eastAsiaTheme="minorEastAsia" w:hAnsi="Calibri" w:cs="Calibri"/>
                <w:b/>
                <w:bCs/>
                <w:sz w:val="22"/>
                <w:szCs w:val="22"/>
                <w:lang w:eastAsia="en-AU"/>
              </w:rPr>
            </w:pPr>
            <w:r w:rsidRPr="00E2370B">
              <w:rPr>
                <w:rFonts w:ascii="Calibri" w:eastAsiaTheme="minorEastAsia" w:hAnsi="Calibri" w:cs="Calibri"/>
                <w:b/>
                <w:bCs/>
                <w:sz w:val="22"/>
                <w:szCs w:val="22"/>
                <w:lang w:eastAsia="en-AU"/>
              </w:rPr>
              <w:t>Loan Council Allocation</w:t>
            </w:r>
          </w:p>
        </w:tc>
        <w:tc>
          <w:tcPr>
            <w:tcW w:w="1210" w:type="dxa"/>
            <w:tcBorders>
              <w:top w:val="single" w:sz="6" w:space="0" w:color="auto"/>
              <w:left w:val="nil"/>
              <w:bottom w:val="single" w:sz="6" w:space="0" w:color="auto"/>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E2370B">
              <w:rPr>
                <w:rFonts w:ascii="Calibri" w:eastAsiaTheme="minorEastAsia" w:hAnsi="Calibri" w:cs="Calibri"/>
                <w:b/>
                <w:bCs/>
                <w:sz w:val="22"/>
                <w:szCs w:val="22"/>
                <w:lang w:eastAsia="en-AU"/>
              </w:rPr>
              <w:t>3 789.0</w:t>
            </w:r>
          </w:p>
        </w:tc>
        <w:tc>
          <w:tcPr>
            <w:tcW w:w="1120" w:type="dxa"/>
            <w:tcBorders>
              <w:top w:val="single" w:sz="6" w:space="0" w:color="auto"/>
              <w:left w:val="nil"/>
              <w:bottom w:val="single" w:sz="6" w:space="0" w:color="auto"/>
              <w:right w:val="nil"/>
            </w:tcBorders>
          </w:tcPr>
          <w:p w:rsidR="00336793" w:rsidRPr="00E2370B" w:rsidRDefault="00336793" w:rsidP="00DF0B96">
            <w:pPr>
              <w:autoSpaceDE w:val="0"/>
              <w:autoSpaceDN w:val="0"/>
              <w:adjustRightInd w:val="0"/>
              <w:spacing w:after="0"/>
              <w:jc w:val="right"/>
              <w:rPr>
                <w:rFonts w:ascii="Calibri" w:eastAsiaTheme="minorEastAsia" w:hAnsi="Calibri" w:cs="Calibri"/>
                <w:b/>
                <w:bCs/>
                <w:sz w:val="22"/>
                <w:szCs w:val="22"/>
                <w:lang w:eastAsia="en-AU"/>
              </w:rPr>
            </w:pPr>
            <w:r w:rsidRPr="00E2370B">
              <w:rPr>
                <w:rFonts w:ascii="Calibri" w:eastAsiaTheme="minorEastAsia" w:hAnsi="Calibri" w:cs="Calibri"/>
                <w:b/>
                <w:bCs/>
                <w:sz w:val="22"/>
                <w:szCs w:val="22"/>
                <w:lang w:eastAsia="en-AU"/>
              </w:rPr>
              <w:t>1 111.5</w:t>
            </w:r>
          </w:p>
        </w:tc>
      </w:tr>
      <w:tr w:rsidR="00336793" w:rsidRPr="00E2370B" w:rsidTr="00DF0B96">
        <w:tc>
          <w:tcPr>
            <w:tcW w:w="7307" w:type="dxa"/>
            <w:tcBorders>
              <w:top w:val="single" w:sz="6" w:space="0" w:color="auto"/>
              <w:left w:val="nil"/>
              <w:bottom w:val="single" w:sz="12" w:space="0" w:color="000000"/>
              <w:right w:val="nil"/>
            </w:tcBorders>
            <w:shd w:val="clear" w:color="auto" w:fill="auto"/>
          </w:tcPr>
          <w:p w:rsidR="00336793" w:rsidRPr="00E2370B" w:rsidRDefault="00336793" w:rsidP="00DF0B96">
            <w:pPr>
              <w:autoSpaceDE w:val="0"/>
              <w:autoSpaceDN w:val="0"/>
              <w:adjustRightInd w:val="0"/>
              <w:spacing w:after="0"/>
              <w:rPr>
                <w:rFonts w:ascii="Calibri" w:eastAsiaTheme="minorEastAsia" w:hAnsi="Calibri" w:cs="Calibri"/>
                <w:color w:val="000000"/>
                <w:sz w:val="22"/>
                <w:szCs w:val="22"/>
                <w:lang w:eastAsia="en-AU"/>
              </w:rPr>
            </w:pPr>
            <w:r w:rsidRPr="00E2370B">
              <w:rPr>
                <w:rFonts w:ascii="Calibri" w:eastAsiaTheme="minorEastAsia" w:hAnsi="Calibri" w:cs="Calibri"/>
                <w:sz w:val="22"/>
                <w:szCs w:val="22"/>
                <w:lang w:eastAsia="en-AU"/>
              </w:rPr>
              <w:t>Tolerance limit (2</w:t>
            </w:r>
            <w:r>
              <w:rPr>
                <w:rFonts w:ascii="Calibri" w:eastAsiaTheme="minorEastAsia" w:hAnsi="Calibri" w:cs="Calibri"/>
                <w:sz w:val="22"/>
                <w:szCs w:val="22"/>
                <w:lang w:eastAsia="en-AU"/>
              </w:rPr>
              <w:t> per cent</w:t>
            </w:r>
            <w:r w:rsidRPr="00E2370B">
              <w:rPr>
                <w:rFonts w:ascii="Calibri" w:eastAsiaTheme="minorEastAsia" w:hAnsi="Calibri" w:cs="Calibri"/>
                <w:sz w:val="22"/>
                <w:szCs w:val="22"/>
                <w:lang w:eastAsia="en-AU"/>
              </w:rPr>
              <w:t xml:space="preserve"> of non</w:t>
            </w:r>
            <w:r>
              <w:rPr>
                <w:rFonts w:ascii="Calibri" w:eastAsiaTheme="minorEastAsia" w:hAnsi="Calibri" w:cs="Calibri"/>
                <w:sz w:val="22"/>
                <w:szCs w:val="22"/>
                <w:lang w:eastAsia="en-AU"/>
              </w:rPr>
              <w:noBreakHyphen/>
            </w:r>
            <w:r w:rsidRPr="00E2370B">
              <w:rPr>
                <w:rFonts w:ascii="Calibri" w:eastAsiaTheme="minorEastAsia" w:hAnsi="Calibri" w:cs="Calibri"/>
                <w:sz w:val="22"/>
                <w:szCs w:val="22"/>
                <w:lang w:eastAsia="en-AU"/>
              </w:rPr>
              <w:t>financial public sector cash receipts from operating activities</w:t>
            </w:r>
            <w:r w:rsidRPr="00E2370B">
              <w:rPr>
                <w:rFonts w:ascii="Calibri" w:eastAsiaTheme="minorEastAsia" w:hAnsi="Calibri" w:cs="Calibri"/>
                <w:color w:val="000000"/>
                <w:sz w:val="22"/>
                <w:szCs w:val="22"/>
                <w:lang w:eastAsia="en-AU"/>
              </w:rPr>
              <w:t>)</w:t>
            </w:r>
            <w:r w:rsidRPr="00E2370B">
              <w:rPr>
                <w:rFonts w:ascii="Calibri" w:eastAsiaTheme="minorEastAsia" w:hAnsi="Calibri" w:cs="Calibri"/>
                <w:color w:val="000000"/>
                <w:sz w:val="22"/>
                <w:szCs w:val="22"/>
                <w:vertAlign w:val="superscript"/>
                <w:lang w:eastAsia="en-AU"/>
              </w:rPr>
              <w:t>(d)</w:t>
            </w:r>
          </w:p>
        </w:tc>
        <w:tc>
          <w:tcPr>
            <w:tcW w:w="1210" w:type="dxa"/>
            <w:tcBorders>
              <w:top w:val="single" w:sz="6" w:space="0" w:color="auto"/>
              <w:left w:val="nil"/>
              <w:bottom w:val="single" w:sz="12" w:space="0" w:color="000000"/>
              <w:right w:val="nil"/>
            </w:tcBorders>
            <w:shd w:val="clear" w:color="auto" w:fill="auto"/>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1 139.9</w:t>
            </w:r>
          </w:p>
        </w:tc>
        <w:tc>
          <w:tcPr>
            <w:tcW w:w="1120" w:type="dxa"/>
            <w:tcBorders>
              <w:top w:val="single" w:sz="6" w:space="0" w:color="auto"/>
              <w:left w:val="nil"/>
              <w:bottom w:val="single" w:sz="12" w:space="0" w:color="000000"/>
              <w:right w:val="nil"/>
            </w:tcBorders>
            <w:shd w:val="clear" w:color="auto" w:fill="auto"/>
          </w:tcPr>
          <w:p w:rsidR="00336793" w:rsidRPr="00E2370B" w:rsidRDefault="00336793" w:rsidP="00DF0B96">
            <w:pPr>
              <w:autoSpaceDE w:val="0"/>
              <w:autoSpaceDN w:val="0"/>
              <w:adjustRightInd w:val="0"/>
              <w:spacing w:after="0"/>
              <w:jc w:val="right"/>
              <w:rPr>
                <w:rFonts w:ascii="Calibri" w:eastAsiaTheme="minorEastAsia" w:hAnsi="Calibri" w:cs="Calibri"/>
                <w:sz w:val="22"/>
                <w:szCs w:val="22"/>
                <w:lang w:eastAsia="en-AU"/>
              </w:rPr>
            </w:pPr>
            <w:r w:rsidRPr="00E2370B">
              <w:rPr>
                <w:rFonts w:ascii="Calibri" w:eastAsiaTheme="minorEastAsia" w:hAnsi="Calibri" w:cs="Calibri"/>
                <w:sz w:val="22"/>
                <w:szCs w:val="22"/>
                <w:lang w:eastAsia="en-AU"/>
              </w:rPr>
              <w:t>1 139.9</w:t>
            </w:r>
          </w:p>
        </w:tc>
      </w:tr>
    </w:tbl>
    <w:p w:rsidR="00336793" w:rsidRDefault="00336793" w:rsidP="00DF0B96">
      <w:pPr>
        <w:pStyle w:val="Source"/>
      </w:pPr>
      <w:r>
        <w:t xml:space="preserve">Source: </w:t>
      </w:r>
      <w:r w:rsidRPr="00EA0840">
        <w:t>Department</w:t>
      </w:r>
      <w:r>
        <w:t xml:space="preserve"> of Treasury and Finance</w:t>
      </w:r>
    </w:p>
    <w:p w:rsidR="00336793" w:rsidRPr="00EA0840" w:rsidRDefault="00336793" w:rsidP="00DF0B96">
      <w:pPr>
        <w:pStyle w:val="Notes"/>
      </w:pPr>
      <w:r>
        <w:t>Notes:</w:t>
      </w:r>
    </w:p>
    <w:p w:rsidR="00336793" w:rsidRDefault="00336793" w:rsidP="00DF0B96">
      <w:pPr>
        <w:pStyle w:val="Notes"/>
      </w:pPr>
      <w:r>
        <w:t>(a)</w:t>
      </w:r>
      <w:r>
        <w:tab/>
        <w:t>The sum of the deficit of the general government and public non</w:t>
      </w:r>
      <w:r>
        <w:noBreakHyphen/>
        <w:t>financial corporation sector does not directly equal the non</w:t>
      </w:r>
      <w:r>
        <w:noBreakHyphen/>
        <w:t>financial public sector cash deficit due to inter</w:t>
      </w:r>
      <w:r>
        <w:noBreakHyphen/>
        <w:t>sectoral transfers, which are netted out in the calculation of the non</w:t>
      </w:r>
      <w:r>
        <w:noBreakHyphen/>
        <w:t>financial public sector figure. The non</w:t>
      </w:r>
      <w:r>
        <w:noBreakHyphen/>
      </w:r>
      <w:r w:rsidRPr="00EA0840">
        <w:t>financial</w:t>
      </w:r>
      <w:r>
        <w:t xml:space="preserve"> public sector cash deficit excludes finance lease acquisitions.</w:t>
      </w:r>
    </w:p>
    <w:p w:rsidR="00336793" w:rsidRDefault="00336793" w:rsidP="00DF0B96">
      <w:pPr>
        <w:pStyle w:val="Notes"/>
      </w:pPr>
      <w:r>
        <w:t>(b)</w:t>
      </w:r>
      <w:r>
        <w:tab/>
        <w:t>The ABS GFS cash deficit is adjusted to include in the LCA the impact of net cash flows from investments in financial assets for policy purposes.</w:t>
      </w:r>
    </w:p>
    <w:p w:rsidR="00336793" w:rsidRDefault="00336793" w:rsidP="00DF0B96">
      <w:pPr>
        <w:pStyle w:val="Notes"/>
      </w:pPr>
      <w:r>
        <w:t>(c)</w:t>
      </w:r>
      <w:r>
        <w:tab/>
        <w:t>The ABS GFS cash deficit is adjusted to include in the LCA the impact of memorandum items, which include certain transactions that have many of the characteristics of public sector borrowings but do not constitute formal borrowings (e.g. operating leases). They also include, where appropriate, transactions that the Loan Council has agreed should not be included in the LCA (e.g. the over/under funding of employers’ emerging costs under public sector superannuation schemes, or borrowings by entities such as statutory marketing authorities).</w:t>
      </w:r>
    </w:p>
    <w:p w:rsidR="00336793" w:rsidRPr="002C6A10" w:rsidRDefault="00336793" w:rsidP="00DF0B96">
      <w:pPr>
        <w:pStyle w:val="Notes"/>
      </w:pPr>
      <w:r>
        <w:t>(d)</w:t>
      </w:r>
      <w:r>
        <w:tab/>
        <w:t>A tolerance limit equal to 2 per cent of total non</w:t>
      </w:r>
      <w:r>
        <w:noBreakHyphen/>
        <w:t xml:space="preserve">financial public sector cash receipt from operating activities applies to the movement between a jurisdiction’s </w:t>
      </w:r>
      <w:r w:rsidRPr="002B3A8E">
        <w:t>LCA budget estimate and LCA outcome (calcul</w:t>
      </w:r>
      <w:r>
        <w:t>ated using estimates in the 2014</w:t>
      </w:r>
      <w:r>
        <w:noBreakHyphen/>
        <w:t>15</w:t>
      </w:r>
      <w:r w:rsidRPr="002B3A8E">
        <w:t xml:space="preserve"> Budget). The tolerance limit applying to the movement between Victoria</w:t>
      </w:r>
      <w:r>
        <w:t>’</w:t>
      </w:r>
      <w:r w:rsidRPr="002B3A8E">
        <w:t>s 201</w:t>
      </w:r>
      <w:r>
        <w:t>4</w:t>
      </w:r>
      <w:r>
        <w:noBreakHyphen/>
      </w:r>
      <w:r w:rsidRPr="002B3A8E">
        <w:t>1</w:t>
      </w:r>
      <w:r>
        <w:t>5</w:t>
      </w:r>
      <w:r w:rsidRPr="002B3A8E">
        <w:t xml:space="preserve"> LCA budget estimate and its LCA outcome is $1</w:t>
      </w:r>
      <w:r>
        <w:t> </w:t>
      </w:r>
      <w:r w:rsidRPr="002B3A8E">
        <w:t>1</w:t>
      </w:r>
      <w:r>
        <w:t>39.9 million</w:t>
      </w:r>
      <w:r w:rsidRPr="002B3A8E">
        <w:t xml:space="preserve"> (2</w:t>
      </w:r>
      <w:r>
        <w:t> per cent</w:t>
      </w:r>
      <w:r w:rsidRPr="002B3A8E">
        <w:t xml:space="preserve"> of </w:t>
      </w:r>
      <w:r>
        <w:t>$56 993.5 million</w:t>
      </w:r>
      <w:r w:rsidRPr="002B3A8E">
        <w:t>).</w:t>
      </w:r>
    </w:p>
    <w:p w:rsidR="00336793" w:rsidRDefault="00336793" w:rsidP="00DF0B96"/>
    <w:p w:rsidR="00336793" w:rsidRDefault="00336793" w:rsidP="00DF0B96">
      <w:pPr>
        <w:rPr>
          <w:szCs w:val="22"/>
        </w:rPr>
      </w:pPr>
      <w:r>
        <w:t>As part of the Loan Council arrangements, the Council has agreed that if at any time a state or territory find that it is likely to exceed its tolerance limit, in either direction, it is required to provide an explanation to the Council and, in line with the emphasis of increased transparency to make the explanation public. Victoria’s 2014</w:t>
      </w:r>
      <w:r>
        <w:noBreakHyphen/>
        <w:t>15 LCA outcome (a deficit of $1.1 billion) is $2.7 billion lower than the budgeted LCA and exceeds the 2014</w:t>
      </w:r>
      <w:r>
        <w:noBreakHyphen/>
        <w:t>15 tolerance limit. This is primarily due to a $2 billion decrease in the non</w:t>
      </w:r>
      <w:r>
        <w:noBreakHyphen/>
        <w:t>financial public sector cash deficit largely as a result of lower net cash flows from investments in non</w:t>
      </w:r>
      <w:r>
        <w:noBreakHyphen/>
        <w:t xml:space="preserve">financial assets. </w:t>
      </w:r>
    </w:p>
    <w:p w:rsidR="00336793" w:rsidRDefault="00336793" w:rsidP="00DF0B96">
      <w:r w:rsidRPr="00C775E6">
        <w:t>In the interest of transparency, the State is required to disclose the details of new infrastructure projects with private sector involvement that are expected to be contracted during the LCA year, and to report the full contingent exposure, if any. Exposure is to be measured by the Government</w:t>
      </w:r>
      <w:r>
        <w:t>’</w:t>
      </w:r>
      <w:r w:rsidRPr="00C775E6">
        <w:t>s termination liabilities in a case of a private sector default and disclosed as a footnote to, rather than a component of, the LCA. The amount payable will not exceed the fair market value of the project (which is usually calculated by an independent valuer) less any costs incurred by the Government as a result of the default.</w:t>
      </w:r>
    </w:p>
    <w:p w:rsidR="00336793" w:rsidRDefault="00336793" w:rsidP="00DF0B96">
      <w:r w:rsidRPr="00C775E6">
        <w:lastRenderedPageBreak/>
        <w:t xml:space="preserve">Listed below are details of the public private partnership projects that </w:t>
      </w:r>
      <w:r>
        <w:t xml:space="preserve">were </w:t>
      </w:r>
      <w:r w:rsidRPr="00C775E6">
        <w:t>contracted in the 2014</w:t>
      </w:r>
      <w:r>
        <w:noBreakHyphen/>
      </w:r>
      <w:r w:rsidRPr="00C775E6">
        <w:t>15 financial year.</w:t>
      </w:r>
    </w:p>
    <w:p w:rsidR="00336793" w:rsidRPr="0041623D" w:rsidRDefault="00336793" w:rsidP="00DF0B96">
      <w:pPr>
        <w:pStyle w:val="Heading2"/>
      </w:pPr>
      <w:r w:rsidRPr="0041623D">
        <w:t>Ravenhall Prison</w:t>
      </w:r>
    </w:p>
    <w:p w:rsidR="00336793" w:rsidRDefault="00336793" w:rsidP="00DF0B96">
      <w:r>
        <w:t>The Ravenhall Prison PPP project will deliver a medium</w:t>
      </w:r>
      <w:r>
        <w:noBreakHyphen/>
        <w:t>security prison to accommodate 1000 male prisoners, adding capacity to the State’s prison system. It will be built on existing Crown land at Ravenhall, adjacent to the Dame Phyllis Frost Centre and Metropolitan Remand Centre.</w:t>
      </w:r>
    </w:p>
    <w:p w:rsidR="00336793" w:rsidRDefault="00336793" w:rsidP="00DF0B96">
      <w:r>
        <w:t>The tender process commenced in June 2013 and concluded in September 2014. The private party, GEO consortium, will design, build, finance and operate the prison for a period of 25 years. Construction is expected to be completed by the end of 2017. Once operations at the prison commence, the State will begin quarterly payments to the GEO consortium, the value of which will depend on attainment of key performance indicators relating to ongoing service provision. In order to achieve a cost</w:t>
      </w:r>
      <w:r>
        <w:noBreakHyphen/>
        <w:t>efficient capital structure, the State also contributes to the project’s financing upon construction completion.</w:t>
      </w:r>
    </w:p>
    <w:p w:rsidR="00336793" w:rsidRPr="0041623D" w:rsidRDefault="00336793" w:rsidP="00DF0B96">
      <w:pPr>
        <w:pStyle w:val="Heading2"/>
      </w:pPr>
      <w:r w:rsidRPr="0041623D">
        <w:t>CityLink–Tulla widening</w:t>
      </w:r>
    </w:p>
    <w:p w:rsidR="00336793" w:rsidRDefault="00336793" w:rsidP="00DF0B96">
      <w:r>
        <w:t xml:space="preserve">The CityLink–Tulla widening project will widen the Western Link section of CityLink (from the West Gate Freeway – Burnley Tunnel to Bulla Road) and Tullamarine Freeway (from Bulla Road to the Melbourne Airport), and introduce a Freeway Management System along this corridor. </w:t>
      </w:r>
    </w:p>
    <w:p w:rsidR="00336793" w:rsidRDefault="00336793" w:rsidP="00DF0B96">
      <w:r>
        <w:t>The CityLink–Tulla widening is a combination of a Market</w:t>
      </w:r>
      <w:r>
        <w:noBreakHyphen/>
        <w:t>led Proposal from Transurban, the owner and operator of the CityLink toll road concession, and State and Commonwealth Governments contributions to upgrade the Tullamarine Freeway. Transurban is to deliver works on CityLink under a public private partnership (PPP) arrangement where Transurban is responsible for the design, construction, funding, financing, maintenance and operation of the road until the end of the concession. The State is to deliver works on the Tullamarine Freeway.</w:t>
      </w:r>
    </w:p>
    <w:p w:rsidR="00336793" w:rsidRDefault="00336793" w:rsidP="00DF0B96">
      <w:r>
        <w:t>Under the PPP arrangement, Transurban will pay for costs associated with the project through CityLink tolls, namely an expected uplift in traffic and toll revenue post construction, an extension of the CityLink concession by one year, toll prices remaining escalated at an annual rate of 4.5 per cent for an additional year after 2015 and truck tolls increasing to become consistent with national pricing for trucks on other motorway networks. These funding CityLink funding sources are also contributing to fund the costs of the State works for the project.</w:t>
      </w:r>
    </w:p>
    <w:p w:rsidR="00336793" w:rsidRDefault="00336793" w:rsidP="00DF0B96">
      <w:r>
        <w:t>In addition to the funding sourced from CityLink tolls, the State and Commonwealth Governments are also providing $272.8 million of funding to the State works.</w:t>
      </w:r>
    </w:p>
    <w:p w:rsidR="00336793" w:rsidRDefault="00336793" w:rsidP="00DF0B96">
      <w:r>
        <w:t xml:space="preserve">The total estimated capital cost of the project is $1.28 billion, with the State works on the Tullamarine Freeway estimated to cost $415 million and Transurban works on CityLink estimated to cost $867 million. </w:t>
      </w:r>
    </w:p>
    <w:p w:rsidR="00336793" w:rsidRPr="00373DCE" w:rsidRDefault="00336793" w:rsidP="00DF0B96">
      <w:r>
        <w:t>Design and preliminary development works have commenced, with construction on site expected progressively by October 2015. The project is expected to be completed by 2018.</w:t>
      </w:r>
    </w:p>
    <w:p w:rsidR="00336793" w:rsidRDefault="00336793" w:rsidP="00DF0B96">
      <w:r w:rsidRPr="00C775E6">
        <w:t xml:space="preserve">There </w:t>
      </w:r>
      <w:r>
        <w:t>were</w:t>
      </w:r>
      <w:r w:rsidRPr="00C775E6">
        <w:t xml:space="preserve"> no other </w:t>
      </w:r>
      <w:r w:rsidRPr="00C775E6">
        <w:rPr>
          <w:i/>
        </w:rPr>
        <w:t>Partnership Victoria</w:t>
      </w:r>
      <w:r w:rsidRPr="00C775E6">
        <w:t xml:space="preserve"> contracts greater than $5</w:t>
      </w:r>
      <w:r>
        <w:t> million</w:t>
      </w:r>
      <w:r w:rsidRPr="00C775E6">
        <w:t xml:space="preserve"> signed during the 2014</w:t>
      </w:r>
      <w:r>
        <w:noBreakHyphen/>
      </w:r>
      <w:r w:rsidRPr="00C775E6">
        <w:t>15 financial year.</w:t>
      </w:r>
    </w:p>
    <w:p w:rsidR="00336793" w:rsidRDefault="00336793">
      <w:pPr>
        <w:spacing w:after="0"/>
      </w:pPr>
    </w:p>
    <w:p w:rsidR="00336793" w:rsidRDefault="00336793">
      <w:pPr>
        <w:spacing w:after="0"/>
      </w:pPr>
      <w:r>
        <w:br w:type="page"/>
      </w:r>
    </w:p>
    <w:p w:rsidR="00336793" w:rsidRDefault="00336793" w:rsidP="00DF0B96"/>
    <w:p w:rsidR="00336793" w:rsidRDefault="00336793" w:rsidP="0028370C"/>
    <w:p w:rsidR="00336793" w:rsidRDefault="00336793" w:rsidP="009B024D">
      <w:pPr>
        <w:sectPr w:rsidR="00336793" w:rsidSect="003C06CE">
          <w:footerReference w:type="even" r:id="rId155"/>
          <w:footerReference w:type="default" r:id="rId156"/>
          <w:pgSz w:w="11906" w:h="16838" w:code="9"/>
          <w:pgMar w:top="1152" w:right="1152" w:bottom="1152" w:left="1152" w:header="720" w:footer="720" w:gutter="0"/>
          <w:cols w:space="708"/>
          <w:docGrid w:linePitch="360"/>
        </w:sectPr>
      </w:pPr>
    </w:p>
    <w:p w:rsidR="00336793" w:rsidRPr="005410D2" w:rsidRDefault="00336793" w:rsidP="00DF0B96">
      <w:pPr>
        <w:pStyle w:val="ChapterHeading"/>
      </w:pPr>
      <w:bookmarkStart w:id="145" w:name="_Toc398715644"/>
      <w:bookmarkStart w:id="146" w:name="_Toc433984481"/>
      <w:r w:rsidRPr="005410D2">
        <w:lastRenderedPageBreak/>
        <w:t>Appendix A – General government sector quarterly financial report</w:t>
      </w:r>
      <w:bookmarkEnd w:id="145"/>
      <w:bookmarkEnd w:id="146"/>
    </w:p>
    <w:p w:rsidR="00336793" w:rsidRPr="005410D2" w:rsidRDefault="00336793" w:rsidP="00DF0B96">
      <w:pPr>
        <w:pStyle w:val="Tableheading"/>
      </w:pPr>
      <w:r w:rsidRPr="005410D2">
        <w:t>Table A.1:</w:t>
      </w:r>
      <w:r w:rsidRPr="005410D2">
        <w:tab/>
        <w:t>Operating statement for the past five quarters</w:t>
      </w:r>
      <w:r w:rsidRPr="00424414">
        <w:rPr>
          <w:vertAlign w:val="superscript"/>
        </w:rPr>
        <w:t>(a)</w:t>
      </w:r>
    </w:p>
    <w:p w:rsidR="00336793" w:rsidRPr="00263581" w:rsidRDefault="00336793" w:rsidP="00DF0B96">
      <w:pPr>
        <w:pStyle w:val="million"/>
        <w:rPr>
          <w:rFonts w:ascii="Times New Roman" w:hAnsi="Times New Roman"/>
          <w:lang w:eastAsia="en-AU"/>
        </w:rPr>
      </w:pPr>
      <w:r w:rsidRPr="005410D2">
        <w:t>($</w:t>
      </w: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4037"/>
        <w:gridCol w:w="884"/>
        <w:gridCol w:w="236"/>
        <w:gridCol w:w="1120"/>
        <w:gridCol w:w="1120"/>
        <w:gridCol w:w="630"/>
        <w:gridCol w:w="490"/>
        <w:gridCol w:w="50"/>
        <w:gridCol w:w="720"/>
        <w:gridCol w:w="350"/>
      </w:tblGrid>
      <w:tr w:rsidR="00336793" w:rsidRPr="00263581" w:rsidTr="003C06CE">
        <w:trPr>
          <w:cantSplit/>
          <w:tblHeader/>
        </w:trPr>
        <w:tc>
          <w:tcPr>
            <w:tcW w:w="4037" w:type="dxa"/>
            <w:tcBorders>
              <w:top w:val="single" w:sz="6" w:space="0" w:color="auto"/>
              <w:left w:val="single" w:sz="6" w:space="0" w:color="auto"/>
              <w:bottom w:val="nil"/>
              <w:right w:val="nil"/>
            </w:tcBorders>
            <w:shd w:val="clear" w:color="000000" w:fill="000000"/>
          </w:tcPr>
          <w:p w:rsidR="00336793" w:rsidRPr="00263581" w:rsidRDefault="00336793" w:rsidP="00DF0B96">
            <w:pPr>
              <w:pStyle w:val="Tabletext"/>
              <w:rPr>
                <w:rFonts w:eastAsiaTheme="minorEastAsia"/>
                <w:i/>
                <w:lang w:eastAsia="en-AU"/>
              </w:rPr>
            </w:pPr>
            <w:r w:rsidRPr="00263581">
              <w:rPr>
                <w:rFonts w:eastAsiaTheme="minorEastAsia"/>
                <w:i/>
                <w:lang w:eastAsia="en-AU"/>
              </w:rPr>
              <w:t xml:space="preserve"> </w:t>
            </w:r>
          </w:p>
        </w:tc>
        <w:tc>
          <w:tcPr>
            <w:tcW w:w="1120" w:type="dxa"/>
            <w:gridSpan w:val="2"/>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2013</w:t>
            </w:r>
            <w:r>
              <w:rPr>
                <w:rFonts w:eastAsiaTheme="minorEastAsia"/>
                <w:color w:val="FFFFFF"/>
                <w:lang w:eastAsia="en-AU"/>
              </w:rPr>
              <w:noBreakHyphen/>
            </w:r>
            <w:r w:rsidRPr="00263581">
              <w:rPr>
                <w:rFonts w:eastAsiaTheme="minorEastAsia"/>
                <w:color w:val="FFFFFF"/>
                <w:lang w:eastAsia="en-AU"/>
              </w:rPr>
              <w:t>14</w:t>
            </w:r>
          </w:p>
        </w:tc>
        <w:tc>
          <w:tcPr>
            <w:tcW w:w="2870" w:type="dxa"/>
            <w:gridSpan w:val="3"/>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2014</w:t>
            </w:r>
            <w:r>
              <w:rPr>
                <w:rFonts w:eastAsiaTheme="minorEastAsia"/>
                <w:color w:val="FFFFFF"/>
                <w:lang w:eastAsia="en-AU"/>
              </w:rPr>
              <w:noBreakHyphen/>
            </w:r>
            <w:r w:rsidRPr="00263581">
              <w:rPr>
                <w:rFonts w:eastAsiaTheme="minorEastAsia"/>
                <w:color w:val="FFFFFF"/>
                <w:lang w:eastAsia="en-AU"/>
              </w:rPr>
              <w:t>15</w:t>
            </w:r>
          </w:p>
        </w:tc>
        <w:tc>
          <w:tcPr>
            <w:tcW w:w="540" w:type="dxa"/>
            <w:gridSpan w:val="2"/>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 xml:space="preserve"> </w:t>
            </w:r>
          </w:p>
        </w:tc>
        <w:tc>
          <w:tcPr>
            <w:tcW w:w="720" w:type="dxa"/>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 xml:space="preserve"> </w:t>
            </w:r>
          </w:p>
        </w:tc>
        <w:tc>
          <w:tcPr>
            <w:tcW w:w="350" w:type="dxa"/>
            <w:tcBorders>
              <w:top w:val="single" w:sz="6" w:space="0" w:color="auto"/>
              <w:left w:val="nil"/>
              <w:bottom w:val="nil"/>
              <w:right w:val="single" w:sz="6" w:space="0" w:color="auto"/>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 xml:space="preserve"> </w:t>
            </w:r>
          </w:p>
        </w:tc>
      </w:tr>
      <w:tr w:rsidR="00336793" w:rsidRPr="00263581" w:rsidTr="003C06CE">
        <w:trPr>
          <w:cantSplit/>
          <w:tblHeader/>
        </w:trPr>
        <w:tc>
          <w:tcPr>
            <w:tcW w:w="4037" w:type="dxa"/>
            <w:tcBorders>
              <w:left w:val="single" w:sz="6" w:space="0" w:color="auto"/>
              <w:bottom w:val="single" w:sz="6" w:space="0" w:color="auto"/>
              <w:right w:val="nil"/>
            </w:tcBorders>
            <w:shd w:val="clear" w:color="000000" w:fill="000000"/>
          </w:tcPr>
          <w:p w:rsidR="00336793" w:rsidRPr="00263581" w:rsidRDefault="00336793" w:rsidP="00DF0B96">
            <w:pPr>
              <w:pStyle w:val="Tabletext"/>
              <w:rPr>
                <w:rFonts w:eastAsiaTheme="minorEastAsia" w:cs="Calibri"/>
                <w:i/>
                <w:iCs/>
                <w:color w:val="FFFFFF"/>
                <w:szCs w:val="22"/>
                <w:lang w:eastAsia="en-AU"/>
              </w:rPr>
            </w:pPr>
            <w:r w:rsidRPr="00263581">
              <w:rPr>
                <w:rFonts w:eastAsiaTheme="minorEastAsia"/>
                <w:i/>
                <w:lang w:eastAsia="en-AU"/>
              </w:rPr>
              <w:t xml:space="preserve"> </w:t>
            </w:r>
          </w:p>
        </w:tc>
        <w:tc>
          <w:tcPr>
            <w:tcW w:w="1120" w:type="dxa"/>
            <w:gridSpan w:val="2"/>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Jun</w:t>
            </w:r>
          </w:p>
        </w:tc>
        <w:tc>
          <w:tcPr>
            <w:tcW w:w="1120" w:type="dxa"/>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Sep</w:t>
            </w:r>
          </w:p>
        </w:tc>
        <w:tc>
          <w:tcPr>
            <w:tcW w:w="1120" w:type="dxa"/>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Dec</w:t>
            </w:r>
          </w:p>
        </w:tc>
        <w:tc>
          <w:tcPr>
            <w:tcW w:w="1120" w:type="dxa"/>
            <w:gridSpan w:val="2"/>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Mar</w:t>
            </w:r>
          </w:p>
        </w:tc>
        <w:tc>
          <w:tcPr>
            <w:tcW w:w="1120" w:type="dxa"/>
            <w:gridSpan w:val="3"/>
            <w:tcBorders>
              <w:left w:val="nil"/>
              <w:bottom w:val="single" w:sz="6" w:space="0" w:color="auto"/>
              <w:right w:val="single" w:sz="6" w:space="0" w:color="auto"/>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 xml:space="preserve">Jun </w:t>
            </w:r>
          </w:p>
        </w:tc>
      </w:tr>
      <w:tr w:rsidR="00336793" w:rsidRPr="00263581" w:rsidTr="00DF0B96">
        <w:tc>
          <w:tcPr>
            <w:tcW w:w="4037" w:type="dxa"/>
            <w:tcBorders>
              <w:top w:val="single" w:sz="6" w:space="0" w:color="auto"/>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Revenue from transactions</w:t>
            </w:r>
          </w:p>
        </w:tc>
        <w:tc>
          <w:tcPr>
            <w:tcW w:w="1120" w:type="dxa"/>
            <w:gridSpan w:val="2"/>
            <w:tcBorders>
              <w:top w:val="single" w:sz="6"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single" w:sz="6"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single" w:sz="6"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3"/>
            <w:tcBorders>
              <w:top w:val="single" w:sz="6"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Taxation revenue</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3 704.2</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4 710.7</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4 053.6</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5 476.1</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4 098.3</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Interest revenue</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209.1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205.1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200.0</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203.1</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218.9</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Dividends and income tax equivalent and rate equivalent revenue</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115.1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51.0</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615.8</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63.0</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383.0</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Sales of goods and services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1 951.8</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1 656.6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1 675.8</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1 711.3</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1 438.6</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Grant revenue</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7 558.2</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5 665.0</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6 056.7</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6 742.1</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6 039.0</w:t>
            </w:r>
          </w:p>
        </w:tc>
      </w:tr>
      <w:tr w:rsidR="00336793" w:rsidRPr="00263581" w:rsidTr="00DF0B96">
        <w:tc>
          <w:tcPr>
            <w:tcW w:w="4037" w:type="dxa"/>
            <w:tcBorders>
              <w:top w:val="nil"/>
              <w:left w:val="nil"/>
              <w:bottom w:val="single" w:sz="6" w:space="0" w:color="000000"/>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Other revenue</w:t>
            </w:r>
          </w:p>
        </w:tc>
        <w:tc>
          <w:tcPr>
            <w:tcW w:w="1120" w:type="dxa"/>
            <w:gridSpan w:val="2"/>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795.3</w:t>
            </w:r>
          </w:p>
        </w:tc>
        <w:tc>
          <w:tcPr>
            <w:tcW w:w="1120" w:type="dxa"/>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566.4</w:t>
            </w:r>
          </w:p>
        </w:tc>
        <w:tc>
          <w:tcPr>
            <w:tcW w:w="1120" w:type="dxa"/>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588.3</w:t>
            </w:r>
          </w:p>
        </w:tc>
        <w:tc>
          <w:tcPr>
            <w:tcW w:w="1120" w:type="dxa"/>
            <w:gridSpan w:val="2"/>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496.4</w:t>
            </w:r>
          </w:p>
        </w:tc>
        <w:tc>
          <w:tcPr>
            <w:tcW w:w="1120" w:type="dxa"/>
            <w:gridSpan w:val="3"/>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857.4</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Total revenue from transactions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14 333.8</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12 854.7</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13 190.2</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14 692.0</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13 035.2</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Expenses from transactions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Employee expenses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4 697.7</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4 510.1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4 808.9</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4 628.2</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4 887.1</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Net superannuation interest expense</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268.0</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258.1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253.5</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250.2</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276.2</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Other superannuation</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446.6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483.9</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550.9</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482.6</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460.6</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Depreciation</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615.0</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596.6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601.0</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611.5</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616.2</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Interest expense</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557.0</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523.4</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524.7</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511.0</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543.2</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Grant expense</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1 294.7</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2 002.6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2 127.6</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2 646.3</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1 752.7</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Other operating expenses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5 322.7</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4 063.3</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4 276.9</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4 153.6</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5 157.0</w:t>
            </w:r>
          </w:p>
        </w:tc>
      </w:tr>
      <w:tr w:rsidR="00336793" w:rsidRPr="00263581" w:rsidTr="00DF0B96">
        <w:tc>
          <w:tcPr>
            <w:tcW w:w="4037" w:type="dxa"/>
            <w:tcBorders>
              <w:top w:val="single" w:sz="6" w:space="0" w:color="000000"/>
              <w:left w:val="nil"/>
              <w:bottom w:val="nil"/>
              <w:right w:val="nil"/>
            </w:tcBorders>
            <w:shd w:val="solid" w:color="FFFFFF" w:fill="auto"/>
          </w:tcPr>
          <w:p w:rsidR="00336793" w:rsidRPr="00263581" w:rsidRDefault="00336793" w:rsidP="00DF0B96">
            <w:pPr>
              <w:pStyle w:val="Tabletext"/>
              <w:rPr>
                <w:rFonts w:eastAsiaTheme="minorEastAsia"/>
                <w:b/>
                <w:bCs/>
                <w:vertAlign w:val="superscript"/>
                <w:lang w:eastAsia="en-AU"/>
              </w:rPr>
            </w:pPr>
            <w:r w:rsidRPr="00263581">
              <w:rPr>
                <w:rFonts w:eastAsiaTheme="minorEastAsia"/>
                <w:b/>
                <w:bCs/>
                <w:lang w:eastAsia="en-AU"/>
              </w:rPr>
              <w:t>Total expenses from transactions</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13 201.6</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12 437.9</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13 143.5</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13 283.4</w:t>
            </w:r>
          </w:p>
        </w:tc>
        <w:tc>
          <w:tcPr>
            <w:tcW w:w="1120" w:type="dxa"/>
            <w:gridSpan w:val="3"/>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13 693.1</w:t>
            </w:r>
          </w:p>
        </w:tc>
      </w:tr>
      <w:tr w:rsidR="00336793" w:rsidRPr="00263581" w:rsidTr="00DF0B96">
        <w:tc>
          <w:tcPr>
            <w:tcW w:w="4037" w:type="dxa"/>
            <w:tcBorders>
              <w:top w:val="single" w:sz="6" w:space="0" w:color="000000"/>
              <w:left w:val="nil"/>
              <w:bottom w:val="single" w:sz="12" w:space="0" w:color="000000"/>
              <w:right w:val="nil"/>
            </w:tcBorders>
            <w:shd w:val="solid" w:color="FFFFFF" w:fill="auto"/>
          </w:tcPr>
          <w:p w:rsidR="00336793" w:rsidRPr="00263581" w:rsidRDefault="00336793" w:rsidP="00DF0B96">
            <w:pPr>
              <w:pStyle w:val="Tabletext"/>
              <w:rPr>
                <w:rFonts w:eastAsiaTheme="minorEastAsia"/>
                <w:b/>
                <w:bCs/>
                <w:vertAlign w:val="superscript"/>
                <w:lang w:eastAsia="en-AU"/>
              </w:rPr>
            </w:pPr>
            <w:r w:rsidRPr="00263581">
              <w:rPr>
                <w:rFonts w:eastAsiaTheme="minorEastAsia"/>
                <w:b/>
                <w:bCs/>
                <w:lang w:eastAsia="en-AU"/>
              </w:rPr>
              <w:t>Net result from transactions – net operating balance</w:t>
            </w:r>
          </w:p>
        </w:tc>
        <w:tc>
          <w:tcPr>
            <w:tcW w:w="1120" w:type="dxa"/>
            <w:gridSpan w:val="2"/>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1 132.2</w:t>
            </w:r>
          </w:p>
        </w:tc>
        <w:tc>
          <w:tcPr>
            <w:tcW w:w="1120" w:type="dxa"/>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416.8</w:t>
            </w:r>
          </w:p>
        </w:tc>
        <w:tc>
          <w:tcPr>
            <w:tcW w:w="1120" w:type="dxa"/>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46.6</w:t>
            </w:r>
          </w:p>
        </w:tc>
        <w:tc>
          <w:tcPr>
            <w:tcW w:w="1120" w:type="dxa"/>
            <w:gridSpan w:val="2"/>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1 408.5</w:t>
            </w:r>
          </w:p>
        </w:tc>
        <w:tc>
          <w:tcPr>
            <w:tcW w:w="1120" w:type="dxa"/>
            <w:gridSpan w:val="3"/>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263581">
              <w:rPr>
                <w:rFonts w:eastAsiaTheme="minorEastAsia" w:cs="Calibri"/>
                <w:b/>
                <w:bCs/>
                <w:color w:val="000000"/>
                <w:szCs w:val="22"/>
                <w:lang w:eastAsia="en-AU"/>
              </w:rPr>
              <w:t>657.9)</w:t>
            </w:r>
          </w:p>
        </w:tc>
      </w:tr>
      <w:tr w:rsidR="00336793" w:rsidRPr="00263581" w:rsidTr="00DF0B96">
        <w:tc>
          <w:tcPr>
            <w:tcW w:w="4921" w:type="dxa"/>
            <w:gridSpan w:val="2"/>
            <w:tcBorders>
              <w:top w:val="nil"/>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Other economic flows included in net result</w:t>
            </w:r>
          </w:p>
        </w:tc>
        <w:tc>
          <w:tcPr>
            <w:tcW w:w="236"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Net gain/(loss) on disposal of non</w:t>
            </w:r>
            <w:r>
              <w:rPr>
                <w:rFonts w:eastAsiaTheme="minorEastAsia"/>
                <w:lang w:eastAsia="en-AU"/>
              </w:rPr>
              <w:noBreakHyphen/>
            </w:r>
            <w:r w:rsidRPr="00263581">
              <w:rPr>
                <w:rFonts w:eastAsiaTheme="minorEastAsia"/>
                <w:lang w:eastAsia="en-AU"/>
              </w:rPr>
              <w:t>financial assets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46.6)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21.0</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21.2</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15.2)</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Net gain/(loss) on financial assets or liabilities at fair value</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6.1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19.3</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15.3</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46.3</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27.8)</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cs="Calibri"/>
                <w:color w:val="000000"/>
                <w:szCs w:val="22"/>
                <w:lang w:eastAsia="en-AU"/>
              </w:rPr>
            </w:pPr>
            <w:r w:rsidRPr="00263581">
              <w:rPr>
                <w:rFonts w:eastAsiaTheme="minorEastAsia"/>
                <w:lang w:eastAsia="en-AU"/>
              </w:rPr>
              <w:t>Share of net profit/(loss) from associates/joint venture entities</w:t>
            </w:r>
            <w:r w:rsidRPr="00263581">
              <w:rPr>
                <w:rFonts w:eastAsiaTheme="minorEastAsia"/>
                <w:vertAlign w:val="superscript"/>
                <w:lang w:eastAsia="en-AU"/>
              </w:rPr>
              <w:t>,</w:t>
            </w:r>
            <w:r w:rsidRPr="00263581">
              <w:rPr>
                <w:rFonts w:eastAsiaTheme="minorEastAsia" w:cs="Calibri"/>
                <w:color w:val="000000"/>
                <w:szCs w:val="22"/>
                <w:lang w:eastAsia="en-AU"/>
              </w:rPr>
              <w:t xml:space="preserve"> excluding dividends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0.1)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0.1</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Pr>
                <w:rFonts w:eastAsiaTheme="minorEastAsia"/>
                <w:lang w:eastAsia="en-AU"/>
              </w:rPr>
              <w:t>..</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2.7)</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Other gains/(losses) from other economic flows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116.7)</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90.1)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243.3)</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161.6)</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52.9)</w:t>
            </w:r>
          </w:p>
        </w:tc>
      </w:tr>
      <w:tr w:rsidR="00336793" w:rsidRPr="00263581" w:rsidTr="00DF0B96">
        <w:tc>
          <w:tcPr>
            <w:tcW w:w="4037" w:type="dxa"/>
            <w:tcBorders>
              <w:top w:val="single" w:sz="6" w:space="0" w:color="000000"/>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 xml:space="preserve">Total other economic flows included in net result </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263581">
              <w:rPr>
                <w:rFonts w:eastAsiaTheme="minorEastAsia" w:cs="Calibri"/>
                <w:b/>
                <w:bCs/>
                <w:color w:val="000000"/>
                <w:szCs w:val="22"/>
                <w:lang w:eastAsia="en-AU"/>
              </w:rPr>
              <w:t>157.3)</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263581">
              <w:rPr>
                <w:rFonts w:eastAsiaTheme="minorEastAsia" w:cs="Calibri"/>
                <w:b/>
                <w:bCs/>
                <w:color w:val="000000"/>
                <w:szCs w:val="22"/>
                <w:lang w:eastAsia="en-AU"/>
              </w:rPr>
              <w:t>65.8)</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263581">
              <w:rPr>
                <w:rFonts w:eastAsiaTheme="minorEastAsia" w:cs="Calibri"/>
                <w:b/>
                <w:bCs/>
                <w:color w:val="000000"/>
                <w:szCs w:val="22"/>
                <w:lang w:eastAsia="en-AU"/>
              </w:rPr>
              <w:t>206.8)</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263581">
              <w:rPr>
                <w:rFonts w:eastAsiaTheme="minorEastAsia" w:cs="Calibri"/>
                <w:b/>
                <w:bCs/>
                <w:color w:val="000000"/>
                <w:szCs w:val="22"/>
                <w:lang w:eastAsia="en-AU"/>
              </w:rPr>
              <w:t>94.0)</w:t>
            </w:r>
          </w:p>
        </w:tc>
        <w:tc>
          <w:tcPr>
            <w:tcW w:w="1120" w:type="dxa"/>
            <w:gridSpan w:val="3"/>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263581">
              <w:rPr>
                <w:rFonts w:eastAsiaTheme="minorEastAsia" w:cs="Calibri"/>
                <w:b/>
                <w:bCs/>
                <w:color w:val="000000"/>
                <w:szCs w:val="22"/>
                <w:lang w:eastAsia="en-AU"/>
              </w:rPr>
              <w:t>98.6)</w:t>
            </w:r>
          </w:p>
        </w:tc>
      </w:tr>
      <w:tr w:rsidR="00336793" w:rsidRPr="00263581" w:rsidTr="00DF0B96">
        <w:tc>
          <w:tcPr>
            <w:tcW w:w="4037" w:type="dxa"/>
            <w:tcBorders>
              <w:top w:val="single" w:sz="6" w:space="0" w:color="000000"/>
              <w:left w:val="nil"/>
              <w:bottom w:val="single" w:sz="6" w:space="0" w:color="000000"/>
              <w:right w:val="nil"/>
            </w:tcBorders>
            <w:shd w:val="solid" w:color="FFFFFF" w:fill="auto"/>
          </w:tcPr>
          <w:p w:rsidR="00336793" w:rsidRPr="00263581" w:rsidRDefault="00336793" w:rsidP="00DF0B96">
            <w:pPr>
              <w:pStyle w:val="Tabletext"/>
              <w:rPr>
                <w:rFonts w:eastAsiaTheme="minorEastAsia"/>
                <w:b/>
                <w:bCs/>
                <w:vertAlign w:val="superscript"/>
                <w:lang w:eastAsia="en-AU"/>
              </w:rPr>
            </w:pPr>
            <w:r w:rsidRPr="00263581">
              <w:rPr>
                <w:rFonts w:eastAsiaTheme="minorEastAsia"/>
                <w:b/>
                <w:bCs/>
                <w:lang w:eastAsia="en-AU"/>
              </w:rPr>
              <w:t>Net result</w:t>
            </w:r>
          </w:p>
        </w:tc>
        <w:tc>
          <w:tcPr>
            <w:tcW w:w="1120" w:type="dxa"/>
            <w:gridSpan w:val="2"/>
            <w:tcBorders>
              <w:top w:val="single" w:sz="6" w:space="0" w:color="000000"/>
              <w:left w:val="nil"/>
              <w:bottom w:val="single" w:sz="6"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974.9</w:t>
            </w:r>
          </w:p>
        </w:tc>
        <w:tc>
          <w:tcPr>
            <w:tcW w:w="1120" w:type="dxa"/>
            <w:tcBorders>
              <w:top w:val="single" w:sz="6" w:space="0" w:color="000000"/>
              <w:left w:val="nil"/>
              <w:bottom w:val="single" w:sz="6"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351.0</w:t>
            </w:r>
          </w:p>
        </w:tc>
        <w:tc>
          <w:tcPr>
            <w:tcW w:w="1120" w:type="dxa"/>
            <w:tcBorders>
              <w:top w:val="single" w:sz="6" w:space="0" w:color="000000"/>
              <w:left w:val="nil"/>
              <w:bottom w:val="single" w:sz="6" w:space="0" w:color="000000"/>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263581">
              <w:rPr>
                <w:rFonts w:eastAsiaTheme="minorEastAsia" w:cs="Calibri"/>
                <w:b/>
                <w:bCs/>
                <w:color w:val="000000"/>
                <w:szCs w:val="22"/>
                <w:lang w:eastAsia="en-AU"/>
              </w:rPr>
              <w:t>160.2)</w:t>
            </w:r>
          </w:p>
        </w:tc>
        <w:tc>
          <w:tcPr>
            <w:tcW w:w="1120" w:type="dxa"/>
            <w:gridSpan w:val="2"/>
            <w:tcBorders>
              <w:top w:val="single" w:sz="6" w:space="0" w:color="000000"/>
              <w:left w:val="nil"/>
              <w:bottom w:val="single" w:sz="6"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1 314.5</w:t>
            </w:r>
          </w:p>
        </w:tc>
        <w:tc>
          <w:tcPr>
            <w:tcW w:w="1120" w:type="dxa"/>
            <w:gridSpan w:val="3"/>
            <w:tcBorders>
              <w:top w:val="single" w:sz="6" w:space="0" w:color="000000"/>
              <w:left w:val="nil"/>
              <w:bottom w:val="single" w:sz="6" w:space="0" w:color="000000"/>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263581">
              <w:rPr>
                <w:rFonts w:eastAsiaTheme="minorEastAsia" w:cs="Calibri"/>
                <w:b/>
                <w:bCs/>
                <w:color w:val="000000"/>
                <w:szCs w:val="22"/>
                <w:lang w:eastAsia="en-AU"/>
              </w:rPr>
              <w:t>756.5)</w:t>
            </w:r>
          </w:p>
        </w:tc>
      </w:tr>
    </w:tbl>
    <w:p w:rsidR="00336793" w:rsidRDefault="00336793" w:rsidP="00146F9C">
      <w:pPr>
        <w:pStyle w:val="Tableheadingcontinued"/>
      </w:pPr>
    </w:p>
    <w:p w:rsidR="00336793" w:rsidRDefault="00336793">
      <w:pPr>
        <w:spacing w:after="0"/>
        <w:rPr>
          <w:rFonts w:ascii="Calibri" w:hAnsi="Calibri"/>
          <w:b/>
          <w:sz w:val="25"/>
        </w:rPr>
      </w:pPr>
      <w:r>
        <w:br w:type="page"/>
      </w:r>
    </w:p>
    <w:p w:rsidR="00336793" w:rsidRDefault="00336793" w:rsidP="00146F9C">
      <w:pPr>
        <w:pStyle w:val="Tableheadingcontinued"/>
      </w:pPr>
      <w:r>
        <w:lastRenderedPageBreak/>
        <w:t>Table A.1:</w:t>
      </w:r>
      <w:r>
        <w:tab/>
        <w:t>Operating statement for the past five quarters</w:t>
      </w:r>
      <w:r w:rsidRPr="00146F9C">
        <w:rPr>
          <w:vertAlign w:val="superscript"/>
        </w:rPr>
        <w:t>(a)</w:t>
      </w:r>
      <w:r>
        <w:t xml:space="preserve"> </w:t>
      </w:r>
      <w:r w:rsidRPr="00146F9C">
        <w:rPr>
          <w:i/>
        </w:rPr>
        <w:t>(continued)</w:t>
      </w:r>
    </w:p>
    <w:p w:rsidR="00336793" w:rsidRDefault="00336793" w:rsidP="00146F9C">
      <w:pPr>
        <w:pStyle w:val="million"/>
      </w:pP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4037"/>
        <w:gridCol w:w="233"/>
        <w:gridCol w:w="887"/>
        <w:gridCol w:w="530"/>
        <w:gridCol w:w="284"/>
        <w:gridCol w:w="306"/>
        <w:gridCol w:w="1120"/>
        <w:gridCol w:w="630"/>
        <w:gridCol w:w="490"/>
        <w:gridCol w:w="50"/>
        <w:gridCol w:w="720"/>
        <w:gridCol w:w="350"/>
      </w:tblGrid>
      <w:tr w:rsidR="00336793" w:rsidRPr="00263581" w:rsidTr="00DF0B96">
        <w:trPr>
          <w:cantSplit/>
          <w:tblHeader/>
        </w:trPr>
        <w:tc>
          <w:tcPr>
            <w:tcW w:w="4037" w:type="dxa"/>
            <w:tcBorders>
              <w:top w:val="single" w:sz="6" w:space="0" w:color="auto"/>
              <w:left w:val="single" w:sz="6" w:space="0" w:color="auto"/>
              <w:bottom w:val="nil"/>
              <w:right w:val="nil"/>
            </w:tcBorders>
            <w:shd w:val="clear" w:color="000000" w:fill="000000"/>
          </w:tcPr>
          <w:p w:rsidR="00336793" w:rsidRPr="00263581" w:rsidRDefault="00336793" w:rsidP="00DF0B96">
            <w:pPr>
              <w:pStyle w:val="Tabletext"/>
              <w:rPr>
                <w:rFonts w:eastAsiaTheme="minorEastAsia"/>
                <w:i/>
                <w:lang w:eastAsia="en-AU"/>
              </w:rPr>
            </w:pPr>
            <w:r w:rsidRPr="00263581">
              <w:rPr>
                <w:rFonts w:eastAsiaTheme="minorEastAsia"/>
                <w:i/>
                <w:lang w:eastAsia="en-AU"/>
              </w:rPr>
              <w:t xml:space="preserve"> </w:t>
            </w:r>
          </w:p>
        </w:tc>
        <w:tc>
          <w:tcPr>
            <w:tcW w:w="1120" w:type="dxa"/>
            <w:gridSpan w:val="2"/>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2013</w:t>
            </w:r>
            <w:r>
              <w:rPr>
                <w:rFonts w:eastAsiaTheme="minorEastAsia"/>
                <w:color w:val="FFFFFF"/>
                <w:lang w:eastAsia="en-AU"/>
              </w:rPr>
              <w:noBreakHyphen/>
            </w:r>
            <w:r w:rsidRPr="00263581">
              <w:rPr>
                <w:rFonts w:eastAsiaTheme="minorEastAsia"/>
                <w:color w:val="FFFFFF"/>
                <w:lang w:eastAsia="en-AU"/>
              </w:rPr>
              <w:t>14</w:t>
            </w:r>
          </w:p>
        </w:tc>
        <w:tc>
          <w:tcPr>
            <w:tcW w:w="2870" w:type="dxa"/>
            <w:gridSpan w:val="5"/>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2014</w:t>
            </w:r>
            <w:r>
              <w:rPr>
                <w:rFonts w:eastAsiaTheme="minorEastAsia"/>
                <w:color w:val="FFFFFF"/>
                <w:lang w:eastAsia="en-AU"/>
              </w:rPr>
              <w:noBreakHyphen/>
            </w:r>
            <w:r w:rsidRPr="00263581">
              <w:rPr>
                <w:rFonts w:eastAsiaTheme="minorEastAsia"/>
                <w:color w:val="FFFFFF"/>
                <w:lang w:eastAsia="en-AU"/>
              </w:rPr>
              <w:t>15</w:t>
            </w:r>
          </w:p>
        </w:tc>
        <w:tc>
          <w:tcPr>
            <w:tcW w:w="540" w:type="dxa"/>
            <w:gridSpan w:val="2"/>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 xml:space="preserve"> </w:t>
            </w:r>
          </w:p>
        </w:tc>
        <w:tc>
          <w:tcPr>
            <w:tcW w:w="720" w:type="dxa"/>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 xml:space="preserve"> </w:t>
            </w:r>
          </w:p>
        </w:tc>
        <w:tc>
          <w:tcPr>
            <w:tcW w:w="350" w:type="dxa"/>
            <w:tcBorders>
              <w:top w:val="single" w:sz="6" w:space="0" w:color="auto"/>
              <w:left w:val="nil"/>
              <w:bottom w:val="nil"/>
              <w:right w:val="single" w:sz="6" w:space="0" w:color="auto"/>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 xml:space="preserve"> </w:t>
            </w:r>
          </w:p>
        </w:tc>
      </w:tr>
      <w:tr w:rsidR="00336793" w:rsidRPr="00263581" w:rsidTr="00DF0B96">
        <w:trPr>
          <w:cantSplit/>
          <w:tblHeader/>
        </w:trPr>
        <w:tc>
          <w:tcPr>
            <w:tcW w:w="4037" w:type="dxa"/>
            <w:tcBorders>
              <w:left w:val="single" w:sz="6" w:space="0" w:color="auto"/>
              <w:bottom w:val="single" w:sz="6" w:space="0" w:color="auto"/>
              <w:right w:val="nil"/>
            </w:tcBorders>
            <w:shd w:val="clear" w:color="000000" w:fill="000000"/>
          </w:tcPr>
          <w:p w:rsidR="00336793" w:rsidRPr="00263581" w:rsidRDefault="00336793" w:rsidP="00DF0B96">
            <w:pPr>
              <w:pStyle w:val="Tabletext"/>
              <w:rPr>
                <w:rFonts w:eastAsiaTheme="minorEastAsia" w:cs="Calibri"/>
                <w:i/>
                <w:iCs/>
                <w:color w:val="FFFFFF"/>
                <w:szCs w:val="22"/>
                <w:lang w:eastAsia="en-AU"/>
              </w:rPr>
            </w:pPr>
            <w:r w:rsidRPr="00263581">
              <w:rPr>
                <w:rFonts w:eastAsiaTheme="minorEastAsia"/>
                <w:i/>
                <w:lang w:eastAsia="en-AU"/>
              </w:rPr>
              <w:t xml:space="preserve"> </w:t>
            </w:r>
          </w:p>
        </w:tc>
        <w:tc>
          <w:tcPr>
            <w:tcW w:w="1120" w:type="dxa"/>
            <w:gridSpan w:val="2"/>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Jun</w:t>
            </w:r>
          </w:p>
        </w:tc>
        <w:tc>
          <w:tcPr>
            <w:tcW w:w="1120" w:type="dxa"/>
            <w:gridSpan w:val="3"/>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Sep</w:t>
            </w:r>
          </w:p>
        </w:tc>
        <w:tc>
          <w:tcPr>
            <w:tcW w:w="1120" w:type="dxa"/>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Dec</w:t>
            </w:r>
          </w:p>
        </w:tc>
        <w:tc>
          <w:tcPr>
            <w:tcW w:w="1120" w:type="dxa"/>
            <w:gridSpan w:val="2"/>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Mar</w:t>
            </w:r>
          </w:p>
        </w:tc>
        <w:tc>
          <w:tcPr>
            <w:tcW w:w="1120" w:type="dxa"/>
            <w:gridSpan w:val="3"/>
            <w:tcBorders>
              <w:left w:val="nil"/>
              <w:bottom w:val="single" w:sz="6" w:space="0" w:color="auto"/>
              <w:right w:val="single" w:sz="6" w:space="0" w:color="auto"/>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 xml:space="preserve">Jun </w:t>
            </w:r>
          </w:p>
        </w:tc>
      </w:tr>
      <w:tr w:rsidR="00336793" w:rsidRPr="00263581" w:rsidTr="00DF0B96">
        <w:tc>
          <w:tcPr>
            <w:tcW w:w="5687" w:type="dxa"/>
            <w:gridSpan w:val="4"/>
            <w:tcBorders>
              <w:top w:val="nil"/>
              <w:left w:val="nil"/>
              <w:bottom w:val="nil"/>
              <w:right w:val="nil"/>
            </w:tcBorders>
            <w:shd w:val="solid" w:color="FFFFFF" w:fill="auto"/>
          </w:tcPr>
          <w:p w:rsidR="00336793" w:rsidRPr="00263581" w:rsidRDefault="00336793" w:rsidP="00146F9C">
            <w:pPr>
              <w:pStyle w:val="Tabletext"/>
              <w:ind w:left="187" w:hanging="187"/>
              <w:rPr>
                <w:rFonts w:eastAsiaTheme="minorEastAsia"/>
                <w:b/>
                <w:bCs/>
                <w:lang w:eastAsia="en-AU"/>
              </w:rPr>
            </w:pPr>
            <w:r w:rsidRPr="00263581">
              <w:rPr>
                <w:rFonts w:eastAsiaTheme="minorEastAsia"/>
                <w:b/>
                <w:bCs/>
                <w:lang w:eastAsia="en-AU"/>
              </w:rPr>
              <w:t>Other economic flows – other comprehensive income</w:t>
            </w:r>
          </w:p>
        </w:tc>
        <w:tc>
          <w:tcPr>
            <w:tcW w:w="284"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306"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5687" w:type="dxa"/>
            <w:gridSpan w:val="4"/>
            <w:tcBorders>
              <w:top w:val="nil"/>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Items that will not be reclassified to net result</w:t>
            </w:r>
          </w:p>
        </w:tc>
        <w:tc>
          <w:tcPr>
            <w:tcW w:w="284"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306"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Changes in non</w:t>
            </w:r>
            <w:r>
              <w:rPr>
                <w:rFonts w:eastAsiaTheme="minorEastAsia"/>
                <w:lang w:eastAsia="en-AU"/>
              </w:rPr>
              <w:noBreakHyphen/>
            </w:r>
            <w:r w:rsidRPr="00263581">
              <w:rPr>
                <w:rFonts w:eastAsiaTheme="minorEastAsia"/>
                <w:lang w:eastAsia="en-AU"/>
              </w:rPr>
              <w:t>financial assets revaluation surplus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2 359.0</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21.7</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37.1</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134.9)</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2 600.6</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Remeasurement of superannuation defined benefits plans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(2 294.6)</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121.2</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(2 585.6)</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(1 971.2)</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4 986.9</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Net gain/(loss) on equity investments in other sector entities at proportional share of the carrying amount of net assets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2 702.9</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2.7</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4 223.0</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Other movements in equity</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144.4</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14.2</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21.3)</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622.1)</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480.8</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Items that may be reclassified subsequently to net result</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4270" w:type="dxa"/>
            <w:gridSpan w:val="2"/>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Net gain/(loss) on financial assets at fair value</w:t>
            </w:r>
          </w:p>
        </w:tc>
        <w:tc>
          <w:tcPr>
            <w:tcW w:w="887"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33.6)</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2.2)</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32.0)</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12.2)</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1.7</w:t>
            </w:r>
          </w:p>
        </w:tc>
      </w:tr>
      <w:tr w:rsidR="00336793" w:rsidRPr="00263581" w:rsidTr="00DF0B96">
        <w:tc>
          <w:tcPr>
            <w:tcW w:w="4037" w:type="dxa"/>
            <w:tcBorders>
              <w:top w:val="single" w:sz="6" w:space="0" w:color="000000"/>
              <w:left w:val="nil"/>
              <w:bottom w:val="nil"/>
              <w:right w:val="nil"/>
            </w:tcBorders>
            <w:shd w:val="solid" w:color="FFFFFF" w:fill="auto"/>
          </w:tcPr>
          <w:p w:rsidR="00336793" w:rsidRPr="00263581" w:rsidRDefault="00336793" w:rsidP="00DF0B96">
            <w:pPr>
              <w:pStyle w:val="Tabletext"/>
              <w:rPr>
                <w:rFonts w:eastAsiaTheme="minorEastAsia"/>
                <w:b/>
                <w:bCs/>
                <w:vertAlign w:val="superscript"/>
                <w:lang w:eastAsia="en-AU"/>
              </w:rPr>
            </w:pPr>
            <w:r w:rsidRPr="00263581">
              <w:rPr>
                <w:rFonts w:eastAsiaTheme="minorEastAsia"/>
                <w:b/>
                <w:bCs/>
                <w:lang w:eastAsia="en-AU"/>
              </w:rPr>
              <w:t>Total other economic flows – other comprehensive income</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2 878.1</w:t>
            </w:r>
          </w:p>
        </w:tc>
        <w:tc>
          <w:tcPr>
            <w:tcW w:w="1120" w:type="dxa"/>
            <w:gridSpan w:val="3"/>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154.9</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(2 599.2)</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sidRPr="00263581">
              <w:rPr>
                <w:rFonts w:eastAsiaTheme="minorEastAsia"/>
                <w:b/>
                <w:bCs/>
                <w:lang w:eastAsia="en-AU"/>
              </w:rPr>
              <w:t xml:space="preserve"> (2 740.4)</w:t>
            </w:r>
          </w:p>
        </w:tc>
        <w:tc>
          <w:tcPr>
            <w:tcW w:w="1120" w:type="dxa"/>
            <w:gridSpan w:val="3"/>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12 293.0</w:t>
            </w:r>
          </w:p>
        </w:tc>
      </w:tr>
      <w:tr w:rsidR="00336793" w:rsidRPr="00263581" w:rsidTr="00DF0B96">
        <w:tc>
          <w:tcPr>
            <w:tcW w:w="4037" w:type="dxa"/>
            <w:tcBorders>
              <w:top w:val="single" w:sz="6" w:space="0" w:color="000000"/>
              <w:left w:val="nil"/>
              <w:bottom w:val="nil"/>
              <w:right w:val="nil"/>
            </w:tcBorders>
            <w:shd w:val="solid" w:color="FFFFFF" w:fill="auto"/>
          </w:tcPr>
          <w:p w:rsidR="00336793" w:rsidRPr="00263581" w:rsidRDefault="00336793" w:rsidP="00DF0B96">
            <w:pPr>
              <w:pStyle w:val="Tabletext"/>
              <w:rPr>
                <w:rFonts w:eastAsiaTheme="minorEastAsia"/>
                <w:b/>
                <w:bCs/>
                <w:vertAlign w:val="superscript"/>
                <w:lang w:eastAsia="en-AU"/>
              </w:rPr>
            </w:pPr>
            <w:r w:rsidRPr="00263581">
              <w:rPr>
                <w:rFonts w:eastAsiaTheme="minorEastAsia"/>
                <w:b/>
                <w:bCs/>
                <w:lang w:eastAsia="en-AU"/>
              </w:rPr>
              <w:t>Comprehensive result – total change in net worth</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3 853.0</w:t>
            </w:r>
          </w:p>
        </w:tc>
        <w:tc>
          <w:tcPr>
            <w:tcW w:w="1120" w:type="dxa"/>
            <w:gridSpan w:val="3"/>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505.9</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(2 759.3)</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sidRPr="00263581">
              <w:rPr>
                <w:rFonts w:eastAsiaTheme="minorEastAsia"/>
                <w:b/>
                <w:bCs/>
                <w:lang w:eastAsia="en-AU"/>
              </w:rPr>
              <w:t xml:space="preserve"> (1 425.9)</w:t>
            </w:r>
          </w:p>
        </w:tc>
        <w:tc>
          <w:tcPr>
            <w:tcW w:w="1120" w:type="dxa"/>
            <w:gridSpan w:val="3"/>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sidRPr="00263581">
              <w:rPr>
                <w:rFonts w:eastAsiaTheme="minorEastAsia"/>
                <w:b/>
                <w:bCs/>
                <w:lang w:eastAsia="en-AU"/>
              </w:rPr>
              <w:t>11 536.4</w:t>
            </w:r>
          </w:p>
        </w:tc>
      </w:tr>
      <w:tr w:rsidR="00336793" w:rsidRPr="00263581" w:rsidTr="00DF0B96">
        <w:trPr>
          <w:trHeight w:hRule="exact" w:val="120"/>
        </w:trPr>
        <w:tc>
          <w:tcPr>
            <w:tcW w:w="4037" w:type="dxa"/>
            <w:tcBorders>
              <w:top w:val="single" w:sz="12" w:space="0" w:color="000000"/>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 xml:space="preserve"> </w:t>
            </w:r>
          </w:p>
        </w:tc>
        <w:tc>
          <w:tcPr>
            <w:tcW w:w="1120" w:type="dxa"/>
            <w:gridSpan w:val="2"/>
            <w:tcBorders>
              <w:top w:val="single" w:sz="12" w:space="0" w:color="000000"/>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w:t>
            </w:r>
          </w:p>
        </w:tc>
        <w:tc>
          <w:tcPr>
            <w:tcW w:w="1120" w:type="dxa"/>
            <w:gridSpan w:val="3"/>
            <w:tcBorders>
              <w:top w:val="single" w:sz="12" w:space="0" w:color="000000"/>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w:t>
            </w:r>
          </w:p>
        </w:tc>
        <w:tc>
          <w:tcPr>
            <w:tcW w:w="1120" w:type="dxa"/>
            <w:tcBorders>
              <w:top w:val="single" w:sz="12" w:space="0" w:color="000000"/>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w:t>
            </w:r>
          </w:p>
        </w:tc>
        <w:tc>
          <w:tcPr>
            <w:tcW w:w="1120" w:type="dxa"/>
            <w:gridSpan w:val="2"/>
            <w:tcBorders>
              <w:top w:val="single" w:sz="12" w:space="0" w:color="000000"/>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w:t>
            </w:r>
          </w:p>
        </w:tc>
        <w:tc>
          <w:tcPr>
            <w:tcW w:w="1120" w:type="dxa"/>
            <w:gridSpan w:val="3"/>
            <w:tcBorders>
              <w:top w:val="single" w:sz="12" w:space="0" w:color="000000"/>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KEY FISCAL AGGREGATES</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cs="Calibri"/>
                <w:b/>
                <w:bCs/>
                <w:color w:val="000000"/>
                <w:szCs w:val="22"/>
                <w:vertAlign w:val="superscript"/>
                <w:lang w:eastAsia="en-AU"/>
              </w:rPr>
            </w:pPr>
            <w:r w:rsidRPr="00263581">
              <w:rPr>
                <w:rFonts w:eastAsiaTheme="minorEastAsia"/>
                <w:b/>
                <w:bCs/>
                <w:lang w:eastAsia="en-AU"/>
              </w:rPr>
              <w:t>Net operating balance</w:t>
            </w:r>
            <w:r w:rsidRPr="00E96950">
              <w:rPr>
                <w:rFonts w:eastAsiaTheme="minorEastAsia"/>
                <w:b/>
                <w:bCs/>
                <w:vertAlign w:val="superscript"/>
                <w:lang w:eastAsia="en-AU"/>
              </w:rPr>
              <w:t xml:space="preserve"> </w:t>
            </w:r>
            <w:r w:rsidRPr="00263581">
              <w:rPr>
                <w:rFonts w:eastAsiaTheme="minorEastAsia"/>
                <w:b/>
                <w:bCs/>
                <w:vertAlign w:val="superscript"/>
                <w:lang w:eastAsia="en-AU"/>
              </w:rPr>
              <w:t>(</w:t>
            </w:r>
            <w:r w:rsidRPr="00263581">
              <w:rPr>
                <w:rFonts w:eastAsiaTheme="minorEastAsia" w:cs="Calibri"/>
                <w:b/>
                <w:bCs/>
                <w:color w:val="000000"/>
                <w:szCs w:val="22"/>
                <w:vertAlign w:val="superscript"/>
                <w:lang w:eastAsia="en-AU"/>
              </w:rPr>
              <w:t>a)</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1 132.2</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416.8</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46.6</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1 408.5</w:t>
            </w:r>
          </w:p>
        </w:tc>
        <w:tc>
          <w:tcPr>
            <w:tcW w:w="1120" w:type="dxa"/>
            <w:gridSpan w:val="3"/>
            <w:tcBorders>
              <w:top w:val="nil"/>
              <w:left w:val="nil"/>
              <w:bottom w:val="nil"/>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263581">
              <w:rPr>
                <w:rFonts w:eastAsiaTheme="minorEastAsia" w:cs="Calibri"/>
                <w:b/>
                <w:bCs/>
                <w:color w:val="000000"/>
                <w:szCs w:val="22"/>
                <w:lang w:eastAsia="en-AU"/>
              </w:rPr>
              <w:t>657.9)</w:t>
            </w:r>
          </w:p>
        </w:tc>
      </w:tr>
      <w:tr w:rsidR="00336793" w:rsidRPr="00263581" w:rsidTr="00DF0B96">
        <w:tc>
          <w:tcPr>
            <w:tcW w:w="4037" w:type="dxa"/>
            <w:tcBorders>
              <w:top w:val="nil"/>
              <w:left w:val="nil"/>
              <w:bottom w:val="single" w:sz="6" w:space="0" w:color="000000"/>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Less: Net acquisition of non</w:t>
            </w:r>
            <w:r>
              <w:rPr>
                <w:rFonts w:eastAsiaTheme="minorEastAsia"/>
                <w:lang w:eastAsia="en-AU"/>
              </w:rPr>
              <w:noBreakHyphen/>
            </w:r>
            <w:r w:rsidRPr="00263581">
              <w:rPr>
                <w:rFonts w:eastAsiaTheme="minorEastAsia"/>
                <w:lang w:eastAsia="en-AU"/>
              </w:rPr>
              <w:t>financial assets from transactions</w:t>
            </w:r>
          </w:p>
        </w:tc>
        <w:tc>
          <w:tcPr>
            <w:tcW w:w="1120" w:type="dxa"/>
            <w:gridSpan w:val="2"/>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117.2</w:t>
            </w:r>
          </w:p>
        </w:tc>
        <w:tc>
          <w:tcPr>
            <w:tcW w:w="1120" w:type="dxa"/>
            <w:gridSpan w:val="3"/>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71.8</w:t>
            </w:r>
          </w:p>
        </w:tc>
        <w:tc>
          <w:tcPr>
            <w:tcW w:w="1120" w:type="dxa"/>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373.4</w:t>
            </w:r>
          </w:p>
        </w:tc>
        <w:tc>
          <w:tcPr>
            <w:tcW w:w="1120" w:type="dxa"/>
            <w:gridSpan w:val="2"/>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sidRPr="00263581">
              <w:rPr>
                <w:rFonts w:eastAsiaTheme="minorEastAsia"/>
                <w:lang w:eastAsia="en-AU"/>
              </w:rPr>
              <w:t xml:space="preserve"> </w:t>
            </w:r>
            <w:r w:rsidRPr="00263581">
              <w:rPr>
                <w:rFonts w:eastAsiaTheme="minorEastAsia" w:cs="Calibri"/>
                <w:color w:val="000000"/>
                <w:szCs w:val="22"/>
                <w:lang w:eastAsia="en-AU"/>
              </w:rPr>
              <w:t>87.0</w:t>
            </w:r>
          </w:p>
        </w:tc>
        <w:tc>
          <w:tcPr>
            <w:tcW w:w="1120" w:type="dxa"/>
            <w:gridSpan w:val="3"/>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cs="Calibri"/>
                <w:color w:val="000000"/>
                <w:szCs w:val="22"/>
                <w:lang w:eastAsia="en-AU"/>
              </w:rPr>
            </w:pPr>
            <w:r>
              <w:rPr>
                <w:rFonts w:eastAsiaTheme="minorEastAsia"/>
                <w:lang w:eastAsia="en-AU"/>
              </w:rPr>
              <w:t>(</w:t>
            </w:r>
            <w:r w:rsidRPr="00263581">
              <w:rPr>
                <w:rFonts w:eastAsiaTheme="minorEastAsia" w:cs="Calibri"/>
                <w:color w:val="000000"/>
                <w:szCs w:val="22"/>
                <w:lang w:eastAsia="en-AU"/>
              </w:rPr>
              <w:t>239.9)</w:t>
            </w:r>
          </w:p>
        </w:tc>
      </w:tr>
      <w:tr w:rsidR="00336793" w:rsidRPr="00263581" w:rsidTr="00DF0B96">
        <w:tc>
          <w:tcPr>
            <w:tcW w:w="4037" w:type="dxa"/>
            <w:tcBorders>
              <w:top w:val="single" w:sz="6" w:space="0" w:color="000000"/>
              <w:left w:val="nil"/>
              <w:bottom w:val="single" w:sz="12" w:space="0" w:color="000000"/>
              <w:right w:val="nil"/>
            </w:tcBorders>
            <w:shd w:val="solid" w:color="FFFFFF" w:fill="auto"/>
          </w:tcPr>
          <w:p w:rsidR="00336793" w:rsidRPr="00263581" w:rsidRDefault="00336793" w:rsidP="00DF0B96">
            <w:pPr>
              <w:pStyle w:val="Tabletext"/>
              <w:rPr>
                <w:rFonts w:eastAsiaTheme="minorEastAsia" w:cs="Calibri"/>
                <w:b/>
                <w:bCs/>
                <w:color w:val="000000"/>
                <w:szCs w:val="22"/>
                <w:vertAlign w:val="superscript"/>
                <w:lang w:eastAsia="en-AU"/>
              </w:rPr>
            </w:pPr>
            <w:r w:rsidRPr="00263581">
              <w:rPr>
                <w:rFonts w:eastAsiaTheme="minorEastAsia"/>
                <w:b/>
                <w:bCs/>
                <w:lang w:eastAsia="en-AU"/>
              </w:rPr>
              <w:t>Net lending/(borrowing)</w:t>
            </w:r>
            <w:r w:rsidRPr="00E96950">
              <w:rPr>
                <w:rFonts w:eastAsiaTheme="minorEastAsia"/>
                <w:b/>
                <w:bCs/>
                <w:vertAlign w:val="superscript"/>
                <w:lang w:eastAsia="en-AU"/>
              </w:rPr>
              <w:t xml:space="preserve"> </w:t>
            </w:r>
            <w:r w:rsidRPr="00263581">
              <w:rPr>
                <w:rFonts w:eastAsiaTheme="minorEastAsia"/>
                <w:b/>
                <w:bCs/>
                <w:vertAlign w:val="superscript"/>
                <w:lang w:eastAsia="en-AU"/>
              </w:rPr>
              <w:t>(</w:t>
            </w:r>
            <w:r w:rsidRPr="00263581">
              <w:rPr>
                <w:rFonts w:eastAsiaTheme="minorEastAsia" w:cs="Calibri"/>
                <w:b/>
                <w:bCs/>
                <w:color w:val="000000"/>
                <w:szCs w:val="22"/>
                <w:vertAlign w:val="superscript"/>
                <w:lang w:eastAsia="en-AU"/>
              </w:rPr>
              <w:t>a)</w:t>
            </w:r>
          </w:p>
        </w:tc>
        <w:tc>
          <w:tcPr>
            <w:tcW w:w="1120" w:type="dxa"/>
            <w:gridSpan w:val="2"/>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sidRPr="00263581">
              <w:rPr>
                <w:rFonts w:eastAsiaTheme="minorEastAsia"/>
                <w:b/>
                <w:bCs/>
                <w:lang w:eastAsia="en-AU"/>
              </w:rPr>
              <w:t>1 015.0</w:t>
            </w:r>
          </w:p>
        </w:tc>
        <w:tc>
          <w:tcPr>
            <w:tcW w:w="1120" w:type="dxa"/>
            <w:gridSpan w:val="3"/>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344.9</w:t>
            </w:r>
          </w:p>
        </w:tc>
        <w:tc>
          <w:tcPr>
            <w:tcW w:w="1120" w:type="dxa"/>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cs="Calibri"/>
                <w:b/>
                <w:bCs/>
                <w:color w:val="000000"/>
                <w:szCs w:val="22"/>
                <w:lang w:eastAsia="en-AU"/>
              </w:rPr>
            </w:pPr>
            <w:r>
              <w:rPr>
                <w:rFonts w:eastAsiaTheme="minorEastAsia"/>
                <w:b/>
                <w:bCs/>
                <w:lang w:eastAsia="en-AU"/>
              </w:rPr>
              <w:t>(</w:t>
            </w:r>
            <w:r w:rsidRPr="00263581">
              <w:rPr>
                <w:rFonts w:eastAsiaTheme="minorEastAsia" w:cs="Calibri"/>
                <w:b/>
                <w:bCs/>
                <w:color w:val="000000"/>
                <w:szCs w:val="22"/>
                <w:lang w:eastAsia="en-AU"/>
              </w:rPr>
              <w:t>326.7)</w:t>
            </w:r>
          </w:p>
        </w:tc>
        <w:tc>
          <w:tcPr>
            <w:tcW w:w="1120" w:type="dxa"/>
            <w:gridSpan w:val="2"/>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1 321.6</w:t>
            </w:r>
          </w:p>
        </w:tc>
        <w:tc>
          <w:tcPr>
            <w:tcW w:w="1120" w:type="dxa"/>
            <w:gridSpan w:val="3"/>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Pr>
                <w:rFonts w:eastAsiaTheme="minorEastAsia"/>
                <w:b/>
                <w:bCs/>
                <w:lang w:eastAsia="en-AU"/>
              </w:rPr>
              <w:t>(</w:t>
            </w:r>
            <w:r w:rsidRPr="00263581">
              <w:rPr>
                <w:rFonts w:eastAsiaTheme="minorEastAsia"/>
                <w:b/>
                <w:bCs/>
                <w:lang w:eastAsia="en-AU"/>
              </w:rPr>
              <w:t>418.0)</w:t>
            </w:r>
          </w:p>
        </w:tc>
      </w:tr>
    </w:tbl>
    <w:p w:rsidR="00336793" w:rsidRPr="006A75A2" w:rsidRDefault="00336793" w:rsidP="00DF0B96">
      <w:pPr>
        <w:pStyle w:val="Notes"/>
      </w:pPr>
      <w:r>
        <w:t>Note</w:t>
      </w:r>
      <w:r w:rsidRPr="006A75A2">
        <w:t>:</w:t>
      </w:r>
    </w:p>
    <w:p w:rsidR="00336793" w:rsidRDefault="00336793" w:rsidP="00DF0B96">
      <w:pPr>
        <w:pStyle w:val="Notes"/>
      </w:pPr>
      <w:r w:rsidRPr="006A75A2">
        <w:t>(a)</w:t>
      </w:r>
      <w:r w:rsidRPr="006A75A2">
        <w:tab/>
      </w:r>
      <w:r>
        <w:t>The comparative quarterly figures have been restated to reflect more current information.</w:t>
      </w:r>
    </w:p>
    <w:p w:rsidR="00336793" w:rsidRDefault="00336793">
      <w:pPr>
        <w:spacing w:after="0"/>
        <w:rPr>
          <w:rFonts w:ascii="Calibri" w:hAnsi="Calibri"/>
          <w:b/>
          <w:sz w:val="25"/>
        </w:rPr>
      </w:pPr>
      <w:r>
        <w:br w:type="page"/>
      </w:r>
    </w:p>
    <w:p w:rsidR="00336793" w:rsidRPr="005410D2" w:rsidRDefault="00336793" w:rsidP="00DF0B96">
      <w:pPr>
        <w:pStyle w:val="Tableheading"/>
      </w:pPr>
      <w:r w:rsidRPr="005410D2">
        <w:lastRenderedPageBreak/>
        <w:t>Table A.2:</w:t>
      </w:r>
      <w:r w:rsidRPr="005410D2">
        <w:tab/>
        <w:t>Balance sheet as at the end of the past five quarters</w:t>
      </w:r>
      <w:r w:rsidRPr="00424414">
        <w:rPr>
          <w:vertAlign w:val="superscript"/>
        </w:rPr>
        <w:t>(a)</w:t>
      </w:r>
    </w:p>
    <w:p w:rsidR="00336793" w:rsidRPr="00263581" w:rsidRDefault="00336793" w:rsidP="00DF0B96">
      <w:pPr>
        <w:pStyle w:val="million"/>
        <w:rPr>
          <w:rFonts w:ascii="Times New Roman" w:hAnsi="Times New Roman"/>
          <w:lang w:eastAsia="en-AU"/>
        </w:rPr>
      </w:pPr>
      <w:r w:rsidRPr="005410D2">
        <w:t>($</w:t>
      </w: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4035"/>
        <w:gridCol w:w="1119"/>
        <w:gridCol w:w="1119"/>
        <w:gridCol w:w="1119"/>
        <w:gridCol w:w="630"/>
        <w:gridCol w:w="495"/>
        <w:gridCol w:w="495"/>
        <w:gridCol w:w="625"/>
      </w:tblGrid>
      <w:tr w:rsidR="00336793" w:rsidRPr="00263581" w:rsidTr="00DF0B96">
        <w:tc>
          <w:tcPr>
            <w:tcW w:w="4037" w:type="dxa"/>
            <w:tcBorders>
              <w:top w:val="single" w:sz="6" w:space="0" w:color="auto"/>
              <w:left w:val="single" w:sz="6" w:space="0" w:color="auto"/>
              <w:bottom w:val="nil"/>
              <w:right w:val="nil"/>
            </w:tcBorders>
            <w:shd w:val="clear" w:color="000000" w:fill="000000"/>
          </w:tcPr>
          <w:p w:rsidR="00336793" w:rsidRPr="00263581" w:rsidRDefault="00336793" w:rsidP="00DF0B96">
            <w:pPr>
              <w:pStyle w:val="Tabletext"/>
              <w:rPr>
                <w:rFonts w:eastAsiaTheme="minorEastAsia"/>
                <w:i/>
                <w:lang w:eastAsia="en-AU"/>
              </w:rPr>
            </w:pPr>
            <w:r w:rsidRPr="00263581">
              <w:rPr>
                <w:rFonts w:eastAsiaTheme="minorEastAsia"/>
                <w:i/>
                <w:lang w:eastAsia="en-AU"/>
              </w:rPr>
              <w:t xml:space="preserve"> </w:t>
            </w:r>
          </w:p>
        </w:tc>
        <w:tc>
          <w:tcPr>
            <w:tcW w:w="1120" w:type="dxa"/>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2013</w:t>
            </w:r>
            <w:r>
              <w:rPr>
                <w:rFonts w:eastAsiaTheme="minorEastAsia"/>
                <w:color w:val="FFFFFF"/>
                <w:lang w:eastAsia="en-AU"/>
              </w:rPr>
              <w:noBreakHyphen/>
            </w:r>
            <w:r w:rsidRPr="00263581">
              <w:rPr>
                <w:rFonts w:eastAsiaTheme="minorEastAsia"/>
                <w:color w:val="FFFFFF"/>
                <w:lang w:eastAsia="en-AU"/>
              </w:rPr>
              <w:t>14</w:t>
            </w:r>
          </w:p>
        </w:tc>
        <w:tc>
          <w:tcPr>
            <w:tcW w:w="2870" w:type="dxa"/>
            <w:gridSpan w:val="3"/>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2014</w:t>
            </w:r>
            <w:r>
              <w:rPr>
                <w:rFonts w:eastAsiaTheme="minorEastAsia"/>
                <w:color w:val="FFFFFF"/>
                <w:lang w:eastAsia="en-AU"/>
              </w:rPr>
              <w:noBreakHyphen/>
            </w:r>
            <w:r w:rsidRPr="00263581">
              <w:rPr>
                <w:rFonts w:eastAsiaTheme="minorEastAsia"/>
                <w:color w:val="FFFFFF"/>
                <w:lang w:eastAsia="en-AU"/>
              </w:rPr>
              <w:t>15</w:t>
            </w:r>
          </w:p>
        </w:tc>
        <w:tc>
          <w:tcPr>
            <w:tcW w:w="495" w:type="dxa"/>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 xml:space="preserve"> </w:t>
            </w:r>
          </w:p>
        </w:tc>
        <w:tc>
          <w:tcPr>
            <w:tcW w:w="495" w:type="dxa"/>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 xml:space="preserve"> </w:t>
            </w:r>
          </w:p>
        </w:tc>
        <w:tc>
          <w:tcPr>
            <w:tcW w:w="620" w:type="dxa"/>
            <w:tcBorders>
              <w:top w:val="single" w:sz="6" w:space="0" w:color="auto"/>
              <w:left w:val="nil"/>
              <w:bottom w:val="nil"/>
              <w:right w:val="single" w:sz="6" w:space="0" w:color="auto"/>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 xml:space="preserve"> </w:t>
            </w:r>
          </w:p>
        </w:tc>
      </w:tr>
      <w:tr w:rsidR="00336793" w:rsidRPr="00263581" w:rsidTr="00DF0B96">
        <w:tc>
          <w:tcPr>
            <w:tcW w:w="4037" w:type="dxa"/>
            <w:tcBorders>
              <w:left w:val="single" w:sz="6" w:space="0" w:color="auto"/>
              <w:bottom w:val="single" w:sz="6" w:space="0" w:color="auto"/>
              <w:right w:val="nil"/>
            </w:tcBorders>
            <w:shd w:val="clear" w:color="000000" w:fill="000000"/>
          </w:tcPr>
          <w:p w:rsidR="00336793" w:rsidRPr="00263581" w:rsidRDefault="00336793" w:rsidP="00DF0B96">
            <w:pPr>
              <w:pStyle w:val="Tabletext"/>
              <w:rPr>
                <w:rFonts w:eastAsiaTheme="minorEastAsia"/>
                <w:i/>
                <w:lang w:eastAsia="en-AU"/>
              </w:rPr>
            </w:pPr>
            <w:r w:rsidRPr="00263581">
              <w:rPr>
                <w:rFonts w:eastAsiaTheme="minorEastAsia"/>
                <w:i/>
                <w:lang w:eastAsia="en-AU"/>
              </w:rPr>
              <w:t xml:space="preserve"> </w:t>
            </w:r>
          </w:p>
        </w:tc>
        <w:tc>
          <w:tcPr>
            <w:tcW w:w="1120" w:type="dxa"/>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Jun</w:t>
            </w:r>
          </w:p>
        </w:tc>
        <w:tc>
          <w:tcPr>
            <w:tcW w:w="1120" w:type="dxa"/>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Sep</w:t>
            </w:r>
          </w:p>
        </w:tc>
        <w:tc>
          <w:tcPr>
            <w:tcW w:w="1120" w:type="dxa"/>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Dec</w:t>
            </w:r>
          </w:p>
        </w:tc>
        <w:tc>
          <w:tcPr>
            <w:tcW w:w="1120" w:type="dxa"/>
            <w:gridSpan w:val="2"/>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Mar</w:t>
            </w:r>
          </w:p>
        </w:tc>
        <w:tc>
          <w:tcPr>
            <w:tcW w:w="1120" w:type="dxa"/>
            <w:gridSpan w:val="2"/>
            <w:tcBorders>
              <w:left w:val="nil"/>
              <w:bottom w:val="single" w:sz="6" w:space="0" w:color="auto"/>
              <w:right w:val="single" w:sz="6" w:space="0" w:color="auto"/>
            </w:tcBorders>
            <w:shd w:val="clear" w:color="000000" w:fill="000000"/>
          </w:tcPr>
          <w:p w:rsidR="00336793" w:rsidRPr="00263581" w:rsidRDefault="00336793" w:rsidP="00DF0B96">
            <w:pPr>
              <w:pStyle w:val="Tabletextheading"/>
              <w:rPr>
                <w:rFonts w:eastAsiaTheme="minorEastAsia"/>
                <w:color w:val="FFFFFF"/>
                <w:lang w:eastAsia="en-AU"/>
              </w:rPr>
            </w:pPr>
            <w:r w:rsidRPr="00263581">
              <w:rPr>
                <w:rFonts w:eastAsiaTheme="minorEastAsia"/>
                <w:color w:val="FFFFFF"/>
                <w:lang w:eastAsia="en-AU"/>
              </w:rPr>
              <w:t>Jun</w:t>
            </w:r>
          </w:p>
        </w:tc>
      </w:tr>
      <w:tr w:rsidR="00336793" w:rsidRPr="00263581" w:rsidTr="00DF0B96">
        <w:tc>
          <w:tcPr>
            <w:tcW w:w="4037" w:type="dxa"/>
            <w:tcBorders>
              <w:top w:val="single" w:sz="6" w:space="0" w:color="auto"/>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Assets</w:t>
            </w:r>
          </w:p>
        </w:tc>
        <w:tc>
          <w:tcPr>
            <w:tcW w:w="1120" w:type="dxa"/>
            <w:tcBorders>
              <w:top w:val="single" w:sz="6"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single" w:sz="6"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single" w:sz="6"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single" w:sz="6"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Financial assets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Cash and deposits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4 582.2</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4 176.7</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4 170.8</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4 608.5</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4 281.7</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Advances paid</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4 586.9</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4 575.9</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4 577.9</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4 573.3</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4 571.8</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Receivables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4 940.6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5 168.6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5 001.4</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6 727.1</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5 555.3</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Investments, loans and placements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3 036.3</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3 076.9</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3 350.7</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3 397.4</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3 405.9</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Investments accounted for using the equity method</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44.1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44.1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47.0</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46.9</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44.6</w:t>
            </w:r>
          </w:p>
        </w:tc>
      </w:tr>
      <w:tr w:rsidR="00336793" w:rsidRPr="00263581" w:rsidTr="00DF0B96">
        <w:tc>
          <w:tcPr>
            <w:tcW w:w="4037" w:type="dxa"/>
            <w:tcBorders>
              <w:top w:val="nil"/>
              <w:left w:val="nil"/>
              <w:bottom w:val="single" w:sz="6" w:space="0" w:color="000000"/>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Investments in other sector entities</w:t>
            </w:r>
          </w:p>
        </w:tc>
        <w:tc>
          <w:tcPr>
            <w:tcW w:w="1120" w:type="dxa"/>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75 869.2</w:t>
            </w:r>
          </w:p>
        </w:tc>
        <w:tc>
          <w:tcPr>
            <w:tcW w:w="1120" w:type="dxa"/>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75 875.3</w:t>
            </w:r>
          </w:p>
        </w:tc>
        <w:tc>
          <w:tcPr>
            <w:tcW w:w="1120" w:type="dxa"/>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76 169.5</w:t>
            </w:r>
          </w:p>
        </w:tc>
        <w:tc>
          <w:tcPr>
            <w:tcW w:w="1120" w:type="dxa"/>
            <w:gridSpan w:val="2"/>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76 357.5</w:t>
            </w:r>
          </w:p>
        </w:tc>
        <w:tc>
          <w:tcPr>
            <w:tcW w:w="1120" w:type="dxa"/>
            <w:gridSpan w:val="2"/>
            <w:tcBorders>
              <w:top w:val="nil"/>
              <w:left w:val="nil"/>
              <w:bottom w:val="single" w:sz="6"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82 181.0</w:t>
            </w:r>
          </w:p>
        </w:tc>
      </w:tr>
      <w:tr w:rsidR="00336793" w:rsidRPr="00263581" w:rsidTr="00DF0B96">
        <w:tc>
          <w:tcPr>
            <w:tcW w:w="4037" w:type="dxa"/>
            <w:tcBorders>
              <w:top w:val="nil"/>
              <w:left w:val="nil"/>
              <w:bottom w:val="single" w:sz="4" w:space="0" w:color="auto"/>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Total financial assets</w:t>
            </w:r>
          </w:p>
        </w:tc>
        <w:tc>
          <w:tcPr>
            <w:tcW w:w="1120" w:type="dxa"/>
            <w:tcBorders>
              <w:top w:val="nil"/>
              <w:left w:val="nil"/>
              <w:bottom w:val="single" w:sz="4" w:space="0" w:color="auto"/>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93 059.4</w:t>
            </w:r>
          </w:p>
        </w:tc>
        <w:tc>
          <w:tcPr>
            <w:tcW w:w="1120" w:type="dxa"/>
            <w:tcBorders>
              <w:top w:val="nil"/>
              <w:left w:val="nil"/>
              <w:bottom w:val="single" w:sz="4" w:space="0" w:color="auto"/>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92 917.6</w:t>
            </w:r>
          </w:p>
        </w:tc>
        <w:tc>
          <w:tcPr>
            <w:tcW w:w="1120" w:type="dxa"/>
            <w:tcBorders>
              <w:top w:val="nil"/>
              <w:left w:val="nil"/>
              <w:bottom w:val="single" w:sz="4" w:space="0" w:color="auto"/>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93 317.3</w:t>
            </w:r>
          </w:p>
        </w:tc>
        <w:tc>
          <w:tcPr>
            <w:tcW w:w="1120" w:type="dxa"/>
            <w:gridSpan w:val="2"/>
            <w:tcBorders>
              <w:top w:val="nil"/>
              <w:left w:val="nil"/>
              <w:bottom w:val="single" w:sz="4" w:space="0" w:color="auto"/>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95 710.6</w:t>
            </w:r>
          </w:p>
        </w:tc>
        <w:tc>
          <w:tcPr>
            <w:tcW w:w="1120" w:type="dxa"/>
            <w:gridSpan w:val="2"/>
            <w:tcBorders>
              <w:top w:val="nil"/>
              <w:left w:val="nil"/>
              <w:bottom w:val="single" w:sz="4" w:space="0" w:color="auto"/>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100 040.3</w:t>
            </w:r>
          </w:p>
        </w:tc>
      </w:tr>
      <w:tr w:rsidR="00336793" w:rsidRPr="00263581" w:rsidTr="00DF0B96">
        <w:tc>
          <w:tcPr>
            <w:tcW w:w="4037" w:type="dxa"/>
            <w:tcBorders>
              <w:top w:val="single" w:sz="4" w:space="0" w:color="auto"/>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Non</w:t>
            </w:r>
            <w:r>
              <w:rPr>
                <w:rFonts w:eastAsiaTheme="minorEastAsia"/>
                <w:b/>
                <w:bCs/>
                <w:lang w:eastAsia="en-AU"/>
              </w:rPr>
              <w:noBreakHyphen/>
            </w:r>
            <w:r w:rsidRPr="00263581">
              <w:rPr>
                <w:rFonts w:eastAsiaTheme="minorEastAsia"/>
                <w:b/>
                <w:bCs/>
                <w:lang w:eastAsia="en-AU"/>
              </w:rPr>
              <w:t>financial assets</w:t>
            </w:r>
          </w:p>
        </w:tc>
        <w:tc>
          <w:tcPr>
            <w:tcW w:w="1120" w:type="dxa"/>
            <w:tcBorders>
              <w:top w:val="single" w:sz="4"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single" w:sz="4"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single" w:sz="4"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single" w:sz="4"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single" w:sz="4" w:space="0" w:color="auto"/>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Inventories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159.8</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153.7</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148.1</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147.1</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144.5</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Non</w:t>
            </w:r>
            <w:r>
              <w:rPr>
                <w:rFonts w:eastAsiaTheme="minorEastAsia"/>
                <w:lang w:eastAsia="en-AU"/>
              </w:rPr>
              <w:noBreakHyphen/>
            </w:r>
            <w:r w:rsidRPr="00263581">
              <w:rPr>
                <w:rFonts w:eastAsiaTheme="minorEastAsia"/>
                <w:lang w:eastAsia="en-AU"/>
              </w:rPr>
              <w:t>financial assets held for sale</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137.8</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146.7</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145.5</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130.0</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175.3</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Land, buildings, infrastructure, plant and equipment</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104 998.8</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105 036.8</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105 317.2</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104 681.7</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107 586.4</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Other non</w:t>
            </w:r>
            <w:r>
              <w:rPr>
                <w:rFonts w:eastAsiaTheme="minorEastAsia"/>
                <w:lang w:eastAsia="en-AU"/>
              </w:rPr>
              <w:noBreakHyphen/>
            </w:r>
            <w:r w:rsidRPr="00263581">
              <w:rPr>
                <w:rFonts w:eastAsiaTheme="minorEastAsia"/>
                <w:lang w:eastAsia="en-AU"/>
              </w:rPr>
              <w:t>financial assets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1 204.8</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1 383.6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1 480.3</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1 325.0</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1 038.3</w:t>
            </w:r>
          </w:p>
        </w:tc>
      </w:tr>
      <w:tr w:rsidR="00336793" w:rsidRPr="00263581" w:rsidTr="00DF0B96">
        <w:tc>
          <w:tcPr>
            <w:tcW w:w="4037" w:type="dxa"/>
            <w:tcBorders>
              <w:top w:val="single" w:sz="6" w:space="0" w:color="000000"/>
              <w:left w:val="nil"/>
              <w:bottom w:val="single" w:sz="6" w:space="0" w:color="000000"/>
              <w:right w:val="nil"/>
            </w:tcBorders>
            <w:shd w:val="solid" w:color="FFFFFF" w:fill="auto"/>
          </w:tcPr>
          <w:p w:rsidR="00336793" w:rsidRPr="00263581" w:rsidRDefault="00336793" w:rsidP="00DF0B96">
            <w:pPr>
              <w:pStyle w:val="Tabletext"/>
              <w:rPr>
                <w:rFonts w:eastAsiaTheme="minorEastAsia"/>
                <w:b/>
                <w:bCs/>
                <w:vertAlign w:val="superscript"/>
                <w:lang w:eastAsia="en-AU"/>
              </w:rPr>
            </w:pPr>
            <w:r w:rsidRPr="00263581">
              <w:rPr>
                <w:rFonts w:eastAsiaTheme="minorEastAsia"/>
                <w:b/>
                <w:bCs/>
                <w:lang w:eastAsia="en-AU"/>
              </w:rPr>
              <w:t>Total non</w:t>
            </w:r>
            <w:r>
              <w:rPr>
                <w:rFonts w:eastAsiaTheme="minorEastAsia"/>
                <w:b/>
                <w:bCs/>
                <w:lang w:eastAsia="en-AU"/>
              </w:rPr>
              <w:noBreakHyphen/>
            </w:r>
            <w:r w:rsidRPr="00263581">
              <w:rPr>
                <w:rFonts w:eastAsiaTheme="minorEastAsia"/>
                <w:b/>
                <w:bCs/>
                <w:lang w:eastAsia="en-AU"/>
              </w:rPr>
              <w:t>financial assets</w:t>
            </w:r>
          </w:p>
        </w:tc>
        <w:tc>
          <w:tcPr>
            <w:tcW w:w="1120" w:type="dxa"/>
            <w:tcBorders>
              <w:top w:val="single" w:sz="6" w:space="0" w:color="000000"/>
              <w:left w:val="nil"/>
              <w:bottom w:val="single" w:sz="6"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106 501.3</w:t>
            </w:r>
          </w:p>
        </w:tc>
        <w:tc>
          <w:tcPr>
            <w:tcW w:w="1120" w:type="dxa"/>
            <w:tcBorders>
              <w:top w:val="single" w:sz="6" w:space="0" w:color="000000"/>
              <w:left w:val="nil"/>
              <w:bottom w:val="single" w:sz="6"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106 720.8</w:t>
            </w:r>
          </w:p>
        </w:tc>
        <w:tc>
          <w:tcPr>
            <w:tcW w:w="1120" w:type="dxa"/>
            <w:tcBorders>
              <w:top w:val="single" w:sz="6" w:space="0" w:color="000000"/>
              <w:left w:val="nil"/>
              <w:bottom w:val="single" w:sz="6"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107 091.0</w:t>
            </w:r>
          </w:p>
        </w:tc>
        <w:tc>
          <w:tcPr>
            <w:tcW w:w="1120" w:type="dxa"/>
            <w:gridSpan w:val="2"/>
            <w:tcBorders>
              <w:top w:val="single" w:sz="6" w:space="0" w:color="000000"/>
              <w:left w:val="nil"/>
              <w:bottom w:val="single" w:sz="6"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106 283.8</w:t>
            </w:r>
          </w:p>
        </w:tc>
        <w:tc>
          <w:tcPr>
            <w:tcW w:w="1120" w:type="dxa"/>
            <w:gridSpan w:val="2"/>
            <w:tcBorders>
              <w:top w:val="single" w:sz="6" w:space="0" w:color="000000"/>
              <w:left w:val="nil"/>
              <w:bottom w:val="single" w:sz="6"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108 944.5</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b/>
                <w:bCs/>
                <w:vertAlign w:val="superscript"/>
                <w:lang w:eastAsia="en-AU"/>
              </w:rPr>
            </w:pPr>
            <w:r w:rsidRPr="00263581">
              <w:rPr>
                <w:rFonts w:eastAsiaTheme="minorEastAsia"/>
                <w:b/>
                <w:bCs/>
                <w:lang w:eastAsia="en-AU"/>
              </w:rPr>
              <w:t>Total assets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199 560.6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199 638.3</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200 408.3</w:t>
            </w:r>
          </w:p>
        </w:tc>
        <w:tc>
          <w:tcPr>
            <w:tcW w:w="1120" w:type="dxa"/>
            <w:gridSpan w:val="2"/>
            <w:tcBorders>
              <w:top w:val="nil"/>
              <w:left w:val="nil"/>
              <w:bottom w:val="nil"/>
              <w:right w:val="nil"/>
            </w:tcBorders>
            <w:shd w:val="solid" w:color="FFFFFF" w:fill="auto"/>
          </w:tcPr>
          <w:p w:rsidR="00336793" w:rsidRPr="00263581" w:rsidRDefault="00CA618A" w:rsidP="00DF0B96">
            <w:pPr>
              <w:pStyle w:val="TableofFigures"/>
              <w:rPr>
                <w:rFonts w:eastAsiaTheme="minorEastAsia"/>
                <w:b/>
                <w:bCs/>
                <w:lang w:eastAsia="en-AU"/>
              </w:rPr>
            </w:pPr>
            <w:r>
              <w:rPr>
                <w:rFonts w:eastAsiaTheme="minorEastAsia"/>
                <w:b/>
                <w:bCs/>
                <w:lang w:eastAsia="en-AU"/>
              </w:rPr>
              <w:t>201 994.4</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208 984.7</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Liabilities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 xml:space="preserve">Deposits held and advances received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426.5</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454.2</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423.9</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529.0</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517.8</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Payables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5 554.8</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5 111.5</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5 812.5</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6 182.4</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5 704.3</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Borrowings</w:t>
            </w:r>
            <w:r w:rsidRPr="00263581">
              <w:rPr>
                <w:rFonts w:eastAsiaTheme="minorEastAsia"/>
                <w:vertAlign w:val="superscript"/>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32 953.6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32 846.6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33 018.1</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33 286.1</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34 069.0</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Employee benefits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5 266.0</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5 463.2</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5 399.3</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5 600.7</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5 605.3</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Superannuation</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26 252.9</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26 181.4</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28 843.6</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30 881.1</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25 946.6</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Other provisions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629.4</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598.1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686.9</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716.9</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807.4</w:t>
            </w:r>
          </w:p>
        </w:tc>
      </w:tr>
      <w:tr w:rsidR="00336793" w:rsidRPr="00263581" w:rsidTr="00DF0B96">
        <w:tc>
          <w:tcPr>
            <w:tcW w:w="4037" w:type="dxa"/>
            <w:tcBorders>
              <w:top w:val="single" w:sz="6" w:space="0" w:color="000000"/>
              <w:left w:val="nil"/>
              <w:bottom w:val="nil"/>
              <w:right w:val="nil"/>
            </w:tcBorders>
            <w:shd w:val="solid" w:color="FFFFFF" w:fill="auto"/>
          </w:tcPr>
          <w:p w:rsidR="00336793" w:rsidRPr="00263581" w:rsidRDefault="00336793" w:rsidP="00DF0B96">
            <w:pPr>
              <w:pStyle w:val="Tabletext"/>
              <w:rPr>
                <w:rFonts w:eastAsiaTheme="minorEastAsia"/>
                <w:b/>
                <w:bCs/>
                <w:vertAlign w:val="superscript"/>
                <w:lang w:eastAsia="en-AU"/>
              </w:rPr>
            </w:pPr>
            <w:r w:rsidRPr="00263581">
              <w:rPr>
                <w:rFonts w:eastAsiaTheme="minorEastAsia"/>
                <w:b/>
                <w:bCs/>
                <w:lang w:eastAsia="en-AU"/>
              </w:rPr>
              <w:t>Total liabilities</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71 083.2</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70 655.0</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74 184.4</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77 196.3</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72 650.2</w:t>
            </w:r>
          </w:p>
        </w:tc>
      </w:tr>
      <w:tr w:rsidR="00336793" w:rsidRPr="00263581" w:rsidTr="00DF0B96">
        <w:tc>
          <w:tcPr>
            <w:tcW w:w="4037" w:type="dxa"/>
            <w:tcBorders>
              <w:top w:val="single" w:sz="6" w:space="0" w:color="000000"/>
              <w:left w:val="nil"/>
              <w:bottom w:val="single" w:sz="12" w:space="0" w:color="000000"/>
              <w:right w:val="nil"/>
            </w:tcBorders>
            <w:shd w:val="solid" w:color="FFFFFF" w:fill="auto"/>
          </w:tcPr>
          <w:p w:rsidR="00336793" w:rsidRPr="00263581" w:rsidRDefault="00336793" w:rsidP="00DF0B96">
            <w:pPr>
              <w:pStyle w:val="Tabletext"/>
              <w:rPr>
                <w:rFonts w:eastAsiaTheme="minorEastAsia"/>
                <w:b/>
                <w:bCs/>
                <w:vertAlign w:val="superscript"/>
                <w:lang w:eastAsia="en-AU"/>
              </w:rPr>
            </w:pPr>
            <w:r w:rsidRPr="00263581">
              <w:rPr>
                <w:rFonts w:eastAsiaTheme="minorEastAsia"/>
                <w:b/>
                <w:bCs/>
                <w:lang w:eastAsia="en-AU"/>
              </w:rPr>
              <w:t>Net assets</w:t>
            </w:r>
          </w:p>
        </w:tc>
        <w:tc>
          <w:tcPr>
            <w:tcW w:w="1120" w:type="dxa"/>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128 477.4</w:t>
            </w:r>
          </w:p>
        </w:tc>
        <w:tc>
          <w:tcPr>
            <w:tcW w:w="1120" w:type="dxa"/>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128 983.3</w:t>
            </w:r>
          </w:p>
        </w:tc>
        <w:tc>
          <w:tcPr>
            <w:tcW w:w="1120" w:type="dxa"/>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126 224.0</w:t>
            </w:r>
          </w:p>
        </w:tc>
        <w:tc>
          <w:tcPr>
            <w:tcW w:w="1120" w:type="dxa"/>
            <w:gridSpan w:val="2"/>
            <w:tcBorders>
              <w:top w:val="single" w:sz="6" w:space="0" w:color="000000"/>
              <w:left w:val="nil"/>
              <w:bottom w:val="single" w:sz="12" w:space="0" w:color="000000"/>
              <w:right w:val="nil"/>
            </w:tcBorders>
            <w:shd w:val="solid" w:color="FFFFFF" w:fill="auto"/>
          </w:tcPr>
          <w:p w:rsidR="00336793" w:rsidRPr="00263581" w:rsidRDefault="00CA618A" w:rsidP="00DF0B96">
            <w:pPr>
              <w:pStyle w:val="TableofFigures"/>
              <w:rPr>
                <w:rFonts w:eastAsiaTheme="minorEastAsia"/>
                <w:b/>
                <w:bCs/>
                <w:lang w:eastAsia="en-AU"/>
              </w:rPr>
            </w:pPr>
            <w:r>
              <w:rPr>
                <w:rFonts w:eastAsiaTheme="minorEastAsia"/>
                <w:b/>
                <w:bCs/>
                <w:lang w:eastAsia="en-AU"/>
              </w:rPr>
              <w:t>124 798.1</w:t>
            </w:r>
          </w:p>
        </w:tc>
        <w:tc>
          <w:tcPr>
            <w:tcW w:w="1120" w:type="dxa"/>
            <w:gridSpan w:val="2"/>
            <w:tcBorders>
              <w:top w:val="single" w:sz="6" w:space="0" w:color="000000"/>
              <w:left w:val="nil"/>
              <w:bottom w:val="single" w:sz="12" w:space="0" w:color="000000"/>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136 334.5</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Accumulated surplus/(deficit)</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43 634.6</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44 505.1</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41 722.4</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41 077.7</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45 788.5</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Reserves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84 792.8</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84 428.2</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84 451.5</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83 670.4</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90 496.0</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Non</w:t>
            </w:r>
            <w:r>
              <w:rPr>
                <w:rFonts w:eastAsiaTheme="minorEastAsia"/>
                <w:lang w:eastAsia="en-AU"/>
              </w:rPr>
              <w:noBreakHyphen/>
            </w:r>
            <w:r w:rsidRPr="00263581">
              <w:rPr>
                <w:rFonts w:eastAsiaTheme="minorEastAsia"/>
                <w:lang w:eastAsia="en-AU"/>
              </w:rPr>
              <w:t>controlling interest</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50.0</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50.0</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50.0</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50.0</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50.0</w:t>
            </w:r>
          </w:p>
        </w:tc>
      </w:tr>
      <w:tr w:rsidR="00336793" w:rsidRPr="00263581" w:rsidTr="00DF0B96">
        <w:tc>
          <w:tcPr>
            <w:tcW w:w="4037" w:type="dxa"/>
            <w:tcBorders>
              <w:top w:val="single" w:sz="6" w:space="0" w:color="000000"/>
              <w:left w:val="nil"/>
              <w:bottom w:val="nil"/>
              <w:right w:val="nil"/>
            </w:tcBorders>
            <w:shd w:val="solid" w:color="FFFFFF" w:fill="auto"/>
          </w:tcPr>
          <w:p w:rsidR="00336793" w:rsidRPr="00263581" w:rsidRDefault="00336793" w:rsidP="00DF0B96">
            <w:pPr>
              <w:pStyle w:val="Tabletext"/>
              <w:rPr>
                <w:rFonts w:eastAsiaTheme="minorEastAsia"/>
                <w:b/>
                <w:bCs/>
                <w:vertAlign w:val="superscript"/>
                <w:lang w:eastAsia="en-AU"/>
              </w:rPr>
            </w:pPr>
            <w:r w:rsidRPr="00263581">
              <w:rPr>
                <w:rFonts w:eastAsiaTheme="minorEastAsia"/>
                <w:b/>
                <w:bCs/>
                <w:lang w:eastAsia="en-AU"/>
              </w:rPr>
              <w:t>Net worth</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128 477.4</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128 983.3</w:t>
            </w:r>
          </w:p>
        </w:tc>
        <w:tc>
          <w:tcPr>
            <w:tcW w:w="1120" w:type="dxa"/>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126 224.0</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124 798.1</w:t>
            </w:r>
          </w:p>
        </w:tc>
        <w:tc>
          <w:tcPr>
            <w:tcW w:w="1120" w:type="dxa"/>
            <w:gridSpan w:val="2"/>
            <w:tcBorders>
              <w:top w:val="single" w:sz="6" w:space="0" w:color="000000"/>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136 334.5</w:t>
            </w:r>
          </w:p>
        </w:tc>
      </w:tr>
      <w:tr w:rsidR="00336793" w:rsidRPr="00263581" w:rsidTr="00DF0B96">
        <w:trPr>
          <w:trHeight w:hRule="exact" w:val="120"/>
        </w:trPr>
        <w:tc>
          <w:tcPr>
            <w:tcW w:w="4037" w:type="dxa"/>
            <w:tcBorders>
              <w:top w:val="single" w:sz="12" w:space="0" w:color="000000"/>
              <w:left w:val="nil"/>
              <w:bottom w:val="nil"/>
              <w:right w:val="nil"/>
            </w:tcBorders>
            <w:shd w:val="solid" w:color="FFFFFF" w:fill="auto"/>
          </w:tcPr>
          <w:p w:rsidR="00336793" w:rsidRPr="00263581" w:rsidRDefault="00336793" w:rsidP="00DF0B96">
            <w:pPr>
              <w:pStyle w:val="Tabletext"/>
              <w:rPr>
                <w:rFonts w:eastAsiaTheme="minorEastAsia"/>
                <w:lang w:eastAsia="en-AU"/>
              </w:rPr>
            </w:pPr>
            <w:r w:rsidRPr="00263581">
              <w:rPr>
                <w:rFonts w:eastAsiaTheme="minorEastAsia"/>
                <w:lang w:eastAsia="en-AU"/>
              </w:rPr>
              <w:t xml:space="preserve"> </w:t>
            </w:r>
          </w:p>
        </w:tc>
        <w:tc>
          <w:tcPr>
            <w:tcW w:w="1120" w:type="dxa"/>
            <w:tcBorders>
              <w:top w:val="single" w:sz="12" w:space="0" w:color="000000"/>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w:t>
            </w:r>
          </w:p>
        </w:tc>
        <w:tc>
          <w:tcPr>
            <w:tcW w:w="1120" w:type="dxa"/>
            <w:tcBorders>
              <w:top w:val="single" w:sz="12" w:space="0" w:color="000000"/>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w:t>
            </w:r>
          </w:p>
        </w:tc>
        <w:tc>
          <w:tcPr>
            <w:tcW w:w="1120" w:type="dxa"/>
            <w:tcBorders>
              <w:top w:val="single" w:sz="12" w:space="0" w:color="000000"/>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w:t>
            </w:r>
          </w:p>
        </w:tc>
        <w:tc>
          <w:tcPr>
            <w:tcW w:w="1120" w:type="dxa"/>
            <w:gridSpan w:val="2"/>
            <w:tcBorders>
              <w:top w:val="single" w:sz="12" w:space="0" w:color="000000"/>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w:t>
            </w:r>
          </w:p>
        </w:tc>
        <w:tc>
          <w:tcPr>
            <w:tcW w:w="1120" w:type="dxa"/>
            <w:gridSpan w:val="2"/>
            <w:tcBorders>
              <w:top w:val="single" w:sz="12" w:space="0" w:color="000000"/>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b/>
                <w:bCs/>
                <w:lang w:eastAsia="en-AU"/>
              </w:rPr>
            </w:pPr>
            <w:r w:rsidRPr="00263581">
              <w:rPr>
                <w:rFonts w:eastAsiaTheme="minorEastAsia"/>
                <w:b/>
                <w:bCs/>
                <w:lang w:eastAsia="en-AU"/>
              </w:rPr>
              <w:t>FISCAL AGGREGATES</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b/>
                <w:bCs/>
                <w:lang w:eastAsia="en-AU"/>
              </w:rPr>
            </w:pPr>
            <w:r w:rsidRPr="00263581">
              <w:rPr>
                <w:rFonts w:eastAsiaTheme="minorEastAsia"/>
                <w:b/>
                <w:bCs/>
                <w:lang w:eastAsia="en-AU"/>
              </w:rPr>
              <w:t xml:space="preserve"> </w:t>
            </w:r>
          </w:p>
        </w:tc>
      </w:tr>
      <w:tr w:rsidR="00336793" w:rsidRPr="00263581" w:rsidTr="00DF0B96">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Net financial worth</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21 976.2</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22 262.5</w:t>
            </w:r>
          </w:p>
        </w:tc>
        <w:tc>
          <w:tcPr>
            <w:tcW w:w="1120" w:type="dxa"/>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19 132.9</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18 514.3</w:t>
            </w:r>
          </w:p>
        </w:tc>
        <w:tc>
          <w:tcPr>
            <w:tcW w:w="1120" w:type="dxa"/>
            <w:gridSpan w:val="2"/>
            <w:tcBorders>
              <w:top w:val="nil"/>
              <w:left w:val="nil"/>
              <w:bottom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27 390.1</w:t>
            </w:r>
          </w:p>
        </w:tc>
      </w:tr>
      <w:tr w:rsidR="00336793" w:rsidRPr="00263581" w:rsidTr="00DF0B96">
        <w:tc>
          <w:tcPr>
            <w:tcW w:w="4037" w:type="dxa"/>
            <w:tcBorders>
              <w:top w:val="nil"/>
              <w:left w:val="nil"/>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Net financial liabilities</w:t>
            </w:r>
          </w:p>
        </w:tc>
        <w:tc>
          <w:tcPr>
            <w:tcW w:w="1120" w:type="dxa"/>
            <w:tcBorders>
              <w:top w:val="nil"/>
              <w:left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53 893.1</w:t>
            </w:r>
          </w:p>
        </w:tc>
        <w:tc>
          <w:tcPr>
            <w:tcW w:w="1120" w:type="dxa"/>
            <w:tcBorders>
              <w:top w:val="nil"/>
              <w:left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53 612.8</w:t>
            </w:r>
          </w:p>
        </w:tc>
        <w:tc>
          <w:tcPr>
            <w:tcW w:w="1120" w:type="dxa"/>
            <w:tcBorders>
              <w:top w:val="nil"/>
              <w:left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57 036.6</w:t>
            </w:r>
          </w:p>
        </w:tc>
        <w:tc>
          <w:tcPr>
            <w:tcW w:w="1120" w:type="dxa"/>
            <w:gridSpan w:val="2"/>
            <w:tcBorders>
              <w:top w:val="nil"/>
              <w:left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57 843.1</w:t>
            </w:r>
          </w:p>
        </w:tc>
        <w:tc>
          <w:tcPr>
            <w:tcW w:w="1120" w:type="dxa"/>
            <w:gridSpan w:val="2"/>
            <w:tcBorders>
              <w:top w:val="nil"/>
              <w:left w:val="nil"/>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54 791.0</w:t>
            </w:r>
          </w:p>
        </w:tc>
      </w:tr>
      <w:tr w:rsidR="00336793" w:rsidRPr="00263581" w:rsidTr="00DF0B96">
        <w:tc>
          <w:tcPr>
            <w:tcW w:w="4037" w:type="dxa"/>
            <w:tcBorders>
              <w:top w:val="nil"/>
              <w:left w:val="nil"/>
              <w:bottom w:val="single" w:sz="12" w:space="0" w:color="000000"/>
              <w:right w:val="nil"/>
            </w:tcBorders>
            <w:shd w:val="solid" w:color="FFFFFF" w:fill="auto"/>
          </w:tcPr>
          <w:p w:rsidR="00336793" w:rsidRPr="00263581" w:rsidRDefault="00336793" w:rsidP="00DF0B96">
            <w:pPr>
              <w:pStyle w:val="Tabletext"/>
              <w:rPr>
                <w:rFonts w:eastAsiaTheme="minorEastAsia"/>
                <w:vertAlign w:val="superscript"/>
                <w:lang w:eastAsia="en-AU"/>
              </w:rPr>
            </w:pPr>
            <w:r w:rsidRPr="00263581">
              <w:rPr>
                <w:rFonts w:eastAsiaTheme="minorEastAsia"/>
                <w:lang w:eastAsia="en-AU"/>
              </w:rPr>
              <w:t>Net debt</w:t>
            </w:r>
          </w:p>
        </w:tc>
        <w:tc>
          <w:tcPr>
            <w:tcW w:w="1120" w:type="dxa"/>
            <w:tcBorders>
              <w:top w:val="nil"/>
              <w:left w:val="nil"/>
              <w:bottom w:val="single" w:sz="12"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21 174.6</w:t>
            </w:r>
          </w:p>
        </w:tc>
        <w:tc>
          <w:tcPr>
            <w:tcW w:w="1120" w:type="dxa"/>
            <w:tcBorders>
              <w:top w:val="nil"/>
              <w:left w:val="nil"/>
              <w:bottom w:val="single" w:sz="12"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21 471.3</w:t>
            </w:r>
          </w:p>
        </w:tc>
        <w:tc>
          <w:tcPr>
            <w:tcW w:w="1120" w:type="dxa"/>
            <w:tcBorders>
              <w:top w:val="nil"/>
              <w:left w:val="nil"/>
              <w:bottom w:val="single" w:sz="12"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21 342.7</w:t>
            </w:r>
          </w:p>
        </w:tc>
        <w:tc>
          <w:tcPr>
            <w:tcW w:w="1120" w:type="dxa"/>
            <w:gridSpan w:val="2"/>
            <w:tcBorders>
              <w:top w:val="nil"/>
              <w:left w:val="nil"/>
              <w:bottom w:val="single" w:sz="12"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21 236.0</w:t>
            </w:r>
          </w:p>
        </w:tc>
        <w:tc>
          <w:tcPr>
            <w:tcW w:w="1120" w:type="dxa"/>
            <w:gridSpan w:val="2"/>
            <w:tcBorders>
              <w:top w:val="nil"/>
              <w:left w:val="nil"/>
              <w:bottom w:val="single" w:sz="12" w:space="0" w:color="000000"/>
              <w:right w:val="nil"/>
            </w:tcBorders>
            <w:shd w:val="solid" w:color="FFFFFF" w:fill="auto"/>
          </w:tcPr>
          <w:p w:rsidR="00336793" w:rsidRPr="00263581" w:rsidRDefault="00336793" w:rsidP="00DF0B96">
            <w:pPr>
              <w:pStyle w:val="TableofFigures"/>
              <w:rPr>
                <w:rFonts w:eastAsiaTheme="minorEastAsia"/>
                <w:lang w:eastAsia="en-AU"/>
              </w:rPr>
            </w:pPr>
            <w:r w:rsidRPr="00263581">
              <w:rPr>
                <w:rFonts w:eastAsiaTheme="minorEastAsia"/>
                <w:lang w:eastAsia="en-AU"/>
              </w:rPr>
              <w:t>22 327.4</w:t>
            </w:r>
          </w:p>
        </w:tc>
      </w:tr>
    </w:tbl>
    <w:p w:rsidR="00336793" w:rsidRPr="006A75A2" w:rsidRDefault="00336793" w:rsidP="00DF0B96">
      <w:pPr>
        <w:pStyle w:val="Notes"/>
      </w:pPr>
      <w:r>
        <w:t>Note</w:t>
      </w:r>
      <w:r w:rsidRPr="006A75A2">
        <w:t>:</w:t>
      </w:r>
    </w:p>
    <w:p w:rsidR="00336793" w:rsidRDefault="00336793" w:rsidP="00DF0B96">
      <w:pPr>
        <w:pStyle w:val="Notes"/>
      </w:pPr>
      <w:r w:rsidRPr="006A75A2">
        <w:t>(a)</w:t>
      </w:r>
      <w:r w:rsidRPr="006A75A2">
        <w:tab/>
      </w:r>
      <w:r>
        <w:t xml:space="preserve">The comparative quarterly figures have been restated to reflect more current information. </w:t>
      </w:r>
    </w:p>
    <w:p w:rsidR="00336793" w:rsidRDefault="00336793" w:rsidP="00DF0B96">
      <w:pPr>
        <w:pStyle w:val="Notes"/>
      </w:pPr>
    </w:p>
    <w:p w:rsidR="00336793" w:rsidRDefault="00336793" w:rsidP="00DF0B96"/>
    <w:p w:rsidR="00336793" w:rsidRDefault="00336793" w:rsidP="00DF0B96">
      <w:pPr>
        <w:pStyle w:val="Notes"/>
        <w:rPr>
          <w:b/>
          <w:sz w:val="25"/>
        </w:rPr>
      </w:pPr>
      <w:r>
        <w:br w:type="page"/>
      </w:r>
    </w:p>
    <w:p w:rsidR="00336793" w:rsidRPr="005410D2" w:rsidRDefault="00336793" w:rsidP="00DF0B96">
      <w:pPr>
        <w:pStyle w:val="Tableheading"/>
      </w:pPr>
      <w:r w:rsidRPr="005410D2">
        <w:lastRenderedPageBreak/>
        <w:t>Table A.3:</w:t>
      </w:r>
      <w:r w:rsidRPr="005410D2">
        <w:tab/>
        <w:t>Statement of cash flows for the past five quarters</w:t>
      </w:r>
      <w:r w:rsidRPr="00424414">
        <w:rPr>
          <w:vertAlign w:val="superscript"/>
        </w:rPr>
        <w:t>(a)</w:t>
      </w:r>
    </w:p>
    <w:p w:rsidR="00336793" w:rsidRPr="00263581" w:rsidRDefault="00336793" w:rsidP="00DF0B96">
      <w:pPr>
        <w:pStyle w:val="million"/>
        <w:rPr>
          <w:rFonts w:ascii="Times New Roman" w:hAnsi="Times New Roman"/>
          <w:lang w:eastAsia="en-AU"/>
        </w:rPr>
      </w:pPr>
      <w:r w:rsidRPr="005410D2">
        <w:t>($</w:t>
      </w:r>
      <w:r>
        <w:t> million)</w:t>
      </w:r>
    </w:p>
    <w:tbl>
      <w:tblPr>
        <w:tblW w:w="9637" w:type="dxa"/>
        <w:tblInd w:w="28" w:type="dxa"/>
        <w:tblLayout w:type="fixed"/>
        <w:tblCellMar>
          <w:left w:w="45" w:type="dxa"/>
          <w:right w:w="45" w:type="dxa"/>
        </w:tblCellMar>
        <w:tblLook w:val="0000" w:firstRow="0" w:lastRow="0" w:firstColumn="0" w:lastColumn="0" w:noHBand="0" w:noVBand="0"/>
      </w:tblPr>
      <w:tblGrid>
        <w:gridCol w:w="4031"/>
        <w:gridCol w:w="1119"/>
        <w:gridCol w:w="1119"/>
        <w:gridCol w:w="1119"/>
        <w:gridCol w:w="629"/>
        <w:gridCol w:w="180"/>
        <w:gridCol w:w="315"/>
        <w:gridCol w:w="1119"/>
        <w:gridCol w:w="6"/>
      </w:tblGrid>
      <w:tr w:rsidR="00336793" w:rsidRPr="00263581" w:rsidTr="00DF0B96">
        <w:tc>
          <w:tcPr>
            <w:tcW w:w="4037" w:type="dxa"/>
            <w:tcBorders>
              <w:top w:val="single" w:sz="6" w:space="0" w:color="auto"/>
              <w:left w:val="single" w:sz="6" w:space="0" w:color="auto"/>
              <w:bottom w:val="nil"/>
              <w:right w:val="nil"/>
            </w:tcBorders>
            <w:shd w:val="clear" w:color="000000" w:fill="000000"/>
          </w:tcPr>
          <w:p w:rsidR="00336793" w:rsidRPr="00263581" w:rsidRDefault="00336793" w:rsidP="00DF0B96">
            <w:pPr>
              <w:pStyle w:val="Tabletextheading"/>
              <w:jc w:val="left"/>
              <w:rPr>
                <w:rFonts w:eastAsiaTheme="minorEastAsia"/>
                <w:color w:val="FFFFFF"/>
                <w:sz w:val="21"/>
                <w:lang w:eastAsia="en-AU"/>
              </w:rPr>
            </w:pPr>
            <w:r w:rsidRPr="00263581">
              <w:rPr>
                <w:rFonts w:eastAsiaTheme="minorEastAsia"/>
                <w:color w:val="FFFFFF"/>
                <w:sz w:val="21"/>
                <w:lang w:eastAsia="en-AU"/>
              </w:rPr>
              <w:t xml:space="preserve"> </w:t>
            </w:r>
          </w:p>
        </w:tc>
        <w:tc>
          <w:tcPr>
            <w:tcW w:w="1120" w:type="dxa"/>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sz w:val="21"/>
                <w:lang w:eastAsia="en-AU"/>
              </w:rPr>
            </w:pPr>
            <w:r w:rsidRPr="00263581">
              <w:rPr>
                <w:rFonts w:eastAsiaTheme="minorEastAsia"/>
                <w:color w:val="FFFFFF"/>
                <w:sz w:val="21"/>
                <w:lang w:eastAsia="en-AU"/>
              </w:rPr>
              <w:t>2013</w:t>
            </w:r>
            <w:r>
              <w:rPr>
                <w:rFonts w:eastAsiaTheme="minorEastAsia"/>
                <w:color w:val="FFFFFF"/>
                <w:sz w:val="21"/>
                <w:lang w:eastAsia="en-AU"/>
              </w:rPr>
              <w:noBreakHyphen/>
            </w:r>
            <w:r w:rsidRPr="00263581">
              <w:rPr>
                <w:rFonts w:eastAsiaTheme="minorEastAsia"/>
                <w:color w:val="FFFFFF"/>
                <w:sz w:val="21"/>
                <w:lang w:eastAsia="en-AU"/>
              </w:rPr>
              <w:t>14</w:t>
            </w:r>
          </w:p>
        </w:tc>
        <w:tc>
          <w:tcPr>
            <w:tcW w:w="2870" w:type="dxa"/>
            <w:gridSpan w:val="3"/>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sz w:val="21"/>
                <w:lang w:eastAsia="en-AU"/>
              </w:rPr>
            </w:pPr>
            <w:r w:rsidRPr="00263581">
              <w:rPr>
                <w:rFonts w:eastAsiaTheme="minorEastAsia"/>
                <w:color w:val="FFFFFF"/>
                <w:sz w:val="21"/>
                <w:lang w:eastAsia="en-AU"/>
              </w:rPr>
              <w:t>2014</w:t>
            </w:r>
            <w:r>
              <w:rPr>
                <w:rFonts w:eastAsiaTheme="minorEastAsia"/>
                <w:color w:val="FFFFFF"/>
                <w:sz w:val="21"/>
                <w:lang w:eastAsia="en-AU"/>
              </w:rPr>
              <w:noBreakHyphen/>
            </w:r>
            <w:r w:rsidRPr="00263581">
              <w:rPr>
                <w:rFonts w:eastAsiaTheme="minorEastAsia"/>
                <w:color w:val="FFFFFF"/>
                <w:sz w:val="21"/>
                <w:lang w:eastAsia="en-AU"/>
              </w:rPr>
              <w:t>15</w:t>
            </w:r>
          </w:p>
        </w:tc>
        <w:tc>
          <w:tcPr>
            <w:tcW w:w="180" w:type="dxa"/>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sz w:val="21"/>
                <w:lang w:eastAsia="en-AU"/>
              </w:rPr>
            </w:pPr>
            <w:r w:rsidRPr="00263581">
              <w:rPr>
                <w:rFonts w:eastAsiaTheme="minorEastAsia"/>
                <w:color w:val="FFFFFF"/>
                <w:sz w:val="21"/>
                <w:lang w:eastAsia="en-AU"/>
              </w:rPr>
              <w:t xml:space="preserve"> </w:t>
            </w:r>
          </w:p>
        </w:tc>
        <w:tc>
          <w:tcPr>
            <w:tcW w:w="315" w:type="dxa"/>
            <w:tcBorders>
              <w:top w:val="single" w:sz="6" w:space="0" w:color="auto"/>
              <w:left w:val="nil"/>
              <w:bottom w:val="nil"/>
              <w:right w:val="nil"/>
            </w:tcBorders>
            <w:shd w:val="clear" w:color="000000" w:fill="000000"/>
          </w:tcPr>
          <w:p w:rsidR="00336793" w:rsidRPr="00263581" w:rsidRDefault="00336793" w:rsidP="00DF0B96">
            <w:pPr>
              <w:pStyle w:val="Tabletextheading"/>
              <w:rPr>
                <w:rFonts w:eastAsiaTheme="minorEastAsia"/>
                <w:color w:val="FFFFFF"/>
                <w:sz w:val="21"/>
                <w:lang w:eastAsia="en-AU"/>
              </w:rPr>
            </w:pPr>
            <w:r w:rsidRPr="00263581">
              <w:rPr>
                <w:rFonts w:eastAsiaTheme="minorEastAsia"/>
                <w:color w:val="FFFFFF"/>
                <w:sz w:val="21"/>
                <w:lang w:eastAsia="en-AU"/>
              </w:rPr>
              <w:t xml:space="preserve"> </w:t>
            </w:r>
          </w:p>
        </w:tc>
        <w:tc>
          <w:tcPr>
            <w:tcW w:w="1115" w:type="dxa"/>
            <w:gridSpan w:val="2"/>
            <w:tcBorders>
              <w:top w:val="single" w:sz="6" w:space="0" w:color="auto"/>
              <w:left w:val="nil"/>
              <w:bottom w:val="nil"/>
              <w:right w:val="single" w:sz="6" w:space="0" w:color="auto"/>
            </w:tcBorders>
            <w:shd w:val="clear" w:color="000000" w:fill="000000"/>
          </w:tcPr>
          <w:p w:rsidR="00336793" w:rsidRPr="00263581" w:rsidRDefault="00336793" w:rsidP="00DF0B96">
            <w:pPr>
              <w:pStyle w:val="Tabletextheading"/>
              <w:rPr>
                <w:rFonts w:eastAsiaTheme="minorEastAsia"/>
                <w:color w:val="FFFFFF"/>
                <w:sz w:val="21"/>
                <w:lang w:eastAsia="en-AU"/>
              </w:rPr>
            </w:pPr>
            <w:r w:rsidRPr="00263581">
              <w:rPr>
                <w:rFonts w:eastAsiaTheme="minorEastAsia"/>
                <w:color w:val="FFFFFF"/>
                <w:sz w:val="21"/>
                <w:lang w:eastAsia="en-AU"/>
              </w:rPr>
              <w:t xml:space="preserve"> </w:t>
            </w:r>
          </w:p>
        </w:tc>
      </w:tr>
      <w:tr w:rsidR="00336793" w:rsidRPr="00263581" w:rsidTr="00DF0B96">
        <w:trPr>
          <w:gridAfter w:val="1"/>
          <w:wAfter w:w="6" w:type="dxa"/>
        </w:trPr>
        <w:tc>
          <w:tcPr>
            <w:tcW w:w="4037" w:type="dxa"/>
            <w:tcBorders>
              <w:left w:val="single" w:sz="6" w:space="0" w:color="auto"/>
              <w:bottom w:val="single" w:sz="6" w:space="0" w:color="auto"/>
              <w:right w:val="nil"/>
            </w:tcBorders>
            <w:shd w:val="clear" w:color="000000" w:fill="000000"/>
          </w:tcPr>
          <w:p w:rsidR="00336793" w:rsidRPr="00263581" w:rsidRDefault="00336793" w:rsidP="00DF0B96">
            <w:pPr>
              <w:pStyle w:val="Tabletextheading"/>
              <w:jc w:val="left"/>
              <w:rPr>
                <w:rFonts w:eastAsiaTheme="minorEastAsia"/>
                <w:color w:val="FFFFFF"/>
                <w:sz w:val="21"/>
                <w:lang w:eastAsia="en-AU"/>
              </w:rPr>
            </w:pPr>
            <w:r w:rsidRPr="00263581">
              <w:rPr>
                <w:rFonts w:eastAsiaTheme="minorEastAsia"/>
                <w:color w:val="FFFFFF"/>
                <w:sz w:val="21"/>
                <w:lang w:eastAsia="en-AU"/>
              </w:rPr>
              <w:t xml:space="preserve"> </w:t>
            </w:r>
          </w:p>
        </w:tc>
        <w:tc>
          <w:tcPr>
            <w:tcW w:w="1120" w:type="dxa"/>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sz w:val="21"/>
                <w:lang w:eastAsia="en-AU"/>
              </w:rPr>
            </w:pPr>
            <w:r w:rsidRPr="00263581">
              <w:rPr>
                <w:rFonts w:eastAsiaTheme="minorEastAsia"/>
                <w:color w:val="FFFFFF"/>
                <w:sz w:val="21"/>
                <w:lang w:eastAsia="en-AU"/>
              </w:rPr>
              <w:t xml:space="preserve">Jun </w:t>
            </w:r>
          </w:p>
        </w:tc>
        <w:tc>
          <w:tcPr>
            <w:tcW w:w="1120" w:type="dxa"/>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sz w:val="21"/>
                <w:lang w:eastAsia="en-AU"/>
              </w:rPr>
            </w:pPr>
            <w:r w:rsidRPr="00263581">
              <w:rPr>
                <w:rFonts w:eastAsiaTheme="minorEastAsia"/>
                <w:color w:val="FFFFFF"/>
                <w:sz w:val="21"/>
                <w:lang w:eastAsia="en-AU"/>
              </w:rPr>
              <w:t>Sep</w:t>
            </w:r>
          </w:p>
        </w:tc>
        <w:tc>
          <w:tcPr>
            <w:tcW w:w="1120" w:type="dxa"/>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sz w:val="21"/>
                <w:lang w:eastAsia="en-AU"/>
              </w:rPr>
            </w:pPr>
            <w:r w:rsidRPr="00263581">
              <w:rPr>
                <w:rFonts w:eastAsiaTheme="minorEastAsia"/>
                <w:color w:val="FFFFFF"/>
                <w:sz w:val="21"/>
                <w:lang w:eastAsia="en-AU"/>
              </w:rPr>
              <w:t>Dec</w:t>
            </w:r>
          </w:p>
        </w:tc>
        <w:tc>
          <w:tcPr>
            <w:tcW w:w="1120" w:type="dxa"/>
            <w:gridSpan w:val="3"/>
            <w:tcBorders>
              <w:left w:val="nil"/>
              <w:bottom w:val="single" w:sz="6" w:space="0" w:color="auto"/>
              <w:right w:val="nil"/>
            </w:tcBorders>
            <w:shd w:val="clear" w:color="000000" w:fill="000000"/>
          </w:tcPr>
          <w:p w:rsidR="00336793" w:rsidRPr="00263581" w:rsidRDefault="00336793" w:rsidP="00DF0B96">
            <w:pPr>
              <w:pStyle w:val="Tabletextheading"/>
              <w:rPr>
                <w:rFonts w:eastAsiaTheme="minorEastAsia"/>
                <w:color w:val="FFFFFF"/>
                <w:sz w:val="21"/>
                <w:lang w:eastAsia="en-AU"/>
              </w:rPr>
            </w:pPr>
            <w:r w:rsidRPr="00263581">
              <w:rPr>
                <w:rFonts w:eastAsiaTheme="minorEastAsia"/>
                <w:color w:val="FFFFFF"/>
                <w:sz w:val="21"/>
                <w:lang w:eastAsia="en-AU"/>
              </w:rPr>
              <w:t>Mar</w:t>
            </w:r>
          </w:p>
        </w:tc>
        <w:tc>
          <w:tcPr>
            <w:tcW w:w="1120" w:type="dxa"/>
            <w:tcBorders>
              <w:left w:val="nil"/>
              <w:bottom w:val="single" w:sz="6" w:space="0" w:color="auto"/>
              <w:right w:val="single" w:sz="6" w:space="0" w:color="auto"/>
            </w:tcBorders>
            <w:shd w:val="clear" w:color="000000" w:fill="000000"/>
          </w:tcPr>
          <w:p w:rsidR="00336793" w:rsidRPr="00263581" w:rsidRDefault="00336793" w:rsidP="00DF0B96">
            <w:pPr>
              <w:pStyle w:val="Tabletextheading"/>
              <w:rPr>
                <w:rFonts w:eastAsiaTheme="minorEastAsia"/>
                <w:color w:val="FFFFFF"/>
                <w:sz w:val="21"/>
                <w:lang w:eastAsia="en-AU"/>
              </w:rPr>
            </w:pPr>
            <w:r w:rsidRPr="00263581">
              <w:rPr>
                <w:rFonts w:eastAsiaTheme="minorEastAsia"/>
                <w:color w:val="FFFFFF"/>
                <w:sz w:val="21"/>
                <w:lang w:eastAsia="en-AU"/>
              </w:rPr>
              <w:t xml:space="preserve">Jun </w:t>
            </w:r>
          </w:p>
        </w:tc>
      </w:tr>
      <w:tr w:rsidR="00336793" w:rsidRPr="00263581" w:rsidTr="00DF0B96">
        <w:trPr>
          <w:gridAfter w:val="1"/>
          <w:wAfter w:w="6" w:type="dxa"/>
        </w:trPr>
        <w:tc>
          <w:tcPr>
            <w:tcW w:w="4037" w:type="dxa"/>
            <w:tcBorders>
              <w:top w:val="single" w:sz="6" w:space="0" w:color="auto"/>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Cash flows from operating activities</w:t>
            </w:r>
          </w:p>
        </w:tc>
        <w:tc>
          <w:tcPr>
            <w:tcW w:w="1120" w:type="dxa"/>
            <w:tcBorders>
              <w:top w:val="single" w:sz="6" w:space="0" w:color="auto"/>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single" w:sz="6" w:space="0" w:color="auto"/>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single" w:sz="6" w:space="0" w:color="auto"/>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gridSpan w:val="3"/>
            <w:tcBorders>
              <w:top w:val="single" w:sz="6" w:space="0" w:color="auto"/>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single" w:sz="6" w:space="0" w:color="auto"/>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Receipts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Taxes received</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4 414.2</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4 585.6</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4 780.5</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4 276.6</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4 773.0</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Grants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7 557.0</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5 664.0</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6 055.9</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6 697.6</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6 081.6</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263581">
              <w:rPr>
                <w:rFonts w:ascii="Calibri" w:eastAsiaTheme="minorEastAsia" w:hAnsi="Calibri" w:cs="Calibri"/>
                <w:sz w:val="21"/>
                <w:szCs w:val="22"/>
                <w:lang w:eastAsia="en-AU"/>
              </w:rPr>
              <w:t>Sales of goods and services</w:t>
            </w:r>
            <w:r w:rsidRPr="00E96950">
              <w:rPr>
                <w:rFonts w:ascii="Calibri" w:eastAsiaTheme="minorEastAsia" w:hAnsi="Calibri" w:cs="Calibri"/>
                <w:sz w:val="21"/>
                <w:szCs w:val="22"/>
                <w:vertAlign w:val="superscript"/>
                <w:lang w:eastAsia="en-AU"/>
              </w:rPr>
              <w:t xml:space="preserve"> </w:t>
            </w:r>
            <w:r w:rsidRPr="00263581">
              <w:rPr>
                <w:rFonts w:ascii="Calibri" w:eastAsiaTheme="minorEastAsia" w:hAnsi="Calibri" w:cs="Calibri"/>
                <w:sz w:val="21"/>
                <w:szCs w:val="22"/>
                <w:vertAlign w:val="superscript"/>
                <w:lang w:eastAsia="en-AU"/>
              </w:rPr>
              <w:t>(b)</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1 923.1</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1 804.8</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2 104.9</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1 501.3</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1 590.8</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Interest received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218.8</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194.4</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190.6</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192.7</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234.6</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263581">
              <w:rPr>
                <w:rFonts w:ascii="Calibri" w:eastAsiaTheme="minorEastAsia" w:hAnsi="Calibri" w:cs="Calibri"/>
                <w:sz w:val="21"/>
                <w:szCs w:val="22"/>
                <w:lang w:eastAsia="en-AU"/>
              </w:rPr>
              <w:t>Dividends and income tax equivalent and rate equivalent receipts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93.6</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57.1</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619.1</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70.7</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267.9</w:t>
            </w:r>
          </w:p>
        </w:tc>
      </w:tr>
      <w:tr w:rsidR="00336793" w:rsidRPr="00263581" w:rsidTr="00DF0B96">
        <w:trPr>
          <w:gridAfter w:val="1"/>
          <w:wAfter w:w="6" w:type="dxa"/>
        </w:trPr>
        <w:tc>
          <w:tcPr>
            <w:tcW w:w="4037"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Other receipts</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767.5</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411.6</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592.4</w:t>
            </w:r>
          </w:p>
        </w:tc>
        <w:tc>
          <w:tcPr>
            <w:tcW w:w="1120" w:type="dxa"/>
            <w:gridSpan w:val="3"/>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163.5</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816.1</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vertAlign w:val="superscript"/>
                <w:lang w:eastAsia="en-AU"/>
              </w:rPr>
            </w:pPr>
            <w:r w:rsidRPr="00263581">
              <w:rPr>
                <w:rFonts w:ascii="Calibri" w:eastAsiaTheme="minorEastAsia" w:hAnsi="Calibri" w:cs="Calibri"/>
                <w:b/>
                <w:bCs/>
                <w:sz w:val="21"/>
                <w:szCs w:val="22"/>
                <w:lang w:eastAsia="en-AU"/>
              </w:rPr>
              <w:t>Total receipts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14 974.1</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12 717.6</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14 343.5</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12 902.4</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13 764.0</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Payments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Payments for employees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(4 718.9)</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(4 312.8)</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(4 917.4)</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(4 481.6)</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(4 907.6)</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Superannuation</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660.2</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692.2</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727.9</w:t>
            </w:r>
            <w:r w:rsidRPr="00263581">
              <w:rPr>
                <w:rFonts w:ascii="Calibri" w:eastAsiaTheme="minorEastAsia" w:hAnsi="Calibri" w:cs="Calibri"/>
                <w:color w:val="000000"/>
                <w:sz w:val="22"/>
                <w:szCs w:val="22"/>
                <w:lang w:eastAsia="en-AU"/>
              </w:rPr>
              <w:t>)</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666.6</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684.4</w:t>
            </w:r>
            <w:r w:rsidRPr="00263581">
              <w:rPr>
                <w:rFonts w:ascii="Calibri" w:eastAsiaTheme="minorEastAsia" w:hAnsi="Calibri" w:cs="Calibri"/>
                <w:color w:val="000000"/>
                <w:sz w:val="22"/>
                <w:szCs w:val="22"/>
                <w:lang w:eastAsia="en-AU"/>
              </w:rPr>
              <w:t>)</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Interest paid</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537.0</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510.0</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510.3</w:t>
            </w:r>
            <w:r w:rsidRPr="00263581">
              <w:rPr>
                <w:rFonts w:ascii="Calibri" w:eastAsiaTheme="minorEastAsia" w:hAnsi="Calibri" w:cs="Calibri"/>
                <w:color w:val="000000"/>
                <w:sz w:val="22"/>
                <w:szCs w:val="22"/>
                <w:lang w:eastAsia="en-AU"/>
              </w:rPr>
              <w:t>)</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513.0</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528.9</w:t>
            </w:r>
            <w:r w:rsidRPr="00263581">
              <w:rPr>
                <w:rFonts w:ascii="Calibri" w:eastAsiaTheme="minorEastAsia" w:hAnsi="Calibri" w:cs="Calibri"/>
                <w:color w:val="000000"/>
                <w:sz w:val="22"/>
                <w:szCs w:val="22"/>
                <w:lang w:eastAsia="en-AU"/>
              </w:rPr>
              <w:t>)</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Grants and subsidies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(1 159.8)</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(2 180.4)</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(2 135.6)</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(2 633.8)</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(1 614.1)</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color w:val="000000"/>
                <w:sz w:val="21"/>
                <w:szCs w:val="22"/>
                <w:vertAlign w:val="superscript"/>
                <w:lang w:eastAsia="en-AU"/>
              </w:rPr>
            </w:pPr>
            <w:r w:rsidRPr="00263581">
              <w:rPr>
                <w:rFonts w:ascii="Calibri" w:eastAsiaTheme="minorEastAsia" w:hAnsi="Calibri" w:cs="Calibri"/>
                <w:sz w:val="21"/>
                <w:szCs w:val="22"/>
                <w:lang w:eastAsia="en-AU"/>
              </w:rPr>
              <w:t>Goods and services</w:t>
            </w:r>
            <w:r w:rsidRPr="00E96950">
              <w:rPr>
                <w:rFonts w:ascii="Calibri" w:eastAsiaTheme="minorEastAsia" w:hAnsi="Calibri" w:cs="Calibri"/>
                <w:sz w:val="21"/>
                <w:szCs w:val="22"/>
                <w:vertAlign w:val="superscript"/>
                <w:lang w:eastAsia="en-AU"/>
              </w:rPr>
              <w:t xml:space="preserve"> </w:t>
            </w:r>
            <w:r w:rsidRPr="00263581">
              <w:rPr>
                <w:rFonts w:ascii="Calibri" w:eastAsiaTheme="minorEastAsia" w:hAnsi="Calibri" w:cs="Calibri"/>
                <w:sz w:val="21"/>
                <w:szCs w:val="22"/>
                <w:vertAlign w:val="superscript"/>
                <w:lang w:eastAsia="en-AU"/>
              </w:rPr>
              <w:t>(</w:t>
            </w:r>
            <w:r w:rsidRPr="00263581">
              <w:rPr>
                <w:rFonts w:ascii="Calibri" w:eastAsiaTheme="minorEastAsia" w:hAnsi="Calibri" w:cs="Calibri"/>
                <w:color w:val="000000"/>
                <w:sz w:val="21"/>
                <w:szCs w:val="22"/>
                <w:vertAlign w:val="superscript"/>
                <w:lang w:eastAsia="en-AU"/>
              </w:rPr>
              <w:t>b)</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(4 191.0)</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(4 514.6)</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(4 424.6)</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(3 525.7)</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(4 370.0)</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Other payments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738.6</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175.6</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163.2</w:t>
            </w:r>
            <w:r w:rsidRPr="00263581">
              <w:rPr>
                <w:rFonts w:ascii="Calibri" w:eastAsiaTheme="minorEastAsia" w:hAnsi="Calibri" w:cs="Calibri"/>
                <w:color w:val="000000"/>
                <w:sz w:val="22"/>
                <w:szCs w:val="22"/>
                <w:lang w:eastAsia="en-AU"/>
              </w:rPr>
              <w:t>)</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137.6</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580.7</w:t>
            </w:r>
            <w:r w:rsidRPr="00263581">
              <w:rPr>
                <w:rFonts w:ascii="Calibri" w:eastAsiaTheme="minorEastAsia" w:hAnsi="Calibri" w:cs="Calibri"/>
                <w:color w:val="000000"/>
                <w:sz w:val="22"/>
                <w:szCs w:val="22"/>
                <w:lang w:eastAsia="en-AU"/>
              </w:rPr>
              <w:t>)</w:t>
            </w:r>
          </w:p>
        </w:tc>
      </w:tr>
      <w:tr w:rsidR="00336793" w:rsidRPr="00263581" w:rsidTr="00DF0B96">
        <w:trPr>
          <w:gridAfter w:val="1"/>
          <w:wAfter w:w="6" w:type="dxa"/>
        </w:trPr>
        <w:tc>
          <w:tcPr>
            <w:tcW w:w="4037" w:type="dxa"/>
            <w:tcBorders>
              <w:top w:val="single" w:sz="6" w:space="0" w:color="000000"/>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Total payments</w:t>
            </w:r>
          </w:p>
        </w:tc>
        <w:tc>
          <w:tcPr>
            <w:tcW w:w="1120" w:type="dxa"/>
            <w:tcBorders>
              <w:top w:val="single" w:sz="6" w:space="0" w:color="000000"/>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(12 005.6)</w:t>
            </w:r>
          </w:p>
        </w:tc>
        <w:tc>
          <w:tcPr>
            <w:tcW w:w="1120" w:type="dxa"/>
            <w:tcBorders>
              <w:top w:val="single" w:sz="6" w:space="0" w:color="000000"/>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(12 385.6)</w:t>
            </w:r>
          </w:p>
        </w:tc>
        <w:tc>
          <w:tcPr>
            <w:tcW w:w="1120" w:type="dxa"/>
            <w:tcBorders>
              <w:top w:val="single" w:sz="6" w:space="0" w:color="000000"/>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(12 879.0)</w:t>
            </w:r>
          </w:p>
        </w:tc>
        <w:tc>
          <w:tcPr>
            <w:tcW w:w="1120" w:type="dxa"/>
            <w:gridSpan w:val="3"/>
            <w:tcBorders>
              <w:top w:val="single" w:sz="6" w:space="0" w:color="000000"/>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(11 958.2)</w:t>
            </w:r>
          </w:p>
        </w:tc>
        <w:tc>
          <w:tcPr>
            <w:tcW w:w="1120" w:type="dxa"/>
            <w:tcBorders>
              <w:top w:val="single" w:sz="6" w:space="0" w:color="000000"/>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(12 685.7)</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vertAlign w:val="superscript"/>
                <w:lang w:eastAsia="en-AU"/>
              </w:rPr>
            </w:pPr>
            <w:r w:rsidRPr="00263581">
              <w:rPr>
                <w:rFonts w:ascii="Calibri" w:eastAsiaTheme="minorEastAsia" w:hAnsi="Calibri" w:cs="Calibri"/>
                <w:b/>
                <w:bCs/>
                <w:sz w:val="21"/>
                <w:szCs w:val="22"/>
                <w:lang w:eastAsia="en-AU"/>
              </w:rPr>
              <w:t>Net cash flows from operating activities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2 968.5</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332.0</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1 464.5</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944.2</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1 078.4</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Cash flows from investing activities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vertAlign w:val="superscript"/>
                <w:lang w:eastAsia="en-AU"/>
              </w:rPr>
            </w:pPr>
            <w:r w:rsidRPr="00263581">
              <w:rPr>
                <w:rFonts w:ascii="Calibri" w:eastAsiaTheme="minorEastAsia" w:hAnsi="Calibri" w:cs="Calibri"/>
                <w:sz w:val="21"/>
                <w:szCs w:val="22"/>
                <w:lang w:eastAsia="en-AU"/>
              </w:rPr>
              <w:t>Purchases of non</w:t>
            </w:r>
            <w:r>
              <w:rPr>
                <w:rFonts w:ascii="Calibri" w:eastAsiaTheme="minorEastAsia" w:hAnsi="Calibri" w:cs="Calibri"/>
                <w:sz w:val="21"/>
                <w:szCs w:val="22"/>
                <w:lang w:eastAsia="en-AU"/>
              </w:rPr>
              <w:noBreakHyphen/>
            </w:r>
            <w:r w:rsidRPr="00263581">
              <w:rPr>
                <w:rFonts w:ascii="Calibri" w:eastAsiaTheme="minorEastAsia" w:hAnsi="Calibri" w:cs="Calibri"/>
                <w:sz w:val="21"/>
                <w:szCs w:val="22"/>
                <w:lang w:eastAsia="en-AU"/>
              </w:rPr>
              <w:t>financial assets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(1 275.4)</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887.0</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(1 230.9)</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869.0</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(1 406.9)</w:t>
            </w:r>
          </w:p>
        </w:tc>
      </w:tr>
      <w:tr w:rsidR="00336793" w:rsidRPr="00263581" w:rsidTr="00DF0B96">
        <w:trPr>
          <w:gridAfter w:val="1"/>
          <w:wAfter w:w="6" w:type="dxa"/>
        </w:trPr>
        <w:tc>
          <w:tcPr>
            <w:tcW w:w="4037"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Sales of non</w:t>
            </w:r>
            <w:r>
              <w:rPr>
                <w:rFonts w:ascii="Calibri" w:eastAsiaTheme="minorEastAsia" w:hAnsi="Calibri" w:cs="Calibri"/>
                <w:sz w:val="21"/>
                <w:szCs w:val="22"/>
                <w:lang w:eastAsia="en-AU"/>
              </w:rPr>
              <w:noBreakHyphen/>
            </w:r>
            <w:r w:rsidRPr="00263581">
              <w:rPr>
                <w:rFonts w:ascii="Calibri" w:eastAsiaTheme="minorEastAsia" w:hAnsi="Calibri" w:cs="Calibri"/>
                <w:sz w:val="21"/>
                <w:szCs w:val="22"/>
                <w:lang w:eastAsia="en-AU"/>
              </w:rPr>
              <w:t>financial assets</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118.8</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36.1</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86.1</w:t>
            </w:r>
          </w:p>
        </w:tc>
        <w:tc>
          <w:tcPr>
            <w:tcW w:w="1120" w:type="dxa"/>
            <w:gridSpan w:val="3"/>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62.9</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212.7</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Cash flows from investments in non</w:t>
            </w:r>
            <w:r>
              <w:rPr>
                <w:rFonts w:ascii="Calibri" w:eastAsiaTheme="minorEastAsia" w:hAnsi="Calibri" w:cs="Calibri"/>
                <w:b/>
                <w:bCs/>
                <w:sz w:val="21"/>
                <w:szCs w:val="22"/>
                <w:lang w:eastAsia="en-AU"/>
              </w:rPr>
              <w:noBreakHyphen/>
            </w:r>
            <w:r w:rsidRPr="00263581">
              <w:rPr>
                <w:rFonts w:ascii="Calibri" w:eastAsiaTheme="minorEastAsia" w:hAnsi="Calibri" w:cs="Calibri"/>
                <w:b/>
                <w:bCs/>
                <w:sz w:val="21"/>
                <w:szCs w:val="22"/>
                <w:lang w:eastAsia="en-AU"/>
              </w:rPr>
              <w:t>financial assets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(1 156.6)</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850.9</w:t>
            </w:r>
            <w:r w:rsidRPr="00263581">
              <w:rPr>
                <w:rFonts w:ascii="Calibri" w:eastAsiaTheme="minorEastAsia" w:hAnsi="Calibri" w:cs="Calibri"/>
                <w:b/>
                <w:bCs/>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(1 144.8)</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806.1</w:t>
            </w:r>
            <w:r w:rsidRPr="00263581">
              <w:rPr>
                <w:rFonts w:ascii="Calibri" w:eastAsiaTheme="minorEastAsia" w:hAnsi="Calibri" w:cs="Calibri"/>
                <w:b/>
                <w:bCs/>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(1 194.1)</w:t>
            </w:r>
          </w:p>
        </w:tc>
      </w:tr>
      <w:tr w:rsidR="00336793" w:rsidRPr="00263581" w:rsidTr="00DF0B96">
        <w:trPr>
          <w:gridAfter w:val="1"/>
          <w:wAfter w:w="6" w:type="dxa"/>
        </w:trPr>
        <w:tc>
          <w:tcPr>
            <w:tcW w:w="4037" w:type="dxa"/>
            <w:tcBorders>
              <w:top w:val="nil"/>
              <w:left w:val="nil"/>
              <w:bottom w:val="single" w:sz="6" w:space="0" w:color="000000"/>
              <w:right w:val="nil"/>
            </w:tcBorders>
            <w:shd w:val="solid" w:color="FFFFFF" w:fill="auto"/>
          </w:tcPr>
          <w:p w:rsidR="00336793" w:rsidRPr="00263581" w:rsidRDefault="00336793" w:rsidP="00DF0B96">
            <w:pPr>
              <w:pStyle w:val="Tabletext"/>
              <w:rPr>
                <w:rFonts w:eastAsiaTheme="minorEastAsia"/>
                <w:sz w:val="21"/>
                <w:vertAlign w:val="superscript"/>
                <w:lang w:eastAsia="en-AU"/>
              </w:rPr>
            </w:pPr>
            <w:r w:rsidRPr="00263581">
              <w:rPr>
                <w:rFonts w:eastAsiaTheme="minorEastAsia"/>
                <w:sz w:val="21"/>
                <w:lang w:eastAsia="en-AU"/>
              </w:rPr>
              <w:t>Net cash flows from investments in financial assets for policy purposes</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257.8</w:t>
            </w:r>
            <w:r w:rsidRPr="00263581">
              <w:rPr>
                <w:rFonts w:ascii="Calibri" w:eastAsiaTheme="minorEastAsia" w:hAnsi="Calibri" w:cs="Calibri"/>
                <w:color w:val="000000"/>
                <w:sz w:val="22"/>
                <w:szCs w:val="22"/>
                <w:lang w:eastAsia="en-AU"/>
              </w:rPr>
              <w:t>)</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208.1</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163.9</w:t>
            </w:r>
            <w:r w:rsidRPr="00263581">
              <w:rPr>
                <w:rFonts w:ascii="Calibri" w:eastAsiaTheme="minorEastAsia" w:hAnsi="Calibri" w:cs="Calibri"/>
                <w:color w:val="000000"/>
                <w:sz w:val="22"/>
                <w:szCs w:val="22"/>
                <w:lang w:eastAsia="en-AU"/>
              </w:rPr>
              <w:t>)</w:t>
            </w:r>
          </w:p>
        </w:tc>
        <w:tc>
          <w:tcPr>
            <w:tcW w:w="1120" w:type="dxa"/>
            <w:gridSpan w:val="3"/>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57.6</w:t>
            </w:r>
            <w:r w:rsidRPr="00263581">
              <w:rPr>
                <w:rFonts w:ascii="Calibri" w:eastAsiaTheme="minorEastAsia" w:hAnsi="Calibri" w:cs="Calibri"/>
                <w:color w:val="000000"/>
                <w:sz w:val="22"/>
                <w:szCs w:val="22"/>
                <w:lang w:eastAsia="en-AU"/>
              </w:rPr>
              <w:t>)</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844.8</w:t>
            </w:r>
            <w:r w:rsidRPr="00263581">
              <w:rPr>
                <w:rFonts w:ascii="Calibri" w:eastAsiaTheme="minorEastAsia" w:hAnsi="Calibri" w:cs="Calibri"/>
                <w:color w:val="000000"/>
                <w:sz w:val="22"/>
                <w:szCs w:val="22"/>
                <w:lang w:eastAsia="en-AU"/>
              </w:rPr>
              <w:t>)</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Sub</w:t>
            </w:r>
            <w:r>
              <w:rPr>
                <w:rFonts w:ascii="Calibri" w:eastAsiaTheme="minorEastAsia" w:hAnsi="Calibri" w:cs="Calibri"/>
                <w:b/>
                <w:bCs/>
                <w:sz w:val="21"/>
                <w:szCs w:val="22"/>
                <w:lang w:eastAsia="en-AU"/>
              </w:rPr>
              <w:noBreakHyphen/>
            </w:r>
            <w:r w:rsidRPr="00263581">
              <w:rPr>
                <w:rFonts w:ascii="Calibri" w:eastAsiaTheme="minorEastAsia" w:hAnsi="Calibri" w:cs="Calibri"/>
                <w:b/>
                <w:bCs/>
                <w:sz w:val="21"/>
                <w:szCs w:val="22"/>
                <w:lang w:eastAsia="en-AU"/>
              </w:rPr>
              <w:t>total</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(1 414.4)</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642.8</w:t>
            </w:r>
            <w:r w:rsidRPr="00263581">
              <w:rPr>
                <w:rFonts w:ascii="Calibri" w:eastAsiaTheme="minorEastAsia" w:hAnsi="Calibri" w:cs="Calibri"/>
                <w:b/>
                <w:bCs/>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(1 308.7)</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863.7</w:t>
            </w:r>
            <w:r w:rsidRPr="00263581">
              <w:rPr>
                <w:rFonts w:ascii="Calibri" w:eastAsiaTheme="minorEastAsia" w:hAnsi="Calibri" w:cs="Calibri"/>
                <w:b/>
                <w:bCs/>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(2 038.9)</w:t>
            </w:r>
          </w:p>
        </w:tc>
      </w:tr>
      <w:tr w:rsidR="00336793" w:rsidRPr="00263581" w:rsidTr="00DF0B96">
        <w:trPr>
          <w:gridAfter w:val="1"/>
          <w:wAfter w:w="6" w:type="dxa"/>
        </w:trPr>
        <w:tc>
          <w:tcPr>
            <w:tcW w:w="4037" w:type="dxa"/>
            <w:tcBorders>
              <w:top w:val="nil"/>
              <w:left w:val="nil"/>
              <w:bottom w:val="single" w:sz="6" w:space="0" w:color="000000"/>
              <w:right w:val="nil"/>
            </w:tcBorders>
            <w:shd w:val="solid" w:color="FFFFFF" w:fill="auto"/>
          </w:tcPr>
          <w:p w:rsidR="00336793" w:rsidRPr="00263581" w:rsidRDefault="00336793" w:rsidP="00DF0B96">
            <w:pPr>
              <w:pStyle w:val="Tabletext"/>
              <w:rPr>
                <w:rFonts w:eastAsiaTheme="minorEastAsia"/>
                <w:sz w:val="21"/>
                <w:vertAlign w:val="superscript"/>
                <w:lang w:eastAsia="en-AU"/>
              </w:rPr>
            </w:pPr>
            <w:r w:rsidRPr="00263581">
              <w:rPr>
                <w:rFonts w:eastAsiaTheme="minorEastAsia"/>
                <w:sz w:val="21"/>
                <w:lang w:eastAsia="en-AU"/>
              </w:rPr>
              <w:t>Net cash flows from investments in financial assets for liquidity management purposes</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1"/>
                <w:szCs w:val="22"/>
                <w:lang w:eastAsia="en-AU"/>
              </w:rPr>
            </w:pPr>
            <w:r w:rsidRPr="00263581">
              <w:rPr>
                <w:rFonts w:ascii="Calibri" w:eastAsiaTheme="minorEastAsia" w:hAnsi="Calibri" w:cs="Calibri"/>
                <w:sz w:val="21"/>
                <w:szCs w:val="22"/>
                <w:lang w:eastAsia="en-AU"/>
              </w:rPr>
              <w:t>1 064.9</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14.1</w:t>
            </w:r>
            <w:r w:rsidRPr="00263581">
              <w:rPr>
                <w:rFonts w:ascii="Calibri" w:eastAsiaTheme="minorEastAsia" w:hAnsi="Calibri" w:cs="Calibri"/>
                <w:color w:val="000000"/>
                <w:sz w:val="22"/>
                <w:szCs w:val="22"/>
                <w:lang w:eastAsia="en-AU"/>
              </w:rPr>
              <w:t>)</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302.1</w:t>
            </w:r>
            <w:r w:rsidRPr="00263581">
              <w:rPr>
                <w:rFonts w:ascii="Calibri" w:eastAsiaTheme="minorEastAsia" w:hAnsi="Calibri" w:cs="Calibri"/>
                <w:color w:val="000000"/>
                <w:sz w:val="22"/>
                <w:szCs w:val="22"/>
                <w:lang w:eastAsia="en-AU"/>
              </w:rPr>
              <w:t>)</w:t>
            </w:r>
          </w:p>
        </w:tc>
        <w:tc>
          <w:tcPr>
            <w:tcW w:w="1120" w:type="dxa"/>
            <w:gridSpan w:val="3"/>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14.9</w:t>
            </w:r>
            <w:r w:rsidRPr="00263581">
              <w:rPr>
                <w:rFonts w:ascii="Calibri" w:eastAsiaTheme="minorEastAsia" w:hAnsi="Calibri" w:cs="Calibri"/>
                <w:color w:val="000000"/>
                <w:sz w:val="22"/>
                <w:szCs w:val="22"/>
                <w:lang w:eastAsia="en-AU"/>
              </w:rPr>
              <w:t>)</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39.0</w:t>
            </w:r>
            <w:r w:rsidRPr="00263581">
              <w:rPr>
                <w:rFonts w:ascii="Calibri" w:eastAsiaTheme="minorEastAsia" w:hAnsi="Calibri" w:cs="Calibri"/>
                <w:color w:val="000000"/>
                <w:sz w:val="22"/>
                <w:szCs w:val="22"/>
                <w:lang w:eastAsia="en-AU"/>
              </w:rPr>
              <w:t>)</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vertAlign w:val="superscript"/>
                <w:lang w:eastAsia="en-AU"/>
              </w:rPr>
            </w:pPr>
            <w:r w:rsidRPr="00263581">
              <w:rPr>
                <w:rFonts w:ascii="Calibri" w:eastAsiaTheme="minorEastAsia" w:hAnsi="Calibri" w:cs="Calibri"/>
                <w:b/>
                <w:bCs/>
                <w:sz w:val="21"/>
                <w:szCs w:val="22"/>
                <w:lang w:eastAsia="en-AU"/>
              </w:rPr>
              <w:t>Net cash flows from investment activities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349.4</w:t>
            </w:r>
            <w:r w:rsidRPr="00263581">
              <w:rPr>
                <w:rFonts w:ascii="Calibri" w:eastAsiaTheme="minorEastAsia" w:hAnsi="Calibri" w:cs="Calibri"/>
                <w:b/>
                <w:bCs/>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657.0</w:t>
            </w:r>
            <w:r w:rsidRPr="00263581">
              <w:rPr>
                <w:rFonts w:ascii="Calibri" w:eastAsiaTheme="minorEastAsia" w:hAnsi="Calibri" w:cs="Calibri"/>
                <w:b/>
                <w:bCs/>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(1 610.8)</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878.5</w:t>
            </w:r>
            <w:r w:rsidRPr="00263581">
              <w:rPr>
                <w:rFonts w:ascii="Calibri" w:eastAsiaTheme="minorEastAsia" w:hAnsi="Calibri" w:cs="Calibri"/>
                <w:b/>
                <w:bCs/>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(2 077.9)</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Cash flows from financing activities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Advances received (net)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0.8</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0.4</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1.2</w:t>
            </w:r>
            <w:r w:rsidRPr="00263581">
              <w:rPr>
                <w:rFonts w:ascii="Calibri" w:eastAsiaTheme="minorEastAsia" w:hAnsi="Calibri" w:cs="Calibri"/>
                <w:color w:val="000000"/>
                <w:sz w:val="22"/>
                <w:szCs w:val="22"/>
                <w:lang w:eastAsia="en-AU"/>
              </w:rPr>
              <w:t>)</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Net borrowings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937.2</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108.2</w:t>
            </w:r>
            <w:r w:rsidRPr="00263581">
              <w:rPr>
                <w:rFonts w:ascii="Calibri" w:eastAsiaTheme="minorEastAsia" w:hAnsi="Calibri" w:cs="Calibri"/>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170.6</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267.0</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684.0</w:t>
            </w:r>
          </w:p>
        </w:tc>
      </w:tr>
      <w:tr w:rsidR="00336793" w:rsidRPr="00263581" w:rsidTr="00DF0B96">
        <w:trPr>
          <w:gridAfter w:val="1"/>
          <w:wAfter w:w="6" w:type="dxa"/>
        </w:trPr>
        <w:tc>
          <w:tcPr>
            <w:tcW w:w="4037" w:type="dxa"/>
            <w:tcBorders>
              <w:top w:val="nil"/>
              <w:left w:val="nil"/>
              <w:bottom w:val="single" w:sz="4" w:space="0" w:color="auto"/>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Deposits received (net)</w:t>
            </w:r>
          </w:p>
        </w:tc>
        <w:tc>
          <w:tcPr>
            <w:tcW w:w="1120" w:type="dxa"/>
            <w:tcBorders>
              <w:top w:val="nil"/>
              <w:left w:val="nil"/>
              <w:bottom w:val="single" w:sz="4" w:space="0" w:color="auto"/>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164.5</w:t>
            </w:r>
            <w:r w:rsidRPr="00263581">
              <w:rPr>
                <w:rFonts w:ascii="Calibri" w:eastAsiaTheme="minorEastAsia" w:hAnsi="Calibri" w:cs="Calibri"/>
                <w:color w:val="000000"/>
                <w:sz w:val="22"/>
                <w:szCs w:val="22"/>
                <w:lang w:eastAsia="en-AU"/>
              </w:rPr>
              <w:t>)</w:t>
            </w:r>
          </w:p>
        </w:tc>
        <w:tc>
          <w:tcPr>
            <w:tcW w:w="1120" w:type="dxa"/>
            <w:tcBorders>
              <w:top w:val="nil"/>
              <w:left w:val="nil"/>
              <w:bottom w:val="single" w:sz="4" w:space="0" w:color="auto"/>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27.7</w:t>
            </w:r>
          </w:p>
        </w:tc>
        <w:tc>
          <w:tcPr>
            <w:tcW w:w="1120" w:type="dxa"/>
            <w:tcBorders>
              <w:top w:val="nil"/>
              <w:left w:val="nil"/>
              <w:bottom w:val="single" w:sz="4" w:space="0" w:color="auto"/>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31.1</w:t>
            </w:r>
            <w:r w:rsidRPr="00263581">
              <w:rPr>
                <w:rFonts w:ascii="Calibri" w:eastAsiaTheme="minorEastAsia" w:hAnsi="Calibri" w:cs="Calibri"/>
                <w:color w:val="000000"/>
                <w:sz w:val="22"/>
                <w:szCs w:val="22"/>
                <w:lang w:eastAsia="en-AU"/>
              </w:rPr>
              <w:t>)</w:t>
            </w:r>
          </w:p>
        </w:tc>
        <w:tc>
          <w:tcPr>
            <w:tcW w:w="1120" w:type="dxa"/>
            <w:gridSpan w:val="3"/>
            <w:tcBorders>
              <w:top w:val="nil"/>
              <w:left w:val="nil"/>
              <w:bottom w:val="single" w:sz="4" w:space="0" w:color="auto"/>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104.7</w:t>
            </w:r>
          </w:p>
        </w:tc>
        <w:tc>
          <w:tcPr>
            <w:tcW w:w="1120" w:type="dxa"/>
            <w:tcBorders>
              <w:top w:val="nil"/>
              <w:left w:val="nil"/>
              <w:bottom w:val="single" w:sz="4" w:space="0" w:color="auto"/>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10.1</w:t>
            </w:r>
            <w:r w:rsidRPr="00263581">
              <w:rPr>
                <w:rFonts w:ascii="Calibri" w:eastAsiaTheme="minorEastAsia" w:hAnsi="Calibri" w:cs="Calibri"/>
                <w:color w:val="000000"/>
                <w:sz w:val="22"/>
                <w:szCs w:val="22"/>
                <w:lang w:eastAsia="en-AU"/>
              </w:rPr>
              <w:t>)</w:t>
            </w:r>
          </w:p>
        </w:tc>
      </w:tr>
      <w:tr w:rsidR="00336793" w:rsidRPr="00263581" w:rsidTr="00DF0B96">
        <w:trPr>
          <w:gridAfter w:val="1"/>
          <w:wAfter w:w="6" w:type="dxa"/>
        </w:trPr>
        <w:tc>
          <w:tcPr>
            <w:tcW w:w="4037" w:type="dxa"/>
            <w:tcBorders>
              <w:top w:val="single" w:sz="4" w:space="0" w:color="auto"/>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Net cash flows from financing activities</w:t>
            </w:r>
          </w:p>
        </w:tc>
        <w:tc>
          <w:tcPr>
            <w:tcW w:w="1120" w:type="dxa"/>
            <w:tcBorders>
              <w:top w:val="single" w:sz="4" w:space="0" w:color="auto"/>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(1 101.6)</w:t>
            </w:r>
          </w:p>
        </w:tc>
        <w:tc>
          <w:tcPr>
            <w:tcW w:w="1120" w:type="dxa"/>
            <w:tcBorders>
              <w:top w:val="single" w:sz="4" w:space="0" w:color="auto"/>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80.5</w:t>
            </w:r>
            <w:r w:rsidRPr="00263581">
              <w:rPr>
                <w:rFonts w:ascii="Calibri" w:eastAsiaTheme="minorEastAsia" w:hAnsi="Calibri" w:cs="Calibri"/>
                <w:b/>
                <w:bCs/>
                <w:color w:val="000000"/>
                <w:sz w:val="22"/>
                <w:szCs w:val="22"/>
                <w:lang w:eastAsia="en-AU"/>
              </w:rPr>
              <w:t>)</w:t>
            </w:r>
          </w:p>
        </w:tc>
        <w:tc>
          <w:tcPr>
            <w:tcW w:w="1120" w:type="dxa"/>
            <w:tcBorders>
              <w:top w:val="single" w:sz="4" w:space="0" w:color="auto"/>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140.3</w:t>
            </w:r>
          </w:p>
        </w:tc>
        <w:tc>
          <w:tcPr>
            <w:tcW w:w="1120" w:type="dxa"/>
            <w:gridSpan w:val="3"/>
            <w:tcBorders>
              <w:top w:val="single" w:sz="4" w:space="0" w:color="auto"/>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372.1</w:t>
            </w:r>
          </w:p>
        </w:tc>
        <w:tc>
          <w:tcPr>
            <w:tcW w:w="1120" w:type="dxa"/>
            <w:tcBorders>
              <w:top w:val="single" w:sz="4" w:space="0" w:color="auto"/>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672.7</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Net increase/(decrease) in cash and cash equivalents </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1 517.5</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405.5</w:t>
            </w:r>
            <w:r w:rsidRPr="00263581">
              <w:rPr>
                <w:rFonts w:ascii="Calibri" w:eastAsiaTheme="minorEastAsia" w:hAnsi="Calibri" w:cs="Calibri"/>
                <w:b/>
                <w:bCs/>
                <w:color w:val="000000"/>
                <w:sz w:val="22"/>
                <w:szCs w:val="22"/>
                <w:lang w:eastAsia="en-AU"/>
              </w:rPr>
              <w:t>)</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5.9</w:t>
            </w:r>
            <w:r w:rsidRPr="00263581">
              <w:rPr>
                <w:rFonts w:ascii="Calibri" w:eastAsiaTheme="minorEastAsia" w:hAnsi="Calibri" w:cs="Calibri"/>
                <w:b/>
                <w:bCs/>
                <w:color w:val="000000"/>
                <w:sz w:val="22"/>
                <w:szCs w:val="22"/>
                <w:lang w:eastAsia="en-AU"/>
              </w:rPr>
              <w:t>)</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1"/>
                <w:szCs w:val="22"/>
                <w:lang w:eastAsia="en-AU"/>
              </w:rPr>
            </w:pPr>
            <w:r w:rsidRPr="00263581">
              <w:rPr>
                <w:rFonts w:ascii="Calibri" w:eastAsiaTheme="minorEastAsia" w:hAnsi="Calibri" w:cs="Calibri"/>
                <w:b/>
                <w:bCs/>
                <w:color w:val="000000"/>
                <w:sz w:val="21"/>
                <w:szCs w:val="22"/>
                <w:lang w:eastAsia="en-AU"/>
              </w:rPr>
              <w:t xml:space="preserve"> 437.7</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326.8</w:t>
            </w:r>
            <w:r w:rsidRPr="00263581">
              <w:rPr>
                <w:rFonts w:ascii="Calibri" w:eastAsiaTheme="minorEastAsia" w:hAnsi="Calibri" w:cs="Calibri"/>
                <w:b/>
                <w:bCs/>
                <w:color w:val="000000"/>
                <w:sz w:val="22"/>
                <w:szCs w:val="22"/>
                <w:lang w:eastAsia="en-AU"/>
              </w:rPr>
              <w:t>)</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pStyle w:val="Tabletext"/>
              <w:rPr>
                <w:rFonts w:eastAsiaTheme="minorEastAsia"/>
                <w:sz w:val="21"/>
                <w:lang w:eastAsia="en-AU"/>
              </w:rPr>
            </w:pPr>
            <w:r w:rsidRPr="00263581">
              <w:rPr>
                <w:rFonts w:eastAsiaTheme="minorEastAsia"/>
                <w:sz w:val="21"/>
                <w:lang w:eastAsia="en-AU"/>
              </w:rPr>
              <w:t>Cash and cash equivalents at beginning of reporting period</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3 064.7</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4 582.2</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4 176.7</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4 170.8</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4 608.5</w:t>
            </w:r>
          </w:p>
        </w:tc>
      </w:tr>
      <w:tr w:rsidR="00336793" w:rsidRPr="00263581" w:rsidTr="00DF0B96">
        <w:trPr>
          <w:gridAfter w:val="1"/>
          <w:wAfter w:w="6" w:type="dxa"/>
        </w:trPr>
        <w:tc>
          <w:tcPr>
            <w:tcW w:w="4037" w:type="dxa"/>
            <w:tcBorders>
              <w:top w:val="single" w:sz="6" w:space="0" w:color="000000"/>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color w:val="000000"/>
                <w:sz w:val="22"/>
                <w:szCs w:val="22"/>
                <w:vertAlign w:val="superscript"/>
                <w:lang w:eastAsia="en-AU"/>
              </w:rPr>
            </w:pPr>
            <w:r w:rsidRPr="00263581">
              <w:rPr>
                <w:rFonts w:ascii="Calibri" w:eastAsiaTheme="minorEastAsia" w:hAnsi="Calibri" w:cs="Calibri"/>
                <w:b/>
                <w:bCs/>
                <w:sz w:val="21"/>
                <w:szCs w:val="22"/>
                <w:lang w:eastAsia="en-AU"/>
              </w:rPr>
              <w:t>Cash and cash equivalents at end of the financial year</w:t>
            </w:r>
          </w:p>
        </w:tc>
        <w:tc>
          <w:tcPr>
            <w:tcW w:w="1120" w:type="dxa"/>
            <w:tcBorders>
              <w:top w:val="single" w:sz="6" w:space="0" w:color="000000"/>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4 582.2</w:t>
            </w:r>
          </w:p>
        </w:tc>
        <w:tc>
          <w:tcPr>
            <w:tcW w:w="1120" w:type="dxa"/>
            <w:tcBorders>
              <w:top w:val="single" w:sz="6" w:space="0" w:color="000000"/>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4 176.7</w:t>
            </w:r>
          </w:p>
        </w:tc>
        <w:tc>
          <w:tcPr>
            <w:tcW w:w="1120" w:type="dxa"/>
            <w:tcBorders>
              <w:top w:val="single" w:sz="6" w:space="0" w:color="000000"/>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4 170.8</w:t>
            </w:r>
          </w:p>
        </w:tc>
        <w:tc>
          <w:tcPr>
            <w:tcW w:w="1120" w:type="dxa"/>
            <w:gridSpan w:val="3"/>
            <w:tcBorders>
              <w:top w:val="single" w:sz="6" w:space="0" w:color="000000"/>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4 608.5</w:t>
            </w:r>
          </w:p>
        </w:tc>
        <w:tc>
          <w:tcPr>
            <w:tcW w:w="1120" w:type="dxa"/>
            <w:tcBorders>
              <w:top w:val="single" w:sz="6" w:space="0" w:color="000000"/>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4 281.7</w:t>
            </w:r>
          </w:p>
        </w:tc>
      </w:tr>
      <w:tr w:rsidR="00336793" w:rsidRPr="00263581" w:rsidTr="00DF0B96">
        <w:trPr>
          <w:gridAfter w:val="1"/>
          <w:wAfter w:w="6" w:type="dxa"/>
          <w:trHeight w:hRule="exact" w:val="120"/>
        </w:trPr>
        <w:tc>
          <w:tcPr>
            <w:tcW w:w="4037" w:type="dxa"/>
            <w:tcBorders>
              <w:top w:val="single" w:sz="12" w:space="0" w:color="000000"/>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w:t>
            </w:r>
          </w:p>
        </w:tc>
        <w:tc>
          <w:tcPr>
            <w:tcW w:w="1120" w:type="dxa"/>
            <w:tcBorders>
              <w:top w:val="single" w:sz="12" w:space="0" w:color="000000"/>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w:t>
            </w:r>
          </w:p>
        </w:tc>
        <w:tc>
          <w:tcPr>
            <w:tcW w:w="1120" w:type="dxa"/>
            <w:tcBorders>
              <w:top w:val="single" w:sz="12" w:space="0" w:color="000000"/>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w:t>
            </w:r>
          </w:p>
        </w:tc>
        <w:tc>
          <w:tcPr>
            <w:tcW w:w="1120" w:type="dxa"/>
            <w:tcBorders>
              <w:top w:val="single" w:sz="12" w:space="0" w:color="000000"/>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w:t>
            </w:r>
          </w:p>
        </w:tc>
        <w:tc>
          <w:tcPr>
            <w:tcW w:w="1120" w:type="dxa"/>
            <w:gridSpan w:val="3"/>
            <w:tcBorders>
              <w:top w:val="single" w:sz="12" w:space="0" w:color="000000"/>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w:t>
            </w:r>
          </w:p>
        </w:tc>
        <w:tc>
          <w:tcPr>
            <w:tcW w:w="1120" w:type="dxa"/>
            <w:tcBorders>
              <w:top w:val="single" w:sz="12" w:space="0" w:color="000000"/>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w:t>
            </w: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FISCAL AGGREGATES</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p>
        </w:tc>
      </w:tr>
      <w:tr w:rsidR="00336793" w:rsidRPr="00263581" w:rsidTr="00DF0B96">
        <w:trPr>
          <w:gridAfter w:val="1"/>
          <w:wAfter w:w="6" w:type="dxa"/>
        </w:trPr>
        <w:tc>
          <w:tcPr>
            <w:tcW w:w="4037"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color w:val="000000"/>
                <w:sz w:val="21"/>
                <w:szCs w:val="22"/>
                <w:vertAlign w:val="superscript"/>
                <w:lang w:eastAsia="en-AU"/>
              </w:rPr>
            </w:pPr>
            <w:r w:rsidRPr="00263581">
              <w:rPr>
                <w:rFonts w:ascii="Calibri" w:eastAsiaTheme="minorEastAsia" w:hAnsi="Calibri" w:cs="Calibri"/>
                <w:sz w:val="21"/>
                <w:szCs w:val="22"/>
                <w:lang w:eastAsia="en-AU"/>
              </w:rPr>
              <w:t>Net cash flows from operating activities</w:t>
            </w:r>
            <w:r w:rsidRPr="00E96950">
              <w:rPr>
                <w:rFonts w:ascii="Calibri" w:eastAsiaTheme="minorEastAsia" w:hAnsi="Calibri" w:cs="Calibri"/>
                <w:sz w:val="21"/>
                <w:szCs w:val="22"/>
                <w:vertAlign w:val="superscript"/>
                <w:lang w:eastAsia="en-AU"/>
              </w:rPr>
              <w:t xml:space="preserve"> </w:t>
            </w:r>
            <w:r w:rsidRPr="00263581">
              <w:rPr>
                <w:rFonts w:ascii="Calibri" w:eastAsiaTheme="minorEastAsia" w:hAnsi="Calibri" w:cs="Calibri"/>
                <w:color w:val="000000"/>
                <w:sz w:val="21"/>
                <w:szCs w:val="22"/>
                <w:vertAlign w:val="superscript"/>
                <w:lang w:eastAsia="en-AU"/>
              </w:rPr>
              <w:t>(b)</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2 968.5</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332.0</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1 464.5</w:t>
            </w:r>
          </w:p>
        </w:tc>
        <w:tc>
          <w:tcPr>
            <w:tcW w:w="1120" w:type="dxa"/>
            <w:gridSpan w:val="3"/>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944.2</w:t>
            </w:r>
          </w:p>
        </w:tc>
        <w:tc>
          <w:tcPr>
            <w:tcW w:w="1120" w:type="dxa"/>
            <w:tcBorders>
              <w:top w:val="nil"/>
              <w:left w:val="nil"/>
              <w:bottom w:val="nil"/>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1 078.4</w:t>
            </w:r>
          </w:p>
        </w:tc>
      </w:tr>
      <w:tr w:rsidR="00336793" w:rsidRPr="00263581" w:rsidTr="00DF0B96">
        <w:trPr>
          <w:gridAfter w:val="1"/>
          <w:wAfter w:w="6" w:type="dxa"/>
        </w:trPr>
        <w:tc>
          <w:tcPr>
            <w:tcW w:w="4037" w:type="dxa"/>
            <w:tcBorders>
              <w:top w:val="nil"/>
              <w:left w:val="nil"/>
              <w:bottom w:val="single" w:sz="6" w:space="0" w:color="000000"/>
              <w:right w:val="nil"/>
            </w:tcBorders>
            <w:shd w:val="solid" w:color="FFFFFF" w:fill="auto"/>
          </w:tcPr>
          <w:p w:rsidR="00336793" w:rsidRPr="00263581" w:rsidRDefault="00336793" w:rsidP="00DF0B96">
            <w:pPr>
              <w:pStyle w:val="Tabletext"/>
              <w:rPr>
                <w:rFonts w:eastAsiaTheme="minorEastAsia" w:cs="Calibri"/>
                <w:color w:val="000000"/>
                <w:sz w:val="21"/>
                <w:szCs w:val="22"/>
                <w:vertAlign w:val="superscript"/>
                <w:lang w:eastAsia="en-AU"/>
              </w:rPr>
            </w:pPr>
            <w:r w:rsidRPr="00263581">
              <w:rPr>
                <w:rFonts w:eastAsiaTheme="minorEastAsia"/>
                <w:sz w:val="21"/>
                <w:lang w:eastAsia="en-AU"/>
              </w:rPr>
              <w:t>Net cash flows from investments in non</w:t>
            </w:r>
            <w:r>
              <w:rPr>
                <w:rFonts w:eastAsiaTheme="minorEastAsia"/>
                <w:sz w:val="21"/>
                <w:lang w:eastAsia="en-AU"/>
              </w:rPr>
              <w:noBreakHyphen/>
            </w:r>
            <w:r w:rsidRPr="00263581">
              <w:rPr>
                <w:rFonts w:eastAsiaTheme="minorEastAsia"/>
                <w:sz w:val="21"/>
                <w:lang w:eastAsia="en-AU"/>
              </w:rPr>
              <w:t>financial assets</w:t>
            </w:r>
            <w:r w:rsidRPr="00E96950">
              <w:rPr>
                <w:rFonts w:eastAsiaTheme="minorEastAsia"/>
                <w:sz w:val="21"/>
                <w:vertAlign w:val="superscript"/>
                <w:lang w:eastAsia="en-AU"/>
              </w:rPr>
              <w:t xml:space="preserve"> </w:t>
            </w:r>
            <w:r w:rsidRPr="00263581">
              <w:rPr>
                <w:rFonts w:eastAsiaTheme="minorEastAsia" w:cs="Calibri"/>
                <w:color w:val="000000"/>
                <w:sz w:val="21"/>
                <w:szCs w:val="22"/>
                <w:vertAlign w:val="superscript"/>
                <w:lang w:eastAsia="en-AU"/>
              </w:rPr>
              <w:t>(b)</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(1 156.6)</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850.9</w:t>
            </w:r>
            <w:r w:rsidRPr="00263581">
              <w:rPr>
                <w:rFonts w:ascii="Calibri" w:eastAsiaTheme="minorEastAsia" w:hAnsi="Calibri" w:cs="Calibri"/>
                <w:color w:val="000000"/>
                <w:sz w:val="22"/>
                <w:szCs w:val="22"/>
                <w:lang w:eastAsia="en-AU"/>
              </w:rPr>
              <w:t>)</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(1 144.8)</w:t>
            </w:r>
          </w:p>
        </w:tc>
        <w:tc>
          <w:tcPr>
            <w:tcW w:w="1120" w:type="dxa"/>
            <w:gridSpan w:val="3"/>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color w:val="000000"/>
                <w:sz w:val="22"/>
                <w:szCs w:val="22"/>
                <w:lang w:eastAsia="en-AU"/>
              </w:rPr>
            </w:pPr>
            <w:r>
              <w:rPr>
                <w:rFonts w:ascii="Calibri" w:eastAsiaTheme="minorEastAsia" w:hAnsi="Calibri" w:cs="Calibri"/>
                <w:sz w:val="21"/>
                <w:szCs w:val="22"/>
                <w:lang w:eastAsia="en-AU"/>
              </w:rPr>
              <w:t>(</w:t>
            </w:r>
            <w:r w:rsidRPr="00263581">
              <w:rPr>
                <w:rFonts w:ascii="Calibri" w:eastAsiaTheme="minorEastAsia" w:hAnsi="Calibri" w:cs="Calibri"/>
                <w:color w:val="000000"/>
                <w:sz w:val="21"/>
                <w:szCs w:val="22"/>
                <w:lang w:eastAsia="en-AU"/>
              </w:rPr>
              <w:t>806.1</w:t>
            </w:r>
            <w:r w:rsidRPr="00263581">
              <w:rPr>
                <w:rFonts w:ascii="Calibri" w:eastAsiaTheme="minorEastAsia" w:hAnsi="Calibri" w:cs="Calibri"/>
                <w:color w:val="000000"/>
                <w:sz w:val="22"/>
                <w:szCs w:val="22"/>
                <w:lang w:eastAsia="en-AU"/>
              </w:rPr>
              <w:t>)</w:t>
            </w:r>
          </w:p>
        </w:tc>
        <w:tc>
          <w:tcPr>
            <w:tcW w:w="1120" w:type="dxa"/>
            <w:tcBorders>
              <w:top w:val="nil"/>
              <w:left w:val="nil"/>
              <w:bottom w:val="single" w:sz="6"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sz w:val="21"/>
                <w:szCs w:val="22"/>
                <w:lang w:eastAsia="en-AU"/>
              </w:rPr>
            </w:pPr>
            <w:r w:rsidRPr="00263581">
              <w:rPr>
                <w:rFonts w:ascii="Calibri" w:eastAsiaTheme="minorEastAsia" w:hAnsi="Calibri" w:cs="Calibri"/>
                <w:sz w:val="21"/>
                <w:szCs w:val="22"/>
                <w:lang w:eastAsia="en-AU"/>
              </w:rPr>
              <w:t xml:space="preserve"> (1 194.1)</w:t>
            </w:r>
          </w:p>
        </w:tc>
      </w:tr>
      <w:tr w:rsidR="00336793" w:rsidRPr="00263581" w:rsidTr="00DF0B96">
        <w:trPr>
          <w:gridAfter w:val="1"/>
          <w:wAfter w:w="6" w:type="dxa"/>
        </w:trPr>
        <w:tc>
          <w:tcPr>
            <w:tcW w:w="4037" w:type="dxa"/>
            <w:tcBorders>
              <w:top w:val="single" w:sz="6" w:space="0" w:color="000000"/>
              <w:left w:val="nil"/>
              <w:bottom w:val="single" w:sz="12" w:space="0" w:color="000000"/>
              <w:right w:val="nil"/>
            </w:tcBorders>
            <w:shd w:val="solid" w:color="FFFFFF" w:fill="auto"/>
          </w:tcPr>
          <w:p w:rsidR="00336793" w:rsidRPr="00263581" w:rsidRDefault="00336793" w:rsidP="00DF0B96">
            <w:pPr>
              <w:autoSpaceDE w:val="0"/>
              <w:autoSpaceDN w:val="0"/>
              <w:adjustRightInd w:val="0"/>
              <w:spacing w:after="0"/>
              <w:rPr>
                <w:rFonts w:ascii="Calibri" w:eastAsiaTheme="minorEastAsia" w:hAnsi="Calibri" w:cs="Calibri"/>
                <w:b/>
                <w:bCs/>
                <w:color w:val="000000"/>
                <w:sz w:val="21"/>
                <w:szCs w:val="22"/>
                <w:vertAlign w:val="superscript"/>
                <w:lang w:eastAsia="en-AU"/>
              </w:rPr>
            </w:pPr>
            <w:r w:rsidRPr="00263581">
              <w:rPr>
                <w:rFonts w:ascii="Calibri" w:eastAsiaTheme="minorEastAsia" w:hAnsi="Calibri" w:cs="Calibri"/>
                <w:b/>
                <w:bCs/>
                <w:sz w:val="21"/>
                <w:szCs w:val="22"/>
                <w:lang w:eastAsia="en-AU"/>
              </w:rPr>
              <w:t>Cash surplus/(deficit)</w:t>
            </w:r>
            <w:r w:rsidRPr="00E96950">
              <w:rPr>
                <w:rFonts w:ascii="Calibri" w:eastAsiaTheme="minorEastAsia" w:hAnsi="Calibri" w:cs="Calibri"/>
                <w:b/>
                <w:bCs/>
                <w:sz w:val="21"/>
                <w:szCs w:val="22"/>
                <w:vertAlign w:val="superscript"/>
                <w:lang w:eastAsia="en-AU"/>
              </w:rPr>
              <w:t xml:space="preserve"> </w:t>
            </w:r>
            <w:r w:rsidRPr="00263581">
              <w:rPr>
                <w:rFonts w:ascii="Calibri" w:eastAsiaTheme="minorEastAsia" w:hAnsi="Calibri" w:cs="Calibri"/>
                <w:b/>
                <w:bCs/>
                <w:color w:val="000000"/>
                <w:sz w:val="21"/>
                <w:szCs w:val="22"/>
                <w:vertAlign w:val="superscript"/>
                <w:lang w:eastAsia="en-AU"/>
              </w:rPr>
              <w:t>(b)</w:t>
            </w:r>
          </w:p>
        </w:tc>
        <w:tc>
          <w:tcPr>
            <w:tcW w:w="1120" w:type="dxa"/>
            <w:tcBorders>
              <w:top w:val="single" w:sz="6" w:space="0" w:color="000000"/>
              <w:left w:val="nil"/>
              <w:bottom w:val="single" w:sz="12"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1 811.9</w:t>
            </w:r>
          </w:p>
        </w:tc>
        <w:tc>
          <w:tcPr>
            <w:tcW w:w="1120" w:type="dxa"/>
            <w:tcBorders>
              <w:top w:val="single" w:sz="6" w:space="0" w:color="000000"/>
              <w:left w:val="nil"/>
              <w:bottom w:val="single" w:sz="12"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518.9</w:t>
            </w:r>
            <w:r w:rsidRPr="00263581">
              <w:rPr>
                <w:rFonts w:ascii="Calibri" w:eastAsiaTheme="minorEastAsia" w:hAnsi="Calibri" w:cs="Calibri"/>
                <w:b/>
                <w:bCs/>
                <w:color w:val="000000"/>
                <w:sz w:val="22"/>
                <w:szCs w:val="22"/>
                <w:lang w:eastAsia="en-AU"/>
              </w:rPr>
              <w:t>)</w:t>
            </w:r>
          </w:p>
        </w:tc>
        <w:tc>
          <w:tcPr>
            <w:tcW w:w="1120" w:type="dxa"/>
            <w:tcBorders>
              <w:top w:val="single" w:sz="6" w:space="0" w:color="000000"/>
              <w:left w:val="nil"/>
              <w:bottom w:val="single" w:sz="12"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319.7</w:t>
            </w:r>
          </w:p>
        </w:tc>
        <w:tc>
          <w:tcPr>
            <w:tcW w:w="1120" w:type="dxa"/>
            <w:gridSpan w:val="3"/>
            <w:tcBorders>
              <w:top w:val="single" w:sz="6" w:space="0" w:color="000000"/>
              <w:left w:val="nil"/>
              <w:bottom w:val="single" w:sz="12"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sz w:val="21"/>
                <w:szCs w:val="22"/>
                <w:lang w:eastAsia="en-AU"/>
              </w:rPr>
            </w:pPr>
            <w:r w:rsidRPr="00263581">
              <w:rPr>
                <w:rFonts w:ascii="Calibri" w:eastAsiaTheme="minorEastAsia" w:hAnsi="Calibri" w:cs="Calibri"/>
                <w:b/>
                <w:bCs/>
                <w:sz w:val="21"/>
                <w:szCs w:val="22"/>
                <w:lang w:eastAsia="en-AU"/>
              </w:rPr>
              <w:t xml:space="preserve"> 138.1</w:t>
            </w:r>
          </w:p>
        </w:tc>
        <w:tc>
          <w:tcPr>
            <w:tcW w:w="1120" w:type="dxa"/>
            <w:tcBorders>
              <w:top w:val="single" w:sz="6" w:space="0" w:color="000000"/>
              <w:left w:val="nil"/>
              <w:bottom w:val="single" w:sz="12" w:space="0" w:color="000000"/>
              <w:right w:val="nil"/>
            </w:tcBorders>
            <w:shd w:val="solid" w:color="FFFFFF" w:fill="auto"/>
          </w:tcPr>
          <w:p w:rsidR="00336793" w:rsidRPr="00263581" w:rsidRDefault="00336793" w:rsidP="00DF0B96">
            <w:pPr>
              <w:autoSpaceDE w:val="0"/>
              <w:autoSpaceDN w:val="0"/>
              <w:adjustRightInd w:val="0"/>
              <w:spacing w:after="0"/>
              <w:jc w:val="right"/>
              <w:rPr>
                <w:rFonts w:ascii="Calibri" w:eastAsiaTheme="minorEastAsia" w:hAnsi="Calibri" w:cs="Calibri"/>
                <w:b/>
                <w:bCs/>
                <w:color w:val="000000"/>
                <w:sz w:val="22"/>
                <w:szCs w:val="22"/>
                <w:lang w:eastAsia="en-AU"/>
              </w:rPr>
            </w:pPr>
            <w:r>
              <w:rPr>
                <w:rFonts w:ascii="Calibri" w:eastAsiaTheme="minorEastAsia" w:hAnsi="Calibri" w:cs="Calibri"/>
                <w:b/>
                <w:bCs/>
                <w:sz w:val="21"/>
                <w:szCs w:val="22"/>
                <w:lang w:eastAsia="en-AU"/>
              </w:rPr>
              <w:t>(</w:t>
            </w:r>
            <w:r w:rsidRPr="00263581">
              <w:rPr>
                <w:rFonts w:ascii="Calibri" w:eastAsiaTheme="minorEastAsia" w:hAnsi="Calibri" w:cs="Calibri"/>
                <w:b/>
                <w:bCs/>
                <w:color w:val="000000"/>
                <w:sz w:val="21"/>
                <w:szCs w:val="22"/>
                <w:lang w:eastAsia="en-AU"/>
              </w:rPr>
              <w:t>115.8</w:t>
            </w:r>
            <w:r w:rsidRPr="00263581">
              <w:rPr>
                <w:rFonts w:ascii="Calibri" w:eastAsiaTheme="minorEastAsia" w:hAnsi="Calibri" w:cs="Calibri"/>
                <w:b/>
                <w:bCs/>
                <w:color w:val="000000"/>
                <w:sz w:val="22"/>
                <w:szCs w:val="22"/>
                <w:lang w:eastAsia="en-AU"/>
              </w:rPr>
              <w:t>)</w:t>
            </w:r>
          </w:p>
        </w:tc>
      </w:tr>
    </w:tbl>
    <w:p w:rsidR="00336793" w:rsidRPr="007F6AD7" w:rsidRDefault="00336793" w:rsidP="00DF0B96">
      <w:pPr>
        <w:pStyle w:val="Notes"/>
      </w:pPr>
      <w:r w:rsidRPr="007F6AD7">
        <w:t>Notes:</w:t>
      </w:r>
    </w:p>
    <w:p w:rsidR="00336793" w:rsidRDefault="00336793" w:rsidP="00DF0B96">
      <w:pPr>
        <w:pStyle w:val="Notes"/>
      </w:pPr>
      <w:r w:rsidRPr="00D21919">
        <w:t>(a</w:t>
      </w:r>
      <w:r>
        <w:t>)</w:t>
      </w:r>
      <w:r>
        <w:tab/>
        <w:t>The comparative quarterly figures have been restated to reflect more current information.</w:t>
      </w:r>
    </w:p>
    <w:p w:rsidR="00336793" w:rsidRPr="006A75A2" w:rsidRDefault="00336793" w:rsidP="00DF0B96">
      <w:pPr>
        <w:pStyle w:val="Notes"/>
      </w:pPr>
      <w:r>
        <w:t>(b)</w:t>
      </w:r>
      <w:r>
        <w:tab/>
      </w:r>
      <w:r w:rsidRPr="007F6AD7">
        <w:t>These items are inclusive of goods and services tax.</w:t>
      </w:r>
      <w:r>
        <w:t xml:space="preserve"> </w:t>
      </w:r>
    </w:p>
    <w:p w:rsidR="00336793" w:rsidRDefault="00336793" w:rsidP="0028370C"/>
    <w:p w:rsidR="00336793" w:rsidRDefault="00336793" w:rsidP="009B024D">
      <w:pPr>
        <w:sectPr w:rsidR="00336793" w:rsidSect="003C06CE">
          <w:footerReference w:type="even" r:id="rId157"/>
          <w:footerReference w:type="default" r:id="rId158"/>
          <w:type w:val="oddPage"/>
          <w:pgSz w:w="11906" w:h="16838" w:code="9"/>
          <w:pgMar w:top="1152" w:right="1152" w:bottom="1152" w:left="1152" w:header="720" w:footer="720" w:gutter="0"/>
          <w:cols w:space="708"/>
          <w:docGrid w:linePitch="360"/>
        </w:sectPr>
      </w:pPr>
    </w:p>
    <w:p w:rsidR="00336793" w:rsidRDefault="00336793" w:rsidP="00DF0B96">
      <w:pPr>
        <w:pStyle w:val="ChapterHeading"/>
      </w:pPr>
      <w:bookmarkStart w:id="147" w:name="_Toc398715645"/>
      <w:bookmarkStart w:id="148" w:name="_Toc433984482"/>
      <w:r>
        <w:lastRenderedPageBreak/>
        <w:t>Appendix B</w:t>
      </w:r>
      <w:r w:rsidRPr="00C67A8F">
        <w:t xml:space="preserve"> – </w:t>
      </w:r>
      <w:r w:rsidRPr="00275C1E">
        <w:rPr>
          <w:i/>
        </w:rPr>
        <w:t>Financial Management Act 1994</w:t>
      </w:r>
      <w:r>
        <w:t xml:space="preserve"> – Compliance index</w:t>
      </w:r>
      <w:bookmarkEnd w:id="147"/>
      <w:bookmarkEnd w:id="148"/>
    </w:p>
    <w:p w:rsidR="00336793" w:rsidRDefault="00336793" w:rsidP="00DF0B96">
      <w:r>
        <w:t xml:space="preserve">The </w:t>
      </w:r>
      <w:r w:rsidRPr="00275C1E">
        <w:rPr>
          <w:i/>
        </w:rPr>
        <w:t>Financial Management Act 1994</w:t>
      </w:r>
      <w:r>
        <w:t xml:space="preserve"> requires the Minister to prepare an audited annual financial report for tabling in Parliament. This report has been prepared in accordance with applicable Australian Accounting Standards and the </w:t>
      </w:r>
      <w:r w:rsidRPr="00275C1E">
        <w:rPr>
          <w:i/>
        </w:rPr>
        <w:t>Financial Management Act 1994</w:t>
      </w:r>
      <w:r>
        <w:t>.</w:t>
      </w:r>
    </w:p>
    <w:p w:rsidR="00336793" w:rsidRDefault="00336793" w:rsidP="00DF0B96">
      <w:r>
        <w:t xml:space="preserve">The </w:t>
      </w:r>
      <w:r w:rsidRPr="00275C1E">
        <w:rPr>
          <w:i/>
        </w:rPr>
        <w:t>Financial Management Act 1994</w:t>
      </w:r>
      <w:r>
        <w:t xml:space="preserve"> also requires the annual financial report to meet certain requirements. The following compliance index explains how these requirements are met, together with appropriate references in this document.</w:t>
      </w: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336793" w:rsidRPr="00BF6C95" w:rsidTr="00DF0B96">
        <w:trPr>
          <w:cantSplit/>
          <w:tblHeader/>
        </w:trPr>
        <w:tc>
          <w:tcPr>
            <w:tcW w:w="2250" w:type="dxa"/>
            <w:tcBorders>
              <w:top w:val="single" w:sz="4" w:space="0" w:color="auto"/>
              <w:bottom w:val="single" w:sz="4" w:space="0" w:color="auto"/>
            </w:tcBorders>
            <w:shd w:val="clear" w:color="auto" w:fill="000000"/>
          </w:tcPr>
          <w:p w:rsidR="00336793" w:rsidRPr="00BF6C95" w:rsidRDefault="00336793" w:rsidP="00DF0B96">
            <w:pPr>
              <w:pStyle w:val="TabletextheadingLeft"/>
            </w:pPr>
            <w:r w:rsidRPr="00913ED3">
              <w:rPr>
                <w:i w:val="0"/>
              </w:rPr>
              <w:t>Financial Management Act 1994</w:t>
            </w:r>
            <w:r w:rsidRPr="00BF6C95">
              <w:t xml:space="preserve"> reference</w:t>
            </w:r>
          </w:p>
        </w:tc>
        <w:tc>
          <w:tcPr>
            <w:tcW w:w="4183" w:type="dxa"/>
            <w:tcBorders>
              <w:top w:val="single" w:sz="4" w:space="0" w:color="auto"/>
              <w:bottom w:val="single" w:sz="4" w:space="0" w:color="auto"/>
            </w:tcBorders>
            <w:shd w:val="clear" w:color="auto" w:fill="000000"/>
            <w:vAlign w:val="bottom"/>
          </w:tcPr>
          <w:p w:rsidR="00336793" w:rsidRPr="00BF6C95" w:rsidRDefault="00336793" w:rsidP="00DF0B96">
            <w:pPr>
              <w:pStyle w:val="TabletextheadingLeft"/>
            </w:pPr>
            <w:r w:rsidRPr="00BF6C95">
              <w:t>Requirement</w:t>
            </w:r>
          </w:p>
        </w:tc>
        <w:tc>
          <w:tcPr>
            <w:tcW w:w="3240" w:type="dxa"/>
            <w:tcBorders>
              <w:top w:val="single" w:sz="4" w:space="0" w:color="auto"/>
              <w:bottom w:val="single" w:sz="4" w:space="0" w:color="auto"/>
            </w:tcBorders>
            <w:shd w:val="clear" w:color="auto" w:fill="000000"/>
            <w:vAlign w:val="bottom"/>
          </w:tcPr>
          <w:p w:rsidR="00336793" w:rsidRPr="00BF6C95" w:rsidRDefault="00336793" w:rsidP="00DF0B96">
            <w:pPr>
              <w:pStyle w:val="TabletextheadingLeft"/>
            </w:pPr>
            <w:r w:rsidRPr="00BF6C95">
              <w:t>Comments/reference</w:t>
            </w:r>
          </w:p>
        </w:tc>
      </w:tr>
      <w:tr w:rsidR="00336793" w:rsidRPr="00185C53" w:rsidTr="00DF0B96">
        <w:trPr>
          <w:cantSplit/>
        </w:trPr>
        <w:tc>
          <w:tcPr>
            <w:tcW w:w="2250" w:type="dxa"/>
            <w:tcBorders>
              <w:top w:val="single" w:sz="4" w:space="0" w:color="auto"/>
            </w:tcBorders>
            <w:shd w:val="clear" w:color="auto" w:fill="auto"/>
          </w:tcPr>
          <w:p w:rsidR="00336793" w:rsidRPr="0060297A" w:rsidRDefault="00336793" w:rsidP="00DF0B96">
            <w:pPr>
              <w:pStyle w:val="Tabletext"/>
              <w:spacing w:after="40"/>
            </w:pPr>
            <w:r w:rsidRPr="0060297A">
              <w:t xml:space="preserve">Section 24(1) </w:t>
            </w:r>
          </w:p>
        </w:tc>
        <w:tc>
          <w:tcPr>
            <w:tcW w:w="4183" w:type="dxa"/>
            <w:tcBorders>
              <w:top w:val="single" w:sz="4" w:space="0" w:color="auto"/>
            </w:tcBorders>
            <w:shd w:val="clear" w:color="auto" w:fill="auto"/>
          </w:tcPr>
          <w:p w:rsidR="00336793" w:rsidRPr="0060297A" w:rsidRDefault="00336793" w:rsidP="00DF0B96">
            <w:pPr>
              <w:pStyle w:val="Tabletext"/>
              <w:spacing w:after="40"/>
              <w:ind w:left="0" w:firstLine="0"/>
            </w:pPr>
            <w:r w:rsidRPr="0060297A">
              <w:t>The Minister must prepare an annual financial report for each financial year.</w:t>
            </w:r>
          </w:p>
        </w:tc>
        <w:tc>
          <w:tcPr>
            <w:tcW w:w="3240" w:type="dxa"/>
            <w:tcBorders>
              <w:top w:val="single" w:sz="4" w:space="0" w:color="auto"/>
            </w:tcBorders>
            <w:shd w:val="clear" w:color="auto" w:fill="auto"/>
          </w:tcPr>
          <w:p w:rsidR="00336793" w:rsidRPr="00146F9C" w:rsidRDefault="00336793" w:rsidP="00DF0B96">
            <w:pPr>
              <w:pStyle w:val="Tabletext"/>
              <w:spacing w:after="40"/>
              <w:ind w:left="0" w:firstLine="0"/>
            </w:pPr>
            <w:r w:rsidRPr="00146F9C">
              <w:t>Refer to Chapter 4</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r w:rsidRPr="0060297A">
              <w:t>Section 24(2)</w:t>
            </w:r>
          </w:p>
        </w:tc>
        <w:tc>
          <w:tcPr>
            <w:tcW w:w="4183" w:type="dxa"/>
            <w:shd w:val="clear" w:color="auto" w:fill="auto"/>
          </w:tcPr>
          <w:p w:rsidR="00336793" w:rsidRPr="0060297A" w:rsidRDefault="00336793" w:rsidP="00DF0B96">
            <w:pPr>
              <w:pStyle w:val="Tabletext"/>
              <w:spacing w:after="40"/>
              <w:ind w:left="0" w:firstLine="0"/>
            </w:pPr>
            <w:r w:rsidRPr="0060297A">
              <w:t>The annual financial report:</w:t>
            </w:r>
          </w:p>
          <w:p w:rsidR="00336793" w:rsidRPr="0060297A" w:rsidRDefault="00336793" w:rsidP="00DF0B96">
            <w:pPr>
              <w:pStyle w:val="TabletextIndent1"/>
            </w:pPr>
            <w:r w:rsidRPr="0060297A">
              <w:t>(a)</w:t>
            </w:r>
            <w:r w:rsidRPr="0060297A">
              <w:tab/>
              <w:t>must be prepared in the manner and form determined by the Minister, having regard to appropriate financial reporting frameworks;</w:t>
            </w:r>
          </w:p>
        </w:tc>
        <w:tc>
          <w:tcPr>
            <w:tcW w:w="3240" w:type="dxa"/>
            <w:shd w:val="clear" w:color="auto" w:fill="auto"/>
          </w:tcPr>
          <w:p w:rsidR="00336793" w:rsidRPr="00146F9C" w:rsidRDefault="00336793" w:rsidP="00DF0B96">
            <w:pPr>
              <w:pStyle w:val="Tabletext"/>
              <w:spacing w:after="40"/>
              <w:ind w:left="0" w:firstLine="0"/>
            </w:pPr>
            <w:r w:rsidRPr="00146F9C">
              <w:t>Manner is in accordance with Australian Accounting Standards and Ministerial Directions. Form is consolidated comprehensive operating statement, consolidated balance sheet, consolidated cash flow statement, consolidated statement of changes in equity and accompanying notes. Refer to Chapter 4</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
              <w:tabs>
                <w:tab w:val="left" w:pos="344"/>
              </w:tabs>
              <w:spacing w:after="40"/>
              <w:ind w:left="360" w:hanging="360"/>
            </w:pPr>
            <w:r w:rsidRPr="0060297A">
              <w:t>(b)</w:t>
            </w:r>
            <w:r w:rsidRPr="0060297A">
              <w:tab/>
              <w:t>must present fairly the financial position of the State and the Victorian general government sector at the end of the financial year; and</w:t>
            </w:r>
          </w:p>
        </w:tc>
        <w:tc>
          <w:tcPr>
            <w:tcW w:w="3240" w:type="dxa"/>
            <w:shd w:val="clear" w:color="auto" w:fill="auto"/>
          </w:tcPr>
          <w:p w:rsidR="00336793" w:rsidRPr="00146F9C" w:rsidRDefault="00336793" w:rsidP="00146F9C">
            <w:pPr>
              <w:pStyle w:val="Tabletext"/>
              <w:spacing w:after="40"/>
              <w:ind w:left="0" w:firstLine="0"/>
            </w:pPr>
            <w:r w:rsidRPr="00146F9C">
              <w:t>Consolidated balance sheet, page 27</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45E54" w:rsidRDefault="00336793" w:rsidP="00DF0B96">
            <w:pPr>
              <w:pStyle w:val="TableTextindent"/>
              <w:spacing w:after="40"/>
              <w:ind w:left="720" w:hanging="360"/>
            </w:pPr>
            <w:r>
              <w:t>(i</w:t>
            </w:r>
            <w:r w:rsidRPr="00645E54">
              <w:t>)</w:t>
            </w:r>
            <w:r w:rsidRPr="00645E54">
              <w:tab/>
              <w:t xml:space="preserve">the transactions of the </w:t>
            </w:r>
            <w:r>
              <w:t>Public Account;</w:t>
            </w:r>
          </w:p>
        </w:tc>
        <w:tc>
          <w:tcPr>
            <w:tcW w:w="3240" w:type="dxa"/>
            <w:shd w:val="clear" w:color="auto" w:fill="auto"/>
          </w:tcPr>
          <w:p w:rsidR="00336793" w:rsidRPr="00146F9C" w:rsidRDefault="00336793" w:rsidP="00146F9C">
            <w:pPr>
              <w:pStyle w:val="Tabletext"/>
              <w:spacing w:after="40"/>
              <w:ind w:left="0" w:firstLine="0"/>
            </w:pPr>
            <w:r w:rsidRPr="00146F9C">
              <w:t>Refer Chapter 4, Note 39 pages 163–192</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45E54" w:rsidRDefault="00336793" w:rsidP="00DF0B96">
            <w:pPr>
              <w:pStyle w:val="TableTextindent"/>
              <w:spacing w:after="40"/>
              <w:ind w:left="720" w:hanging="360"/>
            </w:pPr>
            <w:r w:rsidRPr="00645E54">
              <w:t>(ii)</w:t>
            </w:r>
            <w:r w:rsidRPr="00645E54">
              <w:tab/>
              <w:t>the transactions o</w:t>
            </w:r>
            <w:r>
              <w:t>n</w:t>
            </w:r>
            <w:r w:rsidRPr="00645E54">
              <w:t xml:space="preserve"> the Victorian general government sector; and</w:t>
            </w:r>
          </w:p>
        </w:tc>
        <w:tc>
          <w:tcPr>
            <w:tcW w:w="3240" w:type="dxa"/>
            <w:shd w:val="clear" w:color="auto" w:fill="auto"/>
          </w:tcPr>
          <w:p w:rsidR="00336793" w:rsidRPr="00146F9C" w:rsidRDefault="00336793" w:rsidP="00146F9C">
            <w:pPr>
              <w:pStyle w:val="Tabletext"/>
              <w:spacing w:after="40"/>
              <w:ind w:left="0" w:firstLine="0"/>
            </w:pPr>
            <w:r w:rsidRPr="00146F9C">
              <w:t>Refer Chapter 4, consolidated comprehensive operating statement page 26, consolidated cash flow statement page 28 and selected notes</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
              <w:spacing w:after="40"/>
              <w:ind w:left="720" w:hanging="360"/>
            </w:pPr>
            <w:r w:rsidRPr="0060297A">
              <w:t>(iii)</w:t>
            </w:r>
            <w:r w:rsidRPr="0060297A">
              <w:tab/>
              <w:t>other financial transactions of the State;</w:t>
            </w:r>
          </w:p>
        </w:tc>
        <w:tc>
          <w:tcPr>
            <w:tcW w:w="3240" w:type="dxa"/>
            <w:shd w:val="clear" w:color="auto" w:fill="auto"/>
          </w:tcPr>
          <w:p w:rsidR="00336793" w:rsidRPr="00146F9C" w:rsidRDefault="00336793" w:rsidP="00146F9C">
            <w:pPr>
              <w:pStyle w:val="Tabletext"/>
              <w:spacing w:after="40"/>
              <w:ind w:left="0" w:firstLine="0"/>
            </w:pPr>
            <w:r w:rsidRPr="00146F9C">
              <w:t>Refer Chapter 4, consolidated comprehensive operating statement page 26, consolidated cash flow statement page 28 and Notes 2–39, pages 58–192</w:t>
            </w:r>
          </w:p>
        </w:tc>
      </w:tr>
      <w:tr w:rsidR="00336793" w:rsidRPr="00185C53" w:rsidTr="00DF0B96">
        <w:trPr>
          <w:cantSplit/>
        </w:trPr>
        <w:tc>
          <w:tcPr>
            <w:tcW w:w="2250" w:type="dxa"/>
            <w:shd w:val="clear" w:color="auto" w:fill="auto"/>
          </w:tcPr>
          <w:p w:rsidR="00336793" w:rsidRPr="0060297A" w:rsidRDefault="00336793" w:rsidP="00DF0B96">
            <w:pPr>
              <w:pStyle w:val="Tabletext"/>
              <w:pageBreakBefore/>
              <w:spacing w:after="40"/>
              <w:ind w:left="187" w:hanging="187"/>
            </w:pPr>
          </w:p>
        </w:tc>
        <w:tc>
          <w:tcPr>
            <w:tcW w:w="4183" w:type="dxa"/>
            <w:shd w:val="clear" w:color="auto" w:fill="auto"/>
          </w:tcPr>
          <w:p w:rsidR="00336793" w:rsidRPr="0060297A" w:rsidRDefault="00336793" w:rsidP="00DF0B96">
            <w:pPr>
              <w:pStyle w:val="Tabletext"/>
              <w:spacing w:after="40"/>
              <w:ind w:left="0" w:firstLine="0"/>
            </w:pPr>
            <w:r w:rsidRPr="0060297A">
              <w:t>in respect of the financial year;</w:t>
            </w:r>
          </w:p>
        </w:tc>
        <w:tc>
          <w:tcPr>
            <w:tcW w:w="3240" w:type="dxa"/>
            <w:shd w:val="clear" w:color="auto" w:fill="auto"/>
          </w:tcPr>
          <w:p w:rsidR="00336793" w:rsidRPr="00185C53" w:rsidRDefault="00336793" w:rsidP="00DF0B96">
            <w:pPr>
              <w:pStyle w:val="Tabletext"/>
              <w:spacing w:after="40"/>
              <w:ind w:left="0" w:firstLine="0"/>
            </w:pP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1"/>
            </w:pPr>
            <w:r w:rsidRPr="0060297A">
              <w:t>(c)</w:t>
            </w:r>
            <w:r w:rsidRPr="0060297A">
              <w:tab/>
              <w:t>must include details of amounts pa</w:t>
            </w:r>
            <w:r>
              <w:t>id into working accounts under s</w:t>
            </w:r>
            <w:r w:rsidRPr="0060297A">
              <w:t>ection 23;</w:t>
            </w:r>
          </w:p>
        </w:tc>
        <w:tc>
          <w:tcPr>
            <w:tcW w:w="3240" w:type="dxa"/>
            <w:shd w:val="clear" w:color="auto" w:fill="auto"/>
          </w:tcPr>
          <w:p w:rsidR="00336793" w:rsidRPr="00146F9C" w:rsidRDefault="00336793" w:rsidP="00146F9C">
            <w:pPr>
              <w:pStyle w:val="Tabletext"/>
              <w:spacing w:after="40"/>
              <w:ind w:left="0" w:firstLine="0"/>
            </w:pPr>
            <w:r w:rsidRPr="00146F9C">
              <w:t>Refer Chapter 4, Note 39 Table (g), page 169</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1"/>
            </w:pPr>
            <w:r w:rsidRPr="0060297A">
              <w:t>(d)</w:t>
            </w:r>
            <w:r w:rsidRPr="0060297A">
              <w:tab/>
              <w:t>must include details of amounts allocated to departments d</w:t>
            </w:r>
            <w:r>
              <w:t>uring the financial year under s</w:t>
            </w:r>
            <w:r w:rsidRPr="0060297A">
              <w:t>ection 28;</w:t>
            </w:r>
          </w:p>
        </w:tc>
        <w:tc>
          <w:tcPr>
            <w:tcW w:w="3240" w:type="dxa"/>
            <w:shd w:val="clear" w:color="auto" w:fill="auto"/>
          </w:tcPr>
          <w:p w:rsidR="00336793" w:rsidRPr="00146F9C" w:rsidRDefault="00336793" w:rsidP="00DF0B96">
            <w:pPr>
              <w:pStyle w:val="Tabletext"/>
              <w:spacing w:after="40"/>
              <w:ind w:left="0" w:firstLine="0"/>
            </w:pPr>
            <w:r w:rsidRPr="00146F9C">
              <w:t>Refer Chapter 4, Note 39 Table (h), page 169</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1"/>
            </w:pPr>
            <w:r w:rsidRPr="0060297A">
              <w:t>(e)</w:t>
            </w:r>
            <w:r w:rsidRPr="0060297A">
              <w:tab/>
              <w:t>must include d</w:t>
            </w:r>
            <w:r>
              <w:t>etails of money credited under s</w:t>
            </w:r>
            <w:r w:rsidRPr="0060297A">
              <w:t>ection 29 to an item in a schedule to an appropriation Act for that financial year;</w:t>
            </w:r>
          </w:p>
        </w:tc>
        <w:tc>
          <w:tcPr>
            <w:tcW w:w="3240" w:type="dxa"/>
            <w:shd w:val="clear" w:color="auto" w:fill="auto"/>
          </w:tcPr>
          <w:p w:rsidR="00336793" w:rsidRPr="00146F9C" w:rsidRDefault="00336793" w:rsidP="00DF0B96">
            <w:pPr>
              <w:pStyle w:val="Tabletext"/>
              <w:spacing w:after="40"/>
              <w:ind w:left="0" w:firstLine="0"/>
            </w:pPr>
            <w:r w:rsidRPr="00146F9C">
              <w:t>Refer Chapter 4, Note 39 Table (j), page 171</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1"/>
            </w:pPr>
            <w:r w:rsidRPr="0060297A">
              <w:t>(f)</w:t>
            </w:r>
            <w:r w:rsidRPr="0060297A">
              <w:tab/>
              <w:t>must include particulars of amounts transferred in accord</w:t>
            </w:r>
            <w:r>
              <w:t>ance with determinations under s</w:t>
            </w:r>
            <w:r w:rsidRPr="0060297A">
              <w:t>ection 30 or 31;</w:t>
            </w:r>
          </w:p>
        </w:tc>
        <w:tc>
          <w:tcPr>
            <w:tcW w:w="3240" w:type="dxa"/>
            <w:shd w:val="clear" w:color="auto" w:fill="auto"/>
          </w:tcPr>
          <w:p w:rsidR="00336793" w:rsidRPr="00146F9C" w:rsidRDefault="00336793" w:rsidP="00DF0B96">
            <w:pPr>
              <w:pStyle w:val="Tabletext"/>
              <w:spacing w:after="40"/>
              <w:ind w:left="0" w:firstLine="0"/>
            </w:pPr>
            <w:r w:rsidRPr="00146F9C">
              <w:t>Refer Chapter 4, Note 39 Table (i), page 170</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1"/>
            </w:pPr>
            <w:r w:rsidRPr="0060297A">
              <w:t>(g)</w:t>
            </w:r>
            <w:r w:rsidRPr="0060297A">
              <w:tab/>
              <w:t>must include details of;</w:t>
            </w:r>
          </w:p>
        </w:tc>
        <w:tc>
          <w:tcPr>
            <w:tcW w:w="3240" w:type="dxa"/>
            <w:shd w:val="clear" w:color="auto" w:fill="auto"/>
          </w:tcPr>
          <w:p w:rsidR="00336793" w:rsidRPr="00146F9C" w:rsidRDefault="00336793" w:rsidP="00DF0B96">
            <w:pPr>
              <w:pStyle w:val="Tabletext"/>
              <w:spacing w:after="40"/>
              <w:ind w:left="0" w:firstLine="0"/>
            </w:pP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
              <w:spacing w:after="40"/>
              <w:ind w:left="720" w:hanging="360"/>
            </w:pPr>
            <w:r w:rsidRPr="0060297A">
              <w:t>(i)</w:t>
            </w:r>
            <w:r w:rsidRPr="0060297A">
              <w:tab/>
              <w:t>amounts appropriated in respect of the financial year as a r</w:t>
            </w:r>
            <w:r>
              <w:t>esult of a determination under s</w:t>
            </w:r>
            <w:r w:rsidRPr="0060297A">
              <w:t>ection 32 in respect of unused appropriation for the preceding financial year;</w:t>
            </w:r>
          </w:p>
        </w:tc>
        <w:tc>
          <w:tcPr>
            <w:tcW w:w="3240" w:type="dxa"/>
            <w:shd w:val="clear" w:color="auto" w:fill="auto"/>
          </w:tcPr>
          <w:p w:rsidR="00336793" w:rsidRPr="00146F9C" w:rsidRDefault="00336793" w:rsidP="00DF0B96">
            <w:pPr>
              <w:pStyle w:val="Tabletext"/>
              <w:spacing w:after="40"/>
              <w:ind w:left="0" w:firstLine="0"/>
            </w:pPr>
            <w:r w:rsidRPr="00146F9C">
              <w:t>Refer Chapte</w:t>
            </w:r>
            <w:r w:rsidR="00CD43C3">
              <w:t>r 4, Note 39 Table (k), page 172</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
              <w:spacing w:after="40"/>
              <w:ind w:left="720" w:hanging="360"/>
            </w:pPr>
            <w:r w:rsidRPr="0060297A">
              <w:t>(ii)</w:t>
            </w:r>
            <w:r w:rsidRPr="0060297A">
              <w:tab/>
              <w:t>the application during the financial year of amounts referred to in subparagraph (i); and</w:t>
            </w:r>
          </w:p>
        </w:tc>
        <w:tc>
          <w:tcPr>
            <w:tcW w:w="3240" w:type="dxa"/>
            <w:shd w:val="clear" w:color="auto" w:fill="auto"/>
          </w:tcPr>
          <w:p w:rsidR="00336793" w:rsidRPr="00146F9C" w:rsidRDefault="00336793" w:rsidP="00DF0B96">
            <w:pPr>
              <w:pStyle w:val="Tabletext"/>
              <w:spacing w:after="40"/>
              <w:ind w:left="0" w:firstLine="0"/>
            </w:pPr>
            <w:r w:rsidRPr="00146F9C">
              <w:t>Refer Chapter </w:t>
            </w:r>
            <w:r w:rsidR="00CD43C3">
              <w:t>4, Note 39 Table (k), page 172</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
              <w:spacing w:after="40"/>
              <w:ind w:left="720" w:hanging="360"/>
            </w:pPr>
            <w:r w:rsidRPr="0060297A">
              <w:t>(iii)</w:t>
            </w:r>
            <w:r w:rsidRPr="0060297A">
              <w:tab/>
              <w:t>amounts appropriated in respect of the next financial year as a r</w:t>
            </w:r>
            <w:r>
              <w:t>esult of a determination under s</w:t>
            </w:r>
            <w:r w:rsidRPr="0060297A">
              <w:t>ection 32 in respect of unused appropriation for the financial year;</w:t>
            </w:r>
          </w:p>
        </w:tc>
        <w:tc>
          <w:tcPr>
            <w:tcW w:w="3240" w:type="dxa"/>
            <w:shd w:val="clear" w:color="auto" w:fill="auto"/>
          </w:tcPr>
          <w:p w:rsidR="00336793" w:rsidRPr="00146F9C" w:rsidRDefault="00336793" w:rsidP="00DF0B96">
            <w:pPr>
              <w:pStyle w:val="Tabletext"/>
              <w:spacing w:after="40"/>
              <w:ind w:left="0" w:firstLine="0"/>
            </w:pPr>
            <w:r w:rsidRPr="00146F9C">
              <w:t>Refer Chapte</w:t>
            </w:r>
            <w:r w:rsidR="00CD43C3">
              <w:t>r 4, Note 39 Table (k), page 173</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ind w:left="187" w:hanging="187"/>
            </w:pPr>
          </w:p>
        </w:tc>
        <w:tc>
          <w:tcPr>
            <w:tcW w:w="4183" w:type="dxa"/>
            <w:shd w:val="clear" w:color="auto" w:fill="auto"/>
          </w:tcPr>
          <w:p w:rsidR="00336793" w:rsidRPr="0060297A" w:rsidRDefault="00336793" w:rsidP="00DF0B96">
            <w:pPr>
              <w:pStyle w:val="TabletextIndent1"/>
            </w:pPr>
            <w:r w:rsidRPr="0060297A">
              <w:t>(h)</w:t>
            </w:r>
            <w:r w:rsidRPr="0060297A">
              <w:tab/>
              <w:t>must include;</w:t>
            </w:r>
          </w:p>
        </w:tc>
        <w:tc>
          <w:tcPr>
            <w:tcW w:w="3240" w:type="dxa"/>
            <w:shd w:val="clear" w:color="auto" w:fill="auto"/>
          </w:tcPr>
          <w:p w:rsidR="00336793" w:rsidRPr="00146F9C" w:rsidRDefault="00336793" w:rsidP="00DF0B96">
            <w:pPr>
              <w:pStyle w:val="Tabletext"/>
              <w:spacing w:after="40"/>
              <w:ind w:left="0" w:firstLine="0"/>
            </w:pP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
              <w:tabs>
                <w:tab w:val="left" w:pos="344"/>
              </w:tabs>
              <w:spacing w:after="40"/>
              <w:ind w:left="706" w:hanging="362"/>
            </w:pPr>
            <w:r w:rsidRPr="0060297A">
              <w:t>(i)</w:t>
            </w:r>
            <w:r w:rsidRPr="0060297A">
              <w:tab/>
              <w:t xml:space="preserve">details of expenses and obligations met from money </w:t>
            </w:r>
            <w:r>
              <w:t>advanced to the Minister under s</w:t>
            </w:r>
            <w:r w:rsidRPr="0060297A">
              <w:t>ection 35(1) during the financial year; and</w:t>
            </w:r>
          </w:p>
        </w:tc>
        <w:tc>
          <w:tcPr>
            <w:tcW w:w="3240" w:type="dxa"/>
            <w:shd w:val="clear" w:color="auto" w:fill="auto"/>
          </w:tcPr>
          <w:p w:rsidR="00336793" w:rsidRPr="00146F9C" w:rsidRDefault="00336793" w:rsidP="00DF0B96">
            <w:pPr>
              <w:pStyle w:val="Tabletext"/>
              <w:spacing w:after="40"/>
              <w:ind w:left="0" w:firstLine="0"/>
            </w:pPr>
            <w:r w:rsidRPr="00146F9C">
              <w:t>Refer Chapter 4, Note 39 Table (m), page 176</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
              <w:tabs>
                <w:tab w:val="left" w:pos="344"/>
              </w:tabs>
              <w:spacing w:after="40"/>
              <w:ind w:left="706" w:hanging="362"/>
            </w:pPr>
            <w:r w:rsidRPr="0060297A">
              <w:t>(ii)</w:t>
            </w:r>
            <w:r w:rsidRPr="0060297A">
              <w:tab/>
              <w:t>a statement of the reasons for carrying forward any part of an unused advance to</w:t>
            </w:r>
            <w:r>
              <w:t xml:space="preserve"> the next financial year under s</w:t>
            </w:r>
            <w:r w:rsidRPr="0060297A">
              <w:t>ection 35(4);</w:t>
            </w:r>
          </w:p>
        </w:tc>
        <w:tc>
          <w:tcPr>
            <w:tcW w:w="3240" w:type="dxa"/>
            <w:shd w:val="clear" w:color="auto" w:fill="auto"/>
          </w:tcPr>
          <w:p w:rsidR="00336793" w:rsidRPr="00146F9C" w:rsidRDefault="00336793" w:rsidP="00DF0B96">
            <w:pPr>
              <w:pStyle w:val="Tabletext"/>
              <w:spacing w:after="40"/>
              <w:ind w:left="0" w:firstLine="0"/>
            </w:pPr>
            <w:r w:rsidRPr="00146F9C">
              <w:t>Refer Chapter 4, Note 39 see (n), page 176</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1"/>
            </w:pPr>
            <w:r w:rsidRPr="0060297A">
              <w:t>(i)</w:t>
            </w:r>
            <w:r w:rsidRPr="0060297A">
              <w:tab/>
              <w:t>must include details of payments made during the financial year out of money advanced to the Treasurer</w:t>
            </w:r>
            <w:r>
              <w:t xml:space="preserve"> in an annual appropriation Act </w:t>
            </w:r>
            <w:r w:rsidRPr="0060297A">
              <w:t>for that year to meet urgent claims;</w:t>
            </w:r>
          </w:p>
        </w:tc>
        <w:tc>
          <w:tcPr>
            <w:tcW w:w="3240" w:type="dxa"/>
            <w:shd w:val="clear" w:color="auto" w:fill="auto"/>
          </w:tcPr>
          <w:p w:rsidR="00336793" w:rsidRPr="00146F9C" w:rsidRDefault="00336793" w:rsidP="00DF0B96">
            <w:pPr>
              <w:pStyle w:val="Tabletext"/>
              <w:spacing w:after="40"/>
              <w:ind w:left="0" w:firstLine="0"/>
            </w:pPr>
            <w:r w:rsidRPr="00146F9C">
              <w:t>Refer Chapter 4, Note 39 Table (l), pages 174–175</w:t>
            </w:r>
          </w:p>
        </w:tc>
      </w:tr>
      <w:tr w:rsidR="00336793" w:rsidRPr="00185C53" w:rsidTr="00DF0B96">
        <w:trPr>
          <w:cantSplit/>
        </w:trPr>
        <w:tc>
          <w:tcPr>
            <w:tcW w:w="2250" w:type="dxa"/>
            <w:shd w:val="clear" w:color="auto" w:fill="auto"/>
          </w:tcPr>
          <w:p w:rsidR="00336793" w:rsidRPr="0060297A" w:rsidRDefault="00336793" w:rsidP="00DF0B96">
            <w:pPr>
              <w:pStyle w:val="Tabletext"/>
              <w:pageBreakBefore/>
              <w:ind w:left="187" w:hanging="187"/>
            </w:pPr>
          </w:p>
        </w:tc>
        <w:tc>
          <w:tcPr>
            <w:tcW w:w="4183" w:type="dxa"/>
            <w:shd w:val="clear" w:color="auto" w:fill="auto"/>
          </w:tcPr>
          <w:p w:rsidR="00336793" w:rsidRPr="0060297A" w:rsidRDefault="00336793" w:rsidP="00DF0B96">
            <w:pPr>
              <w:pStyle w:val="Tabletext"/>
              <w:tabs>
                <w:tab w:val="left" w:pos="344"/>
              </w:tabs>
              <w:ind w:left="362" w:hanging="362"/>
            </w:pPr>
            <w:r w:rsidRPr="0060297A">
              <w:t>(j)</w:t>
            </w:r>
            <w:r w:rsidRPr="0060297A">
              <w:tab/>
              <w:t>must include details of;</w:t>
            </w:r>
          </w:p>
        </w:tc>
        <w:tc>
          <w:tcPr>
            <w:tcW w:w="3240" w:type="dxa"/>
            <w:shd w:val="clear" w:color="auto" w:fill="auto"/>
          </w:tcPr>
          <w:p w:rsidR="00336793" w:rsidRPr="00185C53" w:rsidRDefault="00336793" w:rsidP="00DF0B96">
            <w:pPr>
              <w:pStyle w:val="Tabletext"/>
              <w:ind w:left="0" w:firstLine="0"/>
            </w:pPr>
          </w:p>
        </w:tc>
      </w:tr>
      <w:tr w:rsidR="00336793" w:rsidRPr="00185C53" w:rsidTr="00DF0B96">
        <w:trPr>
          <w:cantSplit/>
        </w:trPr>
        <w:tc>
          <w:tcPr>
            <w:tcW w:w="2250" w:type="dxa"/>
            <w:shd w:val="clear" w:color="auto" w:fill="auto"/>
          </w:tcPr>
          <w:p w:rsidR="00336793" w:rsidRPr="00B06225" w:rsidRDefault="00336793" w:rsidP="00DF0B96">
            <w:pPr>
              <w:pStyle w:val="Tabletext"/>
              <w:spacing w:after="40"/>
            </w:pPr>
          </w:p>
        </w:tc>
        <w:tc>
          <w:tcPr>
            <w:tcW w:w="4183" w:type="dxa"/>
            <w:shd w:val="clear" w:color="auto" w:fill="auto"/>
          </w:tcPr>
          <w:p w:rsidR="00336793" w:rsidRPr="0060297A" w:rsidRDefault="00336793" w:rsidP="00DF0B96">
            <w:pPr>
              <w:pStyle w:val="Tabletext"/>
              <w:tabs>
                <w:tab w:val="left" w:pos="344"/>
              </w:tabs>
              <w:spacing w:after="40"/>
              <w:ind w:left="706" w:hanging="362"/>
            </w:pPr>
            <w:r w:rsidRPr="0060297A">
              <w:t>(i)</w:t>
            </w:r>
            <w:r w:rsidRPr="0060297A">
              <w:tab/>
              <w:t>payments made during the financial year in fulfilment of any guarantee by the Government under any Act; and</w:t>
            </w:r>
          </w:p>
        </w:tc>
        <w:tc>
          <w:tcPr>
            <w:tcW w:w="3240" w:type="dxa"/>
            <w:shd w:val="clear" w:color="auto" w:fill="auto"/>
          </w:tcPr>
          <w:p w:rsidR="00336793" w:rsidRPr="00CD43C3" w:rsidRDefault="00336793" w:rsidP="00CD43C3">
            <w:pPr>
              <w:pStyle w:val="Tabletext"/>
              <w:spacing w:after="40"/>
              <w:ind w:left="0" w:firstLine="0"/>
            </w:pPr>
            <w:r w:rsidRPr="00CD43C3">
              <w:t>Refer Chapter 4, Note 39, see (</w:t>
            </w:r>
            <w:r w:rsidR="00CD43C3" w:rsidRPr="00CD43C3">
              <w:t>z), page 192</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
              <w:tabs>
                <w:tab w:val="left" w:pos="344"/>
              </w:tabs>
              <w:spacing w:after="40"/>
              <w:ind w:left="706" w:hanging="362"/>
            </w:pPr>
            <w:r w:rsidRPr="0060297A">
              <w:t>(ii)</w:t>
            </w:r>
            <w:r w:rsidRPr="0060297A">
              <w:tab/>
              <w:t>money received or recovered by the Minister or Treasurer during the financial year in respect of any guarantee payments;</w:t>
            </w:r>
          </w:p>
        </w:tc>
        <w:tc>
          <w:tcPr>
            <w:tcW w:w="3240" w:type="dxa"/>
            <w:shd w:val="clear" w:color="auto" w:fill="auto"/>
          </w:tcPr>
          <w:p w:rsidR="00336793" w:rsidRPr="00CD43C3" w:rsidRDefault="00336793" w:rsidP="00DF0B96">
            <w:pPr>
              <w:pStyle w:val="Tabletext"/>
              <w:spacing w:after="40"/>
              <w:ind w:left="0" w:firstLine="0"/>
            </w:pPr>
            <w:r w:rsidRPr="00CD43C3">
              <w:t>Refer Chapte</w:t>
            </w:r>
            <w:r w:rsidR="00CD43C3" w:rsidRPr="00CD43C3">
              <w:t>r 4, Note 39, see (z), page 192</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ind w:left="187" w:hanging="187"/>
            </w:pPr>
            <w:r w:rsidRPr="0060297A">
              <w:br w:type="page"/>
            </w:r>
          </w:p>
        </w:tc>
        <w:tc>
          <w:tcPr>
            <w:tcW w:w="4183" w:type="dxa"/>
            <w:shd w:val="clear" w:color="auto" w:fill="auto"/>
          </w:tcPr>
          <w:p w:rsidR="00336793" w:rsidRPr="0060297A" w:rsidRDefault="00336793" w:rsidP="00DF0B96">
            <w:pPr>
              <w:pStyle w:val="TabletextIndent1"/>
            </w:pPr>
            <w:r w:rsidRPr="0060297A">
              <w:t>(k)</w:t>
            </w:r>
            <w:r w:rsidRPr="0060297A">
              <w:tab/>
              <w:t>must include details, as at the end of the financial year, of;</w:t>
            </w:r>
          </w:p>
        </w:tc>
        <w:tc>
          <w:tcPr>
            <w:tcW w:w="3240" w:type="dxa"/>
            <w:shd w:val="clear" w:color="auto" w:fill="auto"/>
          </w:tcPr>
          <w:p w:rsidR="00336793" w:rsidRPr="00185C53" w:rsidRDefault="00336793" w:rsidP="00DF0B96">
            <w:pPr>
              <w:pStyle w:val="Tabletext"/>
              <w:spacing w:after="40"/>
              <w:ind w:left="0" w:firstLine="0"/>
            </w:pP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
              <w:tabs>
                <w:tab w:val="left" w:pos="344"/>
              </w:tabs>
              <w:spacing w:after="40"/>
              <w:ind w:left="706" w:hanging="362"/>
            </w:pPr>
            <w:r w:rsidRPr="0060297A">
              <w:t>(i)</w:t>
            </w:r>
            <w:r w:rsidRPr="0060297A">
              <w:tab/>
              <w:t>the liabilities (including contingent liabilities under guarantees and indemnities or in respect of superannuation payments and all other contingent liabilities) and assets of the State; and</w:t>
            </w:r>
          </w:p>
        </w:tc>
        <w:tc>
          <w:tcPr>
            <w:tcW w:w="3240" w:type="dxa"/>
            <w:shd w:val="clear" w:color="auto" w:fill="auto"/>
          </w:tcPr>
          <w:p w:rsidR="00336793" w:rsidRPr="00146F9C" w:rsidRDefault="00336793" w:rsidP="00146F9C">
            <w:pPr>
              <w:pStyle w:val="Tabletext"/>
              <w:spacing w:after="40"/>
              <w:ind w:left="0" w:firstLine="0"/>
            </w:pPr>
            <w:r w:rsidRPr="00146F9C">
              <w:t>Refer Chapter 4, Note 35 pages 149–154, Note 8 pages </w:t>
            </w:r>
            <w:r w:rsidRPr="00146F9C">
              <w:br/>
              <w:t>69–73 and consolidated balance sheet page 27</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
              <w:tabs>
                <w:tab w:val="left" w:pos="344"/>
              </w:tabs>
              <w:spacing w:after="40"/>
              <w:ind w:left="706" w:hanging="362"/>
            </w:pPr>
            <w:r w:rsidRPr="0060297A">
              <w:t>(ii)</w:t>
            </w:r>
            <w:r w:rsidRPr="0060297A">
              <w:tab/>
              <w:t>prescribed assets and prescribed liabilities of prescribed bodies;</w:t>
            </w:r>
          </w:p>
        </w:tc>
        <w:tc>
          <w:tcPr>
            <w:tcW w:w="3240" w:type="dxa"/>
            <w:shd w:val="clear" w:color="auto" w:fill="auto"/>
          </w:tcPr>
          <w:p w:rsidR="00336793" w:rsidRPr="00146F9C" w:rsidRDefault="00336793" w:rsidP="00146F9C">
            <w:pPr>
              <w:pStyle w:val="Tabletext"/>
              <w:spacing w:after="40"/>
              <w:ind w:left="0" w:firstLine="0"/>
            </w:pPr>
            <w:r w:rsidRPr="00146F9C">
              <w:t>Refer Chapter 4, Note 2 pages </w:t>
            </w:r>
            <w:r w:rsidRPr="00146F9C">
              <w:br/>
              <w:t>58–65, Refer Chapter 5, Table 5.2 page 207</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ind w:left="187" w:hanging="187"/>
            </w:pPr>
          </w:p>
        </w:tc>
        <w:tc>
          <w:tcPr>
            <w:tcW w:w="4183" w:type="dxa"/>
            <w:shd w:val="clear" w:color="auto" w:fill="auto"/>
          </w:tcPr>
          <w:p w:rsidR="00336793" w:rsidRPr="0060297A" w:rsidRDefault="00336793" w:rsidP="00DF0B96">
            <w:pPr>
              <w:pStyle w:val="TabletextIndent1"/>
            </w:pPr>
            <w:r w:rsidRPr="0060297A">
              <w:t>(m) must be audited by the Auditor</w:t>
            </w:r>
            <w:r>
              <w:noBreakHyphen/>
            </w:r>
            <w:r w:rsidRPr="0060297A">
              <w:t>General.</w:t>
            </w:r>
          </w:p>
        </w:tc>
        <w:tc>
          <w:tcPr>
            <w:tcW w:w="3240" w:type="dxa"/>
            <w:shd w:val="clear" w:color="auto" w:fill="auto"/>
          </w:tcPr>
          <w:p w:rsidR="00336793" w:rsidRPr="00146F9C" w:rsidRDefault="00336793" w:rsidP="00DF0B96">
            <w:pPr>
              <w:pStyle w:val="Tabletext"/>
              <w:spacing w:after="40"/>
              <w:ind w:left="0" w:firstLine="0"/>
            </w:pPr>
            <w:r w:rsidRPr="00146F9C">
              <w:t>Refer Chapter 4, Report of the Auditor</w:t>
            </w:r>
            <w:r>
              <w:noBreakHyphen/>
            </w:r>
            <w:r w:rsidRPr="00146F9C">
              <w:t>General, pages 22–24</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r w:rsidRPr="0060297A">
              <w:t>Section 26(1)</w:t>
            </w:r>
          </w:p>
        </w:tc>
        <w:tc>
          <w:tcPr>
            <w:tcW w:w="4183" w:type="dxa"/>
            <w:shd w:val="clear" w:color="auto" w:fill="auto"/>
          </w:tcPr>
          <w:p w:rsidR="00336793" w:rsidRPr="0060297A" w:rsidRDefault="00336793" w:rsidP="00DF0B96">
            <w:pPr>
              <w:pStyle w:val="Tabletext"/>
              <w:spacing w:after="40"/>
              <w:ind w:left="0" w:firstLine="0"/>
            </w:pPr>
            <w:r w:rsidRPr="0060297A">
              <w:t xml:space="preserve">The Minister must prepare a </w:t>
            </w:r>
            <w:r w:rsidRPr="0060297A">
              <w:rPr>
                <w:szCs w:val="24"/>
              </w:rPr>
              <w:t>quarterly</w:t>
            </w:r>
            <w:r w:rsidRPr="0060297A">
              <w:t xml:space="preserve"> financial report for each quarter of each financial year.</w:t>
            </w:r>
          </w:p>
        </w:tc>
        <w:tc>
          <w:tcPr>
            <w:tcW w:w="3240" w:type="dxa"/>
            <w:shd w:val="clear" w:color="auto" w:fill="auto"/>
          </w:tcPr>
          <w:p w:rsidR="00336793" w:rsidRPr="00146F9C" w:rsidRDefault="00336793" w:rsidP="00DF0B96">
            <w:pPr>
              <w:pStyle w:val="Tabletext"/>
              <w:spacing w:after="40"/>
              <w:ind w:left="0" w:firstLine="0"/>
            </w:pPr>
            <w:r w:rsidRPr="00146F9C">
              <w:t xml:space="preserve">Refer Appendix A, pages </w:t>
            </w:r>
            <w:r w:rsidRPr="00146F9C">
              <w:br/>
              <w:t>215–218</w:t>
            </w:r>
          </w:p>
        </w:tc>
      </w:tr>
      <w:tr w:rsidR="00336793" w:rsidRPr="00185C53" w:rsidTr="00DF0B96">
        <w:trPr>
          <w:cantSplit/>
        </w:trPr>
        <w:tc>
          <w:tcPr>
            <w:tcW w:w="2250" w:type="dxa"/>
            <w:shd w:val="clear" w:color="auto" w:fill="auto"/>
          </w:tcPr>
          <w:p w:rsidR="00336793" w:rsidRPr="0060297A" w:rsidRDefault="00336793" w:rsidP="00DF0B96">
            <w:pPr>
              <w:pStyle w:val="Tabletext"/>
            </w:pPr>
            <w:r w:rsidRPr="0060297A">
              <w:t>Section 26(2)</w:t>
            </w:r>
          </w:p>
        </w:tc>
        <w:tc>
          <w:tcPr>
            <w:tcW w:w="4183" w:type="dxa"/>
            <w:shd w:val="clear" w:color="auto" w:fill="auto"/>
          </w:tcPr>
          <w:p w:rsidR="00336793" w:rsidRPr="0060297A" w:rsidRDefault="00336793" w:rsidP="00DF0B96">
            <w:pPr>
              <w:pStyle w:val="Tabletext"/>
              <w:ind w:left="0" w:firstLine="0"/>
            </w:pPr>
            <w:r w:rsidRPr="0060297A">
              <w:t>A quarterly financial report comprises:</w:t>
            </w:r>
          </w:p>
        </w:tc>
        <w:tc>
          <w:tcPr>
            <w:tcW w:w="3240" w:type="dxa"/>
            <w:shd w:val="clear" w:color="auto" w:fill="auto"/>
          </w:tcPr>
          <w:p w:rsidR="00336793" w:rsidRPr="00146F9C" w:rsidRDefault="00336793" w:rsidP="00DF0B96">
            <w:pPr>
              <w:pStyle w:val="Tabletext"/>
              <w:ind w:left="0" w:firstLine="0"/>
            </w:pP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1"/>
            </w:pPr>
            <w:r w:rsidRPr="0060297A">
              <w:t>(a)</w:t>
            </w:r>
            <w:r w:rsidRPr="0060297A">
              <w:tab/>
              <w:t>a statement of financial performance of the Victorian general government sector for the quarter;</w:t>
            </w:r>
          </w:p>
        </w:tc>
        <w:tc>
          <w:tcPr>
            <w:tcW w:w="3240" w:type="dxa"/>
            <w:shd w:val="clear" w:color="auto" w:fill="auto"/>
          </w:tcPr>
          <w:p w:rsidR="00336793" w:rsidRPr="00146F9C" w:rsidRDefault="00CD43C3" w:rsidP="00DF0B96">
            <w:pPr>
              <w:pStyle w:val="Tabletext"/>
              <w:spacing w:after="40"/>
              <w:ind w:left="0" w:firstLine="0"/>
            </w:pPr>
            <w:r>
              <w:t>Refer Appendix A, pages</w:t>
            </w:r>
            <w:r>
              <w:br/>
              <w:t>215–216</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1"/>
            </w:pPr>
            <w:r w:rsidRPr="0060297A">
              <w:t>(b)</w:t>
            </w:r>
            <w:r w:rsidRPr="0060297A">
              <w:tab/>
              <w:t>a statement of financial position of the Victorian general government sector at the end of the quarter;</w:t>
            </w:r>
          </w:p>
        </w:tc>
        <w:tc>
          <w:tcPr>
            <w:tcW w:w="3240" w:type="dxa"/>
            <w:shd w:val="clear" w:color="auto" w:fill="auto"/>
          </w:tcPr>
          <w:p w:rsidR="00336793" w:rsidRPr="00146F9C" w:rsidRDefault="00336793" w:rsidP="00DF0B96">
            <w:pPr>
              <w:pStyle w:val="Tabletext"/>
              <w:spacing w:after="40"/>
              <w:ind w:left="0" w:firstLine="0"/>
            </w:pPr>
            <w:r w:rsidRPr="00146F9C">
              <w:t>Refer Appendix A, page 217</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1"/>
            </w:pPr>
            <w:r w:rsidRPr="0060297A">
              <w:t>(c)</w:t>
            </w:r>
            <w:r w:rsidRPr="0060297A">
              <w:tab/>
              <w:t>a statement of cash flows of the Victorian general government sector for the quarter; and</w:t>
            </w:r>
          </w:p>
        </w:tc>
        <w:tc>
          <w:tcPr>
            <w:tcW w:w="3240" w:type="dxa"/>
            <w:shd w:val="clear" w:color="auto" w:fill="auto"/>
          </w:tcPr>
          <w:p w:rsidR="00336793" w:rsidRPr="00146F9C" w:rsidRDefault="00336793" w:rsidP="00DF0B96">
            <w:pPr>
              <w:pStyle w:val="Tabletext"/>
              <w:spacing w:after="40"/>
              <w:ind w:left="0" w:firstLine="0"/>
            </w:pPr>
            <w:r w:rsidRPr="00146F9C">
              <w:t>Refer Appendix A, page 218</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p>
        </w:tc>
        <w:tc>
          <w:tcPr>
            <w:tcW w:w="4183" w:type="dxa"/>
            <w:shd w:val="clear" w:color="auto" w:fill="auto"/>
          </w:tcPr>
          <w:p w:rsidR="00336793" w:rsidRPr="0060297A" w:rsidRDefault="00336793" w:rsidP="00DF0B96">
            <w:pPr>
              <w:pStyle w:val="TabletextIndent1"/>
            </w:pPr>
            <w:r w:rsidRPr="0060297A">
              <w:t>(d)</w:t>
            </w:r>
            <w:r w:rsidRPr="0060297A">
              <w:tab/>
              <w:t>a statement of the accounting policies on which the statements required by paragraphs (a), (b) and (c) are based.</w:t>
            </w:r>
          </w:p>
        </w:tc>
        <w:tc>
          <w:tcPr>
            <w:tcW w:w="3240" w:type="dxa"/>
            <w:shd w:val="clear" w:color="auto" w:fill="auto"/>
          </w:tcPr>
          <w:p w:rsidR="00336793" w:rsidRPr="00146F9C" w:rsidRDefault="00336793" w:rsidP="00DF0B96">
            <w:pPr>
              <w:pStyle w:val="Tabletext"/>
              <w:spacing w:after="40"/>
              <w:ind w:left="0" w:firstLine="0"/>
            </w:pPr>
            <w:r w:rsidRPr="00146F9C">
              <w:t xml:space="preserve">Refer Chapter 4, Note 1 pages </w:t>
            </w:r>
            <w:r w:rsidRPr="00146F9C">
              <w:br/>
              <w:t>31–57</w:t>
            </w:r>
          </w:p>
        </w:tc>
      </w:tr>
      <w:tr w:rsidR="00336793" w:rsidRPr="00185C53" w:rsidTr="00DF0B96">
        <w:trPr>
          <w:cantSplit/>
        </w:trPr>
        <w:tc>
          <w:tcPr>
            <w:tcW w:w="2250" w:type="dxa"/>
            <w:shd w:val="clear" w:color="auto" w:fill="auto"/>
          </w:tcPr>
          <w:p w:rsidR="00336793" w:rsidRPr="0060297A" w:rsidRDefault="00336793" w:rsidP="00DF0B96">
            <w:pPr>
              <w:pStyle w:val="Tabletext"/>
              <w:spacing w:after="40"/>
            </w:pPr>
            <w:r w:rsidRPr="0060297A">
              <w:t>Section 26(2A)</w:t>
            </w:r>
          </w:p>
        </w:tc>
        <w:tc>
          <w:tcPr>
            <w:tcW w:w="4183" w:type="dxa"/>
            <w:shd w:val="clear" w:color="auto" w:fill="auto"/>
          </w:tcPr>
          <w:p w:rsidR="00336793" w:rsidRPr="0060297A" w:rsidRDefault="00336793" w:rsidP="00DF0B96">
            <w:pPr>
              <w:pStyle w:val="Tabletext"/>
              <w:spacing w:after="40"/>
              <w:ind w:left="0" w:firstLine="0"/>
            </w:pPr>
            <w:r w:rsidRPr="0060297A">
              <w:t>A quarterly financial report must be prepared in the manner and form determined by the Minister, having regard to appropriate financial reporting frameworks.</w:t>
            </w:r>
          </w:p>
        </w:tc>
        <w:tc>
          <w:tcPr>
            <w:tcW w:w="3240" w:type="dxa"/>
            <w:shd w:val="clear" w:color="auto" w:fill="auto"/>
          </w:tcPr>
          <w:p w:rsidR="00336793" w:rsidRPr="00146F9C" w:rsidRDefault="00336793" w:rsidP="00146F9C">
            <w:pPr>
              <w:pStyle w:val="Tabletext"/>
              <w:spacing w:after="40"/>
              <w:ind w:left="0" w:firstLine="0"/>
            </w:pPr>
            <w:r w:rsidRPr="00146F9C">
              <w:t>Refer to Appendix A for agreed form, pages 215–218</w:t>
            </w:r>
          </w:p>
        </w:tc>
      </w:tr>
      <w:tr w:rsidR="00336793" w:rsidRPr="00185C53" w:rsidTr="00DF0B96">
        <w:trPr>
          <w:cantSplit/>
        </w:trPr>
        <w:tc>
          <w:tcPr>
            <w:tcW w:w="2250" w:type="dxa"/>
            <w:tcBorders>
              <w:bottom w:val="single" w:sz="12" w:space="0" w:color="auto"/>
            </w:tcBorders>
            <w:shd w:val="clear" w:color="auto" w:fill="auto"/>
          </w:tcPr>
          <w:p w:rsidR="00336793" w:rsidRPr="0060297A" w:rsidRDefault="00336793" w:rsidP="00DF0B96">
            <w:pPr>
              <w:pStyle w:val="Tabletext"/>
              <w:spacing w:after="40"/>
              <w:ind w:left="187" w:hanging="187"/>
            </w:pPr>
            <w:r w:rsidRPr="0060297A">
              <w:t>Section 26(3A)</w:t>
            </w:r>
          </w:p>
        </w:tc>
        <w:tc>
          <w:tcPr>
            <w:tcW w:w="4183" w:type="dxa"/>
            <w:tcBorders>
              <w:bottom w:val="single" w:sz="12" w:space="0" w:color="auto"/>
            </w:tcBorders>
            <w:shd w:val="clear" w:color="auto" w:fill="auto"/>
          </w:tcPr>
          <w:p w:rsidR="00336793" w:rsidRPr="0060297A" w:rsidRDefault="00336793" w:rsidP="00DF0B96">
            <w:pPr>
              <w:pStyle w:val="Tabletext"/>
              <w:spacing w:after="40"/>
              <w:ind w:left="0" w:firstLine="0"/>
            </w:pPr>
            <w:r w:rsidRPr="0060297A">
              <w:t>The quarterly financial report for the quarter ending on 30 June in a financial year must include, in addition to the statements referred to in sub</w:t>
            </w:r>
            <w:r>
              <w:noBreakHyphen/>
              <w:t>s</w:t>
            </w:r>
            <w:r w:rsidRPr="0060297A">
              <w:t>ection (2)(a) to (d) for that quarter, those statements for the period of 12 months ending on that 30 June.</w:t>
            </w:r>
          </w:p>
        </w:tc>
        <w:tc>
          <w:tcPr>
            <w:tcW w:w="3240" w:type="dxa"/>
            <w:tcBorders>
              <w:bottom w:val="single" w:sz="12" w:space="0" w:color="auto"/>
            </w:tcBorders>
            <w:shd w:val="clear" w:color="auto" w:fill="auto"/>
          </w:tcPr>
          <w:p w:rsidR="00336793" w:rsidRPr="00146F9C" w:rsidRDefault="00336793" w:rsidP="00146F9C">
            <w:pPr>
              <w:pStyle w:val="Tabletext"/>
              <w:spacing w:after="40"/>
              <w:ind w:left="0" w:firstLine="0"/>
            </w:pPr>
            <w:r w:rsidRPr="00146F9C">
              <w:t>Refer to Chapter 4, consolidated comprehensive operating statement page 26, consolidated balance sheet page 27, consolidated cash flow statement page 28 and selected notes</w:t>
            </w:r>
          </w:p>
        </w:tc>
      </w:tr>
    </w:tbl>
    <w:p w:rsidR="00336793" w:rsidRDefault="00336793" w:rsidP="00DF0B96">
      <w:pPr>
        <w:pStyle w:val="Source"/>
      </w:pPr>
    </w:p>
    <w:p w:rsidR="00336793" w:rsidRDefault="00336793">
      <w:pPr>
        <w:spacing w:after="0"/>
        <w:rPr>
          <w:rFonts w:ascii="Calibri" w:hAnsi="Calibri"/>
          <w:i/>
          <w:sz w:val="16"/>
        </w:rPr>
      </w:pPr>
    </w:p>
    <w:p w:rsidR="00336793" w:rsidRDefault="00336793" w:rsidP="00DF0B96"/>
    <w:p w:rsidR="00336793" w:rsidRDefault="00336793" w:rsidP="00DF0B96"/>
    <w:p w:rsidR="00336793" w:rsidRDefault="00336793" w:rsidP="0028370C"/>
    <w:p w:rsidR="00336793" w:rsidRDefault="00336793" w:rsidP="009B024D">
      <w:pPr>
        <w:sectPr w:rsidR="00336793" w:rsidSect="003C06CE">
          <w:footerReference w:type="even" r:id="rId159"/>
          <w:footerReference w:type="default" r:id="rId160"/>
          <w:type w:val="oddPage"/>
          <w:pgSz w:w="11906" w:h="16838" w:code="9"/>
          <w:pgMar w:top="1152" w:right="1152" w:bottom="1152" w:left="1152" w:header="720" w:footer="720" w:gutter="0"/>
          <w:cols w:space="708"/>
          <w:docGrid w:linePitch="360"/>
        </w:sectPr>
      </w:pPr>
    </w:p>
    <w:p w:rsidR="00336793" w:rsidRPr="006E6031" w:rsidRDefault="00336793" w:rsidP="00DF0B96">
      <w:pPr>
        <w:pStyle w:val="ChapterHeading"/>
      </w:pPr>
      <w:bookmarkStart w:id="149" w:name="_Toc398715646"/>
      <w:bookmarkStart w:id="150" w:name="_Toc433984483"/>
      <w:r w:rsidRPr="006E6031">
        <w:lastRenderedPageBreak/>
        <w:t>Appendix C – Scope and style conventions</w:t>
      </w:r>
      <w:bookmarkEnd w:id="149"/>
      <w:bookmarkEnd w:id="150"/>
    </w:p>
    <w:p w:rsidR="00336793" w:rsidRPr="006E6031" w:rsidRDefault="00336793" w:rsidP="00DF0B96">
      <w:pPr>
        <w:pStyle w:val="Heading2"/>
        <w:rPr>
          <w:kern w:val="0"/>
        </w:rPr>
      </w:pPr>
      <w:r w:rsidRPr="006E6031">
        <w:rPr>
          <w:kern w:val="0"/>
        </w:rPr>
        <w:t>Scope of the Financial Report for the State of Victoria</w:t>
      </w:r>
    </w:p>
    <w:p w:rsidR="00336793" w:rsidRPr="006E6031" w:rsidRDefault="00336793" w:rsidP="00DF0B96">
      <w:pPr>
        <w:pStyle w:val="BulletText"/>
      </w:pPr>
      <w:r w:rsidRPr="006E6031">
        <w:t>The state financial outcome reflects the consolidation of all entities that are controlled by the Victorian State Government. Entities included in the state outcome include all government departments and other organisations which are legally constituted bodies that are controlled by the State.</w:t>
      </w:r>
    </w:p>
    <w:p w:rsidR="00336793" w:rsidRPr="006E6031" w:rsidRDefault="00336793" w:rsidP="00DF0B96">
      <w:pPr>
        <w:pStyle w:val="BulletText"/>
      </w:pPr>
      <w:r w:rsidRPr="006E6031">
        <w:t xml:space="preserve">The reporting structure for the entities reported in the </w:t>
      </w:r>
      <w:r w:rsidRPr="006E6031">
        <w:rPr>
          <w:i/>
        </w:rPr>
        <w:t xml:space="preserve">Financial Report </w:t>
      </w:r>
      <w:r w:rsidRPr="00D74102">
        <w:t>for the State of Victoria is based</w:t>
      </w:r>
      <w:r w:rsidRPr="006E6031">
        <w:t xml:space="preserve"> on that used in the System of National Accounts, and classifies each entity into either the general government sector, the public non</w:t>
      </w:r>
      <w:r>
        <w:noBreakHyphen/>
      </w:r>
      <w:r w:rsidRPr="006E6031">
        <w:t>financial corporation sector or the public financial corporation sector. The chart below provides an overview of this reporting structure as applied in Victoria.</w:t>
      </w:r>
    </w:p>
    <w:p w:rsidR="00336793" w:rsidRDefault="00336793" w:rsidP="00DF0B96">
      <w:pPr>
        <w:pStyle w:val="Chartheading"/>
      </w:pPr>
      <w:r w:rsidRPr="006E6031">
        <w:t>Chart C.1:</w:t>
      </w:r>
      <w:r w:rsidRPr="006E6031">
        <w:tab/>
        <w:t xml:space="preserve">Entity framework for the </w:t>
      </w:r>
      <w:r w:rsidRPr="002A003E">
        <w:t>State</w:t>
      </w:r>
      <w:r w:rsidRPr="006E6031">
        <w:t xml:space="preserve"> of Victoria</w:t>
      </w:r>
    </w:p>
    <w:p w:rsidR="00336793" w:rsidRDefault="00336793" w:rsidP="00DF0B96">
      <w:pPr>
        <w:pStyle w:val="Chartpara"/>
        <w:ind w:left="-180"/>
        <w:jc w:val="center"/>
      </w:pPr>
      <w:r>
        <w:rPr>
          <w:noProof/>
          <w:lang w:eastAsia="en-AU"/>
        </w:rPr>
        <mc:AlternateContent>
          <mc:Choice Requires="wpg">
            <w:drawing>
              <wp:inline distT="0" distB="0" distL="0" distR="0" wp14:anchorId="3F96686C" wp14:editId="0830C889">
                <wp:extent cx="5532120" cy="2185416"/>
                <wp:effectExtent l="0" t="0" r="11430" b="24765"/>
                <wp:docPr id="4" name="Group 4"/>
                <wp:cNvGraphicFramePr/>
                <a:graphic xmlns:a="http://schemas.openxmlformats.org/drawingml/2006/main">
                  <a:graphicData uri="http://schemas.microsoft.com/office/word/2010/wordprocessingGroup">
                    <wpg:wgp>
                      <wpg:cNvGrpSpPr/>
                      <wpg:grpSpPr>
                        <a:xfrm>
                          <a:off x="0" y="0"/>
                          <a:ext cx="5532120" cy="2185416"/>
                          <a:chOff x="0" y="0"/>
                          <a:chExt cx="5531727" cy="2184081"/>
                        </a:xfrm>
                      </wpg:grpSpPr>
                      <wps:wsp>
                        <wps:cNvPr id="5" name="Elbow Connector 27"/>
                        <wps:cNvCnPr/>
                        <wps:spPr>
                          <a:xfrm flipH="1" flipV="1">
                            <a:off x="1032206" y="976108"/>
                            <a:ext cx="0" cy="237490"/>
                          </a:xfrm>
                          <a:prstGeom prst="straightConnector1">
                            <a:avLst/>
                          </a:prstGeom>
                          <a:ln w="95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6" name="Rectangle 6"/>
                        <wps:cNvSpPr/>
                        <wps:spPr>
                          <a:xfrm>
                            <a:off x="0" y="0"/>
                            <a:ext cx="5530215" cy="37211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75590" w:rsidRPr="005F5BF6" w:rsidRDefault="00375590" w:rsidP="00DF0B96">
                              <w:pPr>
                                <w:pStyle w:val="Charttext"/>
                                <w:rPr>
                                  <w:sz w:val="28"/>
                                </w:rPr>
                              </w:pPr>
                              <w:r w:rsidRPr="005F5BF6">
                                <w:rPr>
                                  <w:sz w:val="28"/>
                                </w:rPr>
                                <w:t>State of Victoria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667568" y="600251"/>
                            <a:ext cx="2508885" cy="37211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75590" w:rsidRPr="005F5BF6" w:rsidRDefault="00375590" w:rsidP="00DF0B96">
                              <w:pPr>
                                <w:pStyle w:val="Charttext"/>
                                <w:tabs>
                                  <w:tab w:val="left" w:pos="450"/>
                                </w:tabs>
                              </w:pPr>
                              <w:r w:rsidRPr="005F5BF6">
                                <w:t>Non</w:t>
                              </w:r>
                              <w:r>
                                <w:noBreakHyphen/>
                              </w:r>
                              <w:r w:rsidRPr="005F5BF6">
                                <w:t>financial public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91711" y="1206111"/>
                            <a:ext cx="1506855" cy="372110"/>
                          </a:xfrm>
                          <a:prstGeom prst="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rsidR="00375590" w:rsidRPr="00CA4785" w:rsidRDefault="00375590" w:rsidP="00DF0B96">
                              <w:pPr>
                                <w:pStyle w:val="Charttext"/>
                                <w:rPr>
                                  <w:sz w:val="22"/>
                                  <w:szCs w:val="22"/>
                                </w:rPr>
                              </w:pPr>
                              <w:r w:rsidRPr="00CA4785">
                                <w:rPr>
                                  <w:sz w:val="22"/>
                                  <w:szCs w:val="22"/>
                                </w:rPr>
                                <w:t>General government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Rectangle 9"/>
                        <wps:cNvSpPr/>
                        <wps:spPr>
                          <a:xfrm>
                            <a:off x="2025144" y="1206111"/>
                            <a:ext cx="1506855" cy="372110"/>
                          </a:xfrm>
                          <a:prstGeom prst="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rsidR="00375590" w:rsidRPr="00CA4785" w:rsidRDefault="00375590" w:rsidP="00DF0B96">
                              <w:pPr>
                                <w:pStyle w:val="Charttext"/>
                                <w:rPr>
                                  <w:sz w:val="22"/>
                                  <w:szCs w:val="22"/>
                                </w:rPr>
                              </w:pPr>
                              <w:r w:rsidRPr="00CA4785">
                                <w:rPr>
                                  <w:sz w:val="22"/>
                                  <w:szCs w:val="22"/>
                                </w:rPr>
                                <w:t>Public non</w:t>
                              </w:r>
                              <w:r>
                                <w:rPr>
                                  <w:sz w:val="22"/>
                                  <w:szCs w:val="22"/>
                                </w:rPr>
                                <w:noBreakHyphen/>
                              </w:r>
                              <w:r w:rsidRPr="00CA4785">
                                <w:rPr>
                                  <w:sz w:val="22"/>
                                  <w:szCs w:val="22"/>
                                </w:rPr>
                                <w:t>financial corporations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 name="Rectangle 10"/>
                        <wps:cNvSpPr/>
                        <wps:spPr>
                          <a:xfrm>
                            <a:off x="3764187" y="1206111"/>
                            <a:ext cx="1506855" cy="372110"/>
                          </a:xfrm>
                          <a:prstGeom prst="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rsidR="00375590" w:rsidRPr="00CA4785" w:rsidRDefault="00375590" w:rsidP="00DF0B96">
                              <w:pPr>
                                <w:pStyle w:val="Charttext"/>
                                <w:rPr>
                                  <w:sz w:val="22"/>
                                  <w:szCs w:val="22"/>
                                </w:rPr>
                              </w:pPr>
                              <w:r w:rsidRPr="00CA4785">
                                <w:rPr>
                                  <w:sz w:val="22"/>
                                  <w:szCs w:val="22"/>
                                </w:rPr>
                                <w:t>Public financial corporations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 name="Elbow Connector 27"/>
                        <wps:cNvCnPr/>
                        <wps:spPr>
                          <a:xfrm flipH="1" flipV="1">
                            <a:off x="1924167" y="364638"/>
                            <a:ext cx="222" cy="237506"/>
                          </a:xfrm>
                          <a:prstGeom prst="straightConnector1">
                            <a:avLst/>
                          </a:prstGeom>
                          <a:ln w="95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2" name="Elbow Connector 27"/>
                        <wps:cNvCnPr/>
                        <wps:spPr>
                          <a:xfrm flipH="1" flipV="1">
                            <a:off x="2760030" y="970499"/>
                            <a:ext cx="0" cy="237490"/>
                          </a:xfrm>
                          <a:prstGeom prst="straightConnector1">
                            <a:avLst/>
                          </a:prstGeom>
                          <a:ln w="95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3" name="Elbow Connector 27"/>
                        <wps:cNvCnPr/>
                        <wps:spPr>
                          <a:xfrm flipH="1" flipV="1">
                            <a:off x="589031" y="1581969"/>
                            <a:ext cx="0" cy="237490"/>
                          </a:xfrm>
                          <a:prstGeom prst="straightConnector1">
                            <a:avLst/>
                          </a:prstGeom>
                          <a:ln w="95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4" name="Elbow Connector 27"/>
                        <wps:cNvCnPr/>
                        <wps:spPr>
                          <a:xfrm flipH="1" flipV="1">
                            <a:off x="1486601" y="1581969"/>
                            <a:ext cx="0" cy="237490"/>
                          </a:xfrm>
                          <a:prstGeom prst="straightConnector1">
                            <a:avLst/>
                          </a:prstGeom>
                          <a:ln w="95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5" name="Elbow Connector 27"/>
                        <wps:cNvCnPr/>
                        <wps:spPr>
                          <a:xfrm flipH="1" flipV="1">
                            <a:off x="2760030" y="1576359"/>
                            <a:ext cx="0" cy="237490"/>
                          </a:xfrm>
                          <a:prstGeom prst="straightConnector1">
                            <a:avLst/>
                          </a:prstGeom>
                          <a:ln w="95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6" name="Elbow Connector 27"/>
                        <wps:cNvCnPr/>
                        <wps:spPr>
                          <a:xfrm flipH="1" flipV="1">
                            <a:off x="4515902" y="1581969"/>
                            <a:ext cx="0" cy="237490"/>
                          </a:xfrm>
                          <a:prstGeom prst="straightConnector1">
                            <a:avLst/>
                          </a:prstGeom>
                          <a:ln w="95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7" name="Elbow Connector 27"/>
                        <wps:cNvCnPr/>
                        <wps:spPr>
                          <a:xfrm flipV="1">
                            <a:off x="4521512" y="381468"/>
                            <a:ext cx="0" cy="824865"/>
                          </a:xfrm>
                          <a:prstGeom prst="straightConnector1">
                            <a:avLst/>
                          </a:prstGeom>
                          <a:ln w="95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8" name="Rectangle 18"/>
                        <wps:cNvSpPr/>
                        <wps:spPr>
                          <a:xfrm>
                            <a:off x="1172452" y="1811971"/>
                            <a:ext cx="4359275" cy="37211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75590" w:rsidRPr="00CA4785" w:rsidRDefault="00375590" w:rsidP="00DF0B96">
                              <w:pPr>
                                <w:pStyle w:val="Charttext"/>
                                <w:rPr>
                                  <w:sz w:val="22"/>
                                  <w:szCs w:val="22"/>
                                </w:rPr>
                              </w:pPr>
                              <w:r w:rsidRPr="00CA4785">
                                <w:rPr>
                                  <w:sz w:val="22"/>
                                  <w:szCs w:val="22"/>
                                </w:rPr>
                                <w:t>Statutory authorities and other agencies controlled by 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5610" y="1811971"/>
                            <a:ext cx="1175385" cy="372110"/>
                          </a:xfrm>
                          <a:prstGeom prst="rect">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rsidR="00375590" w:rsidRPr="00CA4785" w:rsidRDefault="00375590" w:rsidP="00DF0B96">
                              <w:pPr>
                                <w:pStyle w:val="Charttext"/>
                                <w:rPr>
                                  <w:sz w:val="22"/>
                                  <w:szCs w:val="22"/>
                                </w:rPr>
                              </w:pPr>
                              <w:r>
                                <w:rPr>
                                  <w:sz w:val="22"/>
                                  <w:szCs w:val="22"/>
                                </w:rPr>
                                <w:t>Departments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4" o:spid="_x0000_s1027" style="width:435.6pt;height:172.1pt;mso-position-horizontal-relative:char;mso-position-vertical-relative:line" coordsize="55317,2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">
                <v:shapetype id="_x0000_t32" coordsize="21600,21600" o:spt="32" o:oned="t" path="m,l21600,21600e" filled="f">
                  <v:path arrowok="t" fillok="f" o:connecttype="none"/>
                  <o:lock v:ext="edit" shapetype="t"/>
                </v:shapetype>
                <v:shape id="Elbow Connector 27" o:spid="_x0000_s1028" type="#_x0000_t32" style="position:absolute;left:10322;top:9761;width:0;height:23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eYU8MAAADaAAAADwAAAGRycy9kb3ducmV2LnhtbESPQWvCQBSE70L/w/IKvQTd2GKR6CZI&#10;Qeip0NhCj4/sMxvNvo3ZbRL/vVsoeBxmvhlmW0y2FQP1vnGsYLlIQRBXTjdcK/g67OdrED4ga2wd&#10;k4IreSjyh9kWM+1G/qShDLWIJewzVGBC6DIpfWXIol+4jjh6R9dbDFH2tdQ9jrHctvI5TV+lxYbj&#10;gsGO3gxV5/LXKljxsjr9XPa+Ts7tyKZM1t8vH0o9PU67DYhAU7iH/+l3HTn4uxJv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3mFPDAAAA2gAAAA8AAAAAAAAAAAAA&#10;AAAAoQIAAGRycy9kb3ducmV2LnhtbFBLBQYAAAAABAAEAPkAAACRAwAAAAA=&#10;" strokecolor="black [3213]">
                  <v:stroke endarrow="classic" endarrowwidth="wide" endarrowlength="long"/>
                </v:shape>
                <v:rect id="Rectangle 6" o:spid="_x0000_s1029" style="position:absolute;width:55302;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ihcEA&#10;AADaAAAADwAAAGRycy9kb3ducmV2LnhtbESPQYvCMBSE7wv+h/AEb2vaHlSqsYgg68WDXVGPj+bZ&#10;VpuXbhO1/nuzsLDHYWa+YRZZbxrxoM7VlhXE4wgEcWF1zaWCw/fmcwbCeWSNjWVS8CIH2XLwscBU&#10;2yfv6ZH7UgQIuxQVVN63qZSuqMigG9uWOHgX2xn0QXal1B0+A9w0MomiiTRYc1iosKV1RcUtv5tA&#10;uf7kzt+/Truz2Uk7PZpTEidKjYb9ag7CU+//w3/trVYwgd8r4Qb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CooXBAAAA2gAAAA8AAAAAAAAAAAAAAAAAmAIAAGRycy9kb3du&#10;cmV2LnhtbFBLBQYAAAAABAAEAPUAAACGAwAAAAA=&#10;" fillcolor="white [3201]" strokecolor="black [3200]">
                  <v:textbox>
                    <w:txbxContent>
                      <w:p w:rsidR="00375590" w:rsidRPr="005F5BF6" w:rsidRDefault="00375590" w:rsidP="00DF0B96">
                        <w:pPr>
                          <w:pStyle w:val="Charttext"/>
                          <w:rPr>
                            <w:sz w:val="28"/>
                          </w:rPr>
                        </w:pPr>
                        <w:r w:rsidRPr="005F5BF6">
                          <w:rPr>
                            <w:sz w:val="28"/>
                          </w:rPr>
                          <w:t>State of Victoria</w:t>
                        </w:r>
                      </w:p>
                    </w:txbxContent>
                  </v:textbox>
                </v:rect>
                <v:rect id="Rectangle 7" o:spid="_x0000_s1030" style="position:absolute;left:6675;top:6002;width:25089;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HHsAA&#10;AADaAAAADwAAAGRycy9kb3ducmV2LnhtbESPQYvCMBSE7wv+h/AEb2tqD7pUo4ggevFgXdTjo3m2&#10;1ealNlHrvzeC4HGYmW+Yyaw1lbhT40rLCgb9CARxZnXJuYL/3fL3D4TzyBory6TgSQ5m087PBBNt&#10;H7yle+pzESDsElRQeF8nUrqsIIOub2vi4J1sY9AH2eRSN/gIcFPJOIqG0mDJYaHAmhYFZZf0ZgLl&#10;fE2dv60Om6PZSDvam0M8iJXqddv5GISn1n/Dn/ZaKxjB+0q4AX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4HHsAAAADaAAAADwAAAAAAAAAAAAAAAACYAgAAZHJzL2Rvd25y&#10;ZXYueG1sUEsFBgAAAAAEAAQA9QAAAIUDAAAAAA==&#10;" fillcolor="white [3201]" strokecolor="black [3200]">
                  <v:textbox>
                    <w:txbxContent>
                      <w:p w:rsidR="00375590" w:rsidRPr="005F5BF6" w:rsidRDefault="00375590" w:rsidP="00DF0B96">
                        <w:pPr>
                          <w:pStyle w:val="Charttext"/>
                          <w:tabs>
                            <w:tab w:val="left" w:pos="450"/>
                          </w:tabs>
                        </w:pPr>
                        <w:r w:rsidRPr="005F5BF6">
                          <w:t>Non</w:t>
                        </w:r>
                        <w:r>
                          <w:noBreakHyphen/>
                        </w:r>
                        <w:r w:rsidRPr="005F5BF6">
                          <w:t>financial public sector</w:t>
                        </w:r>
                      </w:p>
                    </w:txbxContent>
                  </v:textbox>
                </v:rect>
                <v:rect id="Rectangle 8" o:spid="_x0000_s1031" style="position:absolute;left:2917;top:12061;width:15068;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iPb0A&#10;AADaAAAADwAAAGRycy9kb3ducmV2LnhtbERPTYvCMBC9C/6HMII3Td2DSjUWEVw97EVdFo9DMzal&#10;zaQ2sXb/vTkIHh/ve531thYdtb50rGA2TUAQ506XXCj4vewnSxA+IGusHZOCf/KQbYaDNabaPflE&#10;3TkUIoawT1GBCaFJpfS5IYt+6hriyN1cazFE2BZSt/iM4baWX0kylxZLjg0GG9oZyqvzwyrI/4zB&#10;BevK33+W3/PKHoprYKXGo367AhGoDx/x233UCuLWeCXeAL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DHiPb0AAADaAAAADwAAAAAAAAAAAAAAAACYAgAAZHJzL2Rvd25yZXYu&#10;eG1sUEsFBgAAAAAEAAQA9QAAAIIDAAAAAA==&#10;" fillcolor="white [3212]" strokecolor="black [3200]">
                  <v:textbox inset=",0,,0">
                    <w:txbxContent>
                      <w:p w:rsidR="00375590" w:rsidRPr="00CA4785" w:rsidRDefault="00375590" w:rsidP="00DF0B96">
                        <w:pPr>
                          <w:pStyle w:val="Charttext"/>
                          <w:rPr>
                            <w:sz w:val="22"/>
                            <w:szCs w:val="22"/>
                          </w:rPr>
                        </w:pPr>
                        <w:r w:rsidRPr="00CA4785">
                          <w:rPr>
                            <w:sz w:val="22"/>
                            <w:szCs w:val="22"/>
                          </w:rPr>
                          <w:t>General government</w:t>
                        </w:r>
                      </w:p>
                    </w:txbxContent>
                  </v:textbox>
                </v:rect>
                <v:rect id="Rectangle 9" o:spid="_x0000_s1032" style="position:absolute;left:20251;top:12061;width:15068;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HpsEA&#10;AADaAAAADwAAAGRycy9kb3ducmV2LnhtbESPT4vCMBTE78J+h/AW9mbT9aBuNYosqHvw4h8Wj4/m&#10;2ZQ2L7WJWr+9EQSPw8z8hpnOO1uLK7W+dKzgO0lBEOdOl1woOOyX/TEIH5A11o5JwZ08zGcfvSlm&#10;2t14S9ddKESEsM9QgQmhyaT0uSGLPnENcfROrrUYomwLqVu8Rbit5SBNh9JiyXHBYEO/hvJqd7EK&#10;8n9jcMS68ufNeDWs7Lo4Blbq67NbTEAE6sI7/Gr/aQU/8LwSb4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9R6bBAAAA2gAAAA8AAAAAAAAAAAAAAAAAmAIAAGRycy9kb3du&#10;cmV2LnhtbFBLBQYAAAAABAAEAPUAAACGAwAAAAA=&#10;" fillcolor="white [3212]" strokecolor="black [3200]">
                  <v:textbox inset=",0,,0">
                    <w:txbxContent>
                      <w:p w:rsidR="00375590" w:rsidRPr="00CA4785" w:rsidRDefault="00375590" w:rsidP="00DF0B96">
                        <w:pPr>
                          <w:pStyle w:val="Charttext"/>
                          <w:rPr>
                            <w:sz w:val="22"/>
                            <w:szCs w:val="22"/>
                          </w:rPr>
                        </w:pPr>
                        <w:r w:rsidRPr="00CA4785">
                          <w:rPr>
                            <w:sz w:val="22"/>
                            <w:szCs w:val="22"/>
                          </w:rPr>
                          <w:t>Public non</w:t>
                        </w:r>
                        <w:r>
                          <w:rPr>
                            <w:sz w:val="22"/>
                            <w:szCs w:val="22"/>
                          </w:rPr>
                          <w:noBreakHyphen/>
                        </w:r>
                        <w:r w:rsidRPr="00CA4785">
                          <w:rPr>
                            <w:sz w:val="22"/>
                            <w:szCs w:val="22"/>
                          </w:rPr>
                          <w:t>financial corporations</w:t>
                        </w:r>
                      </w:p>
                    </w:txbxContent>
                  </v:textbox>
                </v:rect>
                <v:rect id="Rectangle 10" o:spid="_x0000_s1033" style="position:absolute;left:37641;top:12061;width:15069;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IC8IA&#10;AADbAAAADwAAAGRycy9kb3ducmV2LnhtbESPQW/CMAyF75P4D5GRdltTODBUCAghwXbgMoYQR6sx&#10;TdXGKU0G5d/Ph0m72XrP731ergffqjv1sQ5sYJLloIjLYGuuDJy+d29zUDEhW2wDk4EnRVivRi9L&#10;LGx48Bfdj6lSEsKxQAMupa7QOpaOPMYsdMSiXUPvMcnaV9r2+JBw3+ppns+0x5qlwWFHW0dlc/zx&#10;Bsqzc/jOtom3w3w/a/xHdUlszOt42CxAJRrSv/nv+tMKvtDLLzK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gLwgAAANsAAAAPAAAAAAAAAAAAAAAAAJgCAABkcnMvZG93&#10;bnJldi54bWxQSwUGAAAAAAQABAD1AAAAhwMAAAAA&#10;" fillcolor="white [3212]" strokecolor="black [3200]">
                  <v:textbox inset=",0,,0">
                    <w:txbxContent>
                      <w:p w:rsidR="00375590" w:rsidRPr="00CA4785" w:rsidRDefault="00375590" w:rsidP="00DF0B96">
                        <w:pPr>
                          <w:pStyle w:val="Charttext"/>
                          <w:rPr>
                            <w:sz w:val="22"/>
                            <w:szCs w:val="22"/>
                          </w:rPr>
                        </w:pPr>
                        <w:r w:rsidRPr="00CA4785">
                          <w:rPr>
                            <w:sz w:val="22"/>
                            <w:szCs w:val="22"/>
                          </w:rPr>
                          <w:t>Public financial corporations</w:t>
                        </w:r>
                      </w:p>
                    </w:txbxContent>
                  </v:textbox>
                </v:rect>
                <v:shape id="Elbow Connector 27" o:spid="_x0000_s1034" type="#_x0000_t32" style="position:absolute;left:19241;top:3646;width:2;height:23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fKXcEAAADbAAAADwAAAGRycy9kb3ducmV2LnhtbERPTYvCMBC9L/gfwgh7EU3rsiLVKLIg&#10;eFrYroLHoRmbajOpTdbWf28EYW/zeJ+zXPe2FjdqfeVYQTpJQBAXTldcKtj/bsdzED4ga6wdk4I7&#10;eVivBm9LzLTr+IdueShFDGGfoQITQpNJ6QtDFv3ENcSRO7nWYoiwLaVusYvhtpbTJJlJixXHBoMN&#10;fRkqLvmfVfDJaXE+Xre+HF3qjk0+mh8+vpV6H/abBYhAffgXv9w7Heen8Pw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Z8pdwQAAANsAAAAPAAAAAAAAAAAAAAAA&#10;AKECAABkcnMvZG93bnJldi54bWxQSwUGAAAAAAQABAD5AAAAjwMAAAAA&#10;" strokecolor="black [3213]">
                  <v:stroke endarrow="classic" endarrowwidth="wide" endarrowlength="long"/>
                </v:shape>
                <v:shape id="Elbow Connector 27" o:spid="_x0000_s1035" type="#_x0000_t32" style="position:absolute;left:27600;top:9704;width:0;height:23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VUKsAAAADbAAAADwAAAGRycy9kb3ducmV2LnhtbERPTYvCMBC9L/gfwgheRFNdVqQaRRYE&#10;T8J2FTwOzdhUm0m3ibb+eyMIe5vH+5zlurOVuFPjS8cKJuMEBHHudMmFgsPvdjQH4QOyxsoxKXiQ&#10;h/Wq97HEVLuWf+iehULEEPYpKjAh1KmUPjdk0Y9dTRy5s2sshgibQuoG2xhuKzlNkpm0WHJsMFjT&#10;t6H8mt2sgi+e5JfT39YXw2vVssmG8+PnXqlBv9ssQATqwr/47d7pOH8Kr1/iA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1VCrAAAAA2wAAAA8AAAAAAAAAAAAAAAAA&#10;oQIAAGRycy9kb3ducmV2LnhtbFBLBQYAAAAABAAEAPkAAACOAwAAAAA=&#10;" strokecolor="black [3213]">
                  <v:stroke endarrow="classic" endarrowwidth="wide" endarrowlength="long"/>
                </v:shape>
                <v:shape id="Elbow Connector 27" o:spid="_x0000_s1036" type="#_x0000_t32" style="position:absolute;left:5890;top:15819;width:0;height:23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xscIAAADbAAAADwAAAGRycy9kb3ducmV2LnhtbERPTWvCQBC9F/wPywi9iG7SUJHoKlII&#10;9FRoquBxyI7ZaHY2zW6T9N93C4Xe5vE+Z3eYbCsG6n3jWEG6SkAQV043XCs4fRTLDQgfkDW2jknB&#10;N3k47GcPO8y1G/mdhjLUIoawz1GBCaHLpfSVIYt+5TriyF1dbzFE2NdS9zjGcNvKpyRZS4sNxwaD&#10;Hb0Yqu7ll1XwzGl1u3wWvl7c25FNudicszelHufTcQsi0BT+xX/uVx3nZ/D7SzxA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nxscIAAADbAAAADwAAAAAAAAAAAAAA&#10;AAChAgAAZHJzL2Rvd25yZXYueG1sUEsFBgAAAAAEAAQA+QAAAJADAAAAAA==&#10;" strokecolor="black [3213]">
                  <v:stroke endarrow="classic" endarrowwidth="wide" endarrowlength="long"/>
                </v:shape>
                <v:shape id="Elbow Connector 27" o:spid="_x0000_s1037" type="#_x0000_t32" style="position:absolute;left:14866;top:15819;width:0;height:23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pxcEAAADbAAAADwAAAGRycy9kb3ducmV2LnhtbERPTYvCMBC9L/gfwgh7EU3VVaQaZVkQ&#10;9rRgVfA4NGNTbSa1ibb7742wsLd5vM9ZbTpbiQc1vnSsYDxKQBDnTpdcKDjst8MFCB+QNVaOScEv&#10;edise28rTLVreUePLBQihrBPUYEJoU6l9Lkhi37kauLInV1jMUTYFFI32MZwW8lJksylxZJjg8Ga&#10;vgzl1+xuFcx4nF9Ot60vBteqZZMNFsfpj1Lv/e5zCSJQF/7Ff+5vHed/wOuXeI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EGnFwQAAANsAAAAPAAAAAAAAAAAAAAAA&#10;AKECAABkcnMvZG93bnJldi54bWxQSwUGAAAAAAQABAD5AAAAjwMAAAAA&#10;" strokecolor="black [3213]">
                  <v:stroke endarrow="classic" endarrowwidth="wide" endarrowlength="long"/>
                </v:shape>
                <v:shape id="Elbow Connector 27" o:spid="_x0000_s1038" type="#_x0000_t32" style="position:absolute;left:27600;top:15763;width:0;height:23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MXsAAAADbAAAADwAAAGRycy9kb3ducmV2LnhtbERPTYvCMBC9C/sfwix4kTVVcZFqlEUQ&#10;PAlWF/Y4NGPTtZnUJtr6740geJvH+5zFqrOVuFHjS8cKRsMEBHHudMmFguNh8zUD4QOyxsoxKbiT&#10;h9Xyo7fAVLuW93TLQiFiCPsUFZgQ6lRKnxuy6IeuJo7cyTUWQ4RNIXWDbQy3lRwnybe0WHJsMFjT&#10;2lB+zq5WwZRH+f/fZeOLwblq2WSD2e9kp1T/s/uZgwjUhbf45d7qOH8Kz1/iA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czF7AAAAA2wAAAA8AAAAAAAAAAAAAAAAA&#10;oQIAAGRycy9kb3ducmV2LnhtbFBLBQYAAAAABAAEAPkAAACOAwAAAAA=&#10;" strokecolor="black [3213]">
                  <v:stroke endarrow="classic" endarrowwidth="wide" endarrowlength="long"/>
                </v:shape>
                <v:shape id="Elbow Connector 27" o:spid="_x0000_s1039" type="#_x0000_t32" style="position:absolute;left:45159;top:15819;width:0;height:23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5SKcAAAADbAAAADwAAAGRycy9kb3ducmV2LnhtbERPTYvCMBC9C/sfwix4kTVVUaQaZREE&#10;T4JVwePQzDbVZtJtou3++40geJvH+5zlurOVeFDjS8cKRsMEBHHudMmFgtNx+zUH4QOyxsoxKfgj&#10;D+vVR2+JqXYtH+iRhULEEPYpKjAh1KmUPjdk0Q9dTRy5H9dYDBE2hdQNtjHcVnKcJDNpseTYYLCm&#10;jaH8lt2tgimP8uvld+uLwa1q2WSD+XmyV6r/2X0vQATqwlv8cu90nD+D5y/xA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OUinAAAAA2wAAAA8AAAAAAAAAAAAAAAAA&#10;oQIAAGRycy9kb3ducmV2LnhtbFBLBQYAAAAABAAEAPkAAACOAwAAAAA=&#10;" strokecolor="black [3213]">
                  <v:stroke endarrow="classic" endarrowwidth="wide" endarrowlength="long"/>
                </v:shape>
                <v:shape id="Elbow Connector 27" o:spid="_x0000_s1040" type="#_x0000_t32" style="position:absolute;left:45215;top:3814;width:0;height:8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IbsEAAADbAAAADwAAAGRycy9kb3ducmV2LnhtbERPS4vCMBC+L/gfwgje1tTH+qhGEWEX&#10;YfFg9eJtbMa22ExKE2v990ZY2Nt8fM9ZrltTioZqV1hWMOhHIIhTqwvOFJyO358zEM4jaywtk4In&#10;OVivOh9LjLV98IGaxGcihLCLUUHufRVL6dKcDLq+rYgDd7W1QR9gnUld4yOEm1IOo2giDRYcGnKs&#10;aJtTekvuRkFps1l6m/+MJA/GuP9qfjfn50WpXrfdLEB4av2/+M+902H+FN6/h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BchuwQAAANsAAAAPAAAAAAAAAAAAAAAA&#10;AKECAABkcnMvZG93bnJldi54bWxQSwUGAAAAAAQABAD5AAAAjwMAAAAA&#10;" strokecolor="black [3213]">
                  <v:stroke endarrow="classic" endarrowwidth="wide" endarrowlength="long"/>
                </v:shape>
                <v:rect id="Rectangle 18" o:spid="_x0000_s1041" style="position:absolute;left:11724;top:18119;width:43593;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ricMA&#10;AADbAAAADwAAAGRycy9kb3ducmV2LnhtbESPMW/CQAyFdyT+w8lIbHAhQ4sCl6hCQu3CQIqA0cq5&#10;SdqcL80dkP77eqjU7Vl+/vzethhdp+40hNazgdUyAUVcedtybeD0vl+sQYWIbLHzTAZ+KECRTydb&#10;zKx/8JHuZayVQDhkaKCJsc+0DlVDDsPS98Sy+/CDwyjjUGs74EPgrtNpkjxphy3LhwZ72jVUfZU3&#10;J5TP7zLE2+vlcHUH7Z/P7pKuUmPms/FlAyrSGP/Nf9dvVuJLWOkiAn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6ricMAAADbAAAADwAAAAAAAAAAAAAAAACYAgAAZHJzL2Rv&#10;d25yZXYueG1sUEsFBgAAAAAEAAQA9QAAAIgDAAAAAA==&#10;" fillcolor="white [3201]" strokecolor="black [3200]">
                  <v:textbox>
                    <w:txbxContent>
                      <w:p w:rsidR="00375590" w:rsidRPr="00CA4785" w:rsidRDefault="00375590" w:rsidP="00DF0B96">
                        <w:pPr>
                          <w:pStyle w:val="Charttext"/>
                          <w:rPr>
                            <w:sz w:val="22"/>
                            <w:szCs w:val="22"/>
                          </w:rPr>
                        </w:pPr>
                        <w:r w:rsidRPr="00CA4785">
                          <w:rPr>
                            <w:sz w:val="22"/>
                            <w:szCs w:val="22"/>
                          </w:rPr>
                          <w:t>Statutory authorities and other agencies controlled by government</w:t>
                        </w:r>
                      </w:p>
                    </w:txbxContent>
                  </v:textbox>
                </v:rect>
                <v:rect id="Rectangle 19" o:spid="_x0000_s1042" style="position:absolute;left:56;top:18119;width:11753;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b/cAA&#10;AADbAAAADwAAAGRycy9kb3ducmV2LnhtbERPTWvCQBC9F/oflil4KbpRodjoKqIt6k1TL96G7JgN&#10;ZmdDdpuk/94VhN7m8T5nseptJVpqfOlYwXiUgCDOnS65UHD++R7OQPiArLFyTAr+yMNq+fqywFS7&#10;jk/UZqEQMYR9igpMCHUqpc8NWfQjVxNH7uoaiyHCppC6wS6G20pOkuRDWiw5NhisaWMov2W/VsGU&#10;3lt/3Hdf2+5CB7NzlyvrWqnBW7+egwjUh3/x073Xcf4nPH6JB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ib/cAAAADbAAAADwAAAAAAAAAAAAAAAACYAgAAZHJzL2Rvd25y&#10;ZXYueG1sUEsFBgAAAAAEAAQA9QAAAIUDAAAAAA==&#10;" fillcolor="#d8d8d8 [2732]" strokecolor="black [3200]">
                  <v:textbox>
                    <w:txbxContent>
                      <w:p w:rsidR="00375590" w:rsidRPr="00CA4785" w:rsidRDefault="00375590" w:rsidP="00DF0B96">
                        <w:pPr>
                          <w:pStyle w:val="Charttext"/>
                          <w:rPr>
                            <w:sz w:val="22"/>
                            <w:szCs w:val="22"/>
                          </w:rPr>
                        </w:pPr>
                        <w:r>
                          <w:rPr>
                            <w:sz w:val="22"/>
                            <w:szCs w:val="22"/>
                          </w:rPr>
                          <w:t>Departments</w:t>
                        </w:r>
                      </w:p>
                    </w:txbxContent>
                  </v:textbox>
                </v:rect>
                <w10:anchorlock/>
              </v:group>
            </w:pict>
          </mc:Fallback>
        </mc:AlternateContent>
      </w:r>
    </w:p>
    <w:p w:rsidR="00336793" w:rsidRDefault="00336793" w:rsidP="00DF0B96">
      <w:pPr>
        <w:pStyle w:val="Source"/>
        <w:ind w:left="360"/>
      </w:pPr>
      <w:r w:rsidRPr="006E6031">
        <w:t>Source: Department of Treasury and Finance</w:t>
      </w:r>
    </w:p>
    <w:p w:rsidR="00336793" w:rsidRPr="002A003E" w:rsidRDefault="00336793" w:rsidP="00DF0B96"/>
    <w:p w:rsidR="00336793" w:rsidRPr="006E6031" w:rsidRDefault="00336793" w:rsidP="00DF0B96">
      <w:pPr>
        <w:pStyle w:val="BulletText"/>
      </w:pPr>
      <w:r w:rsidRPr="006E6031">
        <w:t>The general government sector comprises all government departments, offices and other government bodies engaged in providing public services free of charge or at prices significantly below the cost of production. Some of these entities may also earn revenue from commercial activities, however such revenue represents less than half of their total revenue.</w:t>
      </w:r>
    </w:p>
    <w:p w:rsidR="00336793" w:rsidRPr="006E6031" w:rsidRDefault="00336793" w:rsidP="00DF0B96">
      <w:pPr>
        <w:pStyle w:val="BulletText"/>
      </w:pPr>
      <w:r w:rsidRPr="006E6031">
        <w:t>The public non</w:t>
      </w:r>
      <w:r>
        <w:noBreakHyphen/>
      </w:r>
      <w:r w:rsidRPr="006E6031">
        <w:t>financial corporation sector provides goods and services (of a non</w:t>
      </w:r>
      <w:r>
        <w:noBreakHyphen/>
      </w:r>
      <w:r w:rsidRPr="006E6031">
        <w:t>financial nature) within a competitive market, such as water authorities.</w:t>
      </w:r>
    </w:p>
    <w:p w:rsidR="00336793" w:rsidRPr="006E6031" w:rsidRDefault="00336793" w:rsidP="00DF0B96">
      <w:pPr>
        <w:pStyle w:val="BulletText"/>
      </w:pPr>
      <w:r w:rsidRPr="006E6031">
        <w:t xml:space="preserve">The public financial corporation sector comprises entities primarily engaged in the provision of financial services, including the Treasury Corporation of Victoria and the Transport Accident Commission. </w:t>
      </w:r>
    </w:p>
    <w:p w:rsidR="00336793" w:rsidRDefault="00336793" w:rsidP="00DF0B96"/>
    <w:p w:rsidR="00336793" w:rsidRPr="006E6031" w:rsidRDefault="00336793" w:rsidP="00DF0B96">
      <w:pPr>
        <w:pStyle w:val="Heading2"/>
        <w:rPr>
          <w:caps/>
          <w:kern w:val="0"/>
        </w:rPr>
      </w:pPr>
      <w:r>
        <w:rPr>
          <w:kern w:val="0"/>
        </w:rPr>
        <w:br w:type="page"/>
      </w:r>
      <w:r w:rsidRPr="006E6031">
        <w:rPr>
          <w:kern w:val="0"/>
        </w:rPr>
        <w:lastRenderedPageBreak/>
        <w:t>Style conventions</w:t>
      </w:r>
    </w:p>
    <w:p w:rsidR="00336793" w:rsidRPr="006E6031" w:rsidRDefault="00336793" w:rsidP="00DF0B96">
      <w:r w:rsidRPr="006E6031">
        <w:t>Figures in the tables and in the text have been rounded. Discrepancies in tables between totals and sums of components reflect rounding. Percentage variations in all tables are based on the underlying unrounded amounts.</w:t>
      </w:r>
    </w:p>
    <w:p w:rsidR="00336793" w:rsidRPr="006E6031" w:rsidRDefault="00336793" w:rsidP="00DF0B96">
      <w:r w:rsidRPr="006E6031">
        <w:t>The notation used in the tables is as follows:</w:t>
      </w:r>
    </w:p>
    <w:p w:rsidR="00336793" w:rsidRPr="006E6031" w:rsidRDefault="00336793" w:rsidP="00DF0B96">
      <w:pPr>
        <w:tabs>
          <w:tab w:val="left" w:pos="2694"/>
        </w:tabs>
        <w:ind w:left="851"/>
      </w:pPr>
      <w:r w:rsidRPr="006E6031">
        <w:t>n.a.</w:t>
      </w:r>
      <w:r w:rsidRPr="006E6031">
        <w:tab/>
        <w:t>not available or not applicable</w:t>
      </w:r>
    </w:p>
    <w:p w:rsidR="00336793" w:rsidRPr="006E6031" w:rsidRDefault="00336793" w:rsidP="00DF0B96">
      <w:pPr>
        <w:tabs>
          <w:tab w:val="left" w:pos="2694"/>
        </w:tabs>
        <w:ind w:left="851"/>
      </w:pPr>
      <w:r w:rsidRPr="006E6031">
        <w:t>1</w:t>
      </w:r>
      <w:r>
        <w:t> billion</w:t>
      </w:r>
      <w:r w:rsidRPr="006E6031">
        <w:tab/>
        <w:t>1</w:t>
      </w:r>
      <w:r>
        <w:t> </w:t>
      </w:r>
      <w:r w:rsidRPr="006E6031">
        <w:t>000</w:t>
      </w:r>
      <w:r>
        <w:t> million</w:t>
      </w:r>
    </w:p>
    <w:p w:rsidR="00336793" w:rsidRPr="006E6031" w:rsidRDefault="00336793" w:rsidP="00DF0B96">
      <w:pPr>
        <w:tabs>
          <w:tab w:val="left" w:pos="2694"/>
        </w:tabs>
        <w:ind w:left="851"/>
      </w:pPr>
      <w:r w:rsidRPr="006E6031">
        <w:t>1 basis point</w:t>
      </w:r>
      <w:r w:rsidRPr="006E6031">
        <w:tab/>
        <w:t>0.01</w:t>
      </w:r>
      <w:r>
        <w:t> per cent</w:t>
      </w:r>
    </w:p>
    <w:p w:rsidR="00336793" w:rsidRPr="006E6031" w:rsidRDefault="00336793" w:rsidP="00DF0B96">
      <w:pPr>
        <w:tabs>
          <w:tab w:val="left" w:pos="2694"/>
        </w:tabs>
        <w:ind w:left="851"/>
      </w:pPr>
      <w:r w:rsidRPr="006E6031">
        <w:t>..</w:t>
      </w:r>
      <w:r w:rsidRPr="006E6031">
        <w:tab/>
        <w:t>zero, or rounded to zero</w:t>
      </w:r>
    </w:p>
    <w:p w:rsidR="00336793" w:rsidRPr="006E6031" w:rsidRDefault="00336793" w:rsidP="00DF0B96">
      <w:pPr>
        <w:tabs>
          <w:tab w:val="left" w:pos="2694"/>
        </w:tabs>
        <w:ind w:left="851"/>
      </w:pPr>
      <w:r w:rsidRPr="006E6031">
        <w:t>(x xxx.x)</w:t>
      </w:r>
      <w:r w:rsidRPr="006E6031">
        <w:tab/>
        <w:t>negative amount</w:t>
      </w:r>
    </w:p>
    <w:p w:rsidR="00336793" w:rsidRPr="006E6031" w:rsidRDefault="00336793" w:rsidP="00DF0B96">
      <w:pPr>
        <w:tabs>
          <w:tab w:val="left" w:pos="2694"/>
        </w:tabs>
        <w:ind w:left="851"/>
      </w:pPr>
      <w:r w:rsidRPr="006E6031">
        <w:t>x xxx.0</w:t>
      </w:r>
      <w:r w:rsidRPr="006E6031">
        <w:tab/>
        <w:t>rounded amount</w:t>
      </w:r>
    </w:p>
    <w:p w:rsidR="00336793" w:rsidRPr="006E6031" w:rsidRDefault="00336793" w:rsidP="00DF0B96">
      <w:pPr>
        <w:tabs>
          <w:tab w:val="left" w:pos="2694"/>
        </w:tabs>
        <w:ind w:left="851"/>
      </w:pPr>
      <w:r w:rsidRPr="006E6031">
        <w:t>20</w:t>
      </w:r>
      <w:r>
        <w:t>1</w:t>
      </w:r>
      <w:r w:rsidRPr="006E6031">
        <w:t>x</w:t>
      </w:r>
      <w:r w:rsidRPr="006E6031">
        <w:tab/>
        <w:t>year period (Chapter 4)</w:t>
      </w:r>
    </w:p>
    <w:p w:rsidR="00336793" w:rsidRPr="006E6031" w:rsidRDefault="00336793" w:rsidP="00DF0B96">
      <w:pPr>
        <w:tabs>
          <w:tab w:val="left" w:pos="2694"/>
        </w:tabs>
        <w:ind w:left="851"/>
      </w:pPr>
      <w:r>
        <w:t>201x</w:t>
      </w:r>
      <w:r>
        <w:noBreakHyphen/>
        <w:t>1</w:t>
      </w:r>
      <w:r w:rsidRPr="006E6031">
        <w:t>x</w:t>
      </w:r>
      <w:r w:rsidRPr="006E6031">
        <w:tab/>
        <w:t>year period (other than in Chapter 4)</w:t>
      </w:r>
    </w:p>
    <w:p w:rsidR="00336793" w:rsidRPr="006E6031" w:rsidRDefault="00336793" w:rsidP="00DF0B96"/>
    <w:p w:rsidR="00336793" w:rsidRPr="006E6031" w:rsidRDefault="00336793" w:rsidP="00DF0B96">
      <w:r w:rsidRPr="00CE752E">
        <w:t>The Annual Financial Report</w:t>
      </w:r>
      <w:r w:rsidRPr="006E6031">
        <w:rPr>
          <w:i/>
        </w:rPr>
        <w:t xml:space="preserve"> </w:t>
      </w:r>
      <w:r w:rsidRPr="006E6031">
        <w:t>is based on the style set in the example of a general purpose financial report for a government in</w:t>
      </w:r>
      <w:r>
        <w:t xml:space="preserve"> illustrative example A of AASB </w:t>
      </w:r>
      <w:r w:rsidRPr="006E6031">
        <w:t xml:space="preserve">1049 </w:t>
      </w:r>
      <w:r w:rsidRPr="006E6031">
        <w:rPr>
          <w:i/>
        </w:rPr>
        <w:t>Whole of Government and General Government Sector Financial Reporting</w:t>
      </w:r>
      <w:r w:rsidRPr="006E6031">
        <w:t>. The styles used in other chapters of this document are generally consistent with those used in other publications relating to the annual budget papers.</w:t>
      </w:r>
    </w:p>
    <w:p w:rsidR="00336793" w:rsidRDefault="00336793" w:rsidP="00DF0B96"/>
    <w:p w:rsidR="00336793" w:rsidRDefault="00336793" w:rsidP="0028370C"/>
    <w:p w:rsidR="00336793" w:rsidRDefault="00336793" w:rsidP="0028370C"/>
    <w:sectPr w:rsidR="00336793" w:rsidSect="003C06CE">
      <w:footerReference w:type="even" r:id="rId161"/>
      <w:footerReference w:type="default" r:id="rId162"/>
      <w:type w:val="oddPage"/>
      <w:pgSz w:w="11906" w:h="16838" w:code="9"/>
      <w:pgMar w:top="1152" w:right="1152" w:bottom="1152" w:left="1152"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590" w:rsidRDefault="00375590" w:rsidP="00336793">
      <w:pPr>
        <w:spacing w:after="0"/>
      </w:pPr>
      <w:r>
        <w:separator/>
      </w:r>
    </w:p>
  </w:endnote>
  <w:endnote w:type="continuationSeparator" w:id="0">
    <w:p w:rsidR="00375590" w:rsidRDefault="00375590" w:rsidP="003367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antGarde Bk BT">
    <w:altName w:val="Arial"/>
    <w:charset w:val="00"/>
    <w:family w:val="swiss"/>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CC3972">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20</w:t>
    </w:r>
    <w:r>
      <w:rPr>
        <w:rStyle w:val="PageNumber"/>
      </w:rPr>
      <w:fldChar w:fldCharType="end"/>
    </w:r>
    <w:r>
      <w:tab/>
      <w:t>Chapter 3</w:t>
    </w:r>
    <w:r>
      <w:tab/>
      <w:t>2014</w:t>
    </w:r>
    <w:r>
      <w:noBreakHyphen/>
      <w:t>15 Financial Report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675356" w:rsidRDefault="00375590" w:rsidP="00DF0B96">
    <w:pPr>
      <w:pStyle w:val="Footer"/>
      <w:tabs>
        <w:tab w:val="clear" w:pos="7085"/>
        <w:tab w:val="center" w:pos="5940"/>
        <w:tab w:val="right" w:pos="9630"/>
      </w:tabs>
      <w:spacing w:after="0"/>
      <w:rPr>
        <w:rStyle w:val="PageNumber"/>
      </w:rPr>
    </w:pPr>
    <w:r>
      <w:t>2014</w:t>
    </w:r>
    <w:r>
      <w:noBreakHyphen/>
      <w:t>15 Financial Report</w:t>
    </w:r>
    <w:r>
      <w:tab/>
      <w:t>Chapter 3</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19</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28</w:t>
    </w:r>
    <w:r>
      <w:rPr>
        <w:rStyle w:val="PageNumber"/>
      </w:rPr>
      <w:fldChar w:fldCharType="end"/>
    </w:r>
    <w:r>
      <w:tab/>
      <w:t>Chapter 4</w:t>
    </w:r>
    <w:r>
      <w:tab/>
      <w:t>2014</w:t>
    </w:r>
    <w:r>
      <w:noBreakHyphen/>
      <w:t>15 Financial Report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27</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spacing w:after="0"/>
      <w:jc w:val="center"/>
      <w:rPr>
        <w:rFonts w:ascii="Arial" w:hAnsi="Arial" w:cs="Arial"/>
        <w:b/>
        <w:color w:val="FF0000"/>
        <w:sz w:val="29"/>
      </w:rPr>
    </w:pPr>
    <w:bookmarkStart w:id="29" w:name="aliashProtectiveMarkings1FooterFirstPage"/>
  </w:p>
  <w:bookmarkEnd w:id="29"/>
  <w:p w:rsidR="00375590" w:rsidRDefault="0037559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pPr>
    <w:r>
      <w:rPr>
        <w:noProof/>
        <w:lang w:eastAsia="en-AU"/>
      </w:rPr>
      <mc:AlternateContent>
        <mc:Choice Requires="wps">
          <w:drawing>
            <wp:anchor distT="0" distB="0" distL="114300" distR="114300" simplePos="0" relativeHeight="251676672" behindDoc="0" locked="0" layoutInCell="0" allowOverlap="1" wp14:anchorId="68768125" wp14:editId="25455AEF">
              <wp:simplePos x="0" y="0"/>
              <wp:positionH relativeFrom="page">
                <wp:posOffset>347345</wp:posOffset>
              </wp:positionH>
              <wp:positionV relativeFrom="page">
                <wp:posOffset>694690</wp:posOffset>
              </wp:positionV>
              <wp:extent cx="390525" cy="6190615"/>
              <wp:effectExtent l="4445" t="0" r="0" b="12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EvenFooterLandscape"/>
                          </w:pPr>
                          <w:r>
                            <w:fldChar w:fldCharType="begin"/>
                          </w:r>
                          <w:r>
                            <w:instrText xml:space="preserve"> PAGE   \* MERGEFORMAT </w:instrText>
                          </w:r>
                          <w:r>
                            <w:fldChar w:fldCharType="separate"/>
                          </w:r>
                          <w:r w:rsidR="00DA6577">
                            <w:rPr>
                              <w:noProof/>
                            </w:rPr>
                            <w:t>30</w:t>
                          </w:r>
                          <w:r>
                            <w:rPr>
                              <w:noProof/>
                            </w:rPr>
                            <w:fldChar w:fldCharType="end"/>
                          </w:r>
                          <w:r>
                            <w:tab/>
                            <w:t>Chapter 4</w:t>
                          </w:r>
                          <w:r>
                            <w:tab/>
                            <w:t>2014</w:t>
                          </w:r>
                          <w:r>
                            <w:noBreakHyphen/>
                            <w:t>15 Financial Report</w:t>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22" o:spid="_x0000_s1044" style="position:absolute;left:0;text-align:left;margin-left:27.35pt;margin-top:54.7pt;width:30.75pt;height:487.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" o:allowincell="f" filled="f" stroked="f">
              <v:textbox style="layout-flow:vertical">
                <w:txbxContent>
                  <w:p w:rsidR="00375590" w:rsidRDefault="00375590" w:rsidP="00DF0B96">
                    <w:pPr>
                      <w:pStyle w:val="EvenFooterLandscape"/>
                    </w:pPr>
                    <w:r>
                      <w:fldChar w:fldCharType="begin"/>
                    </w:r>
                    <w:r>
                      <w:instrText xml:space="preserve"> PAGE   \* MERGEFORMAT </w:instrText>
                    </w:r>
                    <w:r>
                      <w:fldChar w:fldCharType="separate"/>
                    </w:r>
                    <w:r w:rsidR="00DA6577">
                      <w:rPr>
                        <w:noProof/>
                      </w:rPr>
                      <w:t>30</w:t>
                    </w:r>
                    <w:r>
                      <w:rPr>
                        <w:noProof/>
                      </w:rPr>
                      <w:fldChar w:fldCharType="end"/>
                    </w:r>
                    <w:r>
                      <w:tab/>
                      <w:t>Chapter 4</w:t>
                    </w:r>
                    <w:r>
                      <w:tab/>
                      <w:t>2014</w:t>
                    </w:r>
                    <w:r>
                      <w:noBreakHyphen/>
                      <w:t>15 Financial Report</w:t>
                    </w:r>
                  </w:p>
                </w:txbxContent>
              </v:textbox>
              <w10:wrap anchorx="page" anchory="page"/>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rPr>
        <w:rStyle w:val="PageNumber"/>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30</w:t>
    </w:r>
    <w:r>
      <w:rPr>
        <w:rStyle w:val="PageNumber"/>
      </w:rPr>
      <w:fldChar w:fldCharType="end"/>
    </w:r>
    <w:r>
      <w:tab/>
      <w:t>Chapter 4</w:t>
    </w:r>
    <w:r>
      <w:tab/>
      <w:t>2014</w:t>
    </w:r>
    <w:r>
      <w:noBreakHyphen/>
      <w:t>15 Financial Report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63</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spacing w:after="0"/>
      <w:jc w:val="center"/>
      <w:rPr>
        <w:rFonts w:ascii="Arial" w:hAnsi="Arial" w:cs="Arial"/>
        <w:b/>
        <w:color w:val="FF0000"/>
        <w:sz w:val="29"/>
      </w:rPr>
    </w:pPr>
    <w:bookmarkStart w:id="34" w:name="aliashProtectiveMarkings3FooterFirstPage"/>
  </w:p>
  <w:bookmarkEnd w:id="34"/>
  <w:p w:rsidR="00375590" w:rsidRDefault="003755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CC3972">
    <w:pPr>
      <w:pStyle w:val="Footer"/>
      <w:pBdr>
        <w:top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pPr>
    <w:r>
      <w:rPr>
        <w:noProof/>
        <w:lang w:eastAsia="en-AU"/>
      </w:rPr>
      <mc:AlternateContent>
        <mc:Choice Requires="wps">
          <w:drawing>
            <wp:anchor distT="0" distB="0" distL="114300" distR="114300" simplePos="0" relativeHeight="251670528" behindDoc="0" locked="0" layoutInCell="0" allowOverlap="1" wp14:anchorId="6ABAD9B7" wp14:editId="1D3F2BE2">
              <wp:simplePos x="0" y="0"/>
              <wp:positionH relativeFrom="page">
                <wp:posOffset>347345</wp:posOffset>
              </wp:positionH>
              <wp:positionV relativeFrom="page">
                <wp:posOffset>694690</wp:posOffset>
              </wp:positionV>
              <wp:extent cx="390525" cy="6190615"/>
              <wp:effectExtent l="4445" t="0" r="0" b="12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64</w:t>
                          </w:r>
                          <w:r>
                            <w:rPr>
                              <w:noProof/>
                            </w:rPr>
                            <w:fldChar w:fldCharType="end"/>
                          </w:r>
                          <w:r>
                            <w:tab/>
                            <w:t>Chapter 4</w:t>
                          </w:r>
                          <w:r>
                            <w:tab/>
                            <w:t>2014</w:t>
                          </w:r>
                          <w:r>
                            <w:noBreakHyphen/>
                            <w:t>15 Financial Report</w:t>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26" o:spid="_x0000_s1046" style="position:absolute;left:0;text-align:left;margin-left:27.35pt;margin-top:54.7pt;width:30.75pt;height:487.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" o:allowincell="f" filled="f" stroked="f">
              <v:textbox style="layout-flow:vertical">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64</w:t>
                    </w:r>
                    <w:r>
                      <w:rPr>
                        <w:noProof/>
                      </w:rPr>
                      <w:fldChar w:fldCharType="end"/>
                    </w:r>
                    <w:r>
                      <w:tab/>
                      <w:t>Chapter 4</w:t>
                    </w:r>
                    <w:r>
                      <w:tab/>
                      <w:t>2014</w:t>
                    </w:r>
                    <w:r>
                      <w:noBreakHyphen/>
                      <w:t>15 Financial Report</w:t>
                    </w:r>
                  </w:p>
                </w:txbxContent>
              </v:textbox>
              <w10:wrap anchorx="page" anchory="page"/>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rPr>
        <w:rStyle w:val="PageNumber"/>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78</w:t>
    </w:r>
    <w:r>
      <w:rPr>
        <w:rStyle w:val="PageNumber"/>
      </w:rPr>
      <w:fldChar w:fldCharType="end"/>
    </w:r>
    <w:r>
      <w:tab/>
      <w:t>Chapter 4</w:t>
    </w:r>
    <w:r>
      <w:tab/>
      <w:t>2014</w:t>
    </w:r>
    <w:r>
      <w:noBreakHyphen/>
      <w:t>15 Financial Report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79</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pPr>
    <w:r>
      <w:rPr>
        <w:noProof/>
        <w:lang w:eastAsia="en-AU"/>
      </w:rPr>
      <mc:AlternateContent>
        <mc:Choice Requires="wps">
          <w:drawing>
            <wp:anchor distT="0" distB="0" distL="114300" distR="114300" simplePos="0" relativeHeight="251668480" behindDoc="0" locked="0" layoutInCell="0" allowOverlap="1" wp14:anchorId="6B381103" wp14:editId="60F18731">
              <wp:simplePos x="0" y="0"/>
              <wp:positionH relativeFrom="page">
                <wp:posOffset>347345</wp:posOffset>
              </wp:positionH>
              <wp:positionV relativeFrom="page">
                <wp:posOffset>694690</wp:posOffset>
              </wp:positionV>
              <wp:extent cx="390525" cy="6190615"/>
              <wp:effectExtent l="4445" t="0" r="0" b="1270"/>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80</w:t>
                          </w:r>
                          <w:r>
                            <w:rPr>
                              <w:noProof/>
                            </w:rPr>
                            <w:fldChar w:fldCharType="end"/>
                          </w:r>
                          <w:r>
                            <w:tab/>
                            <w:t>Chapter 4</w:t>
                          </w:r>
                          <w:r>
                            <w:tab/>
                            <w:t>2014</w:t>
                          </w:r>
                          <w:r>
                            <w:noBreakHyphen/>
                            <w:t>15 Financial Report</w:t>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48" style="position:absolute;left:0;text-align:left;margin-left:27.35pt;margin-top:54.7pt;width:30.75pt;height:487.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" o:allowincell="f" filled="f" stroked="f">
              <v:textbox style="layout-flow:vertical">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80</w:t>
                    </w:r>
                    <w:r>
                      <w:rPr>
                        <w:noProof/>
                      </w:rPr>
                      <w:fldChar w:fldCharType="end"/>
                    </w:r>
                    <w:r>
                      <w:tab/>
                      <w:t>Chapter 4</w:t>
                    </w:r>
                    <w:r>
                      <w:tab/>
                      <w:t>2014</w:t>
                    </w:r>
                    <w:r>
                      <w:noBreakHyphen/>
                      <w:t>15 Financial Report</w:t>
                    </w:r>
                  </w:p>
                </w:txbxContent>
              </v:textbox>
              <w10:wrap anchorx="page" anchory="page"/>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pBdr>
        <w:top w:val="none" w:sz="0" w:space="0" w:color="auto"/>
      </w:pBdr>
      <w:spacing w:after="0"/>
      <w:jc w:val="center"/>
      <w:rPr>
        <w:rStyle w:val="PageNumber"/>
        <w:rFonts w:ascii="Arial" w:hAnsi="Arial" w:cs="Arial"/>
        <w:b/>
        <w:color w:val="FF0000"/>
        <w:sz w:val="29"/>
      </w:rPr>
    </w:pPr>
    <w:bookmarkStart w:id="69" w:name="aliashProtectiveMarkings6FooterPrimary"/>
  </w:p>
  <w:bookmarkEnd w:id="69"/>
  <w:p w:rsidR="00375590" w:rsidRPr="00595240" w:rsidRDefault="00375590" w:rsidP="00DF0B96">
    <w:pPr>
      <w:pStyle w:val="Footer"/>
      <w:pBdr>
        <w:top w:val="none" w:sz="0" w:space="0" w:color="auto"/>
      </w:pBdr>
      <w:jc w:val="right"/>
      <w:rPr>
        <w:rStyle w:val="PageNumber"/>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3690"/>
        <w:tab w:val="right" w:pos="9630"/>
      </w:tabs>
      <w:spacing w:after="0"/>
      <w:jc w:val="center"/>
      <w:rPr>
        <w:rStyle w:val="PageNumber"/>
        <w:rFonts w:ascii="Arial" w:hAnsi="Arial" w:cs="Arial"/>
        <w:b/>
        <w:color w:val="FF0000"/>
        <w:sz w:val="29"/>
      </w:rPr>
    </w:pPr>
    <w:bookmarkStart w:id="70" w:name="aliashProtectiveMarkings7FooterEvenPages"/>
  </w:p>
  <w:bookmarkEnd w:id="70"/>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DA6577">
      <w:rPr>
        <w:rStyle w:val="PageNumber"/>
        <w:noProof/>
      </w:rPr>
      <w:t>82</w:t>
    </w:r>
    <w:r>
      <w:rPr>
        <w:rStyle w:val="PageNumber"/>
      </w:rPr>
      <w:fldChar w:fldCharType="end"/>
    </w:r>
    <w:r>
      <w:tab/>
      <w:t>Chapter x</w:t>
    </w:r>
    <w:r>
      <w:tab/>
      <w:t>20xx</w:t>
    </w:r>
    <w:r>
      <w:noBreakHyphen/>
      <w:t>xx Financial Report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81</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spacing w:after="0"/>
      <w:jc w:val="center"/>
      <w:rPr>
        <w:rFonts w:ascii="Arial" w:hAnsi="Arial" w:cs="Arial"/>
        <w:b/>
        <w:color w:val="FF0000"/>
        <w:sz w:val="29"/>
      </w:rPr>
    </w:pPr>
    <w:bookmarkStart w:id="71" w:name="aliashProtectiveMarkings7FooterFirstPage"/>
  </w:p>
  <w:bookmarkEnd w:id="71"/>
  <w:p w:rsidR="00375590" w:rsidRDefault="00375590">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pPr>
    <w:r>
      <w:rPr>
        <w:noProof/>
        <w:lang w:eastAsia="en-AU"/>
      </w:rPr>
      <mc:AlternateContent>
        <mc:Choice Requires="wps">
          <w:drawing>
            <wp:anchor distT="0" distB="0" distL="114300" distR="114300" simplePos="0" relativeHeight="251666432" behindDoc="0" locked="0" layoutInCell="0" allowOverlap="1" wp14:anchorId="51140123" wp14:editId="077C8452">
              <wp:simplePos x="0" y="0"/>
              <wp:positionH relativeFrom="page">
                <wp:posOffset>347345</wp:posOffset>
              </wp:positionH>
              <wp:positionV relativeFrom="page">
                <wp:posOffset>694690</wp:posOffset>
              </wp:positionV>
              <wp:extent cx="390525" cy="6190615"/>
              <wp:effectExtent l="4445" t="0" r="0" b="127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82</w:t>
                          </w:r>
                          <w:r>
                            <w:rPr>
                              <w:noProof/>
                            </w:rPr>
                            <w:fldChar w:fldCharType="end"/>
                          </w:r>
                          <w:r>
                            <w:tab/>
                            <w:t>Chapter 4</w:t>
                          </w:r>
                          <w:r>
                            <w:tab/>
                            <w:t>2014</w:t>
                          </w:r>
                          <w:r>
                            <w:noBreakHyphen/>
                            <w:t>15 Financial Report</w:t>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50" style="position:absolute;left:0;text-align:left;margin-left:27.35pt;margin-top:54.7pt;width:30.75pt;height:487.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" o:allowincell="f" filled="f" stroked="f">
              <v:textbox style="layout-flow:vertical">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82</w:t>
                    </w:r>
                    <w:r>
                      <w:rPr>
                        <w:noProof/>
                      </w:rPr>
                      <w:fldChar w:fldCharType="end"/>
                    </w:r>
                    <w:r>
                      <w:tab/>
                      <w:t>Chapter 4</w:t>
                    </w:r>
                    <w:r>
                      <w:tab/>
                      <w:t>2014</w:t>
                    </w:r>
                    <w:r>
                      <w:noBreakHyphen/>
                      <w:t>15 Financial Report</w:t>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3B" w:rsidRDefault="00CB3C3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pBdr>
        <w:top w:val="none" w:sz="0" w:space="0" w:color="auto"/>
      </w:pBdr>
      <w:spacing w:after="0"/>
      <w:jc w:val="center"/>
      <w:rPr>
        <w:rStyle w:val="PageNumber"/>
        <w:rFonts w:ascii="Arial" w:hAnsi="Arial" w:cs="Arial"/>
        <w:b/>
        <w:color w:val="FF0000"/>
        <w:sz w:val="29"/>
      </w:rPr>
    </w:pPr>
    <w:bookmarkStart w:id="72" w:name="aliashProtectiveMarkings8FooterPrimary"/>
  </w:p>
  <w:bookmarkEnd w:id="72"/>
  <w:p w:rsidR="00375590" w:rsidRPr="00595240" w:rsidRDefault="00375590" w:rsidP="00DF0B96">
    <w:pPr>
      <w:pStyle w:val="Footer"/>
      <w:pBdr>
        <w:top w:val="none" w:sz="0" w:space="0" w:color="auto"/>
      </w:pBdr>
      <w:jc w:val="right"/>
      <w:rPr>
        <w:rStyle w:val="PageNumber"/>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86</w:t>
    </w:r>
    <w:r>
      <w:rPr>
        <w:rStyle w:val="PageNumber"/>
      </w:rPr>
      <w:fldChar w:fldCharType="end"/>
    </w:r>
    <w:r>
      <w:tab/>
      <w:t>Chapter 4</w:t>
    </w:r>
    <w:r>
      <w:tab/>
      <w:t>2014</w:t>
    </w:r>
    <w:r>
      <w:noBreakHyphen/>
      <w:t>15 Financial Report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85</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pPr>
    <w:r>
      <w:rPr>
        <w:noProof/>
        <w:lang w:eastAsia="en-AU"/>
      </w:rPr>
      <mc:AlternateContent>
        <mc:Choice Requires="wps">
          <w:drawing>
            <wp:anchor distT="0" distB="0" distL="114300" distR="114300" simplePos="0" relativeHeight="251662336" behindDoc="0" locked="0" layoutInCell="0" allowOverlap="1" wp14:anchorId="4D362F51" wp14:editId="32C22565">
              <wp:simplePos x="0" y="0"/>
              <wp:positionH relativeFrom="page">
                <wp:posOffset>347345</wp:posOffset>
              </wp:positionH>
              <wp:positionV relativeFrom="page">
                <wp:posOffset>694690</wp:posOffset>
              </wp:positionV>
              <wp:extent cx="390525" cy="6190615"/>
              <wp:effectExtent l="4445" t="0" r="0" b="127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94</w:t>
                          </w:r>
                          <w:r>
                            <w:rPr>
                              <w:noProof/>
                            </w:rPr>
                            <w:fldChar w:fldCharType="end"/>
                          </w:r>
                          <w:r>
                            <w:tab/>
                            <w:t>Chapter 4</w:t>
                          </w:r>
                          <w:r>
                            <w:tab/>
                            <w:t>2014</w:t>
                          </w:r>
                          <w:r>
                            <w:noBreakHyphen/>
                            <w:t>15 Financial Report</w:t>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52" style="position:absolute;left:0;text-align:left;margin-left:27.35pt;margin-top:54.7pt;width:30.75pt;height:487.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" o:allowincell="f" filled="f" stroked="f">
              <v:textbox style="layout-flow:vertical">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94</w:t>
                    </w:r>
                    <w:r>
                      <w:rPr>
                        <w:noProof/>
                      </w:rPr>
                      <w:fldChar w:fldCharType="end"/>
                    </w:r>
                    <w:r>
                      <w:tab/>
                      <w:t>Chapter 4</w:t>
                    </w:r>
                    <w:r>
                      <w:tab/>
                      <w:t>2014</w:t>
                    </w:r>
                    <w:r>
                      <w:noBreakHyphen/>
                      <w:t>15 Financial Report</w:t>
                    </w:r>
                  </w:p>
                </w:txbxContent>
              </v:textbox>
              <w10:wrap anchorx="page" anchory="page"/>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rPr>
        <w:rStyle w:val="PageNumber"/>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104</w:t>
    </w:r>
    <w:r>
      <w:rPr>
        <w:rStyle w:val="PageNumber"/>
      </w:rPr>
      <w:fldChar w:fldCharType="end"/>
    </w:r>
    <w:r>
      <w:tab/>
      <w:t>Chapter 4</w:t>
    </w:r>
    <w:r>
      <w:tab/>
      <w:t>2014</w:t>
    </w:r>
    <w:r>
      <w:noBreakHyphen/>
      <w:t>15 Financial Report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103</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spacing w:after="0"/>
      <w:jc w:val="center"/>
      <w:rPr>
        <w:rFonts w:ascii="Arial" w:hAnsi="Arial" w:cs="Arial"/>
        <w:b/>
        <w:color w:val="FF0000"/>
        <w:sz w:val="29"/>
      </w:rPr>
    </w:pPr>
    <w:bookmarkStart w:id="92" w:name="aliashProtectiveMarking11FooterFirstPage"/>
  </w:p>
  <w:bookmarkEnd w:id="92"/>
  <w:p w:rsidR="00375590" w:rsidRDefault="00375590">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pBdr>
        <w:top w:val="none" w:sz="0" w:space="0" w:color="auto"/>
      </w:pBdr>
      <w:spacing w:after="0"/>
      <w:jc w:val="center"/>
      <w:rPr>
        <w:rFonts w:ascii="Arial" w:hAnsi="Arial" w:cs="Arial"/>
        <w:b/>
        <w:color w:val="FF0000"/>
        <w:sz w:val="29"/>
      </w:rPr>
    </w:pPr>
    <w:bookmarkStart w:id="93" w:name="aliashProtectiveMarking12FooterEvenPages"/>
  </w:p>
  <w:bookmarkEnd w:id="93"/>
  <w:p w:rsidR="00375590" w:rsidRPr="00595240" w:rsidRDefault="00375590" w:rsidP="00DF0B96">
    <w:pPr>
      <w:pStyle w:val="Footer"/>
      <w:pBdr>
        <w:top w:val="none" w:sz="0" w:space="0" w:color="auto"/>
      </w:pBdr>
      <w:jc w:val="right"/>
    </w:pPr>
    <w:r>
      <w:rPr>
        <w:noProof/>
        <w:lang w:eastAsia="en-AU"/>
      </w:rPr>
      <mc:AlternateContent>
        <mc:Choice Requires="wps">
          <w:drawing>
            <wp:anchor distT="0" distB="0" distL="114300" distR="114300" simplePos="0" relativeHeight="251678720" behindDoc="0" locked="0" layoutInCell="0" allowOverlap="1" wp14:anchorId="2AC9061C" wp14:editId="7CFC3044">
              <wp:simplePos x="0" y="0"/>
              <wp:positionH relativeFrom="page">
                <wp:posOffset>347345</wp:posOffset>
              </wp:positionH>
              <wp:positionV relativeFrom="page">
                <wp:posOffset>694690</wp:posOffset>
              </wp:positionV>
              <wp:extent cx="390525" cy="6190615"/>
              <wp:effectExtent l="4445" t="0" r="0" b="127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EvenFooterLandscape"/>
                          </w:pPr>
                          <w:r>
                            <w:fldChar w:fldCharType="begin"/>
                          </w:r>
                          <w:r>
                            <w:instrText xml:space="preserve"> PAGE   \* MERGEFORMAT </w:instrText>
                          </w:r>
                          <w:r>
                            <w:fldChar w:fldCharType="separate"/>
                          </w:r>
                          <w:r w:rsidR="00DA6577">
                            <w:rPr>
                              <w:noProof/>
                            </w:rPr>
                            <w:t>106</w:t>
                          </w:r>
                          <w:r>
                            <w:rPr>
                              <w:noProof/>
                            </w:rPr>
                            <w:fldChar w:fldCharType="end"/>
                          </w:r>
                          <w:r>
                            <w:tab/>
                            <w:t>Chapter4</w:t>
                          </w:r>
                          <w:r>
                            <w:tab/>
                            <w:t>2014</w:t>
                          </w:r>
                          <w:r>
                            <w:noBreakHyphen/>
                            <w:t>15 Financial Report</w:t>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54" style="position:absolute;left:0;text-align:left;margin-left:27.35pt;margin-top:54.7pt;width:30.75pt;height:487.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" o:allowincell="f" filled="f" stroked="f">
              <v:textbox style="layout-flow:vertical">
                <w:txbxContent>
                  <w:p w:rsidR="00375590" w:rsidRDefault="00375590" w:rsidP="00DF0B96">
                    <w:pPr>
                      <w:pStyle w:val="EvenFooterLandscape"/>
                    </w:pPr>
                    <w:r>
                      <w:fldChar w:fldCharType="begin"/>
                    </w:r>
                    <w:r>
                      <w:instrText xml:space="preserve"> PAGE   \* MERGEFORMAT </w:instrText>
                    </w:r>
                    <w:r>
                      <w:fldChar w:fldCharType="separate"/>
                    </w:r>
                    <w:r w:rsidR="00DA6577">
                      <w:rPr>
                        <w:noProof/>
                      </w:rPr>
                      <w:t>106</w:t>
                    </w:r>
                    <w:r>
                      <w:rPr>
                        <w:noProof/>
                      </w:rPr>
                      <w:fldChar w:fldCharType="end"/>
                    </w:r>
                    <w:r>
                      <w:tab/>
                      <w:t>Chapter4</w:t>
                    </w:r>
                    <w:r>
                      <w:tab/>
                      <w:t>2014</w:t>
                    </w:r>
                    <w:r>
                      <w:noBreakHyphen/>
                      <w:t>15 Financial Report</w:t>
                    </w:r>
                  </w:p>
                </w:txbxContent>
              </v:textbox>
              <w10:wrap anchorx="page" anchory="page"/>
            </v:rect>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rPr>
        <w:rStyle w:val="PageNumbe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28370C">
    <w:pPr>
      <w:pStyle w:val="Footer"/>
      <w:pBdr>
        <w:top w:val="none" w:sz="0" w:space="0" w:color="auto"/>
      </w:pBdr>
      <w:tabs>
        <w:tab w:val="clear" w:pos="7085"/>
        <w:tab w:val="center" w:pos="5940"/>
        <w:tab w:val="right" w:pos="9630"/>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ii</w:t>
    </w:r>
    <w:r>
      <w:rPr>
        <w:rStyle w:val="PageNumber"/>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108</w:t>
    </w:r>
    <w:r>
      <w:rPr>
        <w:rStyle w:val="PageNumber"/>
      </w:rPr>
      <w:fldChar w:fldCharType="end"/>
    </w:r>
    <w:r>
      <w:tab/>
      <w:t>Chapter 4</w:t>
    </w:r>
    <w:r>
      <w:tab/>
      <w:t>2014</w:t>
    </w:r>
    <w:r>
      <w:noBreakHyphen/>
      <w:t>15 Financial Report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109</w:t>
    </w:r>
    <w:r>
      <w:rPr>
        <w:rStyle w:val="PageNumber"/>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spacing w:after="0"/>
      <w:jc w:val="center"/>
      <w:rPr>
        <w:rFonts w:ascii="Arial" w:hAnsi="Arial" w:cs="Arial"/>
        <w:b/>
        <w:color w:val="FF0000"/>
        <w:sz w:val="29"/>
      </w:rPr>
    </w:pPr>
    <w:bookmarkStart w:id="99" w:name="aliashProtectiveMarking13FooterFirstPage"/>
  </w:p>
  <w:bookmarkEnd w:id="99"/>
  <w:p w:rsidR="00375590" w:rsidRDefault="00375590">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pPr>
    <w:r>
      <w:rPr>
        <w:noProof/>
        <w:lang w:eastAsia="en-AU"/>
      </w:rPr>
      <mc:AlternateContent>
        <mc:Choice Requires="wps">
          <w:drawing>
            <wp:anchor distT="0" distB="0" distL="114300" distR="114300" simplePos="0" relativeHeight="251672576" behindDoc="0" locked="0" layoutInCell="0" allowOverlap="1" wp14:anchorId="1C24FB60" wp14:editId="51CC620C">
              <wp:simplePos x="0" y="0"/>
              <wp:positionH relativeFrom="page">
                <wp:posOffset>347345</wp:posOffset>
              </wp:positionH>
              <wp:positionV relativeFrom="page">
                <wp:posOffset>694690</wp:posOffset>
              </wp:positionV>
              <wp:extent cx="390525" cy="6190615"/>
              <wp:effectExtent l="4445" t="0" r="0" b="127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112</w:t>
                          </w:r>
                          <w:r>
                            <w:rPr>
                              <w:noProof/>
                            </w:rPr>
                            <w:fldChar w:fldCharType="end"/>
                          </w:r>
                          <w:r>
                            <w:tab/>
                            <w:t>Chapter 4</w:t>
                          </w:r>
                          <w:r>
                            <w:tab/>
                            <w:t>2014</w:t>
                          </w:r>
                          <w:r>
                            <w:noBreakHyphen/>
                            <w:t>15 Financial Report</w:t>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56" style="position:absolute;left:0;text-align:left;margin-left:27.35pt;margin-top:54.7pt;width:30.75pt;height:487.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" o:allowincell="f" filled="f" stroked="f">
              <v:textbox style="layout-flow:vertical">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112</w:t>
                    </w:r>
                    <w:r>
                      <w:rPr>
                        <w:noProof/>
                      </w:rPr>
                      <w:fldChar w:fldCharType="end"/>
                    </w:r>
                    <w:r>
                      <w:tab/>
                      <w:t>Chapter 4</w:t>
                    </w:r>
                    <w:r>
                      <w:tab/>
                      <w:t>2014</w:t>
                    </w:r>
                    <w:r>
                      <w:noBreakHyphen/>
                      <w:t>15 Financial Report</w:t>
                    </w:r>
                  </w:p>
                </w:txbxContent>
              </v:textbox>
              <w10:wrap anchorx="page" anchory="page"/>
            </v:rect>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rPr>
        <w:rStyle w:val="PageNumber"/>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120</w:t>
    </w:r>
    <w:r>
      <w:rPr>
        <w:rStyle w:val="PageNumber"/>
      </w:rPr>
      <w:fldChar w:fldCharType="end"/>
    </w:r>
    <w:r>
      <w:tab/>
      <w:t>Chapter 4</w:t>
    </w:r>
    <w:r>
      <w:tab/>
      <w:t>2014</w:t>
    </w:r>
    <w:r>
      <w:noBreakHyphen/>
      <w:t>15 Financial Report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121</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spacing w:after="0"/>
      <w:jc w:val="center"/>
      <w:rPr>
        <w:rFonts w:ascii="Arial" w:hAnsi="Arial" w:cs="Arial"/>
        <w:b/>
        <w:color w:val="FF0000"/>
        <w:sz w:val="29"/>
      </w:rPr>
    </w:pPr>
    <w:bookmarkStart w:id="103" w:name="aliashProtectiveMarking15FooterFirstPage"/>
  </w:p>
  <w:bookmarkEnd w:id="103"/>
  <w:p w:rsidR="00375590" w:rsidRDefault="00375590">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pPr>
    <w:r>
      <w:rPr>
        <w:noProof/>
        <w:lang w:eastAsia="en-AU"/>
      </w:rPr>
      <mc:AlternateContent>
        <mc:Choice Requires="wps">
          <w:drawing>
            <wp:anchor distT="0" distB="0" distL="114300" distR="114300" simplePos="0" relativeHeight="251660288" behindDoc="0" locked="0" layoutInCell="0" allowOverlap="1" wp14:anchorId="0D6A6829" wp14:editId="462AB74C">
              <wp:simplePos x="0" y="0"/>
              <wp:positionH relativeFrom="page">
                <wp:posOffset>347345</wp:posOffset>
              </wp:positionH>
              <wp:positionV relativeFrom="page">
                <wp:posOffset>694690</wp:posOffset>
              </wp:positionV>
              <wp:extent cx="390525" cy="6190615"/>
              <wp:effectExtent l="4445" t="0" r="0" b="127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122</w:t>
                          </w:r>
                          <w:r>
                            <w:rPr>
                              <w:noProof/>
                            </w:rPr>
                            <w:fldChar w:fldCharType="end"/>
                          </w:r>
                          <w:r>
                            <w:tab/>
                            <w:t>Chapter 4</w:t>
                          </w:r>
                          <w:r>
                            <w:tab/>
                            <w:t>2014</w:t>
                          </w:r>
                          <w:r>
                            <w:noBreakHyphen/>
                            <w:t>15 Financial Report</w:t>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38" o:spid="_x0000_s1058" style="position:absolute;left:0;text-align:left;margin-left:27.35pt;margin-top:54.7pt;width:30.75pt;height:487.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" o:allowincell="f" filled="f" stroked="f">
              <v:textbox style="layout-flow:vertical">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122</w:t>
                    </w:r>
                    <w:r>
                      <w:rPr>
                        <w:noProof/>
                      </w:rPr>
                      <w:fldChar w:fldCharType="end"/>
                    </w:r>
                    <w:r>
                      <w:tab/>
                      <w:t>Chapter 4</w:t>
                    </w:r>
                    <w:r>
                      <w:tab/>
                      <w:t>2014</w:t>
                    </w:r>
                    <w:r>
                      <w:noBreakHyphen/>
                      <w:t>15 Financial Report</w:t>
                    </w:r>
                  </w:p>
                </w:txbxContent>
              </v:textbox>
              <w10:wrap anchorx="page" anchory="page"/>
            </v:rect>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pBdr>
        <w:top w:val="none" w:sz="0" w:space="0" w:color="auto"/>
      </w:pBdr>
      <w:spacing w:after="0"/>
      <w:jc w:val="center"/>
      <w:rPr>
        <w:rStyle w:val="PageNumber"/>
        <w:rFonts w:ascii="Arial" w:hAnsi="Arial" w:cs="Arial"/>
        <w:b/>
        <w:color w:val="FF0000"/>
        <w:sz w:val="29"/>
      </w:rPr>
    </w:pPr>
    <w:bookmarkStart w:id="104" w:name="aliashProtectiveMarkings16FooterPrimary"/>
  </w:p>
  <w:bookmarkEnd w:id="104"/>
  <w:p w:rsidR="00375590" w:rsidRPr="00595240" w:rsidRDefault="00375590" w:rsidP="00DF0B96">
    <w:pPr>
      <w:pStyle w:val="Footer"/>
      <w:pBdr>
        <w:top w:val="none" w:sz="0" w:space="0" w:color="auto"/>
      </w:pBdr>
      <w:jc w:val="right"/>
      <w:rPr>
        <w:rStyle w:val="PageNumbe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pBdr>
        <w:top w:val="none" w:sz="0" w:space="0" w:color="auto"/>
      </w:pBdr>
      <w:tabs>
        <w:tab w:val="clear" w:pos="7085"/>
        <w:tab w:val="center" w:pos="5940"/>
        <w:tab w:val="right" w:pos="9630"/>
      </w:tabs>
      <w:spacing w:after="0"/>
      <w:rPr>
        <w:rStyle w:val="PageNumber"/>
      </w:rP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i</w:t>
    </w:r>
    <w:r>
      <w:rPr>
        <w:rStyle w:val="PageNumber"/>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128</w:t>
    </w:r>
    <w:r>
      <w:rPr>
        <w:rStyle w:val="PageNumber"/>
      </w:rPr>
      <w:fldChar w:fldCharType="end"/>
    </w:r>
    <w:r>
      <w:tab/>
      <w:t>Chapter 4</w:t>
    </w:r>
    <w:r>
      <w:tab/>
      <w:t>2014</w:t>
    </w:r>
    <w:r>
      <w:noBreakHyphen/>
      <w:t>15 Financial Report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127</w:t>
    </w:r>
    <w:r>
      <w:rPr>
        <w:rStyle w:val="PageNumber"/>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spacing w:after="0"/>
      <w:jc w:val="center"/>
      <w:rPr>
        <w:rFonts w:ascii="Arial" w:hAnsi="Arial" w:cs="Arial"/>
        <w:b/>
        <w:color w:val="FF0000"/>
        <w:sz w:val="29"/>
      </w:rPr>
    </w:pPr>
    <w:bookmarkStart w:id="108" w:name="aliashProtectiveMarking17FooterFirstPage"/>
  </w:p>
  <w:bookmarkEnd w:id="108"/>
  <w:p w:rsidR="00375590" w:rsidRDefault="00375590">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pPr>
    <w:r>
      <w:rPr>
        <w:noProof/>
        <w:lang w:eastAsia="en-AU"/>
      </w:rPr>
      <mc:AlternateContent>
        <mc:Choice Requires="wps">
          <w:drawing>
            <wp:anchor distT="0" distB="0" distL="114300" distR="114300" simplePos="0" relativeHeight="251664384" behindDoc="0" locked="0" layoutInCell="0" allowOverlap="1" wp14:anchorId="4B03188A" wp14:editId="50D131A9">
              <wp:simplePos x="0" y="0"/>
              <wp:positionH relativeFrom="page">
                <wp:posOffset>347345</wp:posOffset>
              </wp:positionH>
              <wp:positionV relativeFrom="page">
                <wp:posOffset>694690</wp:posOffset>
              </wp:positionV>
              <wp:extent cx="390525" cy="6190615"/>
              <wp:effectExtent l="4445" t="0" r="0" b="1270"/>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132</w:t>
                          </w:r>
                          <w:r>
                            <w:rPr>
                              <w:noProof/>
                            </w:rPr>
                            <w:fldChar w:fldCharType="end"/>
                          </w:r>
                          <w:r>
                            <w:tab/>
                            <w:t>Chapter 4</w:t>
                          </w:r>
                          <w:r>
                            <w:tab/>
                            <w:t>2014</w:t>
                          </w:r>
                          <w:r>
                            <w:noBreakHyphen/>
                            <w:t>15 Financial Report</w:t>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60" style="position:absolute;left:0;text-align:left;margin-left:27.35pt;margin-top:54.7pt;width:30.75pt;height:487.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" o:allowincell="f" filled="f" stroked="f">
              <v:textbox style="layout-flow:vertical">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132</w:t>
                    </w:r>
                    <w:r>
                      <w:rPr>
                        <w:noProof/>
                      </w:rPr>
                      <w:fldChar w:fldCharType="end"/>
                    </w:r>
                    <w:r>
                      <w:tab/>
                      <w:t>Chapter 4</w:t>
                    </w:r>
                    <w:r>
                      <w:tab/>
                      <w:t>2014</w:t>
                    </w:r>
                    <w:r>
                      <w:noBreakHyphen/>
                      <w:t>15 Financial Report</w:t>
                    </w:r>
                  </w:p>
                </w:txbxContent>
              </v:textbox>
              <w10:wrap anchorx="page" anchory="page"/>
            </v:rect>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rPr>
        <w:rStyle w:val="PageNumber"/>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144</w:t>
    </w:r>
    <w:r>
      <w:rPr>
        <w:rStyle w:val="PageNumber"/>
      </w:rPr>
      <w:fldChar w:fldCharType="end"/>
    </w:r>
    <w:r>
      <w:tab/>
      <w:t>Chapter 4</w:t>
    </w:r>
    <w:r>
      <w:tab/>
      <w:t>2014</w:t>
    </w:r>
    <w:r>
      <w:noBreakHyphen/>
      <w:t>15 Financial Report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145</w:t>
    </w:r>
    <w:r>
      <w:rPr>
        <w:rStyle w:val="PageNumber"/>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pPr>
    <w:r>
      <w:rPr>
        <w:noProof/>
        <w:lang w:eastAsia="en-AU"/>
      </w:rPr>
      <mc:AlternateContent>
        <mc:Choice Requires="wps">
          <w:drawing>
            <wp:anchor distT="0" distB="0" distL="114300" distR="114300" simplePos="0" relativeHeight="251674624" behindDoc="0" locked="0" layoutInCell="0" allowOverlap="1" wp14:anchorId="64EB85B3" wp14:editId="3A74FF24">
              <wp:simplePos x="0" y="0"/>
              <wp:positionH relativeFrom="page">
                <wp:posOffset>347345</wp:posOffset>
              </wp:positionH>
              <wp:positionV relativeFrom="page">
                <wp:posOffset>694690</wp:posOffset>
              </wp:positionV>
              <wp:extent cx="390525" cy="6190615"/>
              <wp:effectExtent l="4445" t="0" r="0" b="1270"/>
              <wp:wrapNone/>
              <wp:docPr id="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146</w:t>
                          </w:r>
                          <w:r>
                            <w:rPr>
                              <w:noProof/>
                            </w:rPr>
                            <w:fldChar w:fldCharType="end"/>
                          </w:r>
                          <w:r>
                            <w:tab/>
                            <w:t>Chapter 4</w:t>
                          </w:r>
                          <w:r>
                            <w:tab/>
                            <w:t>2014</w:t>
                          </w:r>
                          <w:r>
                            <w:noBreakHyphen/>
                            <w:t>15 Financial Report</w:t>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62" style="position:absolute;left:0;text-align:left;margin-left:27.35pt;margin-top:54.7pt;width:30.75pt;height:487.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" o:allowincell="f" filled="f" stroked="f">
              <v:textbox style="layout-flow:vertical">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146</w:t>
                    </w:r>
                    <w:r>
                      <w:rPr>
                        <w:noProof/>
                      </w:rPr>
                      <w:fldChar w:fldCharType="end"/>
                    </w:r>
                    <w:r>
                      <w:tab/>
                      <w:t>Chapter 4</w:t>
                    </w:r>
                    <w:r>
                      <w:tab/>
                      <w:t>2014</w:t>
                    </w:r>
                    <w:r>
                      <w:noBreakHyphen/>
                      <w:t>15 Financial Report</w:t>
                    </w:r>
                  </w:p>
                </w:txbxContent>
              </v:textbox>
              <w10:wrap anchorx="page" anchory="page"/>
            </v:rect>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rPr>
        <w:rStyle w:val="PageNumber"/>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156</w:t>
    </w:r>
    <w:r>
      <w:rPr>
        <w:rStyle w:val="PageNumber"/>
      </w:rPr>
      <w:fldChar w:fldCharType="end"/>
    </w:r>
    <w:r>
      <w:tab/>
      <w:t>Chapter 4</w:t>
    </w:r>
    <w:r>
      <w:tab/>
      <w:t>2014</w:t>
    </w:r>
    <w:r>
      <w:noBreakHyphen/>
      <w:t>15 Financial Report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28370C">
    <w:pPr>
      <w:pStyle w:val="Footer"/>
      <w:pBdr>
        <w:top w:val="single" w:sz="6" w:space="1" w:color="000000"/>
      </w:pBdr>
      <w:tabs>
        <w:tab w:val="clear" w:pos="7085"/>
        <w:tab w:val="center" w:pos="3690"/>
        <w:tab w:val="right" w:pos="954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w:t>
    </w:r>
    <w:r>
      <w:rPr>
        <w:rStyle w:val="PageNumber"/>
      </w:rPr>
      <w:fldChar w:fldCharType="end"/>
    </w:r>
    <w:r>
      <w:tab/>
      <w:t>Chapter 1</w:t>
    </w:r>
    <w:r>
      <w:tab/>
      <w:t>2014</w:t>
    </w:r>
    <w:r>
      <w:noBreakHyphen/>
      <w:t>15 Financial Report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155</w:t>
    </w:r>
    <w:r>
      <w:rPr>
        <w:rStyle w:val="PageNumber"/>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spacing w:after="0"/>
      <w:jc w:val="center"/>
      <w:rPr>
        <w:rFonts w:ascii="Arial" w:hAnsi="Arial" w:cs="Arial"/>
        <w:b/>
        <w:color w:val="FF0000"/>
        <w:sz w:val="29"/>
      </w:rPr>
    </w:pPr>
    <w:bookmarkStart w:id="118" w:name="aliashProtectiveMarking21FooterFirstPage"/>
  </w:p>
  <w:bookmarkEnd w:id="118"/>
  <w:p w:rsidR="00375590" w:rsidRDefault="00375590">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pPr>
    <w:r>
      <w:rPr>
        <w:noProof/>
        <w:lang w:eastAsia="en-AU"/>
      </w:rPr>
      <mc:AlternateContent>
        <mc:Choice Requires="wps">
          <w:drawing>
            <wp:anchor distT="0" distB="0" distL="114300" distR="114300" simplePos="0" relativeHeight="251680768" behindDoc="0" locked="0" layoutInCell="0" allowOverlap="1" wp14:anchorId="3ED6F462" wp14:editId="576A3036">
              <wp:simplePos x="0" y="0"/>
              <wp:positionH relativeFrom="page">
                <wp:posOffset>347345</wp:posOffset>
              </wp:positionH>
              <wp:positionV relativeFrom="page">
                <wp:posOffset>694690</wp:posOffset>
              </wp:positionV>
              <wp:extent cx="390525" cy="6190615"/>
              <wp:effectExtent l="4445" t="0" r="0" b="1270"/>
              <wp:wrapNone/>
              <wp:docPr id="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160</w:t>
                          </w:r>
                          <w:r>
                            <w:rPr>
                              <w:noProof/>
                            </w:rPr>
                            <w:fldChar w:fldCharType="end"/>
                          </w:r>
                          <w:r>
                            <w:tab/>
                            <w:t>Chapter 4</w:t>
                          </w:r>
                          <w:r>
                            <w:tab/>
                            <w:t>2014</w:t>
                          </w:r>
                          <w:r>
                            <w:noBreakHyphen/>
                            <w:t>15 Financial Report</w:t>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64" style="position:absolute;left:0;text-align:left;margin-left:27.35pt;margin-top:54.7pt;width:30.75pt;height:487.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" o:allowincell="f" filled="f" stroked="f">
              <v:textbox style="layout-flow:vertical">
                <w:txbxContent>
                  <w:p w:rsidR="00375590" w:rsidRDefault="00375590" w:rsidP="00DF0B96">
                    <w:pPr>
                      <w:pStyle w:val="EvenFooterLandscape"/>
                    </w:pPr>
                    <w:r>
                      <w:fldChar w:fldCharType="begin"/>
                    </w:r>
                    <w:r>
                      <w:instrText xml:space="preserve"> PAGE   \* MERGEFORMAT </w:instrText>
                    </w:r>
                    <w:r>
                      <w:fldChar w:fldCharType="separate"/>
                    </w:r>
                    <w:r w:rsidR="00CB3C3B">
                      <w:rPr>
                        <w:noProof/>
                      </w:rPr>
                      <w:t>160</w:t>
                    </w:r>
                    <w:r>
                      <w:rPr>
                        <w:noProof/>
                      </w:rPr>
                      <w:fldChar w:fldCharType="end"/>
                    </w:r>
                    <w:r>
                      <w:tab/>
                      <w:t>Chapter 4</w:t>
                    </w:r>
                    <w:r>
                      <w:tab/>
                      <w:t>2014</w:t>
                    </w:r>
                    <w:r>
                      <w:noBreakHyphen/>
                      <w:t>15 Financial Report</w:t>
                    </w:r>
                  </w:p>
                </w:txbxContent>
              </v:textbox>
              <w10:wrap anchorx="page" anchory="page"/>
            </v:rect>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rPr>
        <w:rStyle w:val="PageNumber"/>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200</w:t>
    </w:r>
    <w:r>
      <w:rPr>
        <w:rStyle w:val="PageNumber"/>
      </w:rPr>
      <w:fldChar w:fldCharType="end"/>
    </w:r>
    <w:r>
      <w:tab/>
      <w:t>Chapter 4</w:t>
    </w:r>
    <w:r>
      <w:tab/>
      <w:t>2014</w:t>
    </w:r>
    <w:r>
      <w:noBreakHyphen/>
      <w:t>15 Financial Report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201</w:t>
    </w:r>
    <w:r>
      <w:rPr>
        <w:rStyle w:val="PageNumber"/>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spacing w:after="0"/>
      <w:jc w:val="center"/>
      <w:rPr>
        <w:rFonts w:ascii="Arial" w:hAnsi="Arial" w:cs="Arial"/>
        <w:b/>
        <w:color w:val="FF0000"/>
        <w:sz w:val="29"/>
      </w:rPr>
    </w:pPr>
    <w:bookmarkStart w:id="134" w:name="aliashProtectiveMarking23FooterFirstPage"/>
  </w:p>
  <w:bookmarkEnd w:id="134"/>
  <w:p w:rsidR="00375590" w:rsidRDefault="00375590">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202</w:t>
    </w:r>
    <w:r>
      <w:rPr>
        <w:rStyle w:val="PageNumber"/>
      </w:rPr>
      <w:fldChar w:fldCharType="end"/>
    </w:r>
    <w:r>
      <w:tab/>
      <w:t>Chapter 4</w:t>
    </w:r>
    <w:r>
      <w:tab/>
      <w:t>2014</w:t>
    </w:r>
    <w:r>
      <w:noBreakHyphen/>
      <w:t>15 Financial Report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DF0B9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204</w:t>
    </w:r>
    <w:r>
      <w:rPr>
        <w:rStyle w:val="PageNumber"/>
      </w:rPr>
      <w:fldChar w:fldCharType="end"/>
    </w:r>
    <w:r>
      <w:tab/>
      <w:t>Chapter 4</w:t>
    </w:r>
    <w:r>
      <w:tab/>
      <w:t>2014</w:t>
    </w:r>
    <w:r>
      <w:noBreakHyphen/>
      <w:t>15 Financial Report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203</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675356" w:rsidRDefault="00375590" w:rsidP="00CC3972">
    <w:pPr>
      <w:pStyle w:val="Footer"/>
      <w:tabs>
        <w:tab w:val="clear" w:pos="7085"/>
        <w:tab w:val="center" w:pos="5940"/>
        <w:tab w:val="right" w:pos="9630"/>
      </w:tabs>
      <w:spacing w:after="0"/>
      <w:rPr>
        <w:rStyle w:val="PageNumber"/>
      </w:rPr>
    </w:pPr>
    <w:r>
      <w:t>2014</w:t>
    </w:r>
    <w:r>
      <w:noBreakHyphen/>
      <w:t>15 Financial Report</w:t>
    </w:r>
    <w:r>
      <w:tab/>
      <w:t>Chapter 1</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w:t>
    </w:r>
    <w:r>
      <w:rPr>
        <w:rStyle w:val="PageNumber"/>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208</w:t>
    </w:r>
    <w:r>
      <w:rPr>
        <w:rStyle w:val="PageNumber"/>
      </w:rPr>
      <w:fldChar w:fldCharType="end"/>
    </w:r>
    <w:r>
      <w:tab/>
      <w:t>Chapter 5</w:t>
    </w:r>
    <w:r>
      <w:tab/>
      <w:t>2014</w:t>
    </w:r>
    <w:r>
      <w:noBreakHyphen/>
      <w:t>15 Financial Report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Chapter 5</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207</w:t>
    </w:r>
    <w:r>
      <w:rPr>
        <w:rStyle w:val="PageNumber"/>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595240" w:rsidRDefault="00375590" w:rsidP="00DF0B96">
    <w:pPr>
      <w:pStyle w:val="Footer"/>
      <w:pBdr>
        <w:top w:val="none" w:sz="0" w:space="0" w:color="auto"/>
      </w:pBdr>
      <w:jc w:val="right"/>
      <w:rPr>
        <w:rStyle w:val="PageNumber"/>
      </w:rPr>
    </w:pPr>
    <w:r>
      <w:rPr>
        <w:noProof/>
        <w:lang w:eastAsia="en-AU"/>
      </w:rPr>
      <mc:AlternateContent>
        <mc:Choice Requires="wps">
          <w:drawing>
            <wp:anchor distT="0" distB="0" distL="114300" distR="114300" simplePos="0" relativeHeight="251682816" behindDoc="0" locked="0" layoutInCell="0" allowOverlap="1" wp14:anchorId="1FC874F1" wp14:editId="683AF58D">
              <wp:simplePos x="0" y="0"/>
              <wp:positionH relativeFrom="page">
                <wp:posOffset>347345</wp:posOffset>
              </wp:positionH>
              <wp:positionV relativeFrom="page">
                <wp:posOffset>694690</wp:posOffset>
              </wp:positionV>
              <wp:extent cx="393192" cy="6190488"/>
              <wp:effectExtent l="0" t="0" r="0" b="127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3192" cy="6190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5</w:t>
                          </w:r>
                          <w:r>
                            <w:tab/>
                          </w:r>
                          <w:r>
                            <w:fldChar w:fldCharType="begin"/>
                          </w:r>
                          <w:r>
                            <w:instrText xml:space="preserve"> PAGE   \* MERGEFORMAT </w:instrText>
                          </w:r>
                          <w:r>
                            <w:fldChar w:fldCharType="separate"/>
                          </w:r>
                          <w:r w:rsidR="00CB3C3B">
                            <w:rPr>
                              <w:noProof/>
                            </w:rPr>
                            <w:t>209</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65" style="position:absolute;left:0;text-align:left;margin-left:27.35pt;margin-top:54.7pt;width:30.95pt;height:487.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" o:allowincell="f" filled="f" stroked="f">
              <v:textbox style="layout-flow:vertical">
                <w:txbxContent>
                  <w:p w:rsidR="00375590" w:rsidRDefault="00375590" w:rsidP="00DF0B96">
                    <w:pPr>
                      <w:pStyle w:val="OddFooterLandscape"/>
                    </w:pPr>
                    <w:r>
                      <w:t>2014</w:t>
                    </w:r>
                    <w:r>
                      <w:noBreakHyphen/>
                      <w:t>15 Financial Report</w:t>
                    </w:r>
                    <w:r>
                      <w:tab/>
                      <w:t>Chapter 5</w:t>
                    </w:r>
                    <w:r>
                      <w:tab/>
                    </w:r>
                    <w:r>
                      <w:fldChar w:fldCharType="begin"/>
                    </w:r>
                    <w:r>
                      <w:instrText xml:space="preserve"> PAGE   \* MERGEFORMAT </w:instrText>
                    </w:r>
                    <w:r>
                      <w:fldChar w:fldCharType="separate"/>
                    </w:r>
                    <w:r w:rsidR="00CB3C3B">
                      <w:rPr>
                        <w:noProof/>
                      </w:rPr>
                      <w:t>209</w:t>
                    </w:r>
                    <w:r>
                      <w:rPr>
                        <w:noProof/>
                      </w:rPr>
                      <w:fldChar w:fldCharType="end"/>
                    </w:r>
                  </w:p>
                </w:txbxContent>
              </v:textbox>
              <w10:wrap anchorx="page" anchory="page"/>
            </v:rect>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214</w:t>
    </w:r>
    <w:r>
      <w:rPr>
        <w:rStyle w:val="PageNumber"/>
      </w:rPr>
      <w:fldChar w:fldCharType="end"/>
    </w:r>
    <w:r>
      <w:tab/>
      <w:t>Chapter 5</w:t>
    </w:r>
    <w:r>
      <w:tab/>
      <w:t>2014</w:t>
    </w:r>
    <w:r>
      <w:noBreakHyphen/>
      <w:t>15 Financial Report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Chapter 5</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213</w:t>
    </w:r>
    <w:r>
      <w:rPr>
        <w:rStyle w:val="PageNumber"/>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218</w:t>
    </w:r>
    <w:r>
      <w:rPr>
        <w:rStyle w:val="PageNumber"/>
      </w:rPr>
      <w:fldChar w:fldCharType="end"/>
    </w:r>
    <w:r>
      <w:tab/>
      <w:t>Appendix A</w:t>
    </w:r>
    <w:r>
      <w:tab/>
      <w:t>2014</w:t>
    </w:r>
    <w:r>
      <w:noBreakHyphen/>
      <w:t>15 Financial Report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Appendix A</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217</w:t>
    </w:r>
    <w:r>
      <w:rPr>
        <w:rStyle w:val="PageNumber"/>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222</w:t>
    </w:r>
    <w:r>
      <w:rPr>
        <w:rStyle w:val="PageNumber"/>
      </w:rPr>
      <w:fldChar w:fldCharType="end"/>
    </w:r>
    <w:r>
      <w:tab/>
      <w:t>Appendix B</w:t>
    </w:r>
    <w:r>
      <w:tab/>
      <w:t>2014</w:t>
    </w:r>
    <w:r>
      <w:noBreakHyphen/>
      <w:t>15 Financial Report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12</w:t>
    </w:r>
    <w:r>
      <w:rPr>
        <w:rStyle w:val="PageNumber"/>
      </w:rPr>
      <w:fldChar w:fldCharType="end"/>
    </w:r>
    <w:r>
      <w:tab/>
      <w:t>Chapter 2</w:t>
    </w:r>
    <w:r>
      <w:tab/>
      <w:t>2014</w:t>
    </w:r>
    <w:r>
      <w:noBreakHyphen/>
      <w:t>15 Financial Report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Appendix B</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221</w:t>
    </w:r>
    <w:r>
      <w:rPr>
        <w:rStyle w:val="PageNumber"/>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224</w:t>
    </w:r>
    <w:r>
      <w:rPr>
        <w:rStyle w:val="PageNumber"/>
      </w:rPr>
      <w:fldChar w:fldCharType="end"/>
    </w:r>
    <w:r>
      <w:tab/>
      <w:t>Appendix C</w:t>
    </w:r>
    <w:r>
      <w:tab/>
      <w:t>2014</w:t>
    </w:r>
    <w:r>
      <w:noBreakHyphen/>
      <w:t>15 Financial Report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Appendix C</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223</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rsidP="00675356">
    <w:pPr>
      <w:pStyle w:val="Footer"/>
      <w:tabs>
        <w:tab w:val="clear" w:pos="7085"/>
        <w:tab w:val="center" w:pos="5940"/>
        <w:tab w:val="right" w:pos="9630"/>
      </w:tabs>
      <w:spacing w:after="0"/>
      <w:rPr>
        <w:rStyle w:val="PageNumber"/>
      </w:rPr>
    </w:pPr>
    <w:r>
      <w:t>2014</w:t>
    </w:r>
    <w:r>
      <w:noBreakHyphen/>
      <w:t>15 Financial Report</w:t>
    </w:r>
    <w:r>
      <w:tab/>
      <w:t>Chapter 2</w:t>
    </w:r>
    <w:r>
      <w:tab/>
    </w:r>
    <w:r>
      <w:rPr>
        <w:rStyle w:val="PageNumber"/>
      </w:rPr>
      <w:fldChar w:fldCharType="begin"/>
    </w:r>
    <w:r>
      <w:rPr>
        <w:rStyle w:val="PageNumber"/>
      </w:rPr>
      <w:instrText xml:space="preserve"> PAGE </w:instrText>
    </w:r>
    <w:r>
      <w:rPr>
        <w:rStyle w:val="PageNumber"/>
      </w:rPr>
      <w:fldChar w:fldCharType="separate"/>
    </w:r>
    <w:r w:rsidR="00CB3C3B">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590" w:rsidRDefault="00375590" w:rsidP="00336793">
      <w:pPr>
        <w:spacing w:after="0"/>
      </w:pPr>
      <w:r>
        <w:separator/>
      </w:r>
    </w:p>
  </w:footnote>
  <w:footnote w:type="continuationSeparator" w:id="0">
    <w:p w:rsidR="00375590" w:rsidRDefault="00375590" w:rsidP="0033679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3B" w:rsidRDefault="00CB3C3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r>
      <w:rPr>
        <w:noProof/>
        <w:lang w:eastAsia="en-AU"/>
      </w:rPr>
      <mc:AlternateContent>
        <mc:Choice Requires="wps">
          <w:drawing>
            <wp:anchor distT="0" distB="0" distL="114300" distR="114300" simplePos="0" relativeHeight="251669504" behindDoc="0" locked="0" layoutInCell="0" allowOverlap="1" wp14:anchorId="70BE4B47" wp14:editId="4F5AD56F">
              <wp:simplePos x="0" y="0"/>
              <wp:positionH relativeFrom="page">
                <wp:posOffset>347345</wp:posOffset>
              </wp:positionH>
              <wp:positionV relativeFrom="page">
                <wp:posOffset>697230</wp:posOffset>
              </wp:positionV>
              <wp:extent cx="390525" cy="6190615"/>
              <wp:effectExtent l="4445" t="1905" r="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65</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45" style="position:absolute;margin-left:27.35pt;margin-top:54.9pt;width:30.75pt;height:487.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" o:allowincell="f" filled="f" stroked="f">
              <v:textbox style="layout-flow:vertical">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65</w:t>
                    </w:r>
                    <w:r>
                      <w:rPr>
                        <w:noProof/>
                      </w:rPr>
                      <w:fldChar w:fldCharType="end"/>
                    </w:r>
                  </w:p>
                </w:txbxContent>
              </v:textbox>
              <w10:wrap anchorx="page" anchory="page"/>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275047" w:rsidRDefault="00375590" w:rsidP="00DF0B9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275047" w:rsidRDefault="00375590" w:rsidP="00DF0B9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r>
      <w:rPr>
        <w:noProof/>
        <w:lang w:eastAsia="en-AU"/>
      </w:rPr>
      <mc:AlternateContent>
        <mc:Choice Requires="wps">
          <w:drawing>
            <wp:anchor distT="0" distB="0" distL="114300" distR="114300" simplePos="0" relativeHeight="251667456" behindDoc="0" locked="0" layoutInCell="0" allowOverlap="1" wp14:anchorId="1B832DE2" wp14:editId="1283F419">
              <wp:simplePos x="0" y="0"/>
              <wp:positionH relativeFrom="page">
                <wp:posOffset>347345</wp:posOffset>
              </wp:positionH>
              <wp:positionV relativeFrom="page">
                <wp:posOffset>697230</wp:posOffset>
              </wp:positionV>
              <wp:extent cx="390525" cy="6190615"/>
              <wp:effectExtent l="4445" t="1905" r="0" b="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DA6577">
                            <w:rPr>
                              <w:noProof/>
                            </w:rPr>
                            <w:t>81</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47" style="position:absolute;margin-left:27.35pt;margin-top:54.9pt;width:30.75pt;height:487.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" o:allowincell="f" filled="f" stroked="f">
              <v:textbox style="layout-flow:vertical">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DA6577">
                      <w:rPr>
                        <w:noProof/>
                      </w:rPr>
                      <w:t>81</w:t>
                    </w:r>
                    <w:r>
                      <w:rPr>
                        <w:noProof/>
                      </w:rPr>
                      <w:fldChar w:fldCharType="end"/>
                    </w:r>
                  </w:p>
                </w:txbxContent>
              </v:textbox>
              <w10:wrap anchorx="page" anchory="page"/>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3B" w:rsidRDefault="00CB3C3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r>
      <w:rPr>
        <w:noProof/>
        <w:lang w:eastAsia="en-AU"/>
      </w:rPr>
      <mc:AlternateContent>
        <mc:Choice Requires="wps">
          <w:drawing>
            <wp:anchor distT="0" distB="0" distL="114300" distR="114300" simplePos="0" relativeHeight="251665408" behindDoc="0" locked="0" layoutInCell="0" allowOverlap="1" wp14:anchorId="2CDC3A3E" wp14:editId="17B33564">
              <wp:simplePos x="0" y="0"/>
              <wp:positionH relativeFrom="page">
                <wp:posOffset>347345</wp:posOffset>
              </wp:positionH>
              <wp:positionV relativeFrom="page">
                <wp:posOffset>697230</wp:posOffset>
              </wp:positionV>
              <wp:extent cx="390525" cy="6190615"/>
              <wp:effectExtent l="4445" t="1905"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DA6577">
                            <w:rPr>
                              <w:noProof/>
                            </w:rPr>
                            <w:t>83</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49" style="position:absolute;margin-left:27.35pt;margin-top:54.9pt;width:30.75pt;height:487.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" o:allowincell="f" filled="f" stroked="f">
              <v:textbox style="layout-flow:vertical">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DA6577">
                      <w:rPr>
                        <w:noProof/>
                      </w:rPr>
                      <w:t>83</w:t>
                    </w:r>
                    <w:r>
                      <w:rPr>
                        <w:noProof/>
                      </w:rPr>
                      <w:fldChar w:fldCharType="end"/>
                    </w:r>
                  </w:p>
                </w:txbxContent>
              </v:textbox>
              <w10:wrap anchorx="page" anchory="page"/>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r>
      <w:rPr>
        <w:noProof/>
        <w:lang w:eastAsia="en-AU"/>
      </w:rPr>
      <mc:AlternateContent>
        <mc:Choice Requires="wps">
          <w:drawing>
            <wp:anchor distT="0" distB="0" distL="114300" distR="114300" simplePos="0" relativeHeight="251661312" behindDoc="0" locked="0" layoutInCell="0" allowOverlap="1" wp14:anchorId="4EECE0C8" wp14:editId="70782BD3">
              <wp:simplePos x="0" y="0"/>
              <wp:positionH relativeFrom="page">
                <wp:posOffset>347345</wp:posOffset>
              </wp:positionH>
              <wp:positionV relativeFrom="page">
                <wp:posOffset>697230</wp:posOffset>
              </wp:positionV>
              <wp:extent cx="390525" cy="6190615"/>
              <wp:effectExtent l="4445" t="1905"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93</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51" style="position:absolute;margin-left:27.35pt;margin-top:54.9pt;width:30.75pt;height:487.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" o:allowincell="f" filled="f" stroked="f">
              <v:textbox style="layout-flow:vertical">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93</w:t>
                    </w:r>
                    <w:r>
                      <w:rPr>
                        <w:noProof/>
                      </w:rPr>
                      <w:fldChar w:fldCharType="end"/>
                    </w:r>
                  </w:p>
                </w:txbxContent>
              </v:textbox>
              <w10:wrap anchorx="page" anchory="page"/>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3B" w:rsidRDefault="00CB3C3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r>
      <w:rPr>
        <w:noProof/>
        <w:lang w:eastAsia="en-AU"/>
      </w:rPr>
      <mc:AlternateContent>
        <mc:Choice Requires="wps">
          <w:drawing>
            <wp:anchor distT="0" distB="0" distL="114300" distR="114300" simplePos="0" relativeHeight="251677696" behindDoc="0" locked="0" layoutInCell="0" allowOverlap="1" wp14:anchorId="5D216DE7" wp14:editId="66822B6E">
              <wp:simplePos x="0" y="0"/>
              <wp:positionH relativeFrom="page">
                <wp:posOffset>347345</wp:posOffset>
              </wp:positionH>
              <wp:positionV relativeFrom="page">
                <wp:posOffset>697230</wp:posOffset>
              </wp:positionV>
              <wp:extent cx="390525" cy="6190615"/>
              <wp:effectExtent l="4445" t="1905" r="0" b="0"/>
              <wp:wrapNone/>
              <wp:docPr id="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105</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53" style="position:absolute;margin-left:27.35pt;margin-top:54.9pt;width:30.75pt;height:487.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" o:allowincell="f" filled="f" stroked="f">
              <v:textbox style="layout-flow:vertical">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105</w:t>
                    </w:r>
                    <w:r>
                      <w:rPr>
                        <w:noProof/>
                      </w:rPr>
                      <w:fldChar w:fldCharType="end"/>
                    </w:r>
                  </w:p>
                </w:txbxContent>
              </v:textbox>
              <w10:wrap anchorx="page" anchory="page"/>
            </v:rect>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r>
      <w:rPr>
        <w:noProof/>
        <w:lang w:eastAsia="en-AU"/>
      </w:rPr>
      <mc:AlternateContent>
        <mc:Choice Requires="wps">
          <w:drawing>
            <wp:anchor distT="0" distB="0" distL="114300" distR="114300" simplePos="0" relativeHeight="251671552" behindDoc="0" locked="0" layoutInCell="0" allowOverlap="1" wp14:anchorId="71D4A792" wp14:editId="062D8A72">
              <wp:simplePos x="0" y="0"/>
              <wp:positionH relativeFrom="page">
                <wp:posOffset>347345</wp:posOffset>
              </wp:positionH>
              <wp:positionV relativeFrom="page">
                <wp:posOffset>697230</wp:posOffset>
              </wp:positionV>
              <wp:extent cx="390525" cy="6190615"/>
              <wp:effectExtent l="4445" t="1905" r="0" b="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113</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55" style="position:absolute;margin-left:27.35pt;margin-top:54.9pt;width:30.75pt;height:487.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" o:allowincell="f" filled="f" stroked="f">
              <v:textbox style="layout-flow:vertical">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113</w:t>
                    </w:r>
                    <w:r>
                      <w:rPr>
                        <w:noProof/>
                      </w:rPr>
                      <w:fldChar w:fldCharType="end"/>
                    </w:r>
                  </w:p>
                </w:txbxContent>
              </v:textbox>
              <w10:wrap anchorx="page" anchory="page"/>
            </v:rect>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r>
      <w:rPr>
        <w:noProof/>
        <w:lang w:eastAsia="en-AU"/>
      </w:rPr>
      <mc:AlternateContent>
        <mc:Choice Requires="wps">
          <w:drawing>
            <wp:anchor distT="0" distB="0" distL="114300" distR="114300" simplePos="0" relativeHeight="251659264" behindDoc="0" locked="0" layoutInCell="0" allowOverlap="1" wp14:anchorId="1490C2F3" wp14:editId="1093B3EE">
              <wp:simplePos x="0" y="0"/>
              <wp:positionH relativeFrom="page">
                <wp:posOffset>347345</wp:posOffset>
              </wp:positionH>
              <wp:positionV relativeFrom="page">
                <wp:posOffset>697230</wp:posOffset>
              </wp:positionV>
              <wp:extent cx="390525" cy="6190615"/>
              <wp:effectExtent l="4445" t="1905" r="0" b="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Pr>
                              <w:noProof/>
                            </w:rPr>
                            <w:t>123</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57" style="position:absolute;margin-left:27.35pt;margin-top:54.9pt;width:30.75pt;height:487.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" o:allowincell="f" filled="f" stroked="f">
              <v:textbox style="layout-flow:vertical">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Pr>
                        <w:noProof/>
                      </w:rPr>
                      <w:t>123</w:t>
                    </w:r>
                    <w:r>
                      <w:rPr>
                        <w:noProof/>
                      </w:rPr>
                      <w:fldChar w:fldCharType="end"/>
                    </w:r>
                  </w:p>
                </w:txbxContent>
              </v:textbox>
              <w10:wrap anchorx="page" anchory="page"/>
            </v:rect>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r>
      <w:rPr>
        <w:noProof/>
        <w:lang w:eastAsia="en-AU"/>
      </w:rPr>
      <mc:AlternateContent>
        <mc:Choice Requires="wps">
          <w:drawing>
            <wp:anchor distT="0" distB="0" distL="114300" distR="114300" simplePos="0" relativeHeight="251663360" behindDoc="0" locked="0" layoutInCell="0" allowOverlap="1" wp14:anchorId="3304D6BA" wp14:editId="5BAE5BC2">
              <wp:simplePos x="0" y="0"/>
              <wp:positionH relativeFrom="page">
                <wp:posOffset>347345</wp:posOffset>
              </wp:positionH>
              <wp:positionV relativeFrom="page">
                <wp:posOffset>697230</wp:posOffset>
              </wp:positionV>
              <wp:extent cx="390525" cy="6190615"/>
              <wp:effectExtent l="4445" t="1905" r="0" b="0"/>
              <wp:wrapNone/>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131</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59" style="position:absolute;margin-left:27.35pt;margin-top:54.9pt;width:30.75pt;height:487.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" o:allowincell="f" filled="f" stroked="f">
              <v:textbox style="layout-flow:vertical">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131</w:t>
                    </w:r>
                    <w:r>
                      <w:rPr>
                        <w:noProof/>
                      </w:rPr>
                      <w:fldChar w:fldCharType="end"/>
                    </w:r>
                  </w:p>
                </w:txbxContent>
              </v:textbox>
              <w10:wrap anchorx="page" anchory="page"/>
            </v:rect>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Pr="00902501" w:rsidRDefault="00375590" w:rsidP="00DF0B96">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r>
      <w:rPr>
        <w:noProof/>
        <w:lang w:eastAsia="en-AU"/>
      </w:rPr>
      <mc:AlternateContent>
        <mc:Choice Requires="wps">
          <w:drawing>
            <wp:anchor distT="0" distB="0" distL="114300" distR="114300" simplePos="0" relativeHeight="251673600" behindDoc="0" locked="0" layoutInCell="0" allowOverlap="1" wp14:anchorId="7C8F2B2B" wp14:editId="1B77FB2C">
              <wp:simplePos x="0" y="0"/>
              <wp:positionH relativeFrom="page">
                <wp:posOffset>347345</wp:posOffset>
              </wp:positionH>
              <wp:positionV relativeFrom="page">
                <wp:posOffset>697230</wp:posOffset>
              </wp:positionV>
              <wp:extent cx="390525" cy="6190615"/>
              <wp:effectExtent l="4445" t="1905" r="0" b="0"/>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147</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61" style="position:absolute;margin-left:27.35pt;margin-top:54.9pt;width:30.75pt;height:487.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" o:allowincell="f" filled="f" stroked="f">
              <v:textbox style="layout-flow:vertical">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147</w:t>
                    </w:r>
                    <w:r>
                      <w:rPr>
                        <w:noProof/>
                      </w:rPr>
                      <w:fldChar w:fldCharType="end"/>
                    </w:r>
                  </w:p>
                </w:txbxContent>
              </v:textbox>
              <w10:wrap anchorx="page" anchory="page"/>
            </v:rect>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r>
      <w:rPr>
        <w:noProof/>
        <w:lang w:eastAsia="en-AU"/>
      </w:rPr>
      <mc:AlternateContent>
        <mc:Choice Requires="wps">
          <w:drawing>
            <wp:anchor distT="0" distB="0" distL="114300" distR="114300" simplePos="0" relativeHeight="251679744" behindDoc="0" locked="0" layoutInCell="0" allowOverlap="1" wp14:anchorId="356CDD1F" wp14:editId="2C6BCE52">
              <wp:simplePos x="0" y="0"/>
              <wp:positionH relativeFrom="page">
                <wp:posOffset>347345</wp:posOffset>
              </wp:positionH>
              <wp:positionV relativeFrom="page">
                <wp:posOffset>697230</wp:posOffset>
              </wp:positionV>
              <wp:extent cx="390525" cy="6190615"/>
              <wp:effectExtent l="4445" t="1905" r="0" b="0"/>
              <wp:wrapNone/>
              <wp:docPr id="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161</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063" style="position:absolute;margin-left:27.35pt;margin-top:54.9pt;width:30.75pt;height:487.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" o:allowincell="f" filled="f" stroked="f">
              <v:textbox style="layout-flow:vertical">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161</w:t>
                    </w:r>
                    <w:r>
                      <w:rPr>
                        <w:noProof/>
                      </w:rPr>
                      <w:fldChar w:fldCharType="end"/>
                    </w:r>
                  </w:p>
                </w:txbxContent>
              </v:textbox>
              <w10:wrap anchorx="page" anchory="page"/>
            </v:rect>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r>
      <w:rPr>
        <w:noProof/>
        <w:lang w:eastAsia="en-AU"/>
      </w:rPr>
      <mc:AlternateContent>
        <mc:Choice Requires="wps">
          <w:drawing>
            <wp:anchor distT="0" distB="0" distL="114300" distR="114300" simplePos="0" relativeHeight="251675648" behindDoc="0" locked="0" layoutInCell="0" allowOverlap="1" wp14:anchorId="29F58428" wp14:editId="4ADBAC87">
              <wp:simplePos x="0" y="0"/>
              <wp:positionH relativeFrom="page">
                <wp:posOffset>347345</wp:posOffset>
              </wp:positionH>
              <wp:positionV relativeFrom="page">
                <wp:posOffset>697230</wp:posOffset>
              </wp:positionV>
              <wp:extent cx="390525" cy="6190615"/>
              <wp:effectExtent l="4445" t="1905" r="0"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 cy="619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29</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4" o:spid="_x0000_s1043" style="position:absolute;margin-left:27.35pt;margin-top:54.9pt;width:30.75pt;height:487.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" o:allowincell="f" filled="f" stroked="f">
              <v:textbox style="layout-flow:vertical">
                <w:txbxContent>
                  <w:p w:rsidR="00375590" w:rsidRDefault="00375590" w:rsidP="00DF0B96">
                    <w:pPr>
                      <w:pStyle w:val="OddFooterLandscape"/>
                    </w:pPr>
                    <w:r>
                      <w:t>2014</w:t>
                    </w:r>
                    <w:r>
                      <w:noBreakHyphen/>
                      <w:t>15 Financial Report</w:t>
                    </w:r>
                    <w:r>
                      <w:tab/>
                      <w:t>Chapter 4</w:t>
                    </w:r>
                    <w:r>
                      <w:tab/>
                    </w:r>
                    <w:r>
                      <w:fldChar w:fldCharType="begin"/>
                    </w:r>
                    <w:r>
                      <w:instrText xml:space="preserve"> PAGE   \* MERGEFORMAT </w:instrText>
                    </w:r>
                    <w:r>
                      <w:fldChar w:fldCharType="separate"/>
                    </w:r>
                    <w:r w:rsidR="00CB3C3B">
                      <w:rPr>
                        <w:noProof/>
                      </w:rPr>
                      <w:t>29</w:t>
                    </w:r>
                    <w:r>
                      <w:rPr>
                        <w:noProof/>
                      </w:rPr>
                      <w:fldChar w:fldCharType="end"/>
                    </w:r>
                  </w:p>
                </w:txbxContent>
              </v:textbox>
              <w10:wrap anchorx="page"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90" w:rsidRDefault="003755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C74DED0"/>
    <w:lvl w:ilvl="0">
      <w:start w:val="1"/>
      <w:numFmt w:val="decimal"/>
      <w:lvlText w:val="%1."/>
      <w:lvlJc w:val="left"/>
      <w:pPr>
        <w:tabs>
          <w:tab w:val="num" w:pos="1492"/>
        </w:tabs>
        <w:ind w:left="1492" w:hanging="360"/>
      </w:pPr>
    </w:lvl>
  </w:abstractNum>
  <w:abstractNum w:abstractNumId="1">
    <w:nsid w:val="FFFFFF7D"/>
    <w:multiLevelType w:val="singleLevel"/>
    <w:tmpl w:val="0C767DD0"/>
    <w:lvl w:ilvl="0">
      <w:start w:val="1"/>
      <w:numFmt w:val="decimal"/>
      <w:lvlText w:val="%1."/>
      <w:lvlJc w:val="left"/>
      <w:pPr>
        <w:tabs>
          <w:tab w:val="num" w:pos="1209"/>
        </w:tabs>
        <w:ind w:left="1209" w:hanging="360"/>
      </w:pPr>
    </w:lvl>
  </w:abstractNum>
  <w:abstractNum w:abstractNumId="2">
    <w:nsid w:val="FFFFFF7E"/>
    <w:multiLevelType w:val="singleLevel"/>
    <w:tmpl w:val="52BC748E"/>
    <w:lvl w:ilvl="0">
      <w:start w:val="1"/>
      <w:numFmt w:val="decimal"/>
      <w:lvlText w:val="%1."/>
      <w:lvlJc w:val="left"/>
      <w:pPr>
        <w:tabs>
          <w:tab w:val="num" w:pos="926"/>
        </w:tabs>
        <w:ind w:left="926" w:hanging="360"/>
      </w:pPr>
    </w:lvl>
  </w:abstractNum>
  <w:abstractNum w:abstractNumId="3">
    <w:nsid w:val="FFFFFF7F"/>
    <w:multiLevelType w:val="singleLevel"/>
    <w:tmpl w:val="4BAA31AE"/>
    <w:lvl w:ilvl="0">
      <w:start w:val="1"/>
      <w:numFmt w:val="decimal"/>
      <w:lvlText w:val="%1."/>
      <w:lvlJc w:val="left"/>
      <w:pPr>
        <w:tabs>
          <w:tab w:val="num" w:pos="643"/>
        </w:tabs>
        <w:ind w:left="643" w:hanging="360"/>
      </w:pPr>
    </w:lvl>
  </w:abstractNum>
  <w:abstractNum w:abstractNumId="4">
    <w:nsid w:val="FFFFFF80"/>
    <w:multiLevelType w:val="singleLevel"/>
    <w:tmpl w:val="F3F0FB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6CAD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7247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4EE8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8B047F0"/>
    <w:lvl w:ilvl="0">
      <w:start w:val="1"/>
      <w:numFmt w:val="decimal"/>
      <w:lvlText w:val="%1."/>
      <w:lvlJc w:val="left"/>
      <w:pPr>
        <w:tabs>
          <w:tab w:val="num" w:pos="360"/>
        </w:tabs>
        <w:ind w:left="360" w:hanging="360"/>
      </w:pPr>
    </w:lvl>
  </w:abstractNum>
  <w:abstractNum w:abstractNumId="9">
    <w:nsid w:val="FFFFFF89"/>
    <w:multiLevelType w:val="singleLevel"/>
    <w:tmpl w:val="9FACFF26"/>
    <w:lvl w:ilvl="0">
      <w:start w:val="1"/>
      <w:numFmt w:val="bullet"/>
      <w:lvlText w:val=""/>
      <w:lvlJc w:val="left"/>
      <w:pPr>
        <w:tabs>
          <w:tab w:val="num" w:pos="360"/>
        </w:tabs>
        <w:ind w:left="360" w:hanging="360"/>
      </w:pPr>
      <w:rPr>
        <w:rFonts w:ascii="Symbol" w:hAnsi="Symbol" w:hint="default"/>
      </w:rPr>
    </w:lvl>
  </w:abstractNum>
  <w:abstractNum w:abstractNumId="10">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11">
    <w:nsid w:val="047A59EE"/>
    <w:multiLevelType w:val="hybridMultilevel"/>
    <w:tmpl w:val="59245736"/>
    <w:lvl w:ilvl="0" w:tplc="B5983350">
      <w:start w:val="1"/>
      <w:numFmt w:val="bullet"/>
      <w:lvlText w:val="-"/>
      <w:lvlJc w:val="left"/>
      <w:pPr>
        <w:ind w:left="720" w:hanging="360"/>
      </w:pPr>
      <w:rPr>
        <w:rFonts w:ascii="Simplified Arabic Fixed" w:hAnsi="Simplified Arabic Fixe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6B75175"/>
    <w:multiLevelType w:val="hybridMultilevel"/>
    <w:tmpl w:val="1206F49E"/>
    <w:lvl w:ilvl="0" w:tplc="E1064FB8">
      <w:start w:val="1"/>
      <w:numFmt w:val="bullet"/>
      <w:pStyle w:val="TableTextbullet"/>
      <w:lvlText w:val=""/>
      <w:lvlJc w:val="left"/>
      <w:pPr>
        <w:ind w:left="720" w:hanging="360"/>
      </w:pPr>
      <w:rPr>
        <w:rFonts w:ascii="Symbol" w:hAnsi="Symbol" w:hint="default"/>
        <w:sz w:val="20"/>
        <w:szCs w:val="2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77841F7"/>
    <w:multiLevelType w:val="hybridMultilevel"/>
    <w:tmpl w:val="D924D316"/>
    <w:lvl w:ilvl="0" w:tplc="883E3516">
      <w:start w:val="1"/>
      <w:numFmt w:val="bullet"/>
      <w:pStyle w:val="ControlledEntities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A7B4952"/>
    <w:multiLevelType w:val="multilevel"/>
    <w:tmpl w:val="CFA0AB76"/>
    <w:lvl w:ilvl="0">
      <w:start w:val="1"/>
      <w:numFmt w:val="upp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ACC5EEC"/>
    <w:multiLevelType w:val="hybridMultilevel"/>
    <w:tmpl w:val="3DB4910A"/>
    <w:lvl w:ilvl="0" w:tplc="E8AA80C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0CE9098C"/>
    <w:multiLevelType w:val="multilevel"/>
    <w:tmpl w:val="F8FC7B5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0F0D0B20"/>
    <w:multiLevelType w:val="hybridMultilevel"/>
    <w:tmpl w:val="1390D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1367AAC"/>
    <w:multiLevelType w:val="hybridMultilevel"/>
    <w:tmpl w:val="3DD44E62"/>
    <w:lvl w:ilvl="0" w:tplc="85D82D52">
      <w:start w:val="1"/>
      <w:numFmt w:val="bullet"/>
      <w:pStyle w:val="OGTabBullet"/>
      <w:lvlText w:val=""/>
      <w:lvlJc w:val="left"/>
      <w:pPr>
        <w:tabs>
          <w:tab w:val="num" w:pos="605"/>
        </w:tabs>
        <w:ind w:left="605"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17AC467E"/>
    <w:multiLevelType w:val="hybridMultilevel"/>
    <w:tmpl w:val="DF788E28"/>
    <w:lvl w:ilvl="0" w:tplc="589A754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1D297112"/>
    <w:multiLevelType w:val="multilevel"/>
    <w:tmpl w:val="E66C4E04"/>
    <w:lvl w:ilvl="0">
      <w:start w:val="1"/>
      <w:numFmt w:val="bullet"/>
      <w:lvlText w:val=""/>
      <w:lvlJc w:val="left"/>
      <w:pPr>
        <w:tabs>
          <w:tab w:val="num" w:pos="86"/>
        </w:tabs>
        <w:ind w:left="446" w:firstLine="0"/>
      </w:pPr>
      <w:rPr>
        <w:rFonts w:ascii="Symbol" w:hAnsi="Symbol"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20010983"/>
    <w:multiLevelType w:val="hybridMultilevel"/>
    <w:tmpl w:val="2B34F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3494EDF"/>
    <w:multiLevelType w:val="multilevel"/>
    <w:tmpl w:val="812C00D2"/>
    <w:lvl w:ilvl="0">
      <w:start w:val="1"/>
      <w:numFmt w:val="upperLetter"/>
      <w:lvlText w:val="(%1)"/>
      <w:lvlJc w:val="left"/>
      <w:pPr>
        <w:tabs>
          <w:tab w:val="num" w:pos="86"/>
        </w:tabs>
        <w:ind w:left="720" w:hanging="720"/>
      </w:pPr>
      <w:rPr>
        <w:rFonts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246A3D1C"/>
    <w:multiLevelType w:val="multilevel"/>
    <w:tmpl w:val="D4CE75F8"/>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26A54181"/>
    <w:multiLevelType w:val="singleLevel"/>
    <w:tmpl w:val="22D246C6"/>
    <w:lvl w:ilvl="0">
      <w:start w:val="1"/>
      <w:numFmt w:val="bullet"/>
      <w:lvlText w:val=""/>
      <w:lvlJc w:val="left"/>
      <w:pPr>
        <w:tabs>
          <w:tab w:val="num" w:pos="360"/>
        </w:tabs>
        <w:ind w:left="360" w:hanging="360"/>
      </w:pPr>
      <w:rPr>
        <w:rFonts w:ascii="Symbol" w:hAnsi="Symbol" w:hint="default"/>
        <w:sz w:val="16"/>
      </w:rPr>
    </w:lvl>
  </w:abstractNum>
  <w:abstractNum w:abstractNumId="25">
    <w:nsid w:val="283B293C"/>
    <w:multiLevelType w:val="hybridMultilevel"/>
    <w:tmpl w:val="B540C8D6"/>
    <w:lvl w:ilvl="0" w:tplc="BF24713E">
      <w:start w:val="1"/>
      <w:numFmt w:val="bullet"/>
      <w:pStyle w:val="VAGO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285C08AE"/>
    <w:multiLevelType w:val="multilevel"/>
    <w:tmpl w:val="86BA075E"/>
    <w:lvl w:ilvl="0">
      <w:start w:val="1"/>
      <w:numFmt w:val="bullet"/>
      <w:pStyle w:val="BulletText"/>
      <w:lvlText w:val=""/>
      <w:lvlJc w:val="left"/>
      <w:pPr>
        <w:tabs>
          <w:tab w:val="num" w:pos="360"/>
        </w:tabs>
        <w:ind w:left="360" w:hanging="360"/>
      </w:pPr>
      <w:rPr>
        <w:rFonts w:ascii="Symbol" w:hAnsi="Symbol" w:hint="default"/>
        <w:sz w:val="18"/>
        <w:szCs w:val="18"/>
      </w:rPr>
    </w:lvl>
    <w:lvl w:ilvl="1">
      <w:start w:val="1"/>
      <w:numFmt w:val="bullet"/>
      <w:pStyle w:val="DashText"/>
      <w:lvlText w:val=""/>
      <w:lvlJc w:val="left"/>
      <w:pPr>
        <w:tabs>
          <w:tab w:val="num" w:pos="720"/>
        </w:tabs>
        <w:ind w:left="72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7">
    <w:nsid w:val="2A69491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34E61ACF"/>
    <w:multiLevelType w:val="hybridMultilevel"/>
    <w:tmpl w:val="36F85292"/>
    <w:lvl w:ilvl="0" w:tplc="587CF6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BDE6BF7"/>
    <w:multiLevelType w:val="hybridMultilevel"/>
    <w:tmpl w:val="4416921C"/>
    <w:lvl w:ilvl="0" w:tplc="0C044C2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3CFC52E9"/>
    <w:multiLevelType w:val="hybridMultilevel"/>
    <w:tmpl w:val="870E9140"/>
    <w:lvl w:ilvl="0" w:tplc="DC7C3ABC">
      <w:start w:val="1"/>
      <w:numFmt w:val="bullet"/>
      <w:pStyle w:val="NotesDash"/>
      <w:lvlText w:val="–"/>
      <w:lvlJc w:val="left"/>
      <w:pPr>
        <w:tabs>
          <w:tab w:val="num" w:pos="922"/>
        </w:tabs>
        <w:ind w:left="922" w:hanging="468"/>
      </w:pPr>
      <w:rPr>
        <w:rFonts w:ascii="Times New Roman" w:hAnsi="Times New Roman"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3F316BB2"/>
    <w:multiLevelType w:val="hybridMultilevel"/>
    <w:tmpl w:val="96663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BB94889"/>
    <w:multiLevelType w:val="hybridMultilevel"/>
    <w:tmpl w:val="CFA0AB76"/>
    <w:lvl w:ilvl="0" w:tplc="6052C808">
      <w:start w:val="1"/>
      <w:numFmt w:val="upperLetter"/>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52DF7E7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33A0C90"/>
    <w:multiLevelType w:val="hybridMultilevel"/>
    <w:tmpl w:val="994EB4EE"/>
    <w:lvl w:ilvl="0" w:tplc="DC9272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6FB2E0B"/>
    <w:multiLevelType w:val="hybridMultilevel"/>
    <w:tmpl w:val="EDCE7868"/>
    <w:lvl w:ilvl="0" w:tplc="69205F3C">
      <w:start w:val="1"/>
      <w:numFmt w:val="bullet"/>
      <w:pStyle w:val="HighlightBox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6">
    <w:nsid w:val="580E64D9"/>
    <w:multiLevelType w:val="hybridMultilevel"/>
    <w:tmpl w:val="25941F76"/>
    <w:lvl w:ilvl="0" w:tplc="1FAA19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E661EC9"/>
    <w:multiLevelType w:val="hybridMultilevel"/>
    <w:tmpl w:val="BC361348"/>
    <w:lvl w:ilvl="0" w:tplc="164E2324">
      <w:start w:val="1"/>
      <w:numFmt w:val="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8">
    <w:nsid w:val="6EE34E10"/>
    <w:multiLevelType w:val="multilevel"/>
    <w:tmpl w:val="D9F407CA"/>
    <w:lvl w:ilvl="0">
      <w:start w:val="1"/>
      <w:numFmt w:val="upperLetter"/>
      <w:pStyle w:val="Heading3Numbering"/>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72806EAF"/>
    <w:multiLevelType w:val="hybridMultilevel"/>
    <w:tmpl w:val="2F58BF86"/>
    <w:lvl w:ilvl="0" w:tplc="EBB04D60">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3502477"/>
    <w:multiLevelType w:val="multilevel"/>
    <w:tmpl w:val="2D149DDA"/>
    <w:lvl w:ilvl="0">
      <w:start w:val="1"/>
      <w:numFmt w:val="upperLetter"/>
      <w:lvlText w:val="(%1)"/>
      <w:lvlJc w:val="left"/>
      <w:pPr>
        <w:tabs>
          <w:tab w:val="num" w:pos="720"/>
        </w:tabs>
        <w:ind w:left="720" w:hanging="720"/>
      </w:pPr>
      <w:rPr>
        <w:rFonts w:ascii="AvantGarde Bk BT" w:hAnsi="AvantGarde Bk BT"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762D5F72"/>
    <w:multiLevelType w:val="hybridMultilevel"/>
    <w:tmpl w:val="BF42C50A"/>
    <w:lvl w:ilvl="0" w:tplc="B5FAAE8E">
      <w:start w:val="1"/>
      <w:numFmt w:val="bullet"/>
      <w:pStyle w:val="Bullet"/>
      <w:lvlText w:val=""/>
      <w:lvlJc w:val="left"/>
      <w:pPr>
        <w:tabs>
          <w:tab w:val="num" w:pos="786"/>
        </w:tabs>
        <w:ind w:left="786"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42">
    <w:nsid w:val="78244F38"/>
    <w:multiLevelType w:val="hybridMultilevel"/>
    <w:tmpl w:val="3D0672E2"/>
    <w:lvl w:ilvl="0" w:tplc="B92C81CA">
      <w:start w:val="1"/>
      <w:numFmt w:val="bullet"/>
      <w:pStyle w:val="TableText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8441FB3"/>
    <w:multiLevelType w:val="hybridMultilevel"/>
    <w:tmpl w:val="F39674F4"/>
    <w:lvl w:ilvl="0" w:tplc="3EEC34DA">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92603EA"/>
    <w:multiLevelType w:val="singleLevel"/>
    <w:tmpl w:val="9DB0D9C8"/>
    <w:lvl w:ilvl="0">
      <w:start w:val="1"/>
      <w:numFmt w:val="bullet"/>
      <w:lvlText w:val=""/>
      <w:lvlJc w:val="left"/>
      <w:pPr>
        <w:tabs>
          <w:tab w:val="num" w:pos="360"/>
        </w:tabs>
        <w:ind w:left="360" w:hanging="360"/>
      </w:pPr>
      <w:rPr>
        <w:rFonts w:ascii="Symbol" w:hAnsi="Symbol" w:hint="default"/>
        <w:sz w:val="20"/>
      </w:rPr>
    </w:lvl>
  </w:abstractNum>
  <w:abstractNum w:abstractNumId="45">
    <w:nsid w:val="7C47754B"/>
    <w:multiLevelType w:val="hybridMultilevel"/>
    <w:tmpl w:val="8D36B64E"/>
    <w:lvl w:ilvl="0" w:tplc="C2F861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35"/>
  </w:num>
  <w:num w:numId="3">
    <w:abstractNumId w:val="38"/>
  </w:num>
  <w:num w:numId="4">
    <w:abstractNumId w:val="26"/>
  </w:num>
  <w:num w:numId="5">
    <w:abstractNumId w:val="30"/>
  </w:num>
  <w:num w:numId="6">
    <w:abstractNumId w:val="25"/>
  </w:num>
  <w:num w:numId="7">
    <w:abstractNumId w:val="18"/>
  </w:num>
  <w:num w:numId="8">
    <w:abstractNumId w:val="42"/>
  </w:num>
  <w:num w:numId="9">
    <w:abstractNumId w:val="41"/>
  </w:num>
  <w:num w:numId="10">
    <w:abstractNumId w:val="12"/>
  </w:num>
  <w:num w:numId="11">
    <w:abstractNumId w:val="13"/>
  </w:num>
  <w:num w:numId="12">
    <w:abstractNumId w:val="29"/>
  </w:num>
  <w:num w:numId="13">
    <w:abstractNumId w:val="36"/>
  </w:num>
  <w:num w:numId="14">
    <w:abstractNumId w:val="11"/>
  </w:num>
  <w:num w:numId="15">
    <w:abstractNumId w:val="27"/>
  </w:num>
  <w:num w:numId="16">
    <w:abstractNumId w:val="21"/>
  </w:num>
  <w:num w:numId="17">
    <w:abstractNumId w:val="24"/>
  </w:num>
  <w:num w:numId="18">
    <w:abstractNumId w:val="4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37"/>
  </w:num>
  <w:num w:numId="30">
    <w:abstractNumId w:val="20"/>
  </w:num>
  <w:num w:numId="31">
    <w:abstractNumId w:val="32"/>
  </w:num>
  <w:num w:numId="32">
    <w:abstractNumId w:val="14"/>
  </w:num>
  <w:num w:numId="33">
    <w:abstractNumId w:val="22"/>
  </w:num>
  <w:num w:numId="34">
    <w:abstractNumId w:val="39"/>
  </w:num>
  <w:num w:numId="35">
    <w:abstractNumId w:val="16"/>
  </w:num>
  <w:num w:numId="36">
    <w:abstractNumId w:val="43"/>
  </w:num>
  <w:num w:numId="37">
    <w:abstractNumId w:val="23"/>
  </w:num>
  <w:num w:numId="38">
    <w:abstractNumId w:val="33"/>
  </w:num>
  <w:num w:numId="39">
    <w:abstractNumId w:val="40"/>
  </w:num>
  <w:num w:numId="40">
    <w:abstractNumId w:val="17"/>
  </w:num>
  <w:num w:numId="41">
    <w:abstractNumId w:val="31"/>
  </w:num>
  <w:num w:numId="42">
    <w:abstractNumId w:val="34"/>
  </w:num>
  <w:num w:numId="43">
    <w:abstractNumId w:val="45"/>
  </w:num>
  <w:num w:numId="44">
    <w:abstractNumId w:val="28"/>
  </w:num>
  <w:num w:numId="45">
    <w:abstractNumId w:val="15"/>
  </w:num>
  <w:num w:numId="46">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mirrorMargins/>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nforcement="0"/>
  <w:autoFormatOverride/>
  <w:defaultTabStop w:val="720"/>
  <w:evenAndOddHeaders/>
  <w:drawingGridHorizontalSpacing w:val="187"/>
  <w:drawingGridVerticalSpacing w:val="187"/>
  <w:doNotUseMarginsForDrawingGridOrigin/>
  <w:drawingGridHorizontalOrigin w:val="1152"/>
  <w:drawingGridVerticalOrigin w:val="115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70C"/>
    <w:rsid w:val="00006F06"/>
    <w:rsid w:val="00007ABB"/>
    <w:rsid w:val="00021CE5"/>
    <w:rsid w:val="0004119A"/>
    <w:rsid w:val="000557B1"/>
    <w:rsid w:val="00057EE3"/>
    <w:rsid w:val="00062260"/>
    <w:rsid w:val="000701E0"/>
    <w:rsid w:val="000771C1"/>
    <w:rsid w:val="000830D0"/>
    <w:rsid w:val="00087089"/>
    <w:rsid w:val="000B1105"/>
    <w:rsid w:val="000B2895"/>
    <w:rsid w:val="000C1027"/>
    <w:rsid w:val="000C70DF"/>
    <w:rsid w:val="000D652A"/>
    <w:rsid w:val="000E435C"/>
    <w:rsid w:val="000E43BA"/>
    <w:rsid w:val="000F4C88"/>
    <w:rsid w:val="000F532A"/>
    <w:rsid w:val="0013022C"/>
    <w:rsid w:val="00131B8B"/>
    <w:rsid w:val="001368DE"/>
    <w:rsid w:val="001425EC"/>
    <w:rsid w:val="0014342C"/>
    <w:rsid w:val="001438DF"/>
    <w:rsid w:val="00146F9C"/>
    <w:rsid w:val="00154169"/>
    <w:rsid w:val="001632F2"/>
    <w:rsid w:val="001801B9"/>
    <w:rsid w:val="00186B75"/>
    <w:rsid w:val="001D18E7"/>
    <w:rsid w:val="001D5D99"/>
    <w:rsid w:val="001E39DC"/>
    <w:rsid w:val="001E4A6F"/>
    <w:rsid w:val="001F36BA"/>
    <w:rsid w:val="00206EB5"/>
    <w:rsid w:val="00213681"/>
    <w:rsid w:val="00243E39"/>
    <w:rsid w:val="00245DCF"/>
    <w:rsid w:val="00246993"/>
    <w:rsid w:val="00263F0A"/>
    <w:rsid w:val="002733B3"/>
    <w:rsid w:val="00281929"/>
    <w:rsid w:val="0028370C"/>
    <w:rsid w:val="00284FC9"/>
    <w:rsid w:val="00285253"/>
    <w:rsid w:val="002B10CD"/>
    <w:rsid w:val="002C1D55"/>
    <w:rsid w:val="002D4015"/>
    <w:rsid w:val="002E31A2"/>
    <w:rsid w:val="002E49C8"/>
    <w:rsid w:val="002E5C62"/>
    <w:rsid w:val="002F3CB5"/>
    <w:rsid w:val="00316123"/>
    <w:rsid w:val="00322DD7"/>
    <w:rsid w:val="003233E0"/>
    <w:rsid w:val="00336793"/>
    <w:rsid w:val="00341734"/>
    <w:rsid w:val="003453EB"/>
    <w:rsid w:val="003502C8"/>
    <w:rsid w:val="003511F8"/>
    <w:rsid w:val="00355792"/>
    <w:rsid w:val="00375590"/>
    <w:rsid w:val="00375DD2"/>
    <w:rsid w:val="003926C8"/>
    <w:rsid w:val="0039557F"/>
    <w:rsid w:val="003A1B60"/>
    <w:rsid w:val="003A4B88"/>
    <w:rsid w:val="003C06CE"/>
    <w:rsid w:val="003C3AAE"/>
    <w:rsid w:val="003E29DB"/>
    <w:rsid w:val="003E4C1F"/>
    <w:rsid w:val="00401171"/>
    <w:rsid w:val="00402B50"/>
    <w:rsid w:val="00410A6C"/>
    <w:rsid w:val="00410D51"/>
    <w:rsid w:val="0041227C"/>
    <w:rsid w:val="00452B29"/>
    <w:rsid w:val="00455F51"/>
    <w:rsid w:val="00465985"/>
    <w:rsid w:val="00473D35"/>
    <w:rsid w:val="00477003"/>
    <w:rsid w:val="00480ADD"/>
    <w:rsid w:val="004854E5"/>
    <w:rsid w:val="0049135F"/>
    <w:rsid w:val="004C3F0D"/>
    <w:rsid w:val="004C795D"/>
    <w:rsid w:val="004D54D7"/>
    <w:rsid w:val="004E43BF"/>
    <w:rsid w:val="004F6BAB"/>
    <w:rsid w:val="00503A10"/>
    <w:rsid w:val="005040D7"/>
    <w:rsid w:val="00531A3D"/>
    <w:rsid w:val="005370A8"/>
    <w:rsid w:val="005429ED"/>
    <w:rsid w:val="00545B6B"/>
    <w:rsid w:val="005545C0"/>
    <w:rsid w:val="005659B1"/>
    <w:rsid w:val="0058210D"/>
    <w:rsid w:val="005936CC"/>
    <w:rsid w:val="00594D72"/>
    <w:rsid w:val="005A32A3"/>
    <w:rsid w:val="005A6BE2"/>
    <w:rsid w:val="005A6FB4"/>
    <w:rsid w:val="005A7A10"/>
    <w:rsid w:val="005B4DC5"/>
    <w:rsid w:val="005D2193"/>
    <w:rsid w:val="006038C5"/>
    <w:rsid w:val="00606A43"/>
    <w:rsid w:val="00630FB1"/>
    <w:rsid w:val="00642BF1"/>
    <w:rsid w:val="0066770B"/>
    <w:rsid w:val="006707CE"/>
    <w:rsid w:val="006736CC"/>
    <w:rsid w:val="00674721"/>
    <w:rsid w:val="00675356"/>
    <w:rsid w:val="0068731F"/>
    <w:rsid w:val="00690C84"/>
    <w:rsid w:val="006A35FA"/>
    <w:rsid w:val="006A7354"/>
    <w:rsid w:val="006A7B84"/>
    <w:rsid w:val="006D5090"/>
    <w:rsid w:val="006D6A13"/>
    <w:rsid w:val="006D7F71"/>
    <w:rsid w:val="006F5024"/>
    <w:rsid w:val="00711FD9"/>
    <w:rsid w:val="0071751D"/>
    <w:rsid w:val="007178C7"/>
    <w:rsid w:val="00721377"/>
    <w:rsid w:val="00723551"/>
    <w:rsid w:val="00732D14"/>
    <w:rsid w:val="0074008B"/>
    <w:rsid w:val="00742218"/>
    <w:rsid w:val="00745027"/>
    <w:rsid w:val="00767D6F"/>
    <w:rsid w:val="007703C5"/>
    <w:rsid w:val="00787428"/>
    <w:rsid w:val="007A0627"/>
    <w:rsid w:val="007B4258"/>
    <w:rsid w:val="007C41A8"/>
    <w:rsid w:val="007D3406"/>
    <w:rsid w:val="007F5292"/>
    <w:rsid w:val="00803B55"/>
    <w:rsid w:val="008047B2"/>
    <w:rsid w:val="00806A99"/>
    <w:rsid w:val="00810492"/>
    <w:rsid w:val="00836249"/>
    <w:rsid w:val="00842AFB"/>
    <w:rsid w:val="00845877"/>
    <w:rsid w:val="0084697B"/>
    <w:rsid w:val="008539EB"/>
    <w:rsid w:val="00873DA7"/>
    <w:rsid w:val="00887F89"/>
    <w:rsid w:val="008A5FE9"/>
    <w:rsid w:val="008B7B8A"/>
    <w:rsid w:val="008C2408"/>
    <w:rsid w:val="008D4EEF"/>
    <w:rsid w:val="00901E03"/>
    <w:rsid w:val="009025F1"/>
    <w:rsid w:val="00904A16"/>
    <w:rsid w:val="0092044D"/>
    <w:rsid w:val="00923AD5"/>
    <w:rsid w:val="0092470F"/>
    <w:rsid w:val="0093166C"/>
    <w:rsid w:val="00943855"/>
    <w:rsid w:val="00943D46"/>
    <w:rsid w:val="0096304A"/>
    <w:rsid w:val="0097206F"/>
    <w:rsid w:val="00973A41"/>
    <w:rsid w:val="009942D2"/>
    <w:rsid w:val="00995570"/>
    <w:rsid w:val="009A2BC2"/>
    <w:rsid w:val="009A3179"/>
    <w:rsid w:val="009B024D"/>
    <w:rsid w:val="009B59AB"/>
    <w:rsid w:val="009C5731"/>
    <w:rsid w:val="009D1CA9"/>
    <w:rsid w:val="009E27CA"/>
    <w:rsid w:val="009F0F12"/>
    <w:rsid w:val="009F2577"/>
    <w:rsid w:val="009F534D"/>
    <w:rsid w:val="00A02B1B"/>
    <w:rsid w:val="00A07263"/>
    <w:rsid w:val="00A1268C"/>
    <w:rsid w:val="00A167C1"/>
    <w:rsid w:val="00A251B1"/>
    <w:rsid w:val="00A30094"/>
    <w:rsid w:val="00A32A40"/>
    <w:rsid w:val="00A426C4"/>
    <w:rsid w:val="00A46950"/>
    <w:rsid w:val="00A47373"/>
    <w:rsid w:val="00A53F4B"/>
    <w:rsid w:val="00A5588D"/>
    <w:rsid w:val="00A576F6"/>
    <w:rsid w:val="00A62AFB"/>
    <w:rsid w:val="00A71163"/>
    <w:rsid w:val="00A74AB1"/>
    <w:rsid w:val="00A74CBC"/>
    <w:rsid w:val="00A76EF4"/>
    <w:rsid w:val="00A945A3"/>
    <w:rsid w:val="00AA6337"/>
    <w:rsid w:val="00B022A5"/>
    <w:rsid w:val="00B04C4D"/>
    <w:rsid w:val="00B0624D"/>
    <w:rsid w:val="00B1409D"/>
    <w:rsid w:val="00B203B9"/>
    <w:rsid w:val="00B208AA"/>
    <w:rsid w:val="00B251BD"/>
    <w:rsid w:val="00B27782"/>
    <w:rsid w:val="00B527F0"/>
    <w:rsid w:val="00B55816"/>
    <w:rsid w:val="00B61D5A"/>
    <w:rsid w:val="00B82876"/>
    <w:rsid w:val="00B8605D"/>
    <w:rsid w:val="00BB3860"/>
    <w:rsid w:val="00BB71EC"/>
    <w:rsid w:val="00BC61E2"/>
    <w:rsid w:val="00BC7773"/>
    <w:rsid w:val="00BF7248"/>
    <w:rsid w:val="00C017D4"/>
    <w:rsid w:val="00C04DD7"/>
    <w:rsid w:val="00C05DC9"/>
    <w:rsid w:val="00C16E0A"/>
    <w:rsid w:val="00C2380B"/>
    <w:rsid w:val="00C239DE"/>
    <w:rsid w:val="00C24FB1"/>
    <w:rsid w:val="00C35791"/>
    <w:rsid w:val="00C419DE"/>
    <w:rsid w:val="00C4543A"/>
    <w:rsid w:val="00C46316"/>
    <w:rsid w:val="00C61389"/>
    <w:rsid w:val="00C723F1"/>
    <w:rsid w:val="00C75D0E"/>
    <w:rsid w:val="00C974AC"/>
    <w:rsid w:val="00CA1E44"/>
    <w:rsid w:val="00CA618A"/>
    <w:rsid w:val="00CB3C3B"/>
    <w:rsid w:val="00CB3C8A"/>
    <w:rsid w:val="00CB5C08"/>
    <w:rsid w:val="00CC3972"/>
    <w:rsid w:val="00CC69F7"/>
    <w:rsid w:val="00CC73D9"/>
    <w:rsid w:val="00CD0577"/>
    <w:rsid w:val="00CD43C3"/>
    <w:rsid w:val="00CE4FE3"/>
    <w:rsid w:val="00CF0F98"/>
    <w:rsid w:val="00CF1D10"/>
    <w:rsid w:val="00CF25B1"/>
    <w:rsid w:val="00D12656"/>
    <w:rsid w:val="00D172C7"/>
    <w:rsid w:val="00D20424"/>
    <w:rsid w:val="00D303BE"/>
    <w:rsid w:val="00D349D9"/>
    <w:rsid w:val="00D37513"/>
    <w:rsid w:val="00D50064"/>
    <w:rsid w:val="00D56B84"/>
    <w:rsid w:val="00D7758B"/>
    <w:rsid w:val="00D843F5"/>
    <w:rsid w:val="00D85983"/>
    <w:rsid w:val="00D91FC9"/>
    <w:rsid w:val="00D95D7D"/>
    <w:rsid w:val="00D96F49"/>
    <w:rsid w:val="00DA4D63"/>
    <w:rsid w:val="00DA6577"/>
    <w:rsid w:val="00DA6CAB"/>
    <w:rsid w:val="00DB180A"/>
    <w:rsid w:val="00DB1F98"/>
    <w:rsid w:val="00DB3187"/>
    <w:rsid w:val="00DB7B76"/>
    <w:rsid w:val="00DD79E9"/>
    <w:rsid w:val="00DE1D28"/>
    <w:rsid w:val="00DF0B96"/>
    <w:rsid w:val="00E31723"/>
    <w:rsid w:val="00E31886"/>
    <w:rsid w:val="00E41446"/>
    <w:rsid w:val="00E666B8"/>
    <w:rsid w:val="00E940C8"/>
    <w:rsid w:val="00E96950"/>
    <w:rsid w:val="00EA5B44"/>
    <w:rsid w:val="00EC2ADF"/>
    <w:rsid w:val="00EE2363"/>
    <w:rsid w:val="00EE4554"/>
    <w:rsid w:val="00EF2373"/>
    <w:rsid w:val="00EF59EA"/>
    <w:rsid w:val="00F17676"/>
    <w:rsid w:val="00F35817"/>
    <w:rsid w:val="00F44A2E"/>
    <w:rsid w:val="00F5014D"/>
    <w:rsid w:val="00F5412C"/>
    <w:rsid w:val="00F560E7"/>
    <w:rsid w:val="00FA2033"/>
    <w:rsid w:val="00FA5CC9"/>
    <w:rsid w:val="00FC21A7"/>
    <w:rsid w:val="00FE1306"/>
    <w:rsid w:val="00FE3D87"/>
    <w:rsid w:val="00FF1527"/>
    <w:rsid w:val="00FF441C"/>
    <w:rsid w:val="00FF6B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1" w:uiPriority="39"/>
    <w:lsdException w:name="toc 2" w:uiPriority="39"/>
    <w:lsdException w:name="toc 4"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locked="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8370C"/>
    <w:pPr>
      <w:spacing w:after="120"/>
    </w:pPr>
    <w:rPr>
      <w:rFonts w:ascii="Garamond" w:hAnsi="Garamond"/>
      <w:sz w:val="24"/>
      <w:lang w:eastAsia="en-US"/>
    </w:rPr>
  </w:style>
  <w:style w:type="paragraph" w:styleId="Heading1">
    <w:name w:val="heading 1"/>
    <w:basedOn w:val="Normal"/>
    <w:next w:val="Normal"/>
    <w:link w:val="Heading1Char"/>
    <w:qFormat/>
    <w:rsid w:val="0028370C"/>
    <w:pPr>
      <w:keepNext/>
      <w:spacing w:before="360"/>
      <w:outlineLvl w:val="0"/>
    </w:pPr>
    <w:rPr>
      <w:rFonts w:ascii="Calibri" w:hAnsi="Calibri"/>
      <w:b/>
      <w:caps/>
      <w:sz w:val="28"/>
      <w:szCs w:val="22"/>
    </w:rPr>
  </w:style>
  <w:style w:type="paragraph" w:styleId="Heading2">
    <w:name w:val="heading 2"/>
    <w:basedOn w:val="Normal"/>
    <w:next w:val="Normal"/>
    <w:link w:val="Heading2Char"/>
    <w:qFormat/>
    <w:rsid w:val="0028370C"/>
    <w:pPr>
      <w:keepNext/>
      <w:spacing w:before="240"/>
      <w:outlineLvl w:val="1"/>
    </w:pPr>
    <w:rPr>
      <w:rFonts w:ascii="Calibri" w:hAnsi="Calibri"/>
      <w:b/>
      <w:kern w:val="28"/>
      <w:sz w:val="28"/>
      <w:szCs w:val="22"/>
    </w:rPr>
  </w:style>
  <w:style w:type="paragraph" w:styleId="Heading3">
    <w:name w:val="heading 3"/>
    <w:basedOn w:val="Normal"/>
    <w:next w:val="Normal"/>
    <w:link w:val="Heading3Char"/>
    <w:qFormat/>
    <w:rsid w:val="0028370C"/>
    <w:pPr>
      <w:keepNext/>
      <w:spacing w:before="240"/>
      <w:outlineLvl w:val="2"/>
    </w:pPr>
    <w:rPr>
      <w:rFonts w:ascii="Calibri" w:hAnsi="Calibri"/>
      <w:b/>
      <w:i/>
      <w:kern w:val="28"/>
      <w:sz w:val="26"/>
      <w:szCs w:val="22"/>
    </w:rPr>
  </w:style>
  <w:style w:type="paragraph" w:styleId="Heading4">
    <w:name w:val="heading 4"/>
    <w:basedOn w:val="Normal"/>
    <w:next w:val="Normal"/>
    <w:link w:val="Heading4Char"/>
    <w:qFormat/>
    <w:rsid w:val="0028370C"/>
    <w:pPr>
      <w:keepNext/>
      <w:spacing w:before="240"/>
      <w:outlineLvl w:val="3"/>
    </w:pPr>
    <w:rPr>
      <w:rFonts w:ascii="Calibri" w:hAnsi="Calibri"/>
      <w:i/>
      <w:sz w:val="26"/>
      <w:szCs w:val="22"/>
    </w:rPr>
  </w:style>
  <w:style w:type="paragraph" w:styleId="Heading5">
    <w:name w:val="heading 5"/>
    <w:basedOn w:val="Normal"/>
    <w:next w:val="Normal"/>
    <w:link w:val="Heading5Char"/>
    <w:qFormat/>
    <w:rsid w:val="0028370C"/>
    <w:pPr>
      <w:keepNext/>
      <w:tabs>
        <w:tab w:val="left" w:pos="504"/>
      </w:tabs>
      <w:spacing w:before="120" w:after="60"/>
      <w:outlineLvl w:val="4"/>
    </w:pPr>
    <w:rPr>
      <w:rFonts w:ascii="Calibri" w:hAnsi="Calibri"/>
      <w:b/>
    </w:rPr>
  </w:style>
  <w:style w:type="paragraph" w:styleId="Heading6">
    <w:name w:val="heading 6"/>
    <w:basedOn w:val="Normal"/>
    <w:next w:val="Normal"/>
    <w:link w:val="Heading6Char"/>
    <w:semiHidden/>
    <w:unhideWhenUsed/>
    <w:qFormat/>
    <w:locked/>
    <w:rsid w:val="009B02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9B02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9B024D"/>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locked/>
    <w:rsid w:val="009B024D"/>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28370C"/>
    <w:pPr>
      <w:spacing w:after="0"/>
      <w:jc w:val="center"/>
    </w:pPr>
    <w:rPr>
      <w:rFonts w:ascii="Calibri" w:hAnsi="Calibri"/>
      <w:i/>
      <w:sz w:val="20"/>
      <w:szCs w:val="18"/>
    </w:rPr>
  </w:style>
  <w:style w:type="paragraph" w:styleId="TableofFigures">
    <w:name w:val="table of figures"/>
    <w:basedOn w:val="Normal"/>
    <w:next w:val="Normal"/>
    <w:link w:val="TableofFiguresChar"/>
    <w:qFormat/>
    <w:rsid w:val="0028370C"/>
    <w:pPr>
      <w:spacing w:after="0"/>
      <w:jc w:val="right"/>
    </w:pPr>
    <w:rPr>
      <w:rFonts w:ascii="Calibri" w:hAnsi="Calibri"/>
      <w:sz w:val="22"/>
      <w:szCs w:val="18"/>
    </w:rPr>
  </w:style>
  <w:style w:type="paragraph" w:customStyle="1" w:styleId="BIP1Figures">
    <w:name w:val="BIP1 Figures"/>
    <w:basedOn w:val="TableofFigures"/>
    <w:semiHidden/>
    <w:rsid w:val="0028370C"/>
    <w:pPr>
      <w:spacing w:after="20"/>
    </w:pPr>
  </w:style>
  <w:style w:type="paragraph" w:customStyle="1" w:styleId="Tabletextheading">
    <w:name w:val="Table text heading"/>
    <w:basedOn w:val="TableofFigures"/>
    <w:link w:val="TabletextheadingChar"/>
    <w:qFormat/>
    <w:rsid w:val="0028370C"/>
    <w:rPr>
      <w:i/>
    </w:rPr>
  </w:style>
  <w:style w:type="paragraph" w:customStyle="1" w:styleId="BIP1headingr">
    <w:name w:val="BIP1 heading r"/>
    <w:basedOn w:val="Tabletextheading"/>
    <w:semiHidden/>
    <w:rsid w:val="0028370C"/>
  </w:style>
  <w:style w:type="paragraph" w:customStyle="1" w:styleId="BIP1headingl">
    <w:name w:val="BIP1 heading l"/>
    <w:basedOn w:val="BIP1headingr"/>
    <w:link w:val="BIP1headinglChar"/>
    <w:semiHidden/>
    <w:rsid w:val="0028370C"/>
    <w:pPr>
      <w:jc w:val="left"/>
    </w:pPr>
  </w:style>
  <w:style w:type="paragraph" w:customStyle="1" w:styleId="Tabletext">
    <w:name w:val="Table text"/>
    <w:basedOn w:val="TableofFigures"/>
    <w:link w:val="TabletextChar"/>
    <w:qFormat/>
    <w:rsid w:val="0028370C"/>
    <w:pPr>
      <w:ind w:left="180" w:hanging="180"/>
      <w:jc w:val="left"/>
    </w:pPr>
  </w:style>
  <w:style w:type="paragraph" w:customStyle="1" w:styleId="BIP1tabletext">
    <w:name w:val="BIP1 table text"/>
    <w:basedOn w:val="Tabletext"/>
    <w:semiHidden/>
    <w:rsid w:val="0028370C"/>
    <w:pPr>
      <w:spacing w:after="20"/>
      <w:ind w:left="72" w:hanging="72"/>
    </w:pPr>
  </w:style>
  <w:style w:type="paragraph" w:customStyle="1" w:styleId="Tableheading">
    <w:name w:val="Table heading"/>
    <w:basedOn w:val="Normal"/>
    <w:link w:val="TableheadingChar"/>
    <w:qFormat/>
    <w:rsid w:val="0028370C"/>
    <w:pPr>
      <w:keepNext/>
      <w:spacing w:before="240"/>
      <w:ind w:left="1152" w:hanging="1152"/>
    </w:pPr>
    <w:rPr>
      <w:rFonts w:ascii="Calibri" w:hAnsi="Calibri"/>
      <w:b/>
      <w:sz w:val="25"/>
    </w:rPr>
  </w:style>
  <w:style w:type="table" w:styleId="TableGrid">
    <w:name w:val="Table Grid"/>
    <w:basedOn w:val="TableNormal"/>
    <w:locked/>
    <w:rsid w:val="0028370C"/>
    <w:pPr>
      <w:spacing w:after="120"/>
      <w:jc w:val="both"/>
    </w:pPr>
    <w:rPr>
      <w:rFonts w:ascii="Calibri" w:hAnsi="Calibri"/>
    </w:rPr>
    <w:tblPr/>
  </w:style>
  <w:style w:type="paragraph" w:customStyle="1" w:styleId="BulletText">
    <w:name w:val="Bullet Text"/>
    <w:basedOn w:val="Normal"/>
    <w:link w:val="BulletTextChar"/>
    <w:qFormat/>
    <w:rsid w:val="0028370C"/>
    <w:pPr>
      <w:numPr>
        <w:numId w:val="4"/>
      </w:numPr>
    </w:pPr>
  </w:style>
  <w:style w:type="paragraph" w:customStyle="1" w:styleId="ChapterHeading">
    <w:name w:val="Chapter Heading"/>
    <w:basedOn w:val="Normal"/>
    <w:next w:val="Heading1"/>
    <w:qFormat/>
    <w:rsid w:val="0028370C"/>
    <w:pPr>
      <w:keepNext/>
      <w:pBdr>
        <w:bottom w:val="single" w:sz="12" w:space="7" w:color="auto"/>
      </w:pBdr>
      <w:spacing w:before="1440" w:after="360"/>
    </w:pPr>
    <w:rPr>
      <w:rFonts w:ascii="Calibri" w:hAnsi="Calibri"/>
      <w:b/>
      <w:caps/>
      <w:sz w:val="38"/>
      <w:szCs w:val="28"/>
    </w:rPr>
  </w:style>
  <w:style w:type="paragraph" w:customStyle="1" w:styleId="Chartheading">
    <w:name w:val="Chart heading"/>
    <w:basedOn w:val="Tableheading"/>
    <w:next w:val="Normal"/>
    <w:qFormat/>
    <w:rsid w:val="0028370C"/>
  </w:style>
  <w:style w:type="paragraph" w:styleId="Footer">
    <w:name w:val="footer"/>
    <w:basedOn w:val="Normal"/>
    <w:link w:val="FooterChar"/>
    <w:rsid w:val="0028370C"/>
    <w:pPr>
      <w:pBdr>
        <w:top w:val="single" w:sz="6" w:space="1" w:color="auto"/>
      </w:pBdr>
      <w:tabs>
        <w:tab w:val="right" w:pos="7085"/>
      </w:tabs>
    </w:pPr>
    <w:rPr>
      <w:rFonts w:ascii="Calibri" w:hAnsi="Calibri"/>
      <w:sz w:val="22"/>
      <w:szCs w:val="18"/>
    </w:rPr>
  </w:style>
  <w:style w:type="paragraph" w:styleId="Header">
    <w:name w:val="header"/>
    <w:basedOn w:val="Footer"/>
    <w:link w:val="HeaderChar"/>
    <w:rsid w:val="0028370C"/>
    <w:pPr>
      <w:pBdr>
        <w:top w:val="none" w:sz="0" w:space="0" w:color="auto"/>
      </w:pBdr>
      <w:tabs>
        <w:tab w:val="clear" w:pos="7085"/>
      </w:tabs>
    </w:pPr>
  </w:style>
  <w:style w:type="paragraph" w:customStyle="1" w:styleId="Heading2Notes">
    <w:name w:val="Heading 2 Notes"/>
    <w:basedOn w:val="Heading2"/>
    <w:link w:val="Heading2NotesChar"/>
    <w:rsid w:val="0028370C"/>
    <w:pPr>
      <w:tabs>
        <w:tab w:val="left" w:pos="1152"/>
      </w:tabs>
      <w:ind w:left="1152" w:hanging="1152"/>
    </w:pPr>
  </w:style>
  <w:style w:type="paragraph" w:customStyle="1" w:styleId="Notes">
    <w:name w:val="Notes"/>
    <w:basedOn w:val="Normal"/>
    <w:link w:val="NotesChar"/>
    <w:qFormat/>
    <w:rsid w:val="0028370C"/>
    <w:pPr>
      <w:tabs>
        <w:tab w:val="left" w:pos="454"/>
      </w:tabs>
      <w:spacing w:after="0"/>
      <w:ind w:left="461" w:hanging="461"/>
    </w:pPr>
    <w:rPr>
      <w:rFonts w:ascii="Calibri" w:hAnsi="Calibri"/>
      <w:i/>
      <w:sz w:val="16"/>
    </w:rPr>
  </w:style>
  <w:style w:type="paragraph" w:customStyle="1" w:styleId="OGBullet">
    <w:name w:val="OGBullet"/>
    <w:basedOn w:val="Normal"/>
    <w:semiHidden/>
    <w:rsid w:val="0028370C"/>
    <w:pPr>
      <w:numPr>
        <w:numId w:val="1"/>
      </w:numPr>
    </w:pPr>
    <w:rPr>
      <w:rFonts w:ascii="Calibri" w:hAnsi="Calibri"/>
      <w:sz w:val="22"/>
      <w:szCs w:val="18"/>
    </w:rPr>
  </w:style>
  <w:style w:type="paragraph" w:customStyle="1" w:styleId="OGHeading1">
    <w:name w:val="OGHeading1"/>
    <w:basedOn w:val="Normal"/>
    <w:semiHidden/>
    <w:rsid w:val="0028370C"/>
    <w:rPr>
      <w:rFonts w:ascii="Calibri" w:hAnsi="Calibri"/>
      <w:b/>
      <w:sz w:val="34"/>
      <w:szCs w:val="28"/>
    </w:rPr>
  </w:style>
  <w:style w:type="paragraph" w:customStyle="1" w:styleId="OGHeading2">
    <w:name w:val="OGHeading2"/>
    <w:basedOn w:val="Normal"/>
    <w:link w:val="OGHeading2Char"/>
    <w:semiHidden/>
    <w:rsid w:val="0028370C"/>
    <w:pPr>
      <w:keepNext/>
      <w:spacing w:before="60"/>
    </w:pPr>
    <w:rPr>
      <w:rFonts w:ascii="Calibri" w:hAnsi="Calibri"/>
      <w:b/>
      <w:sz w:val="30"/>
      <w:szCs w:val="24"/>
    </w:rPr>
  </w:style>
  <w:style w:type="paragraph" w:customStyle="1" w:styleId="OGTabHead">
    <w:name w:val="OGTabHead"/>
    <w:basedOn w:val="Normal"/>
    <w:semiHidden/>
    <w:rsid w:val="0028370C"/>
    <w:pPr>
      <w:keepNext/>
      <w:keepLines/>
      <w:spacing w:before="30" w:after="30"/>
    </w:pPr>
    <w:rPr>
      <w:rFonts w:ascii="Calibri" w:hAnsi="Calibri"/>
      <w:i/>
      <w:sz w:val="22"/>
      <w:szCs w:val="18"/>
    </w:rPr>
  </w:style>
  <w:style w:type="paragraph" w:customStyle="1" w:styleId="OGTabText">
    <w:name w:val="OGTabText"/>
    <w:basedOn w:val="Normal"/>
    <w:link w:val="OGTabTextChar"/>
    <w:semiHidden/>
    <w:rsid w:val="0028370C"/>
    <w:pPr>
      <w:spacing w:before="30" w:after="30"/>
      <w:ind w:left="144"/>
    </w:pPr>
    <w:rPr>
      <w:rFonts w:ascii="Calibri" w:hAnsi="Calibri"/>
      <w:sz w:val="22"/>
      <w:szCs w:val="18"/>
    </w:rPr>
  </w:style>
  <w:style w:type="paragraph" w:customStyle="1" w:styleId="OGText">
    <w:name w:val="OGText"/>
    <w:basedOn w:val="Normal"/>
    <w:link w:val="OGTextChar"/>
    <w:semiHidden/>
    <w:rsid w:val="0028370C"/>
    <w:pPr>
      <w:keepNext/>
      <w:spacing w:before="40"/>
    </w:pPr>
    <w:rPr>
      <w:rFonts w:ascii="Calibri" w:hAnsi="Calibri"/>
      <w:sz w:val="22"/>
      <w:szCs w:val="18"/>
    </w:rPr>
  </w:style>
  <w:style w:type="character" w:styleId="PageNumber">
    <w:name w:val="page number"/>
    <w:rsid w:val="0028370C"/>
    <w:rPr>
      <w:rFonts w:ascii="Calibri" w:hAnsi="Calibri"/>
      <w:sz w:val="22"/>
    </w:rPr>
  </w:style>
  <w:style w:type="paragraph" w:customStyle="1" w:styleId="Source">
    <w:name w:val="Source"/>
    <w:basedOn w:val="Normal"/>
    <w:next w:val="Normal"/>
    <w:link w:val="SourceChar"/>
    <w:qFormat/>
    <w:locked/>
    <w:rsid w:val="0028370C"/>
    <w:rPr>
      <w:rFonts w:ascii="Calibri" w:hAnsi="Calibri"/>
      <w:i/>
      <w:sz w:val="16"/>
    </w:rPr>
  </w:style>
  <w:style w:type="paragraph" w:customStyle="1" w:styleId="TableofContentsheading">
    <w:name w:val="Table of Contents heading"/>
    <w:basedOn w:val="ChapterHeading"/>
    <w:next w:val="Normal"/>
    <w:rsid w:val="0028370C"/>
  </w:style>
  <w:style w:type="paragraph" w:customStyle="1" w:styleId="Heading2NotesContd">
    <w:name w:val="Heading 2 Notes Cont'd"/>
    <w:basedOn w:val="Heading2Notes"/>
    <w:link w:val="Heading2NotesContdChar"/>
    <w:rsid w:val="0028370C"/>
  </w:style>
  <w:style w:type="paragraph" w:customStyle="1" w:styleId="HighlightBoxText">
    <w:name w:val="Highlight Box Text"/>
    <w:basedOn w:val="HighlightBoxBullet"/>
    <w:qFormat/>
    <w:rsid w:val="0028370C"/>
    <w:pPr>
      <w:numPr>
        <w:numId w:val="0"/>
      </w:numPr>
    </w:pPr>
  </w:style>
  <w:style w:type="paragraph" w:styleId="TOC1">
    <w:name w:val="toc 1"/>
    <w:basedOn w:val="Normal"/>
    <w:next w:val="Normal"/>
    <w:uiPriority w:val="39"/>
    <w:rsid w:val="0028370C"/>
    <w:pPr>
      <w:tabs>
        <w:tab w:val="right" w:leader="dot" w:pos="9630"/>
      </w:tabs>
      <w:spacing w:before="40" w:after="40"/>
      <w:ind w:right="422"/>
    </w:pPr>
    <w:rPr>
      <w:rFonts w:ascii="Calibri" w:hAnsi="Calibri"/>
      <w:b/>
      <w:noProof/>
    </w:rPr>
  </w:style>
  <w:style w:type="paragraph" w:styleId="TOC2">
    <w:name w:val="toc 2"/>
    <w:basedOn w:val="Normal"/>
    <w:next w:val="Normal"/>
    <w:uiPriority w:val="39"/>
    <w:rsid w:val="0028370C"/>
    <w:pPr>
      <w:tabs>
        <w:tab w:val="right" w:leader="dot" w:pos="9630"/>
      </w:tabs>
      <w:spacing w:after="0"/>
      <w:ind w:left="288" w:right="422"/>
    </w:pPr>
    <w:rPr>
      <w:rFonts w:ascii="Calibri" w:hAnsi="Calibri"/>
      <w:noProof/>
      <w:sz w:val="22"/>
    </w:rPr>
  </w:style>
  <w:style w:type="paragraph" w:styleId="TOC3">
    <w:name w:val="toc 3"/>
    <w:basedOn w:val="Normal"/>
    <w:next w:val="Normal"/>
    <w:rsid w:val="0028370C"/>
    <w:pPr>
      <w:tabs>
        <w:tab w:val="right" w:leader="dot" w:pos="7830"/>
      </w:tabs>
      <w:spacing w:after="0"/>
      <w:ind w:left="432" w:right="422"/>
    </w:pPr>
    <w:rPr>
      <w:rFonts w:ascii="Calibri" w:hAnsi="Calibri"/>
      <w:i/>
      <w:sz w:val="22"/>
    </w:rPr>
  </w:style>
  <w:style w:type="paragraph" w:styleId="TOC4">
    <w:name w:val="toc 4"/>
    <w:basedOn w:val="TOC1"/>
    <w:next w:val="Normal"/>
    <w:uiPriority w:val="39"/>
    <w:rsid w:val="0028370C"/>
    <w:pPr>
      <w:tabs>
        <w:tab w:val="right" w:leader="dot" w:pos="9533"/>
      </w:tabs>
      <w:spacing w:after="0"/>
      <w:ind w:left="1152" w:hanging="1152"/>
    </w:pPr>
    <w:rPr>
      <w:b w:val="0"/>
      <w:sz w:val="22"/>
    </w:rPr>
  </w:style>
  <w:style w:type="paragraph" w:styleId="TOC5">
    <w:name w:val="toc 5"/>
    <w:basedOn w:val="TOC1"/>
    <w:next w:val="Normal"/>
    <w:rsid w:val="0028370C"/>
    <w:rPr>
      <w:b w:val="0"/>
      <w:sz w:val="22"/>
    </w:rPr>
  </w:style>
  <w:style w:type="paragraph" w:customStyle="1" w:styleId="Tableheadingcontinued">
    <w:name w:val="Table heading continued"/>
    <w:basedOn w:val="Tableheading"/>
    <w:rsid w:val="0028370C"/>
  </w:style>
  <w:style w:type="paragraph" w:customStyle="1" w:styleId="TableTextCentred">
    <w:name w:val="Table Text Centred"/>
    <w:basedOn w:val="Tabletext"/>
    <w:rsid w:val="0028370C"/>
    <w:pPr>
      <w:ind w:left="0" w:firstLine="0"/>
      <w:jc w:val="center"/>
    </w:pPr>
  </w:style>
  <w:style w:type="paragraph" w:customStyle="1" w:styleId="Heading3Numbering">
    <w:name w:val="Heading 3 Numbering"/>
    <w:basedOn w:val="Heading3"/>
    <w:link w:val="Heading3NumberingChar"/>
    <w:rsid w:val="0028370C"/>
    <w:pPr>
      <w:numPr>
        <w:numId w:val="3"/>
      </w:numPr>
      <w:tabs>
        <w:tab w:val="left" w:pos="504"/>
      </w:tabs>
    </w:pPr>
  </w:style>
  <w:style w:type="paragraph" w:customStyle="1" w:styleId="Heading5a">
    <w:name w:val="Heading 5a"/>
    <w:basedOn w:val="Heading5"/>
    <w:rsid w:val="0028370C"/>
    <w:pPr>
      <w:tabs>
        <w:tab w:val="clear" w:pos="504"/>
      </w:tabs>
    </w:pPr>
    <w:rPr>
      <w:b w:val="0"/>
      <w:i/>
      <w:sz w:val="23"/>
    </w:rPr>
  </w:style>
  <w:style w:type="character" w:customStyle="1" w:styleId="OGTabBulletChar">
    <w:name w:val="OGTabBullet Char"/>
    <w:link w:val="OGTabBullet"/>
    <w:rsid w:val="0028370C"/>
    <w:rPr>
      <w:rFonts w:ascii="Calibri" w:hAnsi="Calibri"/>
      <w:sz w:val="22"/>
      <w:szCs w:val="18"/>
    </w:rPr>
  </w:style>
  <w:style w:type="paragraph" w:customStyle="1" w:styleId="OGTabBullet">
    <w:name w:val="OGTabBullet"/>
    <w:basedOn w:val="OGBullet"/>
    <w:link w:val="OGTabBulletChar"/>
    <w:semiHidden/>
    <w:rsid w:val="0028370C"/>
    <w:pPr>
      <w:numPr>
        <w:numId w:val="7"/>
      </w:numPr>
      <w:spacing w:before="30" w:after="30"/>
    </w:pPr>
    <w:rPr>
      <w:lang w:eastAsia="en-AU"/>
    </w:rPr>
  </w:style>
  <w:style w:type="paragraph" w:customStyle="1" w:styleId="TabletextheadingCentred">
    <w:name w:val="Table text heading Centred"/>
    <w:basedOn w:val="Tabletextheading"/>
    <w:link w:val="TabletextheadingCentredChar"/>
    <w:rsid w:val="0028370C"/>
    <w:pPr>
      <w:jc w:val="center"/>
    </w:pPr>
  </w:style>
  <w:style w:type="paragraph" w:customStyle="1" w:styleId="DashText">
    <w:name w:val="Dash Text"/>
    <w:basedOn w:val="Normal"/>
    <w:link w:val="DashTextChar"/>
    <w:qFormat/>
    <w:rsid w:val="0028370C"/>
    <w:pPr>
      <w:numPr>
        <w:ilvl w:val="1"/>
        <w:numId w:val="4"/>
      </w:numPr>
    </w:pPr>
  </w:style>
  <w:style w:type="paragraph" w:customStyle="1" w:styleId="VersionTableText">
    <w:name w:val="VersionTableText"/>
    <w:basedOn w:val="Normal"/>
    <w:rsid w:val="0028370C"/>
    <w:pPr>
      <w:spacing w:after="0"/>
      <w:jc w:val="center"/>
    </w:pPr>
    <w:rPr>
      <w:rFonts w:ascii="Calibri" w:hAnsi="Calibri"/>
      <w:sz w:val="22"/>
    </w:rPr>
  </w:style>
  <w:style w:type="paragraph" w:customStyle="1" w:styleId="VersionTableHeading">
    <w:name w:val="VersionTableHeading"/>
    <w:basedOn w:val="Normal"/>
    <w:rsid w:val="0028370C"/>
    <w:pPr>
      <w:spacing w:after="0"/>
      <w:jc w:val="center"/>
    </w:pPr>
    <w:rPr>
      <w:rFonts w:ascii="Calibri" w:hAnsi="Calibri"/>
      <w:b/>
      <w:sz w:val="22"/>
    </w:rPr>
  </w:style>
  <w:style w:type="paragraph" w:customStyle="1" w:styleId="NotesIndent">
    <w:name w:val="NotesIndent"/>
    <w:basedOn w:val="Notes"/>
    <w:rsid w:val="0028370C"/>
    <w:pPr>
      <w:ind w:left="915"/>
    </w:pPr>
  </w:style>
  <w:style w:type="paragraph" w:customStyle="1" w:styleId="NotesDash">
    <w:name w:val="NotesDash"/>
    <w:basedOn w:val="NotesIndent"/>
    <w:rsid w:val="001E4A6F"/>
    <w:pPr>
      <w:numPr>
        <w:numId w:val="5"/>
      </w:numPr>
      <w:tabs>
        <w:tab w:val="clear" w:pos="454"/>
        <w:tab w:val="clear" w:pos="922"/>
        <w:tab w:val="num" w:pos="720"/>
      </w:tabs>
      <w:ind w:left="720" w:hanging="266"/>
    </w:pPr>
  </w:style>
  <w:style w:type="paragraph" w:customStyle="1" w:styleId="VAGOText">
    <w:name w:val="VAGOText"/>
    <w:basedOn w:val="Normal"/>
    <w:semiHidden/>
    <w:rsid w:val="0028370C"/>
    <w:pPr>
      <w:spacing w:before="120"/>
    </w:pPr>
    <w:rPr>
      <w:rFonts w:ascii="Arial" w:hAnsi="Arial" w:cs="Arial"/>
      <w:sz w:val="16"/>
      <w:szCs w:val="16"/>
    </w:rPr>
  </w:style>
  <w:style w:type="paragraph" w:customStyle="1" w:styleId="VAGOHeading2">
    <w:name w:val="VAGOHeading2"/>
    <w:basedOn w:val="Normal"/>
    <w:semiHidden/>
    <w:rsid w:val="0028370C"/>
    <w:rPr>
      <w:rFonts w:ascii="Arial" w:hAnsi="Arial" w:cs="Arial"/>
      <w:b/>
      <w:sz w:val="16"/>
      <w:szCs w:val="16"/>
    </w:rPr>
  </w:style>
  <w:style w:type="paragraph" w:customStyle="1" w:styleId="VAGOHeading1">
    <w:name w:val="VAGOHeading1"/>
    <w:basedOn w:val="Normal"/>
    <w:semiHidden/>
    <w:rsid w:val="0028370C"/>
    <w:pPr>
      <w:jc w:val="center"/>
    </w:pPr>
    <w:rPr>
      <w:rFonts w:ascii="Arial" w:hAnsi="Arial" w:cs="Arial"/>
      <w:b/>
      <w:sz w:val="17"/>
      <w:szCs w:val="17"/>
    </w:rPr>
  </w:style>
  <w:style w:type="paragraph" w:customStyle="1" w:styleId="VAGOHeading3">
    <w:name w:val="VAGOHeading3"/>
    <w:basedOn w:val="VAGOHeading2"/>
    <w:semiHidden/>
    <w:rsid w:val="0028370C"/>
    <w:rPr>
      <w:b w:val="0"/>
      <w:i/>
    </w:rPr>
  </w:style>
  <w:style w:type="character" w:customStyle="1" w:styleId="TableheadingChar">
    <w:name w:val="Table heading Char"/>
    <w:link w:val="Tableheading"/>
    <w:rsid w:val="0028370C"/>
    <w:rPr>
      <w:rFonts w:ascii="Calibri" w:hAnsi="Calibri"/>
      <w:b/>
      <w:sz w:val="25"/>
      <w:lang w:eastAsia="en-US"/>
    </w:rPr>
  </w:style>
  <w:style w:type="paragraph" w:customStyle="1" w:styleId="TabletextheadingLeft">
    <w:name w:val="Table text heading Left"/>
    <w:basedOn w:val="Tabletextheading"/>
    <w:rsid w:val="0028370C"/>
    <w:pPr>
      <w:jc w:val="left"/>
    </w:pPr>
  </w:style>
  <w:style w:type="paragraph" w:customStyle="1" w:styleId="Chartpara">
    <w:name w:val="Chart para"/>
    <w:basedOn w:val="Normal"/>
    <w:semiHidden/>
    <w:rsid w:val="0028370C"/>
    <w:pPr>
      <w:spacing w:after="0"/>
    </w:pPr>
  </w:style>
  <w:style w:type="paragraph" w:customStyle="1" w:styleId="FrontPage">
    <w:name w:val="Front Page"/>
    <w:basedOn w:val="Normal"/>
    <w:semiHidden/>
    <w:rsid w:val="0028370C"/>
    <w:pPr>
      <w:jc w:val="center"/>
    </w:pPr>
    <w:rPr>
      <w:rFonts w:ascii="Calibri" w:hAnsi="Calibri"/>
      <w:b/>
      <w:sz w:val="54"/>
      <w:szCs w:val="52"/>
    </w:rPr>
  </w:style>
  <w:style w:type="paragraph" w:customStyle="1" w:styleId="FrontPage2">
    <w:name w:val="Front Page 2"/>
    <w:basedOn w:val="FrontPage"/>
    <w:semiHidden/>
    <w:rsid w:val="0028370C"/>
    <w:pPr>
      <w:pBdr>
        <w:bottom w:val="single" w:sz="12" w:space="1" w:color="auto"/>
      </w:pBdr>
    </w:pPr>
  </w:style>
  <w:style w:type="paragraph" w:customStyle="1" w:styleId="FrontPage3">
    <w:name w:val="Front Page 3"/>
    <w:basedOn w:val="Normal"/>
    <w:semiHidden/>
    <w:rsid w:val="0028370C"/>
    <w:pPr>
      <w:jc w:val="center"/>
    </w:pPr>
    <w:rPr>
      <w:rFonts w:ascii="Calibri" w:hAnsi="Calibri"/>
      <w:sz w:val="30"/>
      <w:szCs w:val="28"/>
    </w:rPr>
  </w:style>
  <w:style w:type="paragraph" w:customStyle="1" w:styleId="FrontPageBP">
    <w:name w:val="Front Page BP"/>
    <w:basedOn w:val="Normal"/>
    <w:semiHidden/>
    <w:rsid w:val="0028370C"/>
    <w:pPr>
      <w:jc w:val="center"/>
    </w:pPr>
    <w:rPr>
      <w:rFonts w:ascii="Calibri" w:hAnsi="Calibri"/>
      <w:b/>
      <w:sz w:val="34"/>
      <w:szCs w:val="32"/>
    </w:rPr>
  </w:style>
  <w:style w:type="paragraph" w:customStyle="1" w:styleId="FrontPageHon">
    <w:name w:val="Front Page Hon"/>
    <w:basedOn w:val="Normal"/>
    <w:semiHidden/>
    <w:rsid w:val="0028370C"/>
    <w:pPr>
      <w:jc w:val="center"/>
    </w:pPr>
    <w:rPr>
      <w:rFonts w:ascii="Calibri" w:hAnsi="Calibri"/>
      <w:sz w:val="32"/>
      <w:szCs w:val="30"/>
    </w:rPr>
  </w:style>
  <w:style w:type="paragraph" w:customStyle="1" w:styleId="FrontPageMin">
    <w:name w:val="Front Page Min"/>
    <w:basedOn w:val="Normal"/>
    <w:semiHidden/>
    <w:rsid w:val="0028370C"/>
    <w:pPr>
      <w:jc w:val="center"/>
    </w:pPr>
    <w:rPr>
      <w:rFonts w:ascii="Calibri" w:hAnsi="Calibri"/>
      <w:sz w:val="36"/>
      <w:szCs w:val="36"/>
    </w:rPr>
  </w:style>
  <w:style w:type="paragraph" w:customStyle="1" w:styleId="Heading2NotesQtrly">
    <w:name w:val="Heading 2 Notes Qtrly"/>
    <w:basedOn w:val="Heading2Notes"/>
    <w:rsid w:val="0028370C"/>
  </w:style>
  <w:style w:type="paragraph" w:customStyle="1" w:styleId="Heading3NumberingBP4">
    <w:name w:val="Heading 3 Numbering BP4"/>
    <w:basedOn w:val="Heading3Numbering"/>
    <w:semiHidden/>
    <w:rsid w:val="0028370C"/>
    <w:pPr>
      <w:numPr>
        <w:numId w:val="0"/>
      </w:numPr>
    </w:pPr>
  </w:style>
  <w:style w:type="paragraph" w:customStyle="1" w:styleId="HighlightBoxBullet">
    <w:name w:val="Highlight Box Bullet"/>
    <w:basedOn w:val="Normal"/>
    <w:qFormat/>
    <w:rsid w:val="0028370C"/>
    <w:pPr>
      <w:numPr>
        <w:numId w:val="2"/>
      </w:numPr>
      <w:shd w:val="pct10" w:color="auto" w:fill="FFFFFF"/>
      <w:ind w:left="360"/>
    </w:pPr>
  </w:style>
  <w:style w:type="paragraph" w:customStyle="1" w:styleId="HighlightBoxHeading">
    <w:name w:val="Highlight Box Heading"/>
    <w:basedOn w:val="Heading5a"/>
    <w:qFormat/>
    <w:rsid w:val="0028370C"/>
    <w:pPr>
      <w:shd w:val="clear" w:color="auto" w:fill="E6E6E6"/>
    </w:pPr>
  </w:style>
  <w:style w:type="paragraph" w:styleId="Index1">
    <w:name w:val="index 1"/>
    <w:basedOn w:val="Normal"/>
    <w:next w:val="Normal"/>
    <w:autoRedefine/>
    <w:semiHidden/>
    <w:rsid w:val="0028370C"/>
    <w:pPr>
      <w:spacing w:after="0"/>
      <w:ind w:left="220" w:hanging="220"/>
    </w:pPr>
    <w:rPr>
      <w:sz w:val="18"/>
      <w:szCs w:val="18"/>
    </w:rPr>
  </w:style>
  <w:style w:type="paragraph" w:styleId="Index2">
    <w:name w:val="index 2"/>
    <w:basedOn w:val="Normal"/>
    <w:next w:val="Normal"/>
    <w:autoRedefine/>
    <w:semiHidden/>
    <w:rsid w:val="0028370C"/>
    <w:pPr>
      <w:spacing w:after="0"/>
      <w:ind w:left="440" w:hanging="220"/>
    </w:pPr>
    <w:rPr>
      <w:sz w:val="18"/>
      <w:szCs w:val="18"/>
    </w:rPr>
  </w:style>
  <w:style w:type="paragraph" w:styleId="IndexHeading">
    <w:name w:val="index heading"/>
    <w:basedOn w:val="Normal"/>
    <w:next w:val="Index1"/>
    <w:semiHidden/>
    <w:rsid w:val="0028370C"/>
    <w:pPr>
      <w:spacing w:before="240"/>
      <w:jc w:val="center"/>
    </w:pPr>
    <w:rPr>
      <w:b/>
      <w:bCs/>
      <w:sz w:val="26"/>
      <w:szCs w:val="26"/>
    </w:rPr>
  </w:style>
  <w:style w:type="paragraph" w:styleId="NormalIndent">
    <w:name w:val="Normal Indent"/>
    <w:basedOn w:val="Normal"/>
    <w:locked/>
    <w:rsid w:val="0028370C"/>
    <w:pPr>
      <w:ind w:left="360"/>
    </w:pPr>
  </w:style>
  <w:style w:type="character" w:customStyle="1" w:styleId="OGHeading2Char">
    <w:name w:val="OGHeading2 Char"/>
    <w:link w:val="OGHeading2"/>
    <w:rsid w:val="0028370C"/>
    <w:rPr>
      <w:rFonts w:ascii="Calibri" w:hAnsi="Calibri"/>
      <w:b/>
      <w:sz w:val="30"/>
      <w:szCs w:val="24"/>
      <w:lang w:eastAsia="en-US"/>
    </w:rPr>
  </w:style>
  <w:style w:type="paragraph" w:customStyle="1" w:styleId="OGNotes">
    <w:name w:val="OGNotes"/>
    <w:basedOn w:val="NotesIndent"/>
    <w:semiHidden/>
    <w:rsid w:val="0028370C"/>
    <w:pPr>
      <w:tabs>
        <w:tab w:val="clear" w:pos="454"/>
      </w:tabs>
      <w:spacing w:after="60"/>
      <w:ind w:left="360" w:right="115" w:firstLine="0"/>
    </w:pPr>
    <w:rPr>
      <w:lang w:eastAsia="en-AU"/>
    </w:rPr>
  </w:style>
  <w:style w:type="paragraph" w:customStyle="1" w:styleId="OGNotesIndent">
    <w:name w:val="OGNotesIndent"/>
    <w:basedOn w:val="OGNotes"/>
    <w:semiHidden/>
    <w:rsid w:val="0028370C"/>
    <w:pPr>
      <w:ind w:left="720" w:hanging="360"/>
    </w:pPr>
  </w:style>
  <w:style w:type="paragraph" w:customStyle="1" w:styleId="OGUoM">
    <w:name w:val="OGUoM"/>
    <w:basedOn w:val="TableTextCentred"/>
    <w:semiHidden/>
    <w:rsid w:val="0028370C"/>
    <w:pPr>
      <w:spacing w:before="30" w:after="30"/>
    </w:pPr>
  </w:style>
  <w:style w:type="paragraph" w:customStyle="1" w:styleId="OGTabColCentred">
    <w:name w:val="OGTabColCentred"/>
    <w:basedOn w:val="OGUoM"/>
    <w:semiHidden/>
    <w:rsid w:val="0028370C"/>
    <w:rPr>
      <w:b/>
      <w:lang w:eastAsia="en-AU"/>
    </w:rPr>
  </w:style>
  <w:style w:type="paragraph" w:customStyle="1" w:styleId="OGTableofFigures">
    <w:name w:val="OGTable of Figures"/>
    <w:basedOn w:val="TableofFigures"/>
    <w:semiHidden/>
    <w:rsid w:val="0028370C"/>
    <w:pPr>
      <w:spacing w:before="30" w:after="30"/>
    </w:pPr>
  </w:style>
  <w:style w:type="paragraph" w:customStyle="1" w:styleId="OGTabColRight">
    <w:name w:val="OGTabColRight"/>
    <w:basedOn w:val="OGTableofFigures"/>
    <w:semiHidden/>
    <w:rsid w:val="0028370C"/>
    <w:rPr>
      <w:b/>
    </w:rPr>
  </w:style>
  <w:style w:type="paragraph" w:customStyle="1" w:styleId="OGTabColLeft">
    <w:name w:val="OGTabColLeft"/>
    <w:basedOn w:val="OGTabColRight"/>
    <w:semiHidden/>
    <w:rsid w:val="0028370C"/>
    <w:pPr>
      <w:jc w:val="left"/>
    </w:pPr>
    <w:rPr>
      <w:lang w:eastAsia="en-AU"/>
    </w:rPr>
  </w:style>
  <w:style w:type="character" w:customStyle="1" w:styleId="OGTabTextChar">
    <w:name w:val="OGTabText Char"/>
    <w:link w:val="OGTabText"/>
    <w:rsid w:val="0028370C"/>
    <w:rPr>
      <w:rFonts w:ascii="Calibri" w:hAnsi="Calibri"/>
      <w:sz w:val="22"/>
      <w:szCs w:val="18"/>
      <w:lang w:eastAsia="en-US"/>
    </w:rPr>
  </w:style>
  <w:style w:type="character" w:customStyle="1" w:styleId="OGTextChar">
    <w:name w:val="OGText Char"/>
    <w:link w:val="OGText"/>
    <w:rsid w:val="0028370C"/>
    <w:rPr>
      <w:rFonts w:ascii="Calibri" w:hAnsi="Calibri"/>
      <w:sz w:val="22"/>
      <w:szCs w:val="18"/>
      <w:lang w:eastAsia="en-US"/>
    </w:rPr>
  </w:style>
  <w:style w:type="paragraph" w:customStyle="1" w:styleId="TableofContentscontinued">
    <w:name w:val="Table of Contents continued"/>
    <w:basedOn w:val="Normal"/>
    <w:rsid w:val="0028370C"/>
    <w:pPr>
      <w:keepNext/>
      <w:tabs>
        <w:tab w:val="left" w:pos="1152"/>
      </w:tabs>
      <w:spacing w:before="240"/>
      <w:ind w:left="1152" w:hanging="1152"/>
      <w:outlineLvl w:val="1"/>
    </w:pPr>
    <w:rPr>
      <w:rFonts w:ascii="Calibri" w:hAnsi="Calibri"/>
      <w:b/>
      <w:kern w:val="28"/>
      <w:sz w:val="28"/>
      <w:szCs w:val="22"/>
    </w:rPr>
  </w:style>
  <w:style w:type="character" w:customStyle="1" w:styleId="TableofFiguresChar">
    <w:name w:val="Table of Figures Char"/>
    <w:link w:val="TableofFigures"/>
    <w:rsid w:val="0028370C"/>
    <w:rPr>
      <w:rFonts w:ascii="Calibri" w:hAnsi="Calibri"/>
      <w:sz w:val="22"/>
      <w:szCs w:val="18"/>
      <w:lang w:eastAsia="en-US"/>
    </w:rPr>
  </w:style>
  <w:style w:type="paragraph" w:customStyle="1" w:styleId="TableTextindent">
    <w:name w:val="Table Text indent"/>
    <w:basedOn w:val="Tabletext"/>
    <w:rsid w:val="0028370C"/>
    <w:pPr>
      <w:ind w:left="360" w:firstLine="0"/>
    </w:pPr>
  </w:style>
  <w:style w:type="paragraph" w:customStyle="1" w:styleId="TableTextindent2">
    <w:name w:val="Table Text indent 2"/>
    <w:basedOn w:val="TableTextindent"/>
    <w:rsid w:val="0028370C"/>
    <w:pPr>
      <w:ind w:left="720"/>
    </w:pPr>
  </w:style>
  <w:style w:type="paragraph" w:customStyle="1" w:styleId="VAGOBullet">
    <w:name w:val="VAGOBullet"/>
    <w:basedOn w:val="VAGOText"/>
    <w:semiHidden/>
    <w:rsid w:val="0028370C"/>
    <w:pPr>
      <w:numPr>
        <w:numId w:val="6"/>
      </w:numPr>
      <w:ind w:right="-51"/>
    </w:pPr>
    <w:rPr>
      <w:iCs/>
    </w:rPr>
  </w:style>
  <w:style w:type="character" w:customStyle="1" w:styleId="TabletextChar">
    <w:name w:val="Table text Char"/>
    <w:link w:val="Tabletext"/>
    <w:rsid w:val="0028370C"/>
    <w:rPr>
      <w:rFonts w:ascii="Calibri" w:hAnsi="Calibri"/>
      <w:sz w:val="22"/>
      <w:szCs w:val="18"/>
      <w:lang w:eastAsia="en-US"/>
    </w:rPr>
  </w:style>
  <w:style w:type="character" w:customStyle="1" w:styleId="millionChar">
    <w:name w:val="$million Char"/>
    <w:link w:val="million"/>
    <w:rsid w:val="0028370C"/>
    <w:rPr>
      <w:rFonts w:ascii="Calibri" w:hAnsi="Calibri"/>
      <w:i/>
      <w:szCs w:val="18"/>
      <w:lang w:eastAsia="en-US"/>
    </w:rPr>
  </w:style>
  <w:style w:type="character" w:customStyle="1" w:styleId="TabletextheadingChar">
    <w:name w:val="Table text heading Char"/>
    <w:link w:val="Tabletextheading"/>
    <w:locked/>
    <w:rsid w:val="0028370C"/>
    <w:rPr>
      <w:rFonts w:ascii="Calibri" w:hAnsi="Calibri"/>
      <w:i/>
      <w:sz w:val="22"/>
      <w:szCs w:val="18"/>
      <w:lang w:eastAsia="en-US"/>
    </w:rPr>
  </w:style>
  <w:style w:type="character" w:customStyle="1" w:styleId="SourceChar">
    <w:name w:val="Source Char"/>
    <w:link w:val="Source"/>
    <w:locked/>
    <w:rsid w:val="0028370C"/>
    <w:rPr>
      <w:rFonts w:ascii="Calibri" w:hAnsi="Calibri"/>
      <w:i/>
      <w:sz w:val="16"/>
      <w:lang w:eastAsia="en-US"/>
    </w:rPr>
  </w:style>
  <w:style w:type="character" w:customStyle="1" w:styleId="TabletextheadingCentredChar">
    <w:name w:val="Table text heading Centred Char"/>
    <w:link w:val="TabletextheadingCentred"/>
    <w:locked/>
    <w:rsid w:val="0028370C"/>
    <w:rPr>
      <w:rFonts w:ascii="Calibri" w:hAnsi="Calibri"/>
      <w:i/>
      <w:sz w:val="22"/>
      <w:szCs w:val="18"/>
      <w:lang w:eastAsia="en-US"/>
    </w:rPr>
  </w:style>
  <w:style w:type="character" w:styleId="Hyperlink">
    <w:name w:val="Hyperlink"/>
    <w:uiPriority w:val="99"/>
    <w:locked/>
    <w:rsid w:val="0028370C"/>
    <w:rPr>
      <w:color w:val="0000FF"/>
      <w:u w:val="single"/>
    </w:rPr>
  </w:style>
  <w:style w:type="character" w:customStyle="1" w:styleId="FooterChar">
    <w:name w:val="Footer Char"/>
    <w:link w:val="Footer"/>
    <w:rsid w:val="0028370C"/>
    <w:rPr>
      <w:rFonts w:ascii="Calibri" w:hAnsi="Calibri"/>
      <w:sz w:val="22"/>
      <w:szCs w:val="18"/>
      <w:lang w:eastAsia="en-US"/>
    </w:rPr>
  </w:style>
  <w:style w:type="paragraph" w:styleId="BalloonText">
    <w:name w:val="Balloon Text"/>
    <w:basedOn w:val="Normal"/>
    <w:link w:val="BalloonTextChar"/>
    <w:locked/>
    <w:rsid w:val="0028370C"/>
    <w:pPr>
      <w:spacing w:after="0"/>
    </w:pPr>
    <w:rPr>
      <w:rFonts w:ascii="Tahoma" w:hAnsi="Tahoma" w:cs="Tahoma"/>
      <w:sz w:val="16"/>
      <w:szCs w:val="16"/>
    </w:rPr>
  </w:style>
  <w:style w:type="character" w:customStyle="1" w:styleId="BalloonTextChar">
    <w:name w:val="Balloon Text Char"/>
    <w:basedOn w:val="DefaultParagraphFont"/>
    <w:link w:val="BalloonText"/>
    <w:rsid w:val="0028370C"/>
    <w:rPr>
      <w:rFonts w:ascii="Tahoma" w:hAnsi="Tahoma" w:cs="Tahoma"/>
      <w:sz w:val="16"/>
      <w:szCs w:val="16"/>
      <w:lang w:eastAsia="en-US"/>
    </w:rPr>
  </w:style>
  <w:style w:type="character" w:customStyle="1" w:styleId="NotesChar">
    <w:name w:val="Notes Char"/>
    <w:link w:val="Notes"/>
    <w:locked/>
    <w:rsid w:val="009B024D"/>
    <w:rPr>
      <w:rFonts w:ascii="Calibri" w:hAnsi="Calibri"/>
      <w:i/>
      <w:sz w:val="16"/>
      <w:lang w:eastAsia="en-US"/>
    </w:rPr>
  </w:style>
  <w:style w:type="character" w:customStyle="1" w:styleId="BulletTextChar">
    <w:name w:val="Bullet Text Char"/>
    <w:link w:val="BulletText"/>
    <w:locked/>
    <w:rsid w:val="009B024D"/>
    <w:rPr>
      <w:rFonts w:ascii="Garamond" w:hAnsi="Garamond"/>
      <w:sz w:val="24"/>
      <w:lang w:eastAsia="en-US"/>
    </w:rPr>
  </w:style>
  <w:style w:type="character" w:customStyle="1" w:styleId="Heading2Char">
    <w:name w:val="Heading 2 Char"/>
    <w:link w:val="Heading2"/>
    <w:locked/>
    <w:rsid w:val="009B024D"/>
    <w:rPr>
      <w:rFonts w:ascii="Calibri" w:hAnsi="Calibri"/>
      <w:b/>
      <w:kern w:val="28"/>
      <w:sz w:val="28"/>
      <w:szCs w:val="22"/>
      <w:lang w:eastAsia="en-US"/>
    </w:rPr>
  </w:style>
  <w:style w:type="character" w:customStyle="1" w:styleId="Heading1Char">
    <w:name w:val="Heading 1 Char"/>
    <w:link w:val="Heading1"/>
    <w:rsid w:val="009B024D"/>
    <w:rPr>
      <w:rFonts w:ascii="Calibri" w:hAnsi="Calibri"/>
      <w:b/>
      <w:caps/>
      <w:sz w:val="28"/>
      <w:szCs w:val="22"/>
      <w:lang w:eastAsia="en-US"/>
    </w:rPr>
  </w:style>
  <w:style w:type="character" w:customStyle="1" w:styleId="Heading3Char">
    <w:name w:val="Heading 3 Char"/>
    <w:link w:val="Heading3"/>
    <w:rsid w:val="009B024D"/>
    <w:rPr>
      <w:rFonts w:ascii="Calibri" w:hAnsi="Calibri"/>
      <w:b/>
      <w:i/>
      <w:kern w:val="28"/>
      <w:sz w:val="26"/>
      <w:szCs w:val="22"/>
      <w:lang w:eastAsia="en-US"/>
    </w:rPr>
  </w:style>
  <w:style w:type="paragraph" w:styleId="ListParagraph">
    <w:name w:val="List Paragraph"/>
    <w:basedOn w:val="Normal"/>
    <w:uiPriority w:val="34"/>
    <w:qFormat/>
    <w:rsid w:val="009B024D"/>
    <w:pPr>
      <w:ind w:left="720"/>
      <w:contextualSpacing/>
    </w:pPr>
  </w:style>
  <w:style w:type="character" w:customStyle="1" w:styleId="Heading6Char">
    <w:name w:val="Heading 6 Char"/>
    <w:basedOn w:val="DefaultParagraphFont"/>
    <w:link w:val="Heading6"/>
    <w:semiHidden/>
    <w:rsid w:val="009B024D"/>
    <w:rPr>
      <w:rFonts w:asciiTheme="majorHAnsi" w:eastAsiaTheme="majorEastAsia" w:hAnsiTheme="majorHAnsi" w:cstheme="majorBidi"/>
      <w:i/>
      <w:iCs/>
      <w:color w:val="243F60" w:themeColor="accent1" w:themeShade="7F"/>
      <w:sz w:val="24"/>
      <w:lang w:eastAsia="en-US"/>
    </w:rPr>
  </w:style>
  <w:style w:type="character" w:customStyle="1" w:styleId="Heading7Char">
    <w:name w:val="Heading 7 Char"/>
    <w:basedOn w:val="DefaultParagraphFont"/>
    <w:link w:val="Heading7"/>
    <w:semiHidden/>
    <w:rsid w:val="009B024D"/>
    <w:rPr>
      <w:rFonts w:asciiTheme="majorHAnsi" w:eastAsiaTheme="majorEastAsia" w:hAnsiTheme="majorHAnsi" w:cstheme="majorBidi"/>
      <w:i/>
      <w:iCs/>
      <w:color w:val="404040" w:themeColor="text1" w:themeTint="BF"/>
      <w:sz w:val="24"/>
      <w:lang w:eastAsia="en-US"/>
    </w:rPr>
  </w:style>
  <w:style w:type="character" w:customStyle="1" w:styleId="Heading8Char">
    <w:name w:val="Heading 8 Char"/>
    <w:basedOn w:val="DefaultParagraphFont"/>
    <w:link w:val="Heading8"/>
    <w:semiHidden/>
    <w:rsid w:val="009B024D"/>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9B024D"/>
    <w:rPr>
      <w:rFonts w:asciiTheme="majorHAnsi" w:eastAsiaTheme="majorEastAsia" w:hAnsiTheme="majorHAnsi" w:cstheme="majorBidi"/>
      <w:i/>
      <w:iCs/>
      <w:color w:val="404040" w:themeColor="text1" w:themeTint="BF"/>
      <w:lang w:eastAsia="en-US"/>
    </w:rPr>
  </w:style>
  <w:style w:type="paragraph" w:customStyle="1" w:styleId="Heading1Continued">
    <w:name w:val="Heading 1 Continued"/>
    <w:basedOn w:val="Heading1"/>
    <w:qFormat/>
    <w:rsid w:val="009B024D"/>
    <w:rPr>
      <w:caps w:val="0"/>
    </w:rPr>
  </w:style>
  <w:style w:type="character" w:customStyle="1" w:styleId="Heading4Char">
    <w:name w:val="Heading 4 Char"/>
    <w:basedOn w:val="DefaultParagraphFont"/>
    <w:link w:val="Heading4"/>
    <w:rsid w:val="009B024D"/>
    <w:rPr>
      <w:rFonts w:ascii="Calibri" w:hAnsi="Calibri"/>
      <w:i/>
      <w:sz w:val="26"/>
      <w:szCs w:val="22"/>
      <w:lang w:eastAsia="en-US"/>
    </w:rPr>
  </w:style>
  <w:style w:type="character" w:customStyle="1" w:styleId="Heading5Char">
    <w:name w:val="Heading 5 Char"/>
    <w:basedOn w:val="DefaultParagraphFont"/>
    <w:link w:val="Heading5"/>
    <w:rsid w:val="009B024D"/>
    <w:rPr>
      <w:rFonts w:ascii="Calibri" w:hAnsi="Calibri"/>
      <w:b/>
      <w:sz w:val="24"/>
      <w:lang w:eastAsia="en-US"/>
    </w:rPr>
  </w:style>
  <w:style w:type="character" w:customStyle="1" w:styleId="HeaderChar">
    <w:name w:val="Header Char"/>
    <w:basedOn w:val="DefaultParagraphFont"/>
    <w:link w:val="Header"/>
    <w:rsid w:val="009B024D"/>
    <w:rPr>
      <w:rFonts w:ascii="Calibri" w:hAnsi="Calibri"/>
      <w:sz w:val="22"/>
      <w:szCs w:val="18"/>
      <w:lang w:eastAsia="en-US"/>
    </w:rPr>
  </w:style>
  <w:style w:type="paragraph" w:customStyle="1" w:styleId="TabletextIndent1">
    <w:name w:val="Table text Indent 1"/>
    <w:basedOn w:val="Tabletext"/>
    <w:rsid w:val="009B024D"/>
    <w:pPr>
      <w:spacing w:after="40"/>
      <w:ind w:left="362" w:hanging="362"/>
    </w:pPr>
    <w:rPr>
      <w:szCs w:val="20"/>
    </w:rPr>
  </w:style>
  <w:style w:type="paragraph" w:styleId="FootnoteText">
    <w:name w:val="footnote text"/>
    <w:basedOn w:val="Normal"/>
    <w:link w:val="FootnoteTextChar"/>
    <w:locked/>
    <w:rsid w:val="009B024D"/>
    <w:pPr>
      <w:spacing w:after="0"/>
    </w:pPr>
    <w:rPr>
      <w:sz w:val="20"/>
    </w:rPr>
  </w:style>
  <w:style w:type="character" w:customStyle="1" w:styleId="FootnoteTextChar">
    <w:name w:val="Footnote Text Char"/>
    <w:basedOn w:val="DefaultParagraphFont"/>
    <w:link w:val="FootnoteText"/>
    <w:rsid w:val="009B024D"/>
    <w:rPr>
      <w:rFonts w:ascii="Garamond" w:hAnsi="Garamond"/>
      <w:lang w:eastAsia="en-US"/>
    </w:rPr>
  </w:style>
  <w:style w:type="character" w:styleId="FootnoteReference">
    <w:name w:val="footnote reference"/>
    <w:basedOn w:val="DefaultParagraphFont"/>
    <w:locked/>
    <w:rsid w:val="009B024D"/>
    <w:rPr>
      <w:vertAlign w:val="superscript"/>
    </w:rPr>
  </w:style>
  <w:style w:type="character" w:customStyle="1" w:styleId="DashTextChar">
    <w:name w:val="Dash Text Char"/>
    <w:link w:val="DashText"/>
    <w:rsid w:val="009B024D"/>
    <w:rPr>
      <w:rFonts w:ascii="Garamond" w:hAnsi="Garamond"/>
      <w:sz w:val="24"/>
      <w:lang w:eastAsia="en-US"/>
    </w:rPr>
  </w:style>
  <w:style w:type="character" w:customStyle="1" w:styleId="Heading2NotesChar">
    <w:name w:val="Heading 2 Notes Char"/>
    <w:link w:val="Heading2Notes"/>
    <w:locked/>
    <w:rsid w:val="009B024D"/>
    <w:rPr>
      <w:rFonts w:ascii="Calibri" w:hAnsi="Calibri"/>
      <w:b/>
      <w:kern w:val="28"/>
      <w:sz w:val="28"/>
      <w:szCs w:val="22"/>
      <w:lang w:eastAsia="en-US"/>
    </w:rPr>
  </w:style>
  <w:style w:type="character" w:customStyle="1" w:styleId="Heading2NotesContdChar">
    <w:name w:val="Heading 2 Notes Cont'd Char"/>
    <w:link w:val="Heading2NotesContd"/>
    <w:locked/>
    <w:rsid w:val="009B024D"/>
    <w:rPr>
      <w:rFonts w:ascii="Calibri" w:hAnsi="Calibri"/>
      <w:b/>
      <w:kern w:val="28"/>
      <w:sz w:val="28"/>
      <w:szCs w:val="22"/>
      <w:lang w:eastAsia="en-US"/>
    </w:rPr>
  </w:style>
  <w:style w:type="numbering" w:customStyle="1" w:styleId="NoList1">
    <w:name w:val="No List1"/>
    <w:next w:val="NoList"/>
    <w:uiPriority w:val="99"/>
    <w:semiHidden/>
    <w:unhideWhenUsed/>
    <w:rsid w:val="009B024D"/>
  </w:style>
  <w:style w:type="paragraph" w:customStyle="1" w:styleId="TableTextnoindent">
    <w:name w:val="Table Text no indent"/>
    <w:basedOn w:val="Tabletext"/>
    <w:qFormat/>
    <w:rsid w:val="009B024D"/>
    <w:pPr>
      <w:ind w:left="0" w:firstLine="0"/>
    </w:pPr>
    <w:rPr>
      <w:color w:val="000000"/>
      <w:lang w:eastAsia="en-AU"/>
    </w:rPr>
  </w:style>
  <w:style w:type="paragraph" w:customStyle="1" w:styleId="Char">
    <w:name w:val="Char"/>
    <w:basedOn w:val="Normal"/>
    <w:semiHidden/>
    <w:rsid w:val="009B024D"/>
    <w:pPr>
      <w:spacing w:after="0"/>
    </w:pPr>
    <w:rPr>
      <w:rFonts w:ascii="Arial" w:hAnsi="Arial"/>
      <w:sz w:val="22"/>
    </w:rPr>
  </w:style>
  <w:style w:type="character" w:customStyle="1" w:styleId="BIP1headinglChar">
    <w:name w:val="BIP1 heading l Char"/>
    <w:link w:val="BIP1headingl"/>
    <w:semiHidden/>
    <w:locked/>
    <w:rsid w:val="009B024D"/>
    <w:rPr>
      <w:rFonts w:ascii="Calibri" w:hAnsi="Calibri"/>
      <w:i/>
      <w:sz w:val="22"/>
      <w:szCs w:val="18"/>
      <w:lang w:eastAsia="en-US"/>
    </w:rPr>
  </w:style>
  <w:style w:type="paragraph" w:customStyle="1" w:styleId="TableTextbullet">
    <w:name w:val="Table Text bullet"/>
    <w:basedOn w:val="Tabletext"/>
    <w:qFormat/>
    <w:rsid w:val="009B024D"/>
    <w:pPr>
      <w:numPr>
        <w:numId w:val="10"/>
      </w:numPr>
      <w:tabs>
        <w:tab w:val="num" w:pos="360"/>
      </w:tabs>
      <w:ind w:left="284" w:hanging="284"/>
    </w:pPr>
  </w:style>
  <w:style w:type="paragraph" w:customStyle="1" w:styleId="Default">
    <w:name w:val="Default"/>
    <w:semiHidden/>
    <w:rsid w:val="009B024D"/>
    <w:pPr>
      <w:autoSpaceDE w:val="0"/>
      <w:autoSpaceDN w:val="0"/>
      <w:adjustRightInd w:val="0"/>
    </w:pPr>
    <w:rPr>
      <w:rFonts w:ascii="Arial" w:hAnsi="Arial" w:cs="Arial"/>
      <w:color w:val="000000"/>
      <w:sz w:val="24"/>
      <w:szCs w:val="24"/>
    </w:rPr>
  </w:style>
  <w:style w:type="paragraph" w:customStyle="1" w:styleId="TableTextdash">
    <w:name w:val="Table Text dash"/>
    <w:basedOn w:val="TableTextbullet"/>
    <w:qFormat/>
    <w:rsid w:val="009B024D"/>
    <w:pPr>
      <w:numPr>
        <w:numId w:val="8"/>
      </w:numPr>
      <w:tabs>
        <w:tab w:val="num" w:pos="360"/>
      </w:tabs>
      <w:spacing w:before="20" w:after="20"/>
      <w:ind w:left="421"/>
    </w:pPr>
  </w:style>
  <w:style w:type="character" w:styleId="CommentReference">
    <w:name w:val="annotation reference"/>
    <w:basedOn w:val="DefaultParagraphFont"/>
    <w:locked/>
    <w:rsid w:val="009B024D"/>
    <w:rPr>
      <w:sz w:val="16"/>
      <w:szCs w:val="16"/>
    </w:rPr>
  </w:style>
  <w:style w:type="paragraph" w:styleId="CommentText">
    <w:name w:val="annotation text"/>
    <w:basedOn w:val="Normal"/>
    <w:link w:val="CommentTextChar"/>
    <w:locked/>
    <w:rsid w:val="009B024D"/>
    <w:rPr>
      <w:sz w:val="20"/>
    </w:rPr>
  </w:style>
  <w:style w:type="character" w:customStyle="1" w:styleId="CommentTextChar">
    <w:name w:val="Comment Text Char"/>
    <w:basedOn w:val="DefaultParagraphFont"/>
    <w:link w:val="CommentText"/>
    <w:rsid w:val="009B024D"/>
    <w:rPr>
      <w:rFonts w:ascii="Garamond" w:hAnsi="Garamond"/>
      <w:lang w:eastAsia="en-US"/>
    </w:rPr>
  </w:style>
  <w:style w:type="paragraph" w:styleId="CommentSubject">
    <w:name w:val="annotation subject"/>
    <w:basedOn w:val="CommentText"/>
    <w:next w:val="CommentText"/>
    <w:link w:val="CommentSubjectChar"/>
    <w:locked/>
    <w:rsid w:val="009B024D"/>
    <w:rPr>
      <w:b/>
      <w:bCs/>
    </w:rPr>
  </w:style>
  <w:style w:type="character" w:customStyle="1" w:styleId="CommentSubjectChar">
    <w:name w:val="Comment Subject Char"/>
    <w:basedOn w:val="CommentTextChar"/>
    <w:link w:val="CommentSubject"/>
    <w:rsid w:val="009B024D"/>
    <w:rPr>
      <w:rFonts w:ascii="Garamond" w:hAnsi="Garamond"/>
      <w:b/>
      <w:bCs/>
      <w:lang w:eastAsia="en-US"/>
    </w:rPr>
  </w:style>
  <w:style w:type="paragraph" w:styleId="Revision">
    <w:name w:val="Revision"/>
    <w:hidden/>
    <w:uiPriority w:val="99"/>
    <w:semiHidden/>
    <w:rsid w:val="009B024D"/>
    <w:rPr>
      <w:rFonts w:ascii="Garamond" w:hAnsi="Garamond"/>
      <w:sz w:val="24"/>
      <w:lang w:eastAsia="en-US"/>
    </w:rPr>
  </w:style>
  <w:style w:type="paragraph" w:customStyle="1" w:styleId="Heading1cont">
    <w:name w:val="Heading 1 cont"/>
    <w:basedOn w:val="Heading1"/>
    <w:qFormat/>
    <w:rsid w:val="009B024D"/>
    <w:rPr>
      <w:caps w:val="0"/>
    </w:rPr>
  </w:style>
  <w:style w:type="character" w:styleId="PlaceholderText">
    <w:name w:val="Placeholder Text"/>
    <w:basedOn w:val="DefaultParagraphFont"/>
    <w:uiPriority w:val="99"/>
    <w:semiHidden/>
    <w:rsid w:val="009B024D"/>
    <w:rPr>
      <w:color w:val="808080"/>
    </w:rPr>
  </w:style>
  <w:style w:type="paragraph" w:customStyle="1" w:styleId="Bullet">
    <w:name w:val="Bullet"/>
    <w:basedOn w:val="Normal"/>
    <w:link w:val="BulletCharChar"/>
    <w:semiHidden/>
    <w:qFormat/>
    <w:rsid w:val="009B024D"/>
    <w:pPr>
      <w:numPr>
        <w:numId w:val="9"/>
      </w:numPr>
      <w:spacing w:before="120" w:after="0"/>
    </w:pPr>
    <w:rPr>
      <w:rFonts w:eastAsia="Tahoma" w:cs="Tahoma"/>
      <w:sz w:val="22"/>
      <w:szCs w:val="22"/>
      <w:lang w:eastAsia="en-AU"/>
    </w:rPr>
  </w:style>
  <w:style w:type="character" w:customStyle="1" w:styleId="BulletCharChar">
    <w:name w:val="Bullet Char Char"/>
    <w:link w:val="Bullet"/>
    <w:semiHidden/>
    <w:locked/>
    <w:rsid w:val="009B024D"/>
    <w:rPr>
      <w:rFonts w:ascii="Garamond" w:eastAsia="Tahoma" w:hAnsi="Garamond" w:cs="Tahoma"/>
      <w:sz w:val="22"/>
      <w:szCs w:val="22"/>
    </w:rPr>
  </w:style>
  <w:style w:type="character" w:customStyle="1" w:styleId="NormalBlueChar">
    <w:name w:val="Normal Blue Char"/>
    <w:link w:val="NormalBlue"/>
    <w:semiHidden/>
    <w:locked/>
    <w:rsid w:val="009B024D"/>
    <w:rPr>
      <w:color w:val="0000FF"/>
    </w:rPr>
  </w:style>
  <w:style w:type="paragraph" w:customStyle="1" w:styleId="NormalBlue">
    <w:name w:val="Normal Blue"/>
    <w:basedOn w:val="Normal"/>
    <w:link w:val="NormalBlueChar"/>
    <w:semiHidden/>
    <w:qFormat/>
    <w:rsid w:val="009B024D"/>
    <w:pPr>
      <w:spacing w:before="120" w:after="0"/>
    </w:pPr>
    <w:rPr>
      <w:rFonts w:ascii="Times New Roman" w:hAnsi="Times New Roman"/>
      <w:color w:val="0000FF"/>
      <w:sz w:val="20"/>
      <w:lang w:eastAsia="en-AU"/>
    </w:rPr>
  </w:style>
  <w:style w:type="table" w:customStyle="1" w:styleId="CVtable1">
    <w:name w:val="CV table1"/>
    <w:basedOn w:val="TableNormal"/>
    <w:next w:val="TableGrid"/>
    <w:rsid w:val="009B024D"/>
    <w:pPr>
      <w:spacing w:before="120"/>
      <w:jc w:val="both"/>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B0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Indent">
    <w:name w:val="Bullet Indent"/>
    <w:basedOn w:val="Bullet"/>
    <w:rsid w:val="009B024D"/>
    <w:pPr>
      <w:numPr>
        <w:numId w:val="0"/>
      </w:numPr>
      <w:tabs>
        <w:tab w:val="num" w:pos="720"/>
      </w:tabs>
      <w:ind w:left="810" w:hanging="720"/>
    </w:pPr>
    <w:rPr>
      <w:rFonts w:eastAsia="Times New Roman" w:cs="Times New Roman"/>
      <w:lang w:eastAsia="en-US"/>
    </w:rPr>
  </w:style>
  <w:style w:type="character" w:styleId="FollowedHyperlink">
    <w:name w:val="FollowedHyperlink"/>
    <w:basedOn w:val="DefaultParagraphFont"/>
    <w:uiPriority w:val="99"/>
    <w:locked/>
    <w:rsid w:val="009B024D"/>
    <w:rPr>
      <w:color w:val="800080" w:themeColor="followedHyperlink"/>
      <w:u w:val="single"/>
    </w:rPr>
  </w:style>
  <w:style w:type="character" w:styleId="Emphasis">
    <w:name w:val="Emphasis"/>
    <w:basedOn w:val="DefaultParagraphFont"/>
    <w:uiPriority w:val="20"/>
    <w:qFormat/>
    <w:locked/>
    <w:rsid w:val="009B024D"/>
    <w:rPr>
      <w:i/>
      <w:iCs/>
    </w:rPr>
  </w:style>
  <w:style w:type="paragraph" w:styleId="Bibliography">
    <w:name w:val="Bibliography"/>
    <w:basedOn w:val="Normal"/>
    <w:next w:val="Normal"/>
    <w:uiPriority w:val="37"/>
    <w:semiHidden/>
    <w:unhideWhenUsed/>
    <w:rsid w:val="009B024D"/>
  </w:style>
  <w:style w:type="paragraph" w:styleId="BlockText">
    <w:name w:val="Block Text"/>
    <w:basedOn w:val="Normal"/>
    <w:locked/>
    <w:rsid w:val="009B024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9B024D"/>
  </w:style>
  <w:style w:type="character" w:customStyle="1" w:styleId="BodyTextChar">
    <w:name w:val="Body Text Char"/>
    <w:basedOn w:val="DefaultParagraphFont"/>
    <w:link w:val="BodyText"/>
    <w:rsid w:val="009B024D"/>
    <w:rPr>
      <w:rFonts w:ascii="Garamond" w:hAnsi="Garamond"/>
      <w:sz w:val="24"/>
      <w:lang w:eastAsia="en-US"/>
    </w:rPr>
  </w:style>
  <w:style w:type="paragraph" w:styleId="BodyText2">
    <w:name w:val="Body Text 2"/>
    <w:basedOn w:val="Normal"/>
    <w:link w:val="BodyText2Char"/>
    <w:locked/>
    <w:rsid w:val="009B024D"/>
    <w:pPr>
      <w:spacing w:line="480" w:lineRule="auto"/>
    </w:pPr>
  </w:style>
  <w:style w:type="character" w:customStyle="1" w:styleId="BodyText2Char">
    <w:name w:val="Body Text 2 Char"/>
    <w:basedOn w:val="DefaultParagraphFont"/>
    <w:link w:val="BodyText2"/>
    <w:rsid w:val="009B024D"/>
    <w:rPr>
      <w:rFonts w:ascii="Garamond" w:hAnsi="Garamond"/>
      <w:sz w:val="24"/>
      <w:lang w:eastAsia="en-US"/>
    </w:rPr>
  </w:style>
  <w:style w:type="paragraph" w:styleId="BodyText3">
    <w:name w:val="Body Text 3"/>
    <w:basedOn w:val="Normal"/>
    <w:link w:val="BodyText3Char"/>
    <w:locked/>
    <w:rsid w:val="009B024D"/>
    <w:rPr>
      <w:sz w:val="16"/>
      <w:szCs w:val="16"/>
    </w:rPr>
  </w:style>
  <w:style w:type="character" w:customStyle="1" w:styleId="BodyText3Char">
    <w:name w:val="Body Text 3 Char"/>
    <w:basedOn w:val="DefaultParagraphFont"/>
    <w:link w:val="BodyText3"/>
    <w:rsid w:val="009B024D"/>
    <w:rPr>
      <w:rFonts w:ascii="Garamond" w:hAnsi="Garamond"/>
      <w:sz w:val="16"/>
      <w:szCs w:val="16"/>
      <w:lang w:eastAsia="en-US"/>
    </w:rPr>
  </w:style>
  <w:style w:type="paragraph" w:styleId="BodyTextFirstIndent">
    <w:name w:val="Body Text First Indent"/>
    <w:basedOn w:val="BodyText"/>
    <w:link w:val="BodyTextFirstIndentChar"/>
    <w:locked/>
    <w:rsid w:val="009B024D"/>
    <w:pPr>
      <w:ind w:firstLine="360"/>
    </w:pPr>
  </w:style>
  <w:style w:type="character" w:customStyle="1" w:styleId="BodyTextFirstIndentChar">
    <w:name w:val="Body Text First Indent Char"/>
    <w:basedOn w:val="BodyTextChar"/>
    <w:link w:val="BodyTextFirstIndent"/>
    <w:rsid w:val="009B024D"/>
    <w:rPr>
      <w:rFonts w:ascii="Garamond" w:hAnsi="Garamond"/>
      <w:sz w:val="24"/>
      <w:lang w:eastAsia="en-US"/>
    </w:rPr>
  </w:style>
  <w:style w:type="paragraph" w:styleId="BodyTextIndent">
    <w:name w:val="Body Text Indent"/>
    <w:basedOn w:val="Normal"/>
    <w:link w:val="BodyTextIndentChar"/>
    <w:locked/>
    <w:rsid w:val="009B024D"/>
    <w:pPr>
      <w:ind w:left="283"/>
    </w:pPr>
  </w:style>
  <w:style w:type="character" w:customStyle="1" w:styleId="BodyTextIndentChar">
    <w:name w:val="Body Text Indent Char"/>
    <w:basedOn w:val="DefaultParagraphFont"/>
    <w:link w:val="BodyTextIndent"/>
    <w:rsid w:val="009B024D"/>
    <w:rPr>
      <w:rFonts w:ascii="Garamond" w:hAnsi="Garamond"/>
      <w:sz w:val="24"/>
      <w:lang w:eastAsia="en-US"/>
    </w:rPr>
  </w:style>
  <w:style w:type="paragraph" w:styleId="BodyTextFirstIndent2">
    <w:name w:val="Body Text First Indent 2"/>
    <w:basedOn w:val="BodyTextIndent"/>
    <w:link w:val="BodyTextFirstIndent2Char"/>
    <w:locked/>
    <w:rsid w:val="009B024D"/>
    <w:pPr>
      <w:ind w:left="360" w:firstLine="360"/>
    </w:pPr>
  </w:style>
  <w:style w:type="character" w:customStyle="1" w:styleId="BodyTextFirstIndent2Char">
    <w:name w:val="Body Text First Indent 2 Char"/>
    <w:basedOn w:val="BodyTextIndentChar"/>
    <w:link w:val="BodyTextFirstIndent2"/>
    <w:rsid w:val="009B024D"/>
    <w:rPr>
      <w:rFonts w:ascii="Garamond" w:hAnsi="Garamond"/>
      <w:sz w:val="24"/>
      <w:lang w:eastAsia="en-US"/>
    </w:rPr>
  </w:style>
  <w:style w:type="paragraph" w:styleId="BodyTextIndent2">
    <w:name w:val="Body Text Indent 2"/>
    <w:basedOn w:val="Normal"/>
    <w:link w:val="BodyTextIndent2Char"/>
    <w:locked/>
    <w:rsid w:val="009B024D"/>
    <w:pPr>
      <w:spacing w:line="480" w:lineRule="auto"/>
      <w:ind w:left="283"/>
    </w:pPr>
  </w:style>
  <w:style w:type="character" w:customStyle="1" w:styleId="BodyTextIndent2Char">
    <w:name w:val="Body Text Indent 2 Char"/>
    <w:basedOn w:val="DefaultParagraphFont"/>
    <w:link w:val="BodyTextIndent2"/>
    <w:rsid w:val="009B024D"/>
    <w:rPr>
      <w:rFonts w:ascii="Garamond" w:hAnsi="Garamond"/>
      <w:sz w:val="24"/>
      <w:lang w:eastAsia="en-US"/>
    </w:rPr>
  </w:style>
  <w:style w:type="paragraph" w:styleId="BodyTextIndent3">
    <w:name w:val="Body Text Indent 3"/>
    <w:basedOn w:val="Normal"/>
    <w:link w:val="BodyTextIndent3Char"/>
    <w:locked/>
    <w:rsid w:val="009B024D"/>
    <w:pPr>
      <w:ind w:left="283"/>
    </w:pPr>
    <w:rPr>
      <w:sz w:val="16"/>
      <w:szCs w:val="16"/>
    </w:rPr>
  </w:style>
  <w:style w:type="character" w:customStyle="1" w:styleId="BodyTextIndent3Char">
    <w:name w:val="Body Text Indent 3 Char"/>
    <w:basedOn w:val="DefaultParagraphFont"/>
    <w:link w:val="BodyTextIndent3"/>
    <w:rsid w:val="009B024D"/>
    <w:rPr>
      <w:rFonts w:ascii="Garamond" w:hAnsi="Garamond"/>
      <w:sz w:val="16"/>
      <w:szCs w:val="16"/>
      <w:lang w:eastAsia="en-US"/>
    </w:rPr>
  </w:style>
  <w:style w:type="paragraph" w:styleId="Caption">
    <w:name w:val="caption"/>
    <w:basedOn w:val="Normal"/>
    <w:next w:val="Normal"/>
    <w:semiHidden/>
    <w:unhideWhenUsed/>
    <w:qFormat/>
    <w:locked/>
    <w:rsid w:val="009B024D"/>
    <w:pPr>
      <w:spacing w:after="200"/>
    </w:pPr>
    <w:rPr>
      <w:b/>
      <w:bCs/>
      <w:color w:val="4F81BD" w:themeColor="accent1"/>
      <w:sz w:val="18"/>
      <w:szCs w:val="18"/>
    </w:rPr>
  </w:style>
  <w:style w:type="paragraph" w:styleId="Closing">
    <w:name w:val="Closing"/>
    <w:basedOn w:val="Normal"/>
    <w:link w:val="ClosingChar"/>
    <w:locked/>
    <w:rsid w:val="009B024D"/>
    <w:pPr>
      <w:spacing w:after="0"/>
      <w:ind w:left="4252"/>
    </w:pPr>
  </w:style>
  <w:style w:type="character" w:customStyle="1" w:styleId="ClosingChar">
    <w:name w:val="Closing Char"/>
    <w:basedOn w:val="DefaultParagraphFont"/>
    <w:link w:val="Closing"/>
    <w:rsid w:val="009B024D"/>
    <w:rPr>
      <w:rFonts w:ascii="Garamond" w:hAnsi="Garamond"/>
      <w:sz w:val="24"/>
      <w:lang w:eastAsia="en-US"/>
    </w:rPr>
  </w:style>
  <w:style w:type="paragraph" w:styleId="Date">
    <w:name w:val="Date"/>
    <w:basedOn w:val="Normal"/>
    <w:next w:val="Normal"/>
    <w:link w:val="DateChar"/>
    <w:locked/>
    <w:rsid w:val="009B024D"/>
  </w:style>
  <w:style w:type="character" w:customStyle="1" w:styleId="DateChar">
    <w:name w:val="Date Char"/>
    <w:basedOn w:val="DefaultParagraphFont"/>
    <w:link w:val="Date"/>
    <w:rsid w:val="009B024D"/>
    <w:rPr>
      <w:rFonts w:ascii="Garamond" w:hAnsi="Garamond"/>
      <w:sz w:val="24"/>
      <w:lang w:eastAsia="en-US"/>
    </w:rPr>
  </w:style>
  <w:style w:type="paragraph" w:styleId="DocumentMap">
    <w:name w:val="Document Map"/>
    <w:basedOn w:val="Normal"/>
    <w:link w:val="DocumentMapChar"/>
    <w:locked/>
    <w:rsid w:val="009B024D"/>
    <w:pPr>
      <w:spacing w:after="0"/>
    </w:pPr>
    <w:rPr>
      <w:rFonts w:ascii="Tahoma" w:hAnsi="Tahoma" w:cs="Tahoma"/>
      <w:sz w:val="16"/>
      <w:szCs w:val="16"/>
    </w:rPr>
  </w:style>
  <w:style w:type="character" w:customStyle="1" w:styleId="DocumentMapChar">
    <w:name w:val="Document Map Char"/>
    <w:basedOn w:val="DefaultParagraphFont"/>
    <w:link w:val="DocumentMap"/>
    <w:rsid w:val="009B024D"/>
    <w:rPr>
      <w:rFonts w:ascii="Tahoma" w:hAnsi="Tahoma" w:cs="Tahoma"/>
      <w:sz w:val="16"/>
      <w:szCs w:val="16"/>
      <w:lang w:eastAsia="en-US"/>
    </w:rPr>
  </w:style>
  <w:style w:type="paragraph" w:styleId="E-mailSignature">
    <w:name w:val="E-mail Signature"/>
    <w:basedOn w:val="Normal"/>
    <w:link w:val="E-mailSignatureChar"/>
    <w:locked/>
    <w:rsid w:val="009B024D"/>
    <w:pPr>
      <w:spacing w:after="0"/>
    </w:pPr>
  </w:style>
  <w:style w:type="character" w:customStyle="1" w:styleId="E-mailSignatureChar">
    <w:name w:val="E-mail Signature Char"/>
    <w:basedOn w:val="DefaultParagraphFont"/>
    <w:link w:val="E-mailSignature"/>
    <w:rsid w:val="009B024D"/>
    <w:rPr>
      <w:rFonts w:ascii="Garamond" w:hAnsi="Garamond"/>
      <w:sz w:val="24"/>
      <w:lang w:eastAsia="en-US"/>
    </w:rPr>
  </w:style>
  <w:style w:type="paragraph" w:styleId="EndnoteText">
    <w:name w:val="endnote text"/>
    <w:basedOn w:val="Normal"/>
    <w:link w:val="EndnoteTextChar"/>
    <w:locked/>
    <w:rsid w:val="009B024D"/>
    <w:pPr>
      <w:spacing w:after="0"/>
    </w:pPr>
    <w:rPr>
      <w:sz w:val="20"/>
    </w:rPr>
  </w:style>
  <w:style w:type="character" w:customStyle="1" w:styleId="EndnoteTextChar">
    <w:name w:val="Endnote Text Char"/>
    <w:basedOn w:val="DefaultParagraphFont"/>
    <w:link w:val="EndnoteText"/>
    <w:rsid w:val="009B024D"/>
    <w:rPr>
      <w:rFonts w:ascii="Garamond" w:hAnsi="Garamond"/>
      <w:lang w:eastAsia="en-US"/>
    </w:rPr>
  </w:style>
  <w:style w:type="paragraph" w:styleId="EnvelopeAddress">
    <w:name w:val="envelope address"/>
    <w:basedOn w:val="Normal"/>
    <w:locked/>
    <w:rsid w:val="009B024D"/>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locked/>
    <w:rsid w:val="009B024D"/>
    <w:pPr>
      <w:spacing w:after="0"/>
    </w:pPr>
    <w:rPr>
      <w:rFonts w:asciiTheme="majorHAnsi" w:eastAsiaTheme="majorEastAsia" w:hAnsiTheme="majorHAnsi" w:cstheme="majorBidi"/>
      <w:sz w:val="20"/>
    </w:rPr>
  </w:style>
  <w:style w:type="paragraph" w:styleId="HTMLAddress">
    <w:name w:val="HTML Address"/>
    <w:basedOn w:val="Normal"/>
    <w:link w:val="HTMLAddressChar"/>
    <w:locked/>
    <w:rsid w:val="009B024D"/>
    <w:pPr>
      <w:spacing w:after="0"/>
    </w:pPr>
    <w:rPr>
      <w:i/>
      <w:iCs/>
    </w:rPr>
  </w:style>
  <w:style w:type="character" w:customStyle="1" w:styleId="HTMLAddressChar">
    <w:name w:val="HTML Address Char"/>
    <w:basedOn w:val="DefaultParagraphFont"/>
    <w:link w:val="HTMLAddress"/>
    <w:rsid w:val="009B024D"/>
    <w:rPr>
      <w:rFonts w:ascii="Garamond" w:hAnsi="Garamond"/>
      <w:i/>
      <w:iCs/>
      <w:sz w:val="24"/>
      <w:lang w:eastAsia="en-US"/>
    </w:rPr>
  </w:style>
  <w:style w:type="paragraph" w:styleId="HTMLPreformatted">
    <w:name w:val="HTML Preformatted"/>
    <w:basedOn w:val="Normal"/>
    <w:link w:val="HTMLPreformattedChar"/>
    <w:locked/>
    <w:rsid w:val="009B024D"/>
    <w:pPr>
      <w:spacing w:after="0"/>
    </w:pPr>
    <w:rPr>
      <w:rFonts w:ascii="Consolas" w:hAnsi="Consolas" w:cs="Consolas"/>
      <w:sz w:val="20"/>
    </w:rPr>
  </w:style>
  <w:style w:type="character" w:customStyle="1" w:styleId="HTMLPreformattedChar">
    <w:name w:val="HTML Preformatted Char"/>
    <w:basedOn w:val="DefaultParagraphFont"/>
    <w:link w:val="HTMLPreformatted"/>
    <w:rsid w:val="009B024D"/>
    <w:rPr>
      <w:rFonts w:ascii="Consolas" w:hAnsi="Consolas" w:cs="Consolas"/>
      <w:lang w:eastAsia="en-US"/>
    </w:rPr>
  </w:style>
  <w:style w:type="paragraph" w:styleId="Index3">
    <w:name w:val="index 3"/>
    <w:basedOn w:val="Normal"/>
    <w:next w:val="Normal"/>
    <w:autoRedefine/>
    <w:rsid w:val="009B024D"/>
    <w:pPr>
      <w:spacing w:after="0"/>
      <w:ind w:left="720" w:hanging="240"/>
    </w:pPr>
  </w:style>
  <w:style w:type="paragraph" w:styleId="Index4">
    <w:name w:val="index 4"/>
    <w:basedOn w:val="Normal"/>
    <w:next w:val="Normal"/>
    <w:autoRedefine/>
    <w:rsid w:val="009B024D"/>
    <w:pPr>
      <w:spacing w:after="0"/>
      <w:ind w:left="960" w:hanging="240"/>
    </w:pPr>
  </w:style>
  <w:style w:type="paragraph" w:styleId="Index5">
    <w:name w:val="index 5"/>
    <w:basedOn w:val="Normal"/>
    <w:next w:val="Normal"/>
    <w:autoRedefine/>
    <w:rsid w:val="009B024D"/>
    <w:pPr>
      <w:spacing w:after="0"/>
      <w:ind w:left="1200" w:hanging="240"/>
    </w:pPr>
  </w:style>
  <w:style w:type="paragraph" w:styleId="Index6">
    <w:name w:val="index 6"/>
    <w:basedOn w:val="Normal"/>
    <w:next w:val="Normal"/>
    <w:autoRedefine/>
    <w:locked/>
    <w:rsid w:val="009B024D"/>
    <w:pPr>
      <w:spacing w:after="0"/>
      <w:ind w:left="1440" w:hanging="240"/>
    </w:pPr>
  </w:style>
  <w:style w:type="paragraph" w:styleId="Index7">
    <w:name w:val="index 7"/>
    <w:basedOn w:val="Normal"/>
    <w:next w:val="Normal"/>
    <w:autoRedefine/>
    <w:locked/>
    <w:rsid w:val="009B024D"/>
    <w:pPr>
      <w:spacing w:after="0"/>
      <w:ind w:left="1680" w:hanging="240"/>
    </w:pPr>
  </w:style>
  <w:style w:type="paragraph" w:styleId="Index8">
    <w:name w:val="index 8"/>
    <w:basedOn w:val="Normal"/>
    <w:next w:val="Normal"/>
    <w:autoRedefine/>
    <w:locked/>
    <w:rsid w:val="009B024D"/>
    <w:pPr>
      <w:spacing w:after="0"/>
      <w:ind w:left="1920" w:hanging="240"/>
    </w:pPr>
  </w:style>
  <w:style w:type="paragraph" w:styleId="Index9">
    <w:name w:val="index 9"/>
    <w:basedOn w:val="Normal"/>
    <w:next w:val="Normal"/>
    <w:autoRedefine/>
    <w:locked/>
    <w:rsid w:val="009B024D"/>
    <w:pPr>
      <w:spacing w:after="0"/>
      <w:ind w:left="2160" w:hanging="240"/>
    </w:pPr>
  </w:style>
  <w:style w:type="paragraph" w:styleId="IntenseQuote">
    <w:name w:val="Intense Quote"/>
    <w:basedOn w:val="Normal"/>
    <w:next w:val="Normal"/>
    <w:link w:val="IntenseQuoteChar"/>
    <w:uiPriority w:val="30"/>
    <w:rsid w:val="009B024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B024D"/>
    <w:rPr>
      <w:rFonts w:ascii="Garamond" w:hAnsi="Garamond"/>
      <w:b/>
      <w:bCs/>
      <w:i/>
      <w:iCs/>
      <w:color w:val="4F81BD" w:themeColor="accent1"/>
      <w:sz w:val="24"/>
      <w:lang w:eastAsia="en-US"/>
    </w:rPr>
  </w:style>
  <w:style w:type="paragraph" w:styleId="List">
    <w:name w:val="List"/>
    <w:basedOn w:val="Normal"/>
    <w:locked/>
    <w:rsid w:val="009B024D"/>
    <w:pPr>
      <w:ind w:left="283" w:hanging="283"/>
      <w:contextualSpacing/>
    </w:pPr>
  </w:style>
  <w:style w:type="paragraph" w:styleId="List2">
    <w:name w:val="List 2"/>
    <w:basedOn w:val="Normal"/>
    <w:locked/>
    <w:rsid w:val="009B024D"/>
    <w:pPr>
      <w:ind w:left="566" w:hanging="283"/>
      <w:contextualSpacing/>
    </w:pPr>
  </w:style>
  <w:style w:type="paragraph" w:styleId="List3">
    <w:name w:val="List 3"/>
    <w:basedOn w:val="Normal"/>
    <w:locked/>
    <w:rsid w:val="009B024D"/>
    <w:pPr>
      <w:ind w:left="849" w:hanging="283"/>
      <w:contextualSpacing/>
    </w:pPr>
  </w:style>
  <w:style w:type="paragraph" w:styleId="List4">
    <w:name w:val="List 4"/>
    <w:basedOn w:val="Normal"/>
    <w:locked/>
    <w:rsid w:val="009B024D"/>
    <w:pPr>
      <w:ind w:left="1132" w:hanging="283"/>
      <w:contextualSpacing/>
    </w:pPr>
  </w:style>
  <w:style w:type="paragraph" w:styleId="List5">
    <w:name w:val="List 5"/>
    <w:basedOn w:val="Normal"/>
    <w:locked/>
    <w:rsid w:val="009B024D"/>
    <w:pPr>
      <w:ind w:left="1415" w:hanging="283"/>
      <w:contextualSpacing/>
    </w:pPr>
  </w:style>
  <w:style w:type="paragraph" w:styleId="ListBullet">
    <w:name w:val="List Bullet"/>
    <w:basedOn w:val="Normal"/>
    <w:locked/>
    <w:rsid w:val="009B024D"/>
    <w:pPr>
      <w:tabs>
        <w:tab w:val="num" w:pos="360"/>
      </w:tabs>
      <w:ind w:left="360" w:hanging="360"/>
      <w:contextualSpacing/>
    </w:pPr>
  </w:style>
  <w:style w:type="paragraph" w:styleId="ListBullet2">
    <w:name w:val="List Bullet 2"/>
    <w:basedOn w:val="Normal"/>
    <w:locked/>
    <w:rsid w:val="009B024D"/>
    <w:pPr>
      <w:tabs>
        <w:tab w:val="num" w:pos="643"/>
      </w:tabs>
      <w:ind w:left="643" w:hanging="360"/>
      <w:contextualSpacing/>
    </w:pPr>
  </w:style>
  <w:style w:type="paragraph" w:styleId="ListBullet3">
    <w:name w:val="List Bullet 3"/>
    <w:basedOn w:val="Normal"/>
    <w:locked/>
    <w:rsid w:val="009B024D"/>
    <w:pPr>
      <w:tabs>
        <w:tab w:val="num" w:pos="926"/>
      </w:tabs>
      <w:ind w:left="926" w:hanging="360"/>
      <w:contextualSpacing/>
    </w:pPr>
  </w:style>
  <w:style w:type="paragraph" w:styleId="ListBullet4">
    <w:name w:val="List Bullet 4"/>
    <w:basedOn w:val="Normal"/>
    <w:locked/>
    <w:rsid w:val="009B024D"/>
    <w:pPr>
      <w:tabs>
        <w:tab w:val="num" w:pos="1209"/>
      </w:tabs>
      <w:ind w:left="1209" w:hanging="360"/>
      <w:contextualSpacing/>
    </w:pPr>
  </w:style>
  <w:style w:type="paragraph" w:styleId="ListBullet5">
    <w:name w:val="List Bullet 5"/>
    <w:basedOn w:val="Normal"/>
    <w:locked/>
    <w:rsid w:val="009B024D"/>
    <w:pPr>
      <w:tabs>
        <w:tab w:val="num" w:pos="1492"/>
      </w:tabs>
      <w:ind w:left="1492" w:hanging="360"/>
      <w:contextualSpacing/>
    </w:pPr>
  </w:style>
  <w:style w:type="paragraph" w:styleId="ListContinue">
    <w:name w:val="List Continue"/>
    <w:basedOn w:val="Normal"/>
    <w:locked/>
    <w:rsid w:val="009B024D"/>
    <w:pPr>
      <w:ind w:left="283"/>
      <w:contextualSpacing/>
    </w:pPr>
  </w:style>
  <w:style w:type="paragraph" w:styleId="ListContinue2">
    <w:name w:val="List Continue 2"/>
    <w:basedOn w:val="Normal"/>
    <w:locked/>
    <w:rsid w:val="009B024D"/>
    <w:pPr>
      <w:ind w:left="566"/>
      <w:contextualSpacing/>
    </w:pPr>
  </w:style>
  <w:style w:type="paragraph" w:styleId="ListContinue3">
    <w:name w:val="List Continue 3"/>
    <w:basedOn w:val="Normal"/>
    <w:locked/>
    <w:rsid w:val="009B024D"/>
    <w:pPr>
      <w:ind w:left="849"/>
      <w:contextualSpacing/>
    </w:pPr>
  </w:style>
  <w:style w:type="paragraph" w:styleId="ListContinue4">
    <w:name w:val="List Continue 4"/>
    <w:basedOn w:val="Normal"/>
    <w:locked/>
    <w:rsid w:val="009B024D"/>
    <w:pPr>
      <w:ind w:left="1132"/>
      <w:contextualSpacing/>
    </w:pPr>
  </w:style>
  <w:style w:type="paragraph" w:styleId="ListContinue5">
    <w:name w:val="List Continue 5"/>
    <w:basedOn w:val="Normal"/>
    <w:locked/>
    <w:rsid w:val="009B024D"/>
    <w:pPr>
      <w:ind w:left="1415"/>
      <w:contextualSpacing/>
    </w:pPr>
  </w:style>
  <w:style w:type="paragraph" w:styleId="ListNumber">
    <w:name w:val="List Number"/>
    <w:basedOn w:val="Normal"/>
    <w:locked/>
    <w:rsid w:val="009B024D"/>
    <w:pPr>
      <w:tabs>
        <w:tab w:val="num" w:pos="360"/>
      </w:tabs>
      <w:ind w:left="360" w:hanging="360"/>
      <w:contextualSpacing/>
    </w:pPr>
  </w:style>
  <w:style w:type="paragraph" w:styleId="ListNumber2">
    <w:name w:val="List Number 2"/>
    <w:basedOn w:val="Normal"/>
    <w:locked/>
    <w:rsid w:val="009B024D"/>
    <w:pPr>
      <w:tabs>
        <w:tab w:val="num" w:pos="643"/>
      </w:tabs>
      <w:ind w:left="643" w:hanging="360"/>
      <w:contextualSpacing/>
    </w:pPr>
  </w:style>
  <w:style w:type="paragraph" w:styleId="ListNumber3">
    <w:name w:val="List Number 3"/>
    <w:basedOn w:val="Normal"/>
    <w:locked/>
    <w:rsid w:val="009B024D"/>
    <w:pPr>
      <w:tabs>
        <w:tab w:val="num" w:pos="926"/>
      </w:tabs>
      <w:ind w:left="926" w:hanging="360"/>
      <w:contextualSpacing/>
    </w:pPr>
  </w:style>
  <w:style w:type="paragraph" w:styleId="ListNumber4">
    <w:name w:val="List Number 4"/>
    <w:basedOn w:val="Normal"/>
    <w:locked/>
    <w:rsid w:val="009B024D"/>
    <w:pPr>
      <w:tabs>
        <w:tab w:val="num" w:pos="1209"/>
      </w:tabs>
      <w:ind w:left="1209" w:hanging="360"/>
      <w:contextualSpacing/>
    </w:pPr>
  </w:style>
  <w:style w:type="paragraph" w:styleId="ListNumber5">
    <w:name w:val="List Number 5"/>
    <w:basedOn w:val="Normal"/>
    <w:locked/>
    <w:rsid w:val="009B024D"/>
    <w:pPr>
      <w:tabs>
        <w:tab w:val="num" w:pos="1492"/>
      </w:tabs>
      <w:ind w:left="1492" w:hanging="360"/>
      <w:contextualSpacing/>
    </w:pPr>
  </w:style>
  <w:style w:type="paragraph" w:styleId="MacroText">
    <w:name w:val="macro"/>
    <w:link w:val="MacroTextChar"/>
    <w:locked/>
    <w:rsid w:val="009B024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rsid w:val="009B024D"/>
    <w:rPr>
      <w:rFonts w:ascii="Consolas" w:hAnsi="Consolas" w:cs="Consolas"/>
      <w:lang w:eastAsia="en-US"/>
    </w:rPr>
  </w:style>
  <w:style w:type="paragraph" w:styleId="MessageHeader">
    <w:name w:val="Message Header"/>
    <w:basedOn w:val="Normal"/>
    <w:link w:val="MessageHeaderChar"/>
    <w:locked/>
    <w:rsid w:val="009B02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9B024D"/>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9B024D"/>
    <w:rPr>
      <w:rFonts w:ascii="Garamond" w:hAnsi="Garamond"/>
      <w:sz w:val="24"/>
      <w:lang w:eastAsia="en-US"/>
    </w:rPr>
  </w:style>
  <w:style w:type="paragraph" w:styleId="NormalWeb">
    <w:name w:val="Normal (Web)"/>
    <w:basedOn w:val="Normal"/>
    <w:uiPriority w:val="99"/>
    <w:locked/>
    <w:rsid w:val="009B024D"/>
    <w:rPr>
      <w:rFonts w:ascii="Times New Roman" w:hAnsi="Times New Roman"/>
      <w:szCs w:val="24"/>
    </w:rPr>
  </w:style>
  <w:style w:type="paragraph" w:styleId="NoteHeading">
    <w:name w:val="Note Heading"/>
    <w:basedOn w:val="Normal"/>
    <w:next w:val="Normal"/>
    <w:link w:val="NoteHeadingChar"/>
    <w:rsid w:val="009B024D"/>
    <w:pPr>
      <w:spacing w:after="0"/>
    </w:pPr>
  </w:style>
  <w:style w:type="character" w:customStyle="1" w:styleId="NoteHeadingChar">
    <w:name w:val="Note Heading Char"/>
    <w:basedOn w:val="DefaultParagraphFont"/>
    <w:link w:val="NoteHeading"/>
    <w:rsid w:val="009B024D"/>
    <w:rPr>
      <w:rFonts w:ascii="Garamond" w:hAnsi="Garamond"/>
      <w:sz w:val="24"/>
      <w:lang w:eastAsia="en-US"/>
    </w:rPr>
  </w:style>
  <w:style w:type="paragraph" w:styleId="PlainText">
    <w:name w:val="Plain Text"/>
    <w:basedOn w:val="Normal"/>
    <w:link w:val="PlainTextChar"/>
    <w:locked/>
    <w:rsid w:val="009B024D"/>
    <w:pPr>
      <w:spacing w:after="0"/>
    </w:pPr>
    <w:rPr>
      <w:rFonts w:ascii="Consolas" w:hAnsi="Consolas" w:cs="Consolas"/>
      <w:sz w:val="21"/>
      <w:szCs w:val="21"/>
    </w:rPr>
  </w:style>
  <w:style w:type="character" w:customStyle="1" w:styleId="PlainTextChar">
    <w:name w:val="Plain Text Char"/>
    <w:basedOn w:val="DefaultParagraphFont"/>
    <w:link w:val="PlainText"/>
    <w:rsid w:val="009B024D"/>
    <w:rPr>
      <w:rFonts w:ascii="Consolas" w:hAnsi="Consolas" w:cs="Consolas"/>
      <w:sz w:val="21"/>
      <w:szCs w:val="21"/>
      <w:lang w:eastAsia="en-US"/>
    </w:rPr>
  </w:style>
  <w:style w:type="paragraph" w:styleId="Salutation">
    <w:name w:val="Salutation"/>
    <w:basedOn w:val="Normal"/>
    <w:next w:val="Normal"/>
    <w:link w:val="SalutationChar"/>
    <w:locked/>
    <w:rsid w:val="009B024D"/>
  </w:style>
  <w:style w:type="character" w:customStyle="1" w:styleId="SalutationChar">
    <w:name w:val="Salutation Char"/>
    <w:basedOn w:val="DefaultParagraphFont"/>
    <w:link w:val="Salutation"/>
    <w:rsid w:val="009B024D"/>
    <w:rPr>
      <w:rFonts w:ascii="Garamond" w:hAnsi="Garamond"/>
      <w:sz w:val="24"/>
      <w:lang w:eastAsia="en-US"/>
    </w:rPr>
  </w:style>
  <w:style w:type="paragraph" w:styleId="Signature">
    <w:name w:val="Signature"/>
    <w:basedOn w:val="Normal"/>
    <w:link w:val="SignatureChar"/>
    <w:locked/>
    <w:rsid w:val="009B024D"/>
    <w:pPr>
      <w:spacing w:after="0"/>
      <w:ind w:left="4252"/>
    </w:pPr>
  </w:style>
  <w:style w:type="character" w:customStyle="1" w:styleId="SignatureChar">
    <w:name w:val="Signature Char"/>
    <w:basedOn w:val="DefaultParagraphFont"/>
    <w:link w:val="Signature"/>
    <w:rsid w:val="009B024D"/>
    <w:rPr>
      <w:rFonts w:ascii="Garamond" w:hAnsi="Garamond"/>
      <w:sz w:val="24"/>
      <w:lang w:eastAsia="en-US"/>
    </w:rPr>
  </w:style>
  <w:style w:type="paragraph" w:styleId="TableofAuthorities">
    <w:name w:val="table of authorities"/>
    <w:basedOn w:val="Normal"/>
    <w:next w:val="Normal"/>
    <w:locked/>
    <w:rsid w:val="009B024D"/>
    <w:pPr>
      <w:spacing w:after="0"/>
      <w:ind w:left="240" w:hanging="240"/>
    </w:pPr>
  </w:style>
  <w:style w:type="paragraph" w:styleId="Title">
    <w:name w:val="Title"/>
    <w:basedOn w:val="Normal"/>
    <w:next w:val="Normal"/>
    <w:link w:val="TitleChar"/>
    <w:locked/>
    <w:rsid w:val="009B024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024D"/>
    <w:rPr>
      <w:rFonts w:asciiTheme="majorHAnsi" w:eastAsiaTheme="majorEastAsia" w:hAnsiTheme="majorHAnsi" w:cstheme="majorBidi"/>
      <w:color w:val="17365D" w:themeColor="text2" w:themeShade="BF"/>
      <w:spacing w:val="5"/>
      <w:kern w:val="28"/>
      <w:sz w:val="52"/>
      <w:szCs w:val="52"/>
      <w:lang w:eastAsia="en-US"/>
    </w:rPr>
  </w:style>
  <w:style w:type="paragraph" w:styleId="TOAHeading">
    <w:name w:val="toa heading"/>
    <w:basedOn w:val="Normal"/>
    <w:next w:val="Normal"/>
    <w:locked/>
    <w:rsid w:val="009B024D"/>
    <w:pPr>
      <w:spacing w:before="120"/>
    </w:pPr>
    <w:rPr>
      <w:rFonts w:asciiTheme="majorHAnsi" w:eastAsiaTheme="majorEastAsia" w:hAnsiTheme="majorHAnsi" w:cstheme="majorBidi"/>
      <w:b/>
      <w:bCs/>
      <w:szCs w:val="24"/>
    </w:rPr>
  </w:style>
  <w:style w:type="paragraph" w:styleId="TOC6">
    <w:name w:val="toc 6"/>
    <w:basedOn w:val="Normal"/>
    <w:next w:val="Normal"/>
    <w:autoRedefine/>
    <w:locked/>
    <w:rsid w:val="009B024D"/>
    <w:pPr>
      <w:spacing w:after="100"/>
      <w:ind w:left="1200"/>
    </w:pPr>
  </w:style>
  <w:style w:type="paragraph" w:styleId="TOC7">
    <w:name w:val="toc 7"/>
    <w:basedOn w:val="Normal"/>
    <w:next w:val="Normal"/>
    <w:autoRedefine/>
    <w:locked/>
    <w:rsid w:val="009B024D"/>
    <w:pPr>
      <w:spacing w:after="100"/>
      <w:ind w:left="1440"/>
    </w:pPr>
  </w:style>
  <w:style w:type="paragraph" w:styleId="TOC8">
    <w:name w:val="toc 8"/>
    <w:basedOn w:val="Normal"/>
    <w:next w:val="Normal"/>
    <w:autoRedefine/>
    <w:locked/>
    <w:rsid w:val="009B024D"/>
    <w:pPr>
      <w:spacing w:after="100"/>
      <w:ind w:left="1680"/>
    </w:pPr>
  </w:style>
  <w:style w:type="paragraph" w:styleId="TOC9">
    <w:name w:val="toc 9"/>
    <w:basedOn w:val="Normal"/>
    <w:next w:val="Normal"/>
    <w:autoRedefine/>
    <w:locked/>
    <w:rsid w:val="009B024D"/>
    <w:pPr>
      <w:spacing w:after="100"/>
      <w:ind w:left="1920"/>
    </w:pPr>
  </w:style>
  <w:style w:type="paragraph" w:styleId="TOCHeading">
    <w:name w:val="TOC Heading"/>
    <w:basedOn w:val="Heading1"/>
    <w:next w:val="Normal"/>
    <w:uiPriority w:val="39"/>
    <w:semiHidden/>
    <w:unhideWhenUsed/>
    <w:qFormat/>
    <w:rsid w:val="009B024D"/>
    <w:pPr>
      <w:keepLines/>
      <w:spacing w:before="480" w:after="0"/>
      <w:outlineLvl w:val="9"/>
    </w:pPr>
    <w:rPr>
      <w:rFonts w:asciiTheme="majorHAnsi" w:eastAsiaTheme="majorEastAsia" w:hAnsiTheme="majorHAnsi" w:cstheme="majorBidi"/>
      <w:bCs/>
      <w:caps w:val="0"/>
      <w:color w:val="365F91" w:themeColor="accent1" w:themeShade="BF"/>
      <w:szCs w:val="28"/>
    </w:rPr>
  </w:style>
  <w:style w:type="paragraph" w:customStyle="1" w:styleId="Tabn">
    <w:name w:val="Tabn"/>
    <w:basedOn w:val="Normal"/>
    <w:semiHidden/>
    <w:qFormat/>
    <w:rsid w:val="009B024D"/>
  </w:style>
  <w:style w:type="character" w:customStyle="1" w:styleId="Heading3NumberingChar">
    <w:name w:val="Heading 3 Numbering Char"/>
    <w:link w:val="Heading3Numbering"/>
    <w:rsid w:val="009B024D"/>
    <w:rPr>
      <w:rFonts w:ascii="Calibri" w:hAnsi="Calibri"/>
      <w:b/>
      <w:i/>
      <w:kern w:val="28"/>
      <w:sz w:val="26"/>
      <w:szCs w:val="22"/>
      <w:lang w:eastAsia="en-US"/>
    </w:rPr>
  </w:style>
  <w:style w:type="paragraph" w:styleId="Quote">
    <w:name w:val="Quote"/>
    <w:basedOn w:val="Normal"/>
    <w:next w:val="Normal"/>
    <w:link w:val="QuoteChar"/>
    <w:uiPriority w:val="29"/>
    <w:rsid w:val="009B024D"/>
    <w:rPr>
      <w:i/>
      <w:iCs/>
      <w:color w:val="000000" w:themeColor="text1"/>
    </w:rPr>
  </w:style>
  <w:style w:type="character" w:customStyle="1" w:styleId="QuoteChar">
    <w:name w:val="Quote Char"/>
    <w:basedOn w:val="DefaultParagraphFont"/>
    <w:link w:val="Quote"/>
    <w:uiPriority w:val="29"/>
    <w:rsid w:val="009B024D"/>
    <w:rPr>
      <w:rFonts w:ascii="Garamond" w:hAnsi="Garamond"/>
      <w:i/>
      <w:iCs/>
      <w:color w:val="000000" w:themeColor="text1"/>
      <w:sz w:val="24"/>
      <w:lang w:eastAsia="en-US"/>
    </w:rPr>
  </w:style>
  <w:style w:type="paragraph" w:styleId="Subtitle">
    <w:name w:val="Subtitle"/>
    <w:basedOn w:val="Normal"/>
    <w:next w:val="Normal"/>
    <w:link w:val="SubtitleChar"/>
    <w:locked/>
    <w:rsid w:val="009B024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9B024D"/>
    <w:rPr>
      <w:rFonts w:asciiTheme="majorHAnsi" w:eastAsiaTheme="majorEastAsia" w:hAnsiTheme="majorHAnsi" w:cstheme="majorBidi"/>
      <w:i/>
      <w:iCs/>
      <w:color w:val="4F81BD" w:themeColor="accent1"/>
      <w:spacing w:val="15"/>
      <w:sz w:val="24"/>
      <w:szCs w:val="24"/>
      <w:lang w:eastAsia="en-US"/>
    </w:rPr>
  </w:style>
  <w:style w:type="paragraph" w:customStyle="1" w:styleId="Tablete">
    <w:name w:val="Tablete"/>
    <w:basedOn w:val="Normal"/>
    <w:qFormat/>
    <w:rsid w:val="009B024D"/>
    <w:pPr>
      <w:autoSpaceDE w:val="0"/>
      <w:autoSpaceDN w:val="0"/>
      <w:adjustRightInd w:val="0"/>
      <w:spacing w:after="0"/>
      <w:jc w:val="right"/>
    </w:pPr>
    <w:rPr>
      <w:rFonts w:ascii="Calibri" w:eastAsiaTheme="minorEastAsia" w:hAnsi="Calibri" w:cs="Calibri"/>
      <w:i/>
      <w:iCs/>
      <w:color w:val="FFFFFF"/>
      <w:sz w:val="22"/>
      <w:szCs w:val="22"/>
      <w:lang w:eastAsia="en-AU"/>
    </w:rPr>
  </w:style>
  <w:style w:type="paragraph" w:customStyle="1" w:styleId="EvenFooterLandscape">
    <w:name w:val="EvenFooterLandscape"/>
    <w:basedOn w:val="Normal"/>
    <w:qFormat/>
    <w:rsid w:val="009B024D"/>
    <w:pPr>
      <w:pBdr>
        <w:top w:val="single" w:sz="6" w:space="0" w:color="auto"/>
      </w:pBdr>
      <w:tabs>
        <w:tab w:val="center" w:pos="3686"/>
        <w:tab w:val="right" w:pos="9634"/>
      </w:tabs>
    </w:pPr>
    <w:rPr>
      <w:rFonts w:ascii="Calibri" w:hAnsi="Calibri"/>
      <w:sz w:val="22"/>
      <w:szCs w:val="18"/>
    </w:rPr>
  </w:style>
  <w:style w:type="paragraph" w:customStyle="1" w:styleId="OddFooterLandscape">
    <w:name w:val="OddFooterLandscape"/>
    <w:basedOn w:val="Footer"/>
    <w:qFormat/>
    <w:rsid w:val="009B024D"/>
    <w:pPr>
      <w:pBdr>
        <w:top w:val="single" w:sz="6" w:space="0" w:color="auto"/>
      </w:pBdr>
      <w:tabs>
        <w:tab w:val="clear" w:pos="7085"/>
        <w:tab w:val="center" w:pos="5947"/>
        <w:tab w:val="right" w:pos="9634"/>
      </w:tabs>
    </w:pPr>
  </w:style>
  <w:style w:type="paragraph" w:customStyle="1" w:styleId="ControlledEntitiesHeading1">
    <w:name w:val="ControlledEntitiesHeading1"/>
    <w:qFormat/>
    <w:rsid w:val="009B024D"/>
    <w:pPr>
      <w:shd w:val="clear" w:color="auto" w:fill="000000" w:themeFill="text1"/>
      <w:jc w:val="center"/>
    </w:pPr>
    <w:rPr>
      <w:rFonts w:asciiTheme="minorHAnsi" w:hAnsiTheme="minorHAnsi" w:cstheme="minorHAnsi"/>
      <w:b/>
      <w:i/>
      <w:color w:val="FFFFFF" w:themeColor="background1"/>
      <w:sz w:val="22"/>
      <w:szCs w:val="22"/>
    </w:rPr>
  </w:style>
  <w:style w:type="paragraph" w:customStyle="1" w:styleId="Smallline">
    <w:name w:val="Small line"/>
    <w:basedOn w:val="Normal"/>
    <w:qFormat/>
    <w:rsid w:val="009B024D"/>
    <w:pPr>
      <w:shd w:val="clear" w:color="auto" w:fill="FFFFFF" w:themeFill="background1"/>
      <w:spacing w:after="0"/>
    </w:pPr>
    <w:rPr>
      <w:rFonts w:ascii="Calibri" w:hAnsi="Calibri"/>
      <w:b/>
      <w:bCs/>
      <w:color w:val="000000" w:themeColor="text1"/>
      <w:sz w:val="4"/>
      <w:szCs w:val="18"/>
      <w:shd w:val="clear" w:color="auto" w:fill="FFFFFF" w:themeFill="background1"/>
      <w:lang w:eastAsia="en-AU"/>
    </w:rPr>
  </w:style>
  <w:style w:type="paragraph" w:customStyle="1" w:styleId="ControlledEntitiesHeading2">
    <w:name w:val="ControlledEntitiesHeading2"/>
    <w:qFormat/>
    <w:rsid w:val="009B024D"/>
    <w:pPr>
      <w:shd w:val="clear" w:color="auto" w:fill="D9D9D9" w:themeFill="background1" w:themeFillShade="D9"/>
    </w:pPr>
    <w:rPr>
      <w:rFonts w:ascii="Calibri" w:hAnsi="Calibri"/>
      <w:b/>
      <w:bCs/>
      <w:color w:val="000000" w:themeColor="text1"/>
      <w:sz w:val="18"/>
      <w:szCs w:val="18"/>
    </w:rPr>
  </w:style>
  <w:style w:type="paragraph" w:customStyle="1" w:styleId="ControlledEntitiesText">
    <w:name w:val="ControlledEntitiesText"/>
    <w:qFormat/>
    <w:rsid w:val="009B024D"/>
    <w:pPr>
      <w:spacing w:before="20" w:after="20"/>
    </w:pPr>
    <w:rPr>
      <w:rFonts w:ascii="Calibri" w:hAnsi="Calibri"/>
      <w:color w:val="000000" w:themeColor="text1"/>
      <w:sz w:val="18"/>
      <w:szCs w:val="18"/>
    </w:rPr>
  </w:style>
  <w:style w:type="paragraph" w:customStyle="1" w:styleId="ControlledEntitiesDash">
    <w:name w:val="ControlledEntitiesDash"/>
    <w:qFormat/>
    <w:rsid w:val="009B024D"/>
    <w:pPr>
      <w:numPr>
        <w:numId w:val="11"/>
      </w:numPr>
      <w:spacing w:before="20" w:after="20"/>
      <w:ind w:left="216" w:hanging="216"/>
      <w:contextualSpacing/>
    </w:pPr>
    <w:rPr>
      <w:rFonts w:ascii="Calibri" w:hAnsi="Calibri"/>
      <w:iCs/>
      <w:color w:val="000000" w:themeColor="text1"/>
      <w:sz w:val="18"/>
      <w:szCs w:val="18"/>
    </w:rPr>
  </w:style>
  <w:style w:type="paragraph" w:customStyle="1" w:styleId="TableTextright">
    <w:name w:val="Table Text right"/>
    <w:basedOn w:val="Notes"/>
    <w:qFormat/>
    <w:rsid w:val="009B024D"/>
    <w:rPr>
      <w:rFonts w:eastAsiaTheme="minorEastAsia"/>
      <w:lang w:eastAsia="en-AU"/>
    </w:rPr>
  </w:style>
  <w:style w:type="paragraph" w:customStyle="1" w:styleId="NotesFigures">
    <w:name w:val="Notes Figures"/>
    <w:basedOn w:val="TableofFigures"/>
    <w:qFormat/>
    <w:rsid w:val="009B024D"/>
    <w:rPr>
      <w:sz w:val="16"/>
    </w:rPr>
  </w:style>
  <w:style w:type="paragraph" w:customStyle="1" w:styleId="4ptline">
    <w:name w:val="4pt line"/>
    <w:basedOn w:val="Smallline"/>
    <w:qFormat/>
    <w:rsid w:val="009B024D"/>
    <w:rPr>
      <w:sz w:val="8"/>
    </w:rPr>
  </w:style>
  <w:style w:type="paragraph" w:customStyle="1" w:styleId="Charttext">
    <w:name w:val="Chart text"/>
    <w:basedOn w:val="Normal"/>
    <w:qFormat/>
    <w:rsid w:val="009B024D"/>
    <w:pPr>
      <w:spacing w:after="0"/>
      <w:jc w:val="center"/>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1" w:uiPriority="39"/>
    <w:lsdException w:name="toc 2" w:uiPriority="39"/>
    <w:lsdException w:name="toc 4"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locked="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8370C"/>
    <w:pPr>
      <w:spacing w:after="120"/>
    </w:pPr>
    <w:rPr>
      <w:rFonts w:ascii="Garamond" w:hAnsi="Garamond"/>
      <w:sz w:val="24"/>
      <w:lang w:eastAsia="en-US"/>
    </w:rPr>
  </w:style>
  <w:style w:type="paragraph" w:styleId="Heading1">
    <w:name w:val="heading 1"/>
    <w:basedOn w:val="Normal"/>
    <w:next w:val="Normal"/>
    <w:link w:val="Heading1Char"/>
    <w:qFormat/>
    <w:rsid w:val="0028370C"/>
    <w:pPr>
      <w:keepNext/>
      <w:spacing w:before="360"/>
      <w:outlineLvl w:val="0"/>
    </w:pPr>
    <w:rPr>
      <w:rFonts w:ascii="Calibri" w:hAnsi="Calibri"/>
      <w:b/>
      <w:caps/>
      <w:sz w:val="28"/>
      <w:szCs w:val="22"/>
    </w:rPr>
  </w:style>
  <w:style w:type="paragraph" w:styleId="Heading2">
    <w:name w:val="heading 2"/>
    <w:basedOn w:val="Normal"/>
    <w:next w:val="Normal"/>
    <w:link w:val="Heading2Char"/>
    <w:qFormat/>
    <w:rsid w:val="0028370C"/>
    <w:pPr>
      <w:keepNext/>
      <w:spacing w:before="240"/>
      <w:outlineLvl w:val="1"/>
    </w:pPr>
    <w:rPr>
      <w:rFonts w:ascii="Calibri" w:hAnsi="Calibri"/>
      <w:b/>
      <w:kern w:val="28"/>
      <w:sz w:val="28"/>
      <w:szCs w:val="22"/>
    </w:rPr>
  </w:style>
  <w:style w:type="paragraph" w:styleId="Heading3">
    <w:name w:val="heading 3"/>
    <w:basedOn w:val="Normal"/>
    <w:next w:val="Normal"/>
    <w:link w:val="Heading3Char"/>
    <w:qFormat/>
    <w:rsid w:val="0028370C"/>
    <w:pPr>
      <w:keepNext/>
      <w:spacing w:before="240"/>
      <w:outlineLvl w:val="2"/>
    </w:pPr>
    <w:rPr>
      <w:rFonts w:ascii="Calibri" w:hAnsi="Calibri"/>
      <w:b/>
      <w:i/>
      <w:kern w:val="28"/>
      <w:sz w:val="26"/>
      <w:szCs w:val="22"/>
    </w:rPr>
  </w:style>
  <w:style w:type="paragraph" w:styleId="Heading4">
    <w:name w:val="heading 4"/>
    <w:basedOn w:val="Normal"/>
    <w:next w:val="Normal"/>
    <w:link w:val="Heading4Char"/>
    <w:qFormat/>
    <w:rsid w:val="0028370C"/>
    <w:pPr>
      <w:keepNext/>
      <w:spacing w:before="240"/>
      <w:outlineLvl w:val="3"/>
    </w:pPr>
    <w:rPr>
      <w:rFonts w:ascii="Calibri" w:hAnsi="Calibri"/>
      <w:i/>
      <w:sz w:val="26"/>
      <w:szCs w:val="22"/>
    </w:rPr>
  </w:style>
  <w:style w:type="paragraph" w:styleId="Heading5">
    <w:name w:val="heading 5"/>
    <w:basedOn w:val="Normal"/>
    <w:next w:val="Normal"/>
    <w:link w:val="Heading5Char"/>
    <w:qFormat/>
    <w:rsid w:val="0028370C"/>
    <w:pPr>
      <w:keepNext/>
      <w:tabs>
        <w:tab w:val="left" w:pos="504"/>
      </w:tabs>
      <w:spacing w:before="120" w:after="60"/>
      <w:outlineLvl w:val="4"/>
    </w:pPr>
    <w:rPr>
      <w:rFonts w:ascii="Calibri" w:hAnsi="Calibri"/>
      <w:b/>
    </w:rPr>
  </w:style>
  <w:style w:type="paragraph" w:styleId="Heading6">
    <w:name w:val="heading 6"/>
    <w:basedOn w:val="Normal"/>
    <w:next w:val="Normal"/>
    <w:link w:val="Heading6Char"/>
    <w:semiHidden/>
    <w:unhideWhenUsed/>
    <w:qFormat/>
    <w:locked/>
    <w:rsid w:val="009B02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9B02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9B024D"/>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locked/>
    <w:rsid w:val="009B024D"/>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28370C"/>
    <w:pPr>
      <w:spacing w:after="0"/>
      <w:jc w:val="center"/>
    </w:pPr>
    <w:rPr>
      <w:rFonts w:ascii="Calibri" w:hAnsi="Calibri"/>
      <w:i/>
      <w:sz w:val="20"/>
      <w:szCs w:val="18"/>
    </w:rPr>
  </w:style>
  <w:style w:type="paragraph" w:styleId="TableofFigures">
    <w:name w:val="table of figures"/>
    <w:basedOn w:val="Normal"/>
    <w:next w:val="Normal"/>
    <w:link w:val="TableofFiguresChar"/>
    <w:qFormat/>
    <w:rsid w:val="0028370C"/>
    <w:pPr>
      <w:spacing w:after="0"/>
      <w:jc w:val="right"/>
    </w:pPr>
    <w:rPr>
      <w:rFonts w:ascii="Calibri" w:hAnsi="Calibri"/>
      <w:sz w:val="22"/>
      <w:szCs w:val="18"/>
    </w:rPr>
  </w:style>
  <w:style w:type="paragraph" w:customStyle="1" w:styleId="BIP1Figures">
    <w:name w:val="BIP1 Figures"/>
    <w:basedOn w:val="TableofFigures"/>
    <w:semiHidden/>
    <w:rsid w:val="0028370C"/>
    <w:pPr>
      <w:spacing w:after="20"/>
    </w:pPr>
  </w:style>
  <w:style w:type="paragraph" w:customStyle="1" w:styleId="Tabletextheading">
    <w:name w:val="Table text heading"/>
    <w:basedOn w:val="TableofFigures"/>
    <w:link w:val="TabletextheadingChar"/>
    <w:qFormat/>
    <w:rsid w:val="0028370C"/>
    <w:rPr>
      <w:i/>
    </w:rPr>
  </w:style>
  <w:style w:type="paragraph" w:customStyle="1" w:styleId="BIP1headingr">
    <w:name w:val="BIP1 heading r"/>
    <w:basedOn w:val="Tabletextheading"/>
    <w:semiHidden/>
    <w:rsid w:val="0028370C"/>
  </w:style>
  <w:style w:type="paragraph" w:customStyle="1" w:styleId="BIP1headingl">
    <w:name w:val="BIP1 heading l"/>
    <w:basedOn w:val="BIP1headingr"/>
    <w:link w:val="BIP1headinglChar"/>
    <w:semiHidden/>
    <w:rsid w:val="0028370C"/>
    <w:pPr>
      <w:jc w:val="left"/>
    </w:pPr>
  </w:style>
  <w:style w:type="paragraph" w:customStyle="1" w:styleId="Tabletext">
    <w:name w:val="Table text"/>
    <w:basedOn w:val="TableofFigures"/>
    <w:link w:val="TabletextChar"/>
    <w:qFormat/>
    <w:rsid w:val="0028370C"/>
    <w:pPr>
      <w:ind w:left="180" w:hanging="180"/>
      <w:jc w:val="left"/>
    </w:pPr>
  </w:style>
  <w:style w:type="paragraph" w:customStyle="1" w:styleId="BIP1tabletext">
    <w:name w:val="BIP1 table text"/>
    <w:basedOn w:val="Tabletext"/>
    <w:semiHidden/>
    <w:rsid w:val="0028370C"/>
    <w:pPr>
      <w:spacing w:after="20"/>
      <w:ind w:left="72" w:hanging="72"/>
    </w:pPr>
  </w:style>
  <w:style w:type="paragraph" w:customStyle="1" w:styleId="Tableheading">
    <w:name w:val="Table heading"/>
    <w:basedOn w:val="Normal"/>
    <w:link w:val="TableheadingChar"/>
    <w:qFormat/>
    <w:rsid w:val="0028370C"/>
    <w:pPr>
      <w:keepNext/>
      <w:spacing w:before="240"/>
      <w:ind w:left="1152" w:hanging="1152"/>
    </w:pPr>
    <w:rPr>
      <w:rFonts w:ascii="Calibri" w:hAnsi="Calibri"/>
      <w:b/>
      <w:sz w:val="25"/>
    </w:rPr>
  </w:style>
  <w:style w:type="table" w:styleId="TableGrid">
    <w:name w:val="Table Grid"/>
    <w:basedOn w:val="TableNormal"/>
    <w:locked/>
    <w:rsid w:val="0028370C"/>
    <w:pPr>
      <w:spacing w:after="120"/>
      <w:jc w:val="both"/>
    </w:pPr>
    <w:rPr>
      <w:rFonts w:ascii="Calibri" w:hAnsi="Calibri"/>
    </w:rPr>
    <w:tblPr/>
  </w:style>
  <w:style w:type="paragraph" w:customStyle="1" w:styleId="BulletText">
    <w:name w:val="Bullet Text"/>
    <w:basedOn w:val="Normal"/>
    <w:link w:val="BulletTextChar"/>
    <w:qFormat/>
    <w:rsid w:val="0028370C"/>
    <w:pPr>
      <w:numPr>
        <w:numId w:val="4"/>
      </w:numPr>
    </w:pPr>
  </w:style>
  <w:style w:type="paragraph" w:customStyle="1" w:styleId="ChapterHeading">
    <w:name w:val="Chapter Heading"/>
    <w:basedOn w:val="Normal"/>
    <w:next w:val="Heading1"/>
    <w:qFormat/>
    <w:rsid w:val="0028370C"/>
    <w:pPr>
      <w:keepNext/>
      <w:pBdr>
        <w:bottom w:val="single" w:sz="12" w:space="7" w:color="auto"/>
      </w:pBdr>
      <w:spacing w:before="1440" w:after="360"/>
    </w:pPr>
    <w:rPr>
      <w:rFonts w:ascii="Calibri" w:hAnsi="Calibri"/>
      <w:b/>
      <w:caps/>
      <w:sz w:val="38"/>
      <w:szCs w:val="28"/>
    </w:rPr>
  </w:style>
  <w:style w:type="paragraph" w:customStyle="1" w:styleId="Chartheading">
    <w:name w:val="Chart heading"/>
    <w:basedOn w:val="Tableheading"/>
    <w:next w:val="Normal"/>
    <w:qFormat/>
    <w:rsid w:val="0028370C"/>
  </w:style>
  <w:style w:type="paragraph" w:styleId="Footer">
    <w:name w:val="footer"/>
    <w:basedOn w:val="Normal"/>
    <w:link w:val="FooterChar"/>
    <w:rsid w:val="0028370C"/>
    <w:pPr>
      <w:pBdr>
        <w:top w:val="single" w:sz="6" w:space="1" w:color="auto"/>
      </w:pBdr>
      <w:tabs>
        <w:tab w:val="right" w:pos="7085"/>
      </w:tabs>
    </w:pPr>
    <w:rPr>
      <w:rFonts w:ascii="Calibri" w:hAnsi="Calibri"/>
      <w:sz w:val="22"/>
      <w:szCs w:val="18"/>
    </w:rPr>
  </w:style>
  <w:style w:type="paragraph" w:styleId="Header">
    <w:name w:val="header"/>
    <w:basedOn w:val="Footer"/>
    <w:link w:val="HeaderChar"/>
    <w:rsid w:val="0028370C"/>
    <w:pPr>
      <w:pBdr>
        <w:top w:val="none" w:sz="0" w:space="0" w:color="auto"/>
      </w:pBdr>
      <w:tabs>
        <w:tab w:val="clear" w:pos="7085"/>
      </w:tabs>
    </w:pPr>
  </w:style>
  <w:style w:type="paragraph" w:customStyle="1" w:styleId="Heading2Notes">
    <w:name w:val="Heading 2 Notes"/>
    <w:basedOn w:val="Heading2"/>
    <w:link w:val="Heading2NotesChar"/>
    <w:rsid w:val="0028370C"/>
    <w:pPr>
      <w:tabs>
        <w:tab w:val="left" w:pos="1152"/>
      </w:tabs>
      <w:ind w:left="1152" w:hanging="1152"/>
    </w:pPr>
  </w:style>
  <w:style w:type="paragraph" w:customStyle="1" w:styleId="Notes">
    <w:name w:val="Notes"/>
    <w:basedOn w:val="Normal"/>
    <w:link w:val="NotesChar"/>
    <w:qFormat/>
    <w:rsid w:val="0028370C"/>
    <w:pPr>
      <w:tabs>
        <w:tab w:val="left" w:pos="454"/>
      </w:tabs>
      <w:spacing w:after="0"/>
      <w:ind w:left="461" w:hanging="461"/>
    </w:pPr>
    <w:rPr>
      <w:rFonts w:ascii="Calibri" w:hAnsi="Calibri"/>
      <w:i/>
      <w:sz w:val="16"/>
    </w:rPr>
  </w:style>
  <w:style w:type="paragraph" w:customStyle="1" w:styleId="OGBullet">
    <w:name w:val="OGBullet"/>
    <w:basedOn w:val="Normal"/>
    <w:semiHidden/>
    <w:rsid w:val="0028370C"/>
    <w:pPr>
      <w:numPr>
        <w:numId w:val="1"/>
      </w:numPr>
    </w:pPr>
    <w:rPr>
      <w:rFonts w:ascii="Calibri" w:hAnsi="Calibri"/>
      <w:sz w:val="22"/>
      <w:szCs w:val="18"/>
    </w:rPr>
  </w:style>
  <w:style w:type="paragraph" w:customStyle="1" w:styleId="OGHeading1">
    <w:name w:val="OGHeading1"/>
    <w:basedOn w:val="Normal"/>
    <w:semiHidden/>
    <w:rsid w:val="0028370C"/>
    <w:rPr>
      <w:rFonts w:ascii="Calibri" w:hAnsi="Calibri"/>
      <w:b/>
      <w:sz w:val="34"/>
      <w:szCs w:val="28"/>
    </w:rPr>
  </w:style>
  <w:style w:type="paragraph" w:customStyle="1" w:styleId="OGHeading2">
    <w:name w:val="OGHeading2"/>
    <w:basedOn w:val="Normal"/>
    <w:link w:val="OGHeading2Char"/>
    <w:semiHidden/>
    <w:rsid w:val="0028370C"/>
    <w:pPr>
      <w:keepNext/>
      <w:spacing w:before="60"/>
    </w:pPr>
    <w:rPr>
      <w:rFonts w:ascii="Calibri" w:hAnsi="Calibri"/>
      <w:b/>
      <w:sz w:val="30"/>
      <w:szCs w:val="24"/>
    </w:rPr>
  </w:style>
  <w:style w:type="paragraph" w:customStyle="1" w:styleId="OGTabHead">
    <w:name w:val="OGTabHead"/>
    <w:basedOn w:val="Normal"/>
    <w:semiHidden/>
    <w:rsid w:val="0028370C"/>
    <w:pPr>
      <w:keepNext/>
      <w:keepLines/>
      <w:spacing w:before="30" w:after="30"/>
    </w:pPr>
    <w:rPr>
      <w:rFonts w:ascii="Calibri" w:hAnsi="Calibri"/>
      <w:i/>
      <w:sz w:val="22"/>
      <w:szCs w:val="18"/>
    </w:rPr>
  </w:style>
  <w:style w:type="paragraph" w:customStyle="1" w:styleId="OGTabText">
    <w:name w:val="OGTabText"/>
    <w:basedOn w:val="Normal"/>
    <w:link w:val="OGTabTextChar"/>
    <w:semiHidden/>
    <w:rsid w:val="0028370C"/>
    <w:pPr>
      <w:spacing w:before="30" w:after="30"/>
      <w:ind w:left="144"/>
    </w:pPr>
    <w:rPr>
      <w:rFonts w:ascii="Calibri" w:hAnsi="Calibri"/>
      <w:sz w:val="22"/>
      <w:szCs w:val="18"/>
    </w:rPr>
  </w:style>
  <w:style w:type="paragraph" w:customStyle="1" w:styleId="OGText">
    <w:name w:val="OGText"/>
    <w:basedOn w:val="Normal"/>
    <w:link w:val="OGTextChar"/>
    <w:semiHidden/>
    <w:rsid w:val="0028370C"/>
    <w:pPr>
      <w:keepNext/>
      <w:spacing w:before="40"/>
    </w:pPr>
    <w:rPr>
      <w:rFonts w:ascii="Calibri" w:hAnsi="Calibri"/>
      <w:sz w:val="22"/>
      <w:szCs w:val="18"/>
    </w:rPr>
  </w:style>
  <w:style w:type="character" w:styleId="PageNumber">
    <w:name w:val="page number"/>
    <w:rsid w:val="0028370C"/>
    <w:rPr>
      <w:rFonts w:ascii="Calibri" w:hAnsi="Calibri"/>
      <w:sz w:val="22"/>
    </w:rPr>
  </w:style>
  <w:style w:type="paragraph" w:customStyle="1" w:styleId="Source">
    <w:name w:val="Source"/>
    <w:basedOn w:val="Normal"/>
    <w:next w:val="Normal"/>
    <w:link w:val="SourceChar"/>
    <w:qFormat/>
    <w:locked/>
    <w:rsid w:val="0028370C"/>
    <w:rPr>
      <w:rFonts w:ascii="Calibri" w:hAnsi="Calibri"/>
      <w:i/>
      <w:sz w:val="16"/>
    </w:rPr>
  </w:style>
  <w:style w:type="paragraph" w:customStyle="1" w:styleId="TableofContentsheading">
    <w:name w:val="Table of Contents heading"/>
    <w:basedOn w:val="ChapterHeading"/>
    <w:next w:val="Normal"/>
    <w:rsid w:val="0028370C"/>
  </w:style>
  <w:style w:type="paragraph" w:customStyle="1" w:styleId="Heading2NotesContd">
    <w:name w:val="Heading 2 Notes Cont'd"/>
    <w:basedOn w:val="Heading2Notes"/>
    <w:link w:val="Heading2NotesContdChar"/>
    <w:rsid w:val="0028370C"/>
  </w:style>
  <w:style w:type="paragraph" w:customStyle="1" w:styleId="HighlightBoxText">
    <w:name w:val="Highlight Box Text"/>
    <w:basedOn w:val="HighlightBoxBullet"/>
    <w:qFormat/>
    <w:rsid w:val="0028370C"/>
    <w:pPr>
      <w:numPr>
        <w:numId w:val="0"/>
      </w:numPr>
    </w:pPr>
  </w:style>
  <w:style w:type="paragraph" w:styleId="TOC1">
    <w:name w:val="toc 1"/>
    <w:basedOn w:val="Normal"/>
    <w:next w:val="Normal"/>
    <w:uiPriority w:val="39"/>
    <w:rsid w:val="0028370C"/>
    <w:pPr>
      <w:tabs>
        <w:tab w:val="right" w:leader="dot" w:pos="9630"/>
      </w:tabs>
      <w:spacing w:before="40" w:after="40"/>
      <w:ind w:right="422"/>
    </w:pPr>
    <w:rPr>
      <w:rFonts w:ascii="Calibri" w:hAnsi="Calibri"/>
      <w:b/>
      <w:noProof/>
    </w:rPr>
  </w:style>
  <w:style w:type="paragraph" w:styleId="TOC2">
    <w:name w:val="toc 2"/>
    <w:basedOn w:val="Normal"/>
    <w:next w:val="Normal"/>
    <w:uiPriority w:val="39"/>
    <w:rsid w:val="0028370C"/>
    <w:pPr>
      <w:tabs>
        <w:tab w:val="right" w:leader="dot" w:pos="9630"/>
      </w:tabs>
      <w:spacing w:after="0"/>
      <w:ind w:left="288" w:right="422"/>
    </w:pPr>
    <w:rPr>
      <w:rFonts w:ascii="Calibri" w:hAnsi="Calibri"/>
      <w:noProof/>
      <w:sz w:val="22"/>
    </w:rPr>
  </w:style>
  <w:style w:type="paragraph" w:styleId="TOC3">
    <w:name w:val="toc 3"/>
    <w:basedOn w:val="Normal"/>
    <w:next w:val="Normal"/>
    <w:rsid w:val="0028370C"/>
    <w:pPr>
      <w:tabs>
        <w:tab w:val="right" w:leader="dot" w:pos="7830"/>
      </w:tabs>
      <w:spacing w:after="0"/>
      <w:ind w:left="432" w:right="422"/>
    </w:pPr>
    <w:rPr>
      <w:rFonts w:ascii="Calibri" w:hAnsi="Calibri"/>
      <w:i/>
      <w:sz w:val="22"/>
    </w:rPr>
  </w:style>
  <w:style w:type="paragraph" w:styleId="TOC4">
    <w:name w:val="toc 4"/>
    <w:basedOn w:val="TOC1"/>
    <w:next w:val="Normal"/>
    <w:uiPriority w:val="39"/>
    <w:rsid w:val="0028370C"/>
    <w:pPr>
      <w:tabs>
        <w:tab w:val="right" w:leader="dot" w:pos="9533"/>
      </w:tabs>
      <w:spacing w:after="0"/>
      <w:ind w:left="1152" w:hanging="1152"/>
    </w:pPr>
    <w:rPr>
      <w:b w:val="0"/>
      <w:sz w:val="22"/>
    </w:rPr>
  </w:style>
  <w:style w:type="paragraph" w:styleId="TOC5">
    <w:name w:val="toc 5"/>
    <w:basedOn w:val="TOC1"/>
    <w:next w:val="Normal"/>
    <w:rsid w:val="0028370C"/>
    <w:rPr>
      <w:b w:val="0"/>
      <w:sz w:val="22"/>
    </w:rPr>
  </w:style>
  <w:style w:type="paragraph" w:customStyle="1" w:styleId="Tableheadingcontinued">
    <w:name w:val="Table heading continued"/>
    <w:basedOn w:val="Tableheading"/>
    <w:rsid w:val="0028370C"/>
  </w:style>
  <w:style w:type="paragraph" w:customStyle="1" w:styleId="TableTextCentred">
    <w:name w:val="Table Text Centred"/>
    <w:basedOn w:val="Tabletext"/>
    <w:rsid w:val="0028370C"/>
    <w:pPr>
      <w:ind w:left="0" w:firstLine="0"/>
      <w:jc w:val="center"/>
    </w:pPr>
  </w:style>
  <w:style w:type="paragraph" w:customStyle="1" w:styleId="Heading3Numbering">
    <w:name w:val="Heading 3 Numbering"/>
    <w:basedOn w:val="Heading3"/>
    <w:link w:val="Heading3NumberingChar"/>
    <w:rsid w:val="0028370C"/>
    <w:pPr>
      <w:numPr>
        <w:numId w:val="3"/>
      </w:numPr>
      <w:tabs>
        <w:tab w:val="left" w:pos="504"/>
      </w:tabs>
    </w:pPr>
  </w:style>
  <w:style w:type="paragraph" w:customStyle="1" w:styleId="Heading5a">
    <w:name w:val="Heading 5a"/>
    <w:basedOn w:val="Heading5"/>
    <w:rsid w:val="0028370C"/>
    <w:pPr>
      <w:tabs>
        <w:tab w:val="clear" w:pos="504"/>
      </w:tabs>
    </w:pPr>
    <w:rPr>
      <w:b w:val="0"/>
      <w:i/>
      <w:sz w:val="23"/>
    </w:rPr>
  </w:style>
  <w:style w:type="character" w:customStyle="1" w:styleId="OGTabBulletChar">
    <w:name w:val="OGTabBullet Char"/>
    <w:link w:val="OGTabBullet"/>
    <w:rsid w:val="0028370C"/>
    <w:rPr>
      <w:rFonts w:ascii="Calibri" w:hAnsi="Calibri"/>
      <w:sz w:val="22"/>
      <w:szCs w:val="18"/>
    </w:rPr>
  </w:style>
  <w:style w:type="paragraph" w:customStyle="1" w:styleId="OGTabBullet">
    <w:name w:val="OGTabBullet"/>
    <w:basedOn w:val="OGBullet"/>
    <w:link w:val="OGTabBulletChar"/>
    <w:semiHidden/>
    <w:rsid w:val="0028370C"/>
    <w:pPr>
      <w:numPr>
        <w:numId w:val="7"/>
      </w:numPr>
      <w:spacing w:before="30" w:after="30"/>
    </w:pPr>
    <w:rPr>
      <w:lang w:eastAsia="en-AU"/>
    </w:rPr>
  </w:style>
  <w:style w:type="paragraph" w:customStyle="1" w:styleId="TabletextheadingCentred">
    <w:name w:val="Table text heading Centred"/>
    <w:basedOn w:val="Tabletextheading"/>
    <w:link w:val="TabletextheadingCentredChar"/>
    <w:rsid w:val="0028370C"/>
    <w:pPr>
      <w:jc w:val="center"/>
    </w:pPr>
  </w:style>
  <w:style w:type="paragraph" w:customStyle="1" w:styleId="DashText">
    <w:name w:val="Dash Text"/>
    <w:basedOn w:val="Normal"/>
    <w:link w:val="DashTextChar"/>
    <w:qFormat/>
    <w:rsid w:val="0028370C"/>
    <w:pPr>
      <w:numPr>
        <w:ilvl w:val="1"/>
        <w:numId w:val="4"/>
      </w:numPr>
    </w:pPr>
  </w:style>
  <w:style w:type="paragraph" w:customStyle="1" w:styleId="VersionTableText">
    <w:name w:val="VersionTableText"/>
    <w:basedOn w:val="Normal"/>
    <w:rsid w:val="0028370C"/>
    <w:pPr>
      <w:spacing w:after="0"/>
      <w:jc w:val="center"/>
    </w:pPr>
    <w:rPr>
      <w:rFonts w:ascii="Calibri" w:hAnsi="Calibri"/>
      <w:sz w:val="22"/>
    </w:rPr>
  </w:style>
  <w:style w:type="paragraph" w:customStyle="1" w:styleId="VersionTableHeading">
    <w:name w:val="VersionTableHeading"/>
    <w:basedOn w:val="Normal"/>
    <w:rsid w:val="0028370C"/>
    <w:pPr>
      <w:spacing w:after="0"/>
      <w:jc w:val="center"/>
    </w:pPr>
    <w:rPr>
      <w:rFonts w:ascii="Calibri" w:hAnsi="Calibri"/>
      <w:b/>
      <w:sz w:val="22"/>
    </w:rPr>
  </w:style>
  <w:style w:type="paragraph" w:customStyle="1" w:styleId="NotesIndent">
    <w:name w:val="NotesIndent"/>
    <w:basedOn w:val="Notes"/>
    <w:rsid w:val="0028370C"/>
    <w:pPr>
      <w:ind w:left="915"/>
    </w:pPr>
  </w:style>
  <w:style w:type="paragraph" w:customStyle="1" w:styleId="NotesDash">
    <w:name w:val="NotesDash"/>
    <w:basedOn w:val="NotesIndent"/>
    <w:rsid w:val="001E4A6F"/>
    <w:pPr>
      <w:numPr>
        <w:numId w:val="5"/>
      </w:numPr>
      <w:tabs>
        <w:tab w:val="clear" w:pos="454"/>
        <w:tab w:val="clear" w:pos="922"/>
        <w:tab w:val="num" w:pos="720"/>
      </w:tabs>
      <w:ind w:left="720" w:hanging="266"/>
    </w:pPr>
  </w:style>
  <w:style w:type="paragraph" w:customStyle="1" w:styleId="VAGOText">
    <w:name w:val="VAGOText"/>
    <w:basedOn w:val="Normal"/>
    <w:semiHidden/>
    <w:rsid w:val="0028370C"/>
    <w:pPr>
      <w:spacing w:before="120"/>
    </w:pPr>
    <w:rPr>
      <w:rFonts w:ascii="Arial" w:hAnsi="Arial" w:cs="Arial"/>
      <w:sz w:val="16"/>
      <w:szCs w:val="16"/>
    </w:rPr>
  </w:style>
  <w:style w:type="paragraph" w:customStyle="1" w:styleId="VAGOHeading2">
    <w:name w:val="VAGOHeading2"/>
    <w:basedOn w:val="Normal"/>
    <w:semiHidden/>
    <w:rsid w:val="0028370C"/>
    <w:rPr>
      <w:rFonts w:ascii="Arial" w:hAnsi="Arial" w:cs="Arial"/>
      <w:b/>
      <w:sz w:val="16"/>
      <w:szCs w:val="16"/>
    </w:rPr>
  </w:style>
  <w:style w:type="paragraph" w:customStyle="1" w:styleId="VAGOHeading1">
    <w:name w:val="VAGOHeading1"/>
    <w:basedOn w:val="Normal"/>
    <w:semiHidden/>
    <w:rsid w:val="0028370C"/>
    <w:pPr>
      <w:jc w:val="center"/>
    </w:pPr>
    <w:rPr>
      <w:rFonts w:ascii="Arial" w:hAnsi="Arial" w:cs="Arial"/>
      <w:b/>
      <w:sz w:val="17"/>
      <w:szCs w:val="17"/>
    </w:rPr>
  </w:style>
  <w:style w:type="paragraph" w:customStyle="1" w:styleId="VAGOHeading3">
    <w:name w:val="VAGOHeading3"/>
    <w:basedOn w:val="VAGOHeading2"/>
    <w:semiHidden/>
    <w:rsid w:val="0028370C"/>
    <w:rPr>
      <w:b w:val="0"/>
      <w:i/>
    </w:rPr>
  </w:style>
  <w:style w:type="character" w:customStyle="1" w:styleId="TableheadingChar">
    <w:name w:val="Table heading Char"/>
    <w:link w:val="Tableheading"/>
    <w:rsid w:val="0028370C"/>
    <w:rPr>
      <w:rFonts w:ascii="Calibri" w:hAnsi="Calibri"/>
      <w:b/>
      <w:sz w:val="25"/>
      <w:lang w:eastAsia="en-US"/>
    </w:rPr>
  </w:style>
  <w:style w:type="paragraph" w:customStyle="1" w:styleId="TabletextheadingLeft">
    <w:name w:val="Table text heading Left"/>
    <w:basedOn w:val="Tabletextheading"/>
    <w:rsid w:val="0028370C"/>
    <w:pPr>
      <w:jc w:val="left"/>
    </w:pPr>
  </w:style>
  <w:style w:type="paragraph" w:customStyle="1" w:styleId="Chartpara">
    <w:name w:val="Chart para"/>
    <w:basedOn w:val="Normal"/>
    <w:semiHidden/>
    <w:rsid w:val="0028370C"/>
    <w:pPr>
      <w:spacing w:after="0"/>
    </w:pPr>
  </w:style>
  <w:style w:type="paragraph" w:customStyle="1" w:styleId="FrontPage">
    <w:name w:val="Front Page"/>
    <w:basedOn w:val="Normal"/>
    <w:semiHidden/>
    <w:rsid w:val="0028370C"/>
    <w:pPr>
      <w:jc w:val="center"/>
    </w:pPr>
    <w:rPr>
      <w:rFonts w:ascii="Calibri" w:hAnsi="Calibri"/>
      <w:b/>
      <w:sz w:val="54"/>
      <w:szCs w:val="52"/>
    </w:rPr>
  </w:style>
  <w:style w:type="paragraph" w:customStyle="1" w:styleId="FrontPage2">
    <w:name w:val="Front Page 2"/>
    <w:basedOn w:val="FrontPage"/>
    <w:semiHidden/>
    <w:rsid w:val="0028370C"/>
    <w:pPr>
      <w:pBdr>
        <w:bottom w:val="single" w:sz="12" w:space="1" w:color="auto"/>
      </w:pBdr>
    </w:pPr>
  </w:style>
  <w:style w:type="paragraph" w:customStyle="1" w:styleId="FrontPage3">
    <w:name w:val="Front Page 3"/>
    <w:basedOn w:val="Normal"/>
    <w:semiHidden/>
    <w:rsid w:val="0028370C"/>
    <w:pPr>
      <w:jc w:val="center"/>
    </w:pPr>
    <w:rPr>
      <w:rFonts w:ascii="Calibri" w:hAnsi="Calibri"/>
      <w:sz w:val="30"/>
      <w:szCs w:val="28"/>
    </w:rPr>
  </w:style>
  <w:style w:type="paragraph" w:customStyle="1" w:styleId="FrontPageBP">
    <w:name w:val="Front Page BP"/>
    <w:basedOn w:val="Normal"/>
    <w:semiHidden/>
    <w:rsid w:val="0028370C"/>
    <w:pPr>
      <w:jc w:val="center"/>
    </w:pPr>
    <w:rPr>
      <w:rFonts w:ascii="Calibri" w:hAnsi="Calibri"/>
      <w:b/>
      <w:sz w:val="34"/>
      <w:szCs w:val="32"/>
    </w:rPr>
  </w:style>
  <w:style w:type="paragraph" w:customStyle="1" w:styleId="FrontPageHon">
    <w:name w:val="Front Page Hon"/>
    <w:basedOn w:val="Normal"/>
    <w:semiHidden/>
    <w:rsid w:val="0028370C"/>
    <w:pPr>
      <w:jc w:val="center"/>
    </w:pPr>
    <w:rPr>
      <w:rFonts w:ascii="Calibri" w:hAnsi="Calibri"/>
      <w:sz w:val="32"/>
      <w:szCs w:val="30"/>
    </w:rPr>
  </w:style>
  <w:style w:type="paragraph" w:customStyle="1" w:styleId="FrontPageMin">
    <w:name w:val="Front Page Min"/>
    <w:basedOn w:val="Normal"/>
    <w:semiHidden/>
    <w:rsid w:val="0028370C"/>
    <w:pPr>
      <w:jc w:val="center"/>
    </w:pPr>
    <w:rPr>
      <w:rFonts w:ascii="Calibri" w:hAnsi="Calibri"/>
      <w:sz w:val="36"/>
      <w:szCs w:val="36"/>
    </w:rPr>
  </w:style>
  <w:style w:type="paragraph" w:customStyle="1" w:styleId="Heading2NotesQtrly">
    <w:name w:val="Heading 2 Notes Qtrly"/>
    <w:basedOn w:val="Heading2Notes"/>
    <w:rsid w:val="0028370C"/>
  </w:style>
  <w:style w:type="paragraph" w:customStyle="1" w:styleId="Heading3NumberingBP4">
    <w:name w:val="Heading 3 Numbering BP4"/>
    <w:basedOn w:val="Heading3Numbering"/>
    <w:semiHidden/>
    <w:rsid w:val="0028370C"/>
    <w:pPr>
      <w:numPr>
        <w:numId w:val="0"/>
      </w:numPr>
    </w:pPr>
  </w:style>
  <w:style w:type="paragraph" w:customStyle="1" w:styleId="HighlightBoxBullet">
    <w:name w:val="Highlight Box Bullet"/>
    <w:basedOn w:val="Normal"/>
    <w:qFormat/>
    <w:rsid w:val="0028370C"/>
    <w:pPr>
      <w:numPr>
        <w:numId w:val="2"/>
      </w:numPr>
      <w:shd w:val="pct10" w:color="auto" w:fill="FFFFFF"/>
      <w:ind w:left="360"/>
    </w:pPr>
  </w:style>
  <w:style w:type="paragraph" w:customStyle="1" w:styleId="HighlightBoxHeading">
    <w:name w:val="Highlight Box Heading"/>
    <w:basedOn w:val="Heading5a"/>
    <w:qFormat/>
    <w:rsid w:val="0028370C"/>
    <w:pPr>
      <w:shd w:val="clear" w:color="auto" w:fill="E6E6E6"/>
    </w:pPr>
  </w:style>
  <w:style w:type="paragraph" w:styleId="Index1">
    <w:name w:val="index 1"/>
    <w:basedOn w:val="Normal"/>
    <w:next w:val="Normal"/>
    <w:autoRedefine/>
    <w:semiHidden/>
    <w:rsid w:val="0028370C"/>
    <w:pPr>
      <w:spacing w:after="0"/>
      <w:ind w:left="220" w:hanging="220"/>
    </w:pPr>
    <w:rPr>
      <w:sz w:val="18"/>
      <w:szCs w:val="18"/>
    </w:rPr>
  </w:style>
  <w:style w:type="paragraph" w:styleId="Index2">
    <w:name w:val="index 2"/>
    <w:basedOn w:val="Normal"/>
    <w:next w:val="Normal"/>
    <w:autoRedefine/>
    <w:semiHidden/>
    <w:rsid w:val="0028370C"/>
    <w:pPr>
      <w:spacing w:after="0"/>
      <w:ind w:left="440" w:hanging="220"/>
    </w:pPr>
    <w:rPr>
      <w:sz w:val="18"/>
      <w:szCs w:val="18"/>
    </w:rPr>
  </w:style>
  <w:style w:type="paragraph" w:styleId="IndexHeading">
    <w:name w:val="index heading"/>
    <w:basedOn w:val="Normal"/>
    <w:next w:val="Index1"/>
    <w:semiHidden/>
    <w:rsid w:val="0028370C"/>
    <w:pPr>
      <w:spacing w:before="240"/>
      <w:jc w:val="center"/>
    </w:pPr>
    <w:rPr>
      <w:b/>
      <w:bCs/>
      <w:sz w:val="26"/>
      <w:szCs w:val="26"/>
    </w:rPr>
  </w:style>
  <w:style w:type="paragraph" w:styleId="NormalIndent">
    <w:name w:val="Normal Indent"/>
    <w:basedOn w:val="Normal"/>
    <w:locked/>
    <w:rsid w:val="0028370C"/>
    <w:pPr>
      <w:ind w:left="360"/>
    </w:pPr>
  </w:style>
  <w:style w:type="character" w:customStyle="1" w:styleId="OGHeading2Char">
    <w:name w:val="OGHeading2 Char"/>
    <w:link w:val="OGHeading2"/>
    <w:rsid w:val="0028370C"/>
    <w:rPr>
      <w:rFonts w:ascii="Calibri" w:hAnsi="Calibri"/>
      <w:b/>
      <w:sz w:val="30"/>
      <w:szCs w:val="24"/>
      <w:lang w:eastAsia="en-US"/>
    </w:rPr>
  </w:style>
  <w:style w:type="paragraph" w:customStyle="1" w:styleId="OGNotes">
    <w:name w:val="OGNotes"/>
    <w:basedOn w:val="NotesIndent"/>
    <w:semiHidden/>
    <w:rsid w:val="0028370C"/>
    <w:pPr>
      <w:tabs>
        <w:tab w:val="clear" w:pos="454"/>
      </w:tabs>
      <w:spacing w:after="60"/>
      <w:ind w:left="360" w:right="115" w:firstLine="0"/>
    </w:pPr>
    <w:rPr>
      <w:lang w:eastAsia="en-AU"/>
    </w:rPr>
  </w:style>
  <w:style w:type="paragraph" w:customStyle="1" w:styleId="OGNotesIndent">
    <w:name w:val="OGNotesIndent"/>
    <w:basedOn w:val="OGNotes"/>
    <w:semiHidden/>
    <w:rsid w:val="0028370C"/>
    <w:pPr>
      <w:ind w:left="720" w:hanging="360"/>
    </w:pPr>
  </w:style>
  <w:style w:type="paragraph" w:customStyle="1" w:styleId="OGUoM">
    <w:name w:val="OGUoM"/>
    <w:basedOn w:val="TableTextCentred"/>
    <w:semiHidden/>
    <w:rsid w:val="0028370C"/>
    <w:pPr>
      <w:spacing w:before="30" w:after="30"/>
    </w:pPr>
  </w:style>
  <w:style w:type="paragraph" w:customStyle="1" w:styleId="OGTabColCentred">
    <w:name w:val="OGTabColCentred"/>
    <w:basedOn w:val="OGUoM"/>
    <w:semiHidden/>
    <w:rsid w:val="0028370C"/>
    <w:rPr>
      <w:b/>
      <w:lang w:eastAsia="en-AU"/>
    </w:rPr>
  </w:style>
  <w:style w:type="paragraph" w:customStyle="1" w:styleId="OGTableofFigures">
    <w:name w:val="OGTable of Figures"/>
    <w:basedOn w:val="TableofFigures"/>
    <w:semiHidden/>
    <w:rsid w:val="0028370C"/>
    <w:pPr>
      <w:spacing w:before="30" w:after="30"/>
    </w:pPr>
  </w:style>
  <w:style w:type="paragraph" w:customStyle="1" w:styleId="OGTabColRight">
    <w:name w:val="OGTabColRight"/>
    <w:basedOn w:val="OGTableofFigures"/>
    <w:semiHidden/>
    <w:rsid w:val="0028370C"/>
    <w:rPr>
      <w:b/>
    </w:rPr>
  </w:style>
  <w:style w:type="paragraph" w:customStyle="1" w:styleId="OGTabColLeft">
    <w:name w:val="OGTabColLeft"/>
    <w:basedOn w:val="OGTabColRight"/>
    <w:semiHidden/>
    <w:rsid w:val="0028370C"/>
    <w:pPr>
      <w:jc w:val="left"/>
    </w:pPr>
    <w:rPr>
      <w:lang w:eastAsia="en-AU"/>
    </w:rPr>
  </w:style>
  <w:style w:type="character" w:customStyle="1" w:styleId="OGTabTextChar">
    <w:name w:val="OGTabText Char"/>
    <w:link w:val="OGTabText"/>
    <w:rsid w:val="0028370C"/>
    <w:rPr>
      <w:rFonts w:ascii="Calibri" w:hAnsi="Calibri"/>
      <w:sz w:val="22"/>
      <w:szCs w:val="18"/>
      <w:lang w:eastAsia="en-US"/>
    </w:rPr>
  </w:style>
  <w:style w:type="character" w:customStyle="1" w:styleId="OGTextChar">
    <w:name w:val="OGText Char"/>
    <w:link w:val="OGText"/>
    <w:rsid w:val="0028370C"/>
    <w:rPr>
      <w:rFonts w:ascii="Calibri" w:hAnsi="Calibri"/>
      <w:sz w:val="22"/>
      <w:szCs w:val="18"/>
      <w:lang w:eastAsia="en-US"/>
    </w:rPr>
  </w:style>
  <w:style w:type="paragraph" w:customStyle="1" w:styleId="TableofContentscontinued">
    <w:name w:val="Table of Contents continued"/>
    <w:basedOn w:val="Normal"/>
    <w:rsid w:val="0028370C"/>
    <w:pPr>
      <w:keepNext/>
      <w:tabs>
        <w:tab w:val="left" w:pos="1152"/>
      </w:tabs>
      <w:spacing w:before="240"/>
      <w:ind w:left="1152" w:hanging="1152"/>
      <w:outlineLvl w:val="1"/>
    </w:pPr>
    <w:rPr>
      <w:rFonts w:ascii="Calibri" w:hAnsi="Calibri"/>
      <w:b/>
      <w:kern w:val="28"/>
      <w:sz w:val="28"/>
      <w:szCs w:val="22"/>
    </w:rPr>
  </w:style>
  <w:style w:type="character" w:customStyle="1" w:styleId="TableofFiguresChar">
    <w:name w:val="Table of Figures Char"/>
    <w:link w:val="TableofFigures"/>
    <w:rsid w:val="0028370C"/>
    <w:rPr>
      <w:rFonts w:ascii="Calibri" w:hAnsi="Calibri"/>
      <w:sz w:val="22"/>
      <w:szCs w:val="18"/>
      <w:lang w:eastAsia="en-US"/>
    </w:rPr>
  </w:style>
  <w:style w:type="paragraph" w:customStyle="1" w:styleId="TableTextindent">
    <w:name w:val="Table Text indent"/>
    <w:basedOn w:val="Tabletext"/>
    <w:rsid w:val="0028370C"/>
    <w:pPr>
      <w:ind w:left="360" w:firstLine="0"/>
    </w:pPr>
  </w:style>
  <w:style w:type="paragraph" w:customStyle="1" w:styleId="TableTextindent2">
    <w:name w:val="Table Text indent 2"/>
    <w:basedOn w:val="TableTextindent"/>
    <w:rsid w:val="0028370C"/>
    <w:pPr>
      <w:ind w:left="720"/>
    </w:pPr>
  </w:style>
  <w:style w:type="paragraph" w:customStyle="1" w:styleId="VAGOBullet">
    <w:name w:val="VAGOBullet"/>
    <w:basedOn w:val="VAGOText"/>
    <w:semiHidden/>
    <w:rsid w:val="0028370C"/>
    <w:pPr>
      <w:numPr>
        <w:numId w:val="6"/>
      </w:numPr>
      <w:ind w:right="-51"/>
    </w:pPr>
    <w:rPr>
      <w:iCs/>
    </w:rPr>
  </w:style>
  <w:style w:type="character" w:customStyle="1" w:styleId="TabletextChar">
    <w:name w:val="Table text Char"/>
    <w:link w:val="Tabletext"/>
    <w:rsid w:val="0028370C"/>
    <w:rPr>
      <w:rFonts w:ascii="Calibri" w:hAnsi="Calibri"/>
      <w:sz w:val="22"/>
      <w:szCs w:val="18"/>
      <w:lang w:eastAsia="en-US"/>
    </w:rPr>
  </w:style>
  <w:style w:type="character" w:customStyle="1" w:styleId="millionChar">
    <w:name w:val="$million Char"/>
    <w:link w:val="million"/>
    <w:rsid w:val="0028370C"/>
    <w:rPr>
      <w:rFonts w:ascii="Calibri" w:hAnsi="Calibri"/>
      <w:i/>
      <w:szCs w:val="18"/>
      <w:lang w:eastAsia="en-US"/>
    </w:rPr>
  </w:style>
  <w:style w:type="character" w:customStyle="1" w:styleId="TabletextheadingChar">
    <w:name w:val="Table text heading Char"/>
    <w:link w:val="Tabletextheading"/>
    <w:locked/>
    <w:rsid w:val="0028370C"/>
    <w:rPr>
      <w:rFonts w:ascii="Calibri" w:hAnsi="Calibri"/>
      <w:i/>
      <w:sz w:val="22"/>
      <w:szCs w:val="18"/>
      <w:lang w:eastAsia="en-US"/>
    </w:rPr>
  </w:style>
  <w:style w:type="character" w:customStyle="1" w:styleId="SourceChar">
    <w:name w:val="Source Char"/>
    <w:link w:val="Source"/>
    <w:locked/>
    <w:rsid w:val="0028370C"/>
    <w:rPr>
      <w:rFonts w:ascii="Calibri" w:hAnsi="Calibri"/>
      <w:i/>
      <w:sz w:val="16"/>
      <w:lang w:eastAsia="en-US"/>
    </w:rPr>
  </w:style>
  <w:style w:type="character" w:customStyle="1" w:styleId="TabletextheadingCentredChar">
    <w:name w:val="Table text heading Centred Char"/>
    <w:link w:val="TabletextheadingCentred"/>
    <w:locked/>
    <w:rsid w:val="0028370C"/>
    <w:rPr>
      <w:rFonts w:ascii="Calibri" w:hAnsi="Calibri"/>
      <w:i/>
      <w:sz w:val="22"/>
      <w:szCs w:val="18"/>
      <w:lang w:eastAsia="en-US"/>
    </w:rPr>
  </w:style>
  <w:style w:type="character" w:styleId="Hyperlink">
    <w:name w:val="Hyperlink"/>
    <w:uiPriority w:val="99"/>
    <w:locked/>
    <w:rsid w:val="0028370C"/>
    <w:rPr>
      <w:color w:val="0000FF"/>
      <w:u w:val="single"/>
    </w:rPr>
  </w:style>
  <w:style w:type="character" w:customStyle="1" w:styleId="FooterChar">
    <w:name w:val="Footer Char"/>
    <w:link w:val="Footer"/>
    <w:rsid w:val="0028370C"/>
    <w:rPr>
      <w:rFonts w:ascii="Calibri" w:hAnsi="Calibri"/>
      <w:sz w:val="22"/>
      <w:szCs w:val="18"/>
      <w:lang w:eastAsia="en-US"/>
    </w:rPr>
  </w:style>
  <w:style w:type="paragraph" w:styleId="BalloonText">
    <w:name w:val="Balloon Text"/>
    <w:basedOn w:val="Normal"/>
    <w:link w:val="BalloonTextChar"/>
    <w:locked/>
    <w:rsid w:val="0028370C"/>
    <w:pPr>
      <w:spacing w:after="0"/>
    </w:pPr>
    <w:rPr>
      <w:rFonts w:ascii="Tahoma" w:hAnsi="Tahoma" w:cs="Tahoma"/>
      <w:sz w:val="16"/>
      <w:szCs w:val="16"/>
    </w:rPr>
  </w:style>
  <w:style w:type="character" w:customStyle="1" w:styleId="BalloonTextChar">
    <w:name w:val="Balloon Text Char"/>
    <w:basedOn w:val="DefaultParagraphFont"/>
    <w:link w:val="BalloonText"/>
    <w:rsid w:val="0028370C"/>
    <w:rPr>
      <w:rFonts w:ascii="Tahoma" w:hAnsi="Tahoma" w:cs="Tahoma"/>
      <w:sz w:val="16"/>
      <w:szCs w:val="16"/>
      <w:lang w:eastAsia="en-US"/>
    </w:rPr>
  </w:style>
  <w:style w:type="character" w:customStyle="1" w:styleId="NotesChar">
    <w:name w:val="Notes Char"/>
    <w:link w:val="Notes"/>
    <w:locked/>
    <w:rsid w:val="009B024D"/>
    <w:rPr>
      <w:rFonts w:ascii="Calibri" w:hAnsi="Calibri"/>
      <w:i/>
      <w:sz w:val="16"/>
      <w:lang w:eastAsia="en-US"/>
    </w:rPr>
  </w:style>
  <w:style w:type="character" w:customStyle="1" w:styleId="BulletTextChar">
    <w:name w:val="Bullet Text Char"/>
    <w:link w:val="BulletText"/>
    <w:locked/>
    <w:rsid w:val="009B024D"/>
    <w:rPr>
      <w:rFonts w:ascii="Garamond" w:hAnsi="Garamond"/>
      <w:sz w:val="24"/>
      <w:lang w:eastAsia="en-US"/>
    </w:rPr>
  </w:style>
  <w:style w:type="character" w:customStyle="1" w:styleId="Heading2Char">
    <w:name w:val="Heading 2 Char"/>
    <w:link w:val="Heading2"/>
    <w:locked/>
    <w:rsid w:val="009B024D"/>
    <w:rPr>
      <w:rFonts w:ascii="Calibri" w:hAnsi="Calibri"/>
      <w:b/>
      <w:kern w:val="28"/>
      <w:sz w:val="28"/>
      <w:szCs w:val="22"/>
      <w:lang w:eastAsia="en-US"/>
    </w:rPr>
  </w:style>
  <w:style w:type="character" w:customStyle="1" w:styleId="Heading1Char">
    <w:name w:val="Heading 1 Char"/>
    <w:link w:val="Heading1"/>
    <w:rsid w:val="009B024D"/>
    <w:rPr>
      <w:rFonts w:ascii="Calibri" w:hAnsi="Calibri"/>
      <w:b/>
      <w:caps/>
      <w:sz w:val="28"/>
      <w:szCs w:val="22"/>
      <w:lang w:eastAsia="en-US"/>
    </w:rPr>
  </w:style>
  <w:style w:type="character" w:customStyle="1" w:styleId="Heading3Char">
    <w:name w:val="Heading 3 Char"/>
    <w:link w:val="Heading3"/>
    <w:rsid w:val="009B024D"/>
    <w:rPr>
      <w:rFonts w:ascii="Calibri" w:hAnsi="Calibri"/>
      <w:b/>
      <w:i/>
      <w:kern w:val="28"/>
      <w:sz w:val="26"/>
      <w:szCs w:val="22"/>
      <w:lang w:eastAsia="en-US"/>
    </w:rPr>
  </w:style>
  <w:style w:type="paragraph" w:styleId="ListParagraph">
    <w:name w:val="List Paragraph"/>
    <w:basedOn w:val="Normal"/>
    <w:uiPriority w:val="34"/>
    <w:qFormat/>
    <w:rsid w:val="009B024D"/>
    <w:pPr>
      <w:ind w:left="720"/>
      <w:contextualSpacing/>
    </w:pPr>
  </w:style>
  <w:style w:type="character" w:customStyle="1" w:styleId="Heading6Char">
    <w:name w:val="Heading 6 Char"/>
    <w:basedOn w:val="DefaultParagraphFont"/>
    <w:link w:val="Heading6"/>
    <w:semiHidden/>
    <w:rsid w:val="009B024D"/>
    <w:rPr>
      <w:rFonts w:asciiTheme="majorHAnsi" w:eastAsiaTheme="majorEastAsia" w:hAnsiTheme="majorHAnsi" w:cstheme="majorBidi"/>
      <w:i/>
      <w:iCs/>
      <w:color w:val="243F60" w:themeColor="accent1" w:themeShade="7F"/>
      <w:sz w:val="24"/>
      <w:lang w:eastAsia="en-US"/>
    </w:rPr>
  </w:style>
  <w:style w:type="character" w:customStyle="1" w:styleId="Heading7Char">
    <w:name w:val="Heading 7 Char"/>
    <w:basedOn w:val="DefaultParagraphFont"/>
    <w:link w:val="Heading7"/>
    <w:semiHidden/>
    <w:rsid w:val="009B024D"/>
    <w:rPr>
      <w:rFonts w:asciiTheme="majorHAnsi" w:eastAsiaTheme="majorEastAsia" w:hAnsiTheme="majorHAnsi" w:cstheme="majorBidi"/>
      <w:i/>
      <w:iCs/>
      <w:color w:val="404040" w:themeColor="text1" w:themeTint="BF"/>
      <w:sz w:val="24"/>
      <w:lang w:eastAsia="en-US"/>
    </w:rPr>
  </w:style>
  <w:style w:type="character" w:customStyle="1" w:styleId="Heading8Char">
    <w:name w:val="Heading 8 Char"/>
    <w:basedOn w:val="DefaultParagraphFont"/>
    <w:link w:val="Heading8"/>
    <w:semiHidden/>
    <w:rsid w:val="009B024D"/>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9B024D"/>
    <w:rPr>
      <w:rFonts w:asciiTheme="majorHAnsi" w:eastAsiaTheme="majorEastAsia" w:hAnsiTheme="majorHAnsi" w:cstheme="majorBidi"/>
      <w:i/>
      <w:iCs/>
      <w:color w:val="404040" w:themeColor="text1" w:themeTint="BF"/>
      <w:lang w:eastAsia="en-US"/>
    </w:rPr>
  </w:style>
  <w:style w:type="paragraph" w:customStyle="1" w:styleId="Heading1Continued">
    <w:name w:val="Heading 1 Continued"/>
    <w:basedOn w:val="Heading1"/>
    <w:qFormat/>
    <w:rsid w:val="009B024D"/>
    <w:rPr>
      <w:caps w:val="0"/>
    </w:rPr>
  </w:style>
  <w:style w:type="character" w:customStyle="1" w:styleId="Heading4Char">
    <w:name w:val="Heading 4 Char"/>
    <w:basedOn w:val="DefaultParagraphFont"/>
    <w:link w:val="Heading4"/>
    <w:rsid w:val="009B024D"/>
    <w:rPr>
      <w:rFonts w:ascii="Calibri" w:hAnsi="Calibri"/>
      <w:i/>
      <w:sz w:val="26"/>
      <w:szCs w:val="22"/>
      <w:lang w:eastAsia="en-US"/>
    </w:rPr>
  </w:style>
  <w:style w:type="character" w:customStyle="1" w:styleId="Heading5Char">
    <w:name w:val="Heading 5 Char"/>
    <w:basedOn w:val="DefaultParagraphFont"/>
    <w:link w:val="Heading5"/>
    <w:rsid w:val="009B024D"/>
    <w:rPr>
      <w:rFonts w:ascii="Calibri" w:hAnsi="Calibri"/>
      <w:b/>
      <w:sz w:val="24"/>
      <w:lang w:eastAsia="en-US"/>
    </w:rPr>
  </w:style>
  <w:style w:type="character" w:customStyle="1" w:styleId="HeaderChar">
    <w:name w:val="Header Char"/>
    <w:basedOn w:val="DefaultParagraphFont"/>
    <w:link w:val="Header"/>
    <w:rsid w:val="009B024D"/>
    <w:rPr>
      <w:rFonts w:ascii="Calibri" w:hAnsi="Calibri"/>
      <w:sz w:val="22"/>
      <w:szCs w:val="18"/>
      <w:lang w:eastAsia="en-US"/>
    </w:rPr>
  </w:style>
  <w:style w:type="paragraph" w:customStyle="1" w:styleId="TabletextIndent1">
    <w:name w:val="Table text Indent 1"/>
    <w:basedOn w:val="Tabletext"/>
    <w:rsid w:val="009B024D"/>
    <w:pPr>
      <w:spacing w:after="40"/>
      <w:ind w:left="362" w:hanging="362"/>
    </w:pPr>
    <w:rPr>
      <w:szCs w:val="20"/>
    </w:rPr>
  </w:style>
  <w:style w:type="paragraph" w:styleId="FootnoteText">
    <w:name w:val="footnote text"/>
    <w:basedOn w:val="Normal"/>
    <w:link w:val="FootnoteTextChar"/>
    <w:locked/>
    <w:rsid w:val="009B024D"/>
    <w:pPr>
      <w:spacing w:after="0"/>
    </w:pPr>
    <w:rPr>
      <w:sz w:val="20"/>
    </w:rPr>
  </w:style>
  <w:style w:type="character" w:customStyle="1" w:styleId="FootnoteTextChar">
    <w:name w:val="Footnote Text Char"/>
    <w:basedOn w:val="DefaultParagraphFont"/>
    <w:link w:val="FootnoteText"/>
    <w:rsid w:val="009B024D"/>
    <w:rPr>
      <w:rFonts w:ascii="Garamond" w:hAnsi="Garamond"/>
      <w:lang w:eastAsia="en-US"/>
    </w:rPr>
  </w:style>
  <w:style w:type="character" w:styleId="FootnoteReference">
    <w:name w:val="footnote reference"/>
    <w:basedOn w:val="DefaultParagraphFont"/>
    <w:locked/>
    <w:rsid w:val="009B024D"/>
    <w:rPr>
      <w:vertAlign w:val="superscript"/>
    </w:rPr>
  </w:style>
  <w:style w:type="character" w:customStyle="1" w:styleId="DashTextChar">
    <w:name w:val="Dash Text Char"/>
    <w:link w:val="DashText"/>
    <w:rsid w:val="009B024D"/>
    <w:rPr>
      <w:rFonts w:ascii="Garamond" w:hAnsi="Garamond"/>
      <w:sz w:val="24"/>
      <w:lang w:eastAsia="en-US"/>
    </w:rPr>
  </w:style>
  <w:style w:type="character" w:customStyle="1" w:styleId="Heading2NotesChar">
    <w:name w:val="Heading 2 Notes Char"/>
    <w:link w:val="Heading2Notes"/>
    <w:locked/>
    <w:rsid w:val="009B024D"/>
    <w:rPr>
      <w:rFonts w:ascii="Calibri" w:hAnsi="Calibri"/>
      <w:b/>
      <w:kern w:val="28"/>
      <w:sz w:val="28"/>
      <w:szCs w:val="22"/>
      <w:lang w:eastAsia="en-US"/>
    </w:rPr>
  </w:style>
  <w:style w:type="character" w:customStyle="1" w:styleId="Heading2NotesContdChar">
    <w:name w:val="Heading 2 Notes Cont'd Char"/>
    <w:link w:val="Heading2NotesContd"/>
    <w:locked/>
    <w:rsid w:val="009B024D"/>
    <w:rPr>
      <w:rFonts w:ascii="Calibri" w:hAnsi="Calibri"/>
      <w:b/>
      <w:kern w:val="28"/>
      <w:sz w:val="28"/>
      <w:szCs w:val="22"/>
      <w:lang w:eastAsia="en-US"/>
    </w:rPr>
  </w:style>
  <w:style w:type="numbering" w:customStyle="1" w:styleId="NoList1">
    <w:name w:val="No List1"/>
    <w:next w:val="NoList"/>
    <w:uiPriority w:val="99"/>
    <w:semiHidden/>
    <w:unhideWhenUsed/>
    <w:rsid w:val="009B024D"/>
  </w:style>
  <w:style w:type="paragraph" w:customStyle="1" w:styleId="TableTextnoindent">
    <w:name w:val="Table Text no indent"/>
    <w:basedOn w:val="Tabletext"/>
    <w:qFormat/>
    <w:rsid w:val="009B024D"/>
    <w:pPr>
      <w:ind w:left="0" w:firstLine="0"/>
    </w:pPr>
    <w:rPr>
      <w:color w:val="000000"/>
      <w:lang w:eastAsia="en-AU"/>
    </w:rPr>
  </w:style>
  <w:style w:type="paragraph" w:customStyle="1" w:styleId="Char">
    <w:name w:val="Char"/>
    <w:basedOn w:val="Normal"/>
    <w:semiHidden/>
    <w:rsid w:val="009B024D"/>
    <w:pPr>
      <w:spacing w:after="0"/>
    </w:pPr>
    <w:rPr>
      <w:rFonts w:ascii="Arial" w:hAnsi="Arial"/>
      <w:sz w:val="22"/>
    </w:rPr>
  </w:style>
  <w:style w:type="character" w:customStyle="1" w:styleId="BIP1headinglChar">
    <w:name w:val="BIP1 heading l Char"/>
    <w:link w:val="BIP1headingl"/>
    <w:semiHidden/>
    <w:locked/>
    <w:rsid w:val="009B024D"/>
    <w:rPr>
      <w:rFonts w:ascii="Calibri" w:hAnsi="Calibri"/>
      <w:i/>
      <w:sz w:val="22"/>
      <w:szCs w:val="18"/>
      <w:lang w:eastAsia="en-US"/>
    </w:rPr>
  </w:style>
  <w:style w:type="paragraph" w:customStyle="1" w:styleId="TableTextbullet">
    <w:name w:val="Table Text bullet"/>
    <w:basedOn w:val="Tabletext"/>
    <w:qFormat/>
    <w:rsid w:val="009B024D"/>
    <w:pPr>
      <w:numPr>
        <w:numId w:val="10"/>
      </w:numPr>
      <w:tabs>
        <w:tab w:val="num" w:pos="360"/>
      </w:tabs>
      <w:ind w:left="284" w:hanging="284"/>
    </w:pPr>
  </w:style>
  <w:style w:type="paragraph" w:customStyle="1" w:styleId="Default">
    <w:name w:val="Default"/>
    <w:semiHidden/>
    <w:rsid w:val="009B024D"/>
    <w:pPr>
      <w:autoSpaceDE w:val="0"/>
      <w:autoSpaceDN w:val="0"/>
      <w:adjustRightInd w:val="0"/>
    </w:pPr>
    <w:rPr>
      <w:rFonts w:ascii="Arial" w:hAnsi="Arial" w:cs="Arial"/>
      <w:color w:val="000000"/>
      <w:sz w:val="24"/>
      <w:szCs w:val="24"/>
    </w:rPr>
  </w:style>
  <w:style w:type="paragraph" w:customStyle="1" w:styleId="TableTextdash">
    <w:name w:val="Table Text dash"/>
    <w:basedOn w:val="TableTextbullet"/>
    <w:qFormat/>
    <w:rsid w:val="009B024D"/>
    <w:pPr>
      <w:numPr>
        <w:numId w:val="8"/>
      </w:numPr>
      <w:tabs>
        <w:tab w:val="num" w:pos="360"/>
      </w:tabs>
      <w:spacing w:before="20" w:after="20"/>
      <w:ind w:left="421"/>
    </w:pPr>
  </w:style>
  <w:style w:type="character" w:styleId="CommentReference">
    <w:name w:val="annotation reference"/>
    <w:basedOn w:val="DefaultParagraphFont"/>
    <w:locked/>
    <w:rsid w:val="009B024D"/>
    <w:rPr>
      <w:sz w:val="16"/>
      <w:szCs w:val="16"/>
    </w:rPr>
  </w:style>
  <w:style w:type="paragraph" w:styleId="CommentText">
    <w:name w:val="annotation text"/>
    <w:basedOn w:val="Normal"/>
    <w:link w:val="CommentTextChar"/>
    <w:locked/>
    <w:rsid w:val="009B024D"/>
    <w:rPr>
      <w:sz w:val="20"/>
    </w:rPr>
  </w:style>
  <w:style w:type="character" w:customStyle="1" w:styleId="CommentTextChar">
    <w:name w:val="Comment Text Char"/>
    <w:basedOn w:val="DefaultParagraphFont"/>
    <w:link w:val="CommentText"/>
    <w:rsid w:val="009B024D"/>
    <w:rPr>
      <w:rFonts w:ascii="Garamond" w:hAnsi="Garamond"/>
      <w:lang w:eastAsia="en-US"/>
    </w:rPr>
  </w:style>
  <w:style w:type="paragraph" w:styleId="CommentSubject">
    <w:name w:val="annotation subject"/>
    <w:basedOn w:val="CommentText"/>
    <w:next w:val="CommentText"/>
    <w:link w:val="CommentSubjectChar"/>
    <w:locked/>
    <w:rsid w:val="009B024D"/>
    <w:rPr>
      <w:b/>
      <w:bCs/>
    </w:rPr>
  </w:style>
  <w:style w:type="character" w:customStyle="1" w:styleId="CommentSubjectChar">
    <w:name w:val="Comment Subject Char"/>
    <w:basedOn w:val="CommentTextChar"/>
    <w:link w:val="CommentSubject"/>
    <w:rsid w:val="009B024D"/>
    <w:rPr>
      <w:rFonts w:ascii="Garamond" w:hAnsi="Garamond"/>
      <w:b/>
      <w:bCs/>
      <w:lang w:eastAsia="en-US"/>
    </w:rPr>
  </w:style>
  <w:style w:type="paragraph" w:styleId="Revision">
    <w:name w:val="Revision"/>
    <w:hidden/>
    <w:uiPriority w:val="99"/>
    <w:semiHidden/>
    <w:rsid w:val="009B024D"/>
    <w:rPr>
      <w:rFonts w:ascii="Garamond" w:hAnsi="Garamond"/>
      <w:sz w:val="24"/>
      <w:lang w:eastAsia="en-US"/>
    </w:rPr>
  </w:style>
  <w:style w:type="paragraph" w:customStyle="1" w:styleId="Heading1cont">
    <w:name w:val="Heading 1 cont"/>
    <w:basedOn w:val="Heading1"/>
    <w:qFormat/>
    <w:rsid w:val="009B024D"/>
    <w:rPr>
      <w:caps w:val="0"/>
    </w:rPr>
  </w:style>
  <w:style w:type="character" w:styleId="PlaceholderText">
    <w:name w:val="Placeholder Text"/>
    <w:basedOn w:val="DefaultParagraphFont"/>
    <w:uiPriority w:val="99"/>
    <w:semiHidden/>
    <w:rsid w:val="009B024D"/>
    <w:rPr>
      <w:color w:val="808080"/>
    </w:rPr>
  </w:style>
  <w:style w:type="paragraph" w:customStyle="1" w:styleId="Bullet">
    <w:name w:val="Bullet"/>
    <w:basedOn w:val="Normal"/>
    <w:link w:val="BulletCharChar"/>
    <w:semiHidden/>
    <w:qFormat/>
    <w:rsid w:val="009B024D"/>
    <w:pPr>
      <w:numPr>
        <w:numId w:val="9"/>
      </w:numPr>
      <w:spacing w:before="120" w:after="0"/>
    </w:pPr>
    <w:rPr>
      <w:rFonts w:eastAsia="Tahoma" w:cs="Tahoma"/>
      <w:sz w:val="22"/>
      <w:szCs w:val="22"/>
      <w:lang w:eastAsia="en-AU"/>
    </w:rPr>
  </w:style>
  <w:style w:type="character" w:customStyle="1" w:styleId="BulletCharChar">
    <w:name w:val="Bullet Char Char"/>
    <w:link w:val="Bullet"/>
    <w:semiHidden/>
    <w:locked/>
    <w:rsid w:val="009B024D"/>
    <w:rPr>
      <w:rFonts w:ascii="Garamond" w:eastAsia="Tahoma" w:hAnsi="Garamond" w:cs="Tahoma"/>
      <w:sz w:val="22"/>
      <w:szCs w:val="22"/>
    </w:rPr>
  </w:style>
  <w:style w:type="character" w:customStyle="1" w:styleId="NormalBlueChar">
    <w:name w:val="Normal Blue Char"/>
    <w:link w:val="NormalBlue"/>
    <w:semiHidden/>
    <w:locked/>
    <w:rsid w:val="009B024D"/>
    <w:rPr>
      <w:color w:val="0000FF"/>
    </w:rPr>
  </w:style>
  <w:style w:type="paragraph" w:customStyle="1" w:styleId="NormalBlue">
    <w:name w:val="Normal Blue"/>
    <w:basedOn w:val="Normal"/>
    <w:link w:val="NormalBlueChar"/>
    <w:semiHidden/>
    <w:qFormat/>
    <w:rsid w:val="009B024D"/>
    <w:pPr>
      <w:spacing w:before="120" w:after="0"/>
    </w:pPr>
    <w:rPr>
      <w:rFonts w:ascii="Times New Roman" w:hAnsi="Times New Roman"/>
      <w:color w:val="0000FF"/>
      <w:sz w:val="20"/>
      <w:lang w:eastAsia="en-AU"/>
    </w:rPr>
  </w:style>
  <w:style w:type="table" w:customStyle="1" w:styleId="CVtable1">
    <w:name w:val="CV table1"/>
    <w:basedOn w:val="TableNormal"/>
    <w:next w:val="TableGrid"/>
    <w:rsid w:val="009B024D"/>
    <w:pPr>
      <w:spacing w:before="120"/>
      <w:jc w:val="both"/>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B0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Indent">
    <w:name w:val="Bullet Indent"/>
    <w:basedOn w:val="Bullet"/>
    <w:rsid w:val="009B024D"/>
    <w:pPr>
      <w:numPr>
        <w:numId w:val="0"/>
      </w:numPr>
      <w:tabs>
        <w:tab w:val="num" w:pos="720"/>
      </w:tabs>
      <w:ind w:left="810" w:hanging="720"/>
    </w:pPr>
    <w:rPr>
      <w:rFonts w:eastAsia="Times New Roman" w:cs="Times New Roman"/>
      <w:lang w:eastAsia="en-US"/>
    </w:rPr>
  </w:style>
  <w:style w:type="character" w:styleId="FollowedHyperlink">
    <w:name w:val="FollowedHyperlink"/>
    <w:basedOn w:val="DefaultParagraphFont"/>
    <w:uiPriority w:val="99"/>
    <w:locked/>
    <w:rsid w:val="009B024D"/>
    <w:rPr>
      <w:color w:val="800080" w:themeColor="followedHyperlink"/>
      <w:u w:val="single"/>
    </w:rPr>
  </w:style>
  <w:style w:type="character" w:styleId="Emphasis">
    <w:name w:val="Emphasis"/>
    <w:basedOn w:val="DefaultParagraphFont"/>
    <w:uiPriority w:val="20"/>
    <w:qFormat/>
    <w:locked/>
    <w:rsid w:val="009B024D"/>
    <w:rPr>
      <w:i/>
      <w:iCs/>
    </w:rPr>
  </w:style>
  <w:style w:type="paragraph" w:styleId="Bibliography">
    <w:name w:val="Bibliography"/>
    <w:basedOn w:val="Normal"/>
    <w:next w:val="Normal"/>
    <w:uiPriority w:val="37"/>
    <w:semiHidden/>
    <w:unhideWhenUsed/>
    <w:rsid w:val="009B024D"/>
  </w:style>
  <w:style w:type="paragraph" w:styleId="BlockText">
    <w:name w:val="Block Text"/>
    <w:basedOn w:val="Normal"/>
    <w:locked/>
    <w:rsid w:val="009B024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9B024D"/>
  </w:style>
  <w:style w:type="character" w:customStyle="1" w:styleId="BodyTextChar">
    <w:name w:val="Body Text Char"/>
    <w:basedOn w:val="DefaultParagraphFont"/>
    <w:link w:val="BodyText"/>
    <w:rsid w:val="009B024D"/>
    <w:rPr>
      <w:rFonts w:ascii="Garamond" w:hAnsi="Garamond"/>
      <w:sz w:val="24"/>
      <w:lang w:eastAsia="en-US"/>
    </w:rPr>
  </w:style>
  <w:style w:type="paragraph" w:styleId="BodyText2">
    <w:name w:val="Body Text 2"/>
    <w:basedOn w:val="Normal"/>
    <w:link w:val="BodyText2Char"/>
    <w:locked/>
    <w:rsid w:val="009B024D"/>
    <w:pPr>
      <w:spacing w:line="480" w:lineRule="auto"/>
    </w:pPr>
  </w:style>
  <w:style w:type="character" w:customStyle="1" w:styleId="BodyText2Char">
    <w:name w:val="Body Text 2 Char"/>
    <w:basedOn w:val="DefaultParagraphFont"/>
    <w:link w:val="BodyText2"/>
    <w:rsid w:val="009B024D"/>
    <w:rPr>
      <w:rFonts w:ascii="Garamond" w:hAnsi="Garamond"/>
      <w:sz w:val="24"/>
      <w:lang w:eastAsia="en-US"/>
    </w:rPr>
  </w:style>
  <w:style w:type="paragraph" w:styleId="BodyText3">
    <w:name w:val="Body Text 3"/>
    <w:basedOn w:val="Normal"/>
    <w:link w:val="BodyText3Char"/>
    <w:locked/>
    <w:rsid w:val="009B024D"/>
    <w:rPr>
      <w:sz w:val="16"/>
      <w:szCs w:val="16"/>
    </w:rPr>
  </w:style>
  <w:style w:type="character" w:customStyle="1" w:styleId="BodyText3Char">
    <w:name w:val="Body Text 3 Char"/>
    <w:basedOn w:val="DefaultParagraphFont"/>
    <w:link w:val="BodyText3"/>
    <w:rsid w:val="009B024D"/>
    <w:rPr>
      <w:rFonts w:ascii="Garamond" w:hAnsi="Garamond"/>
      <w:sz w:val="16"/>
      <w:szCs w:val="16"/>
      <w:lang w:eastAsia="en-US"/>
    </w:rPr>
  </w:style>
  <w:style w:type="paragraph" w:styleId="BodyTextFirstIndent">
    <w:name w:val="Body Text First Indent"/>
    <w:basedOn w:val="BodyText"/>
    <w:link w:val="BodyTextFirstIndentChar"/>
    <w:locked/>
    <w:rsid w:val="009B024D"/>
    <w:pPr>
      <w:ind w:firstLine="360"/>
    </w:pPr>
  </w:style>
  <w:style w:type="character" w:customStyle="1" w:styleId="BodyTextFirstIndentChar">
    <w:name w:val="Body Text First Indent Char"/>
    <w:basedOn w:val="BodyTextChar"/>
    <w:link w:val="BodyTextFirstIndent"/>
    <w:rsid w:val="009B024D"/>
    <w:rPr>
      <w:rFonts w:ascii="Garamond" w:hAnsi="Garamond"/>
      <w:sz w:val="24"/>
      <w:lang w:eastAsia="en-US"/>
    </w:rPr>
  </w:style>
  <w:style w:type="paragraph" w:styleId="BodyTextIndent">
    <w:name w:val="Body Text Indent"/>
    <w:basedOn w:val="Normal"/>
    <w:link w:val="BodyTextIndentChar"/>
    <w:locked/>
    <w:rsid w:val="009B024D"/>
    <w:pPr>
      <w:ind w:left="283"/>
    </w:pPr>
  </w:style>
  <w:style w:type="character" w:customStyle="1" w:styleId="BodyTextIndentChar">
    <w:name w:val="Body Text Indent Char"/>
    <w:basedOn w:val="DefaultParagraphFont"/>
    <w:link w:val="BodyTextIndent"/>
    <w:rsid w:val="009B024D"/>
    <w:rPr>
      <w:rFonts w:ascii="Garamond" w:hAnsi="Garamond"/>
      <w:sz w:val="24"/>
      <w:lang w:eastAsia="en-US"/>
    </w:rPr>
  </w:style>
  <w:style w:type="paragraph" w:styleId="BodyTextFirstIndent2">
    <w:name w:val="Body Text First Indent 2"/>
    <w:basedOn w:val="BodyTextIndent"/>
    <w:link w:val="BodyTextFirstIndent2Char"/>
    <w:locked/>
    <w:rsid w:val="009B024D"/>
    <w:pPr>
      <w:ind w:left="360" w:firstLine="360"/>
    </w:pPr>
  </w:style>
  <w:style w:type="character" w:customStyle="1" w:styleId="BodyTextFirstIndent2Char">
    <w:name w:val="Body Text First Indent 2 Char"/>
    <w:basedOn w:val="BodyTextIndentChar"/>
    <w:link w:val="BodyTextFirstIndent2"/>
    <w:rsid w:val="009B024D"/>
    <w:rPr>
      <w:rFonts w:ascii="Garamond" w:hAnsi="Garamond"/>
      <w:sz w:val="24"/>
      <w:lang w:eastAsia="en-US"/>
    </w:rPr>
  </w:style>
  <w:style w:type="paragraph" w:styleId="BodyTextIndent2">
    <w:name w:val="Body Text Indent 2"/>
    <w:basedOn w:val="Normal"/>
    <w:link w:val="BodyTextIndent2Char"/>
    <w:locked/>
    <w:rsid w:val="009B024D"/>
    <w:pPr>
      <w:spacing w:line="480" w:lineRule="auto"/>
      <w:ind w:left="283"/>
    </w:pPr>
  </w:style>
  <w:style w:type="character" w:customStyle="1" w:styleId="BodyTextIndent2Char">
    <w:name w:val="Body Text Indent 2 Char"/>
    <w:basedOn w:val="DefaultParagraphFont"/>
    <w:link w:val="BodyTextIndent2"/>
    <w:rsid w:val="009B024D"/>
    <w:rPr>
      <w:rFonts w:ascii="Garamond" w:hAnsi="Garamond"/>
      <w:sz w:val="24"/>
      <w:lang w:eastAsia="en-US"/>
    </w:rPr>
  </w:style>
  <w:style w:type="paragraph" w:styleId="BodyTextIndent3">
    <w:name w:val="Body Text Indent 3"/>
    <w:basedOn w:val="Normal"/>
    <w:link w:val="BodyTextIndent3Char"/>
    <w:locked/>
    <w:rsid w:val="009B024D"/>
    <w:pPr>
      <w:ind w:left="283"/>
    </w:pPr>
    <w:rPr>
      <w:sz w:val="16"/>
      <w:szCs w:val="16"/>
    </w:rPr>
  </w:style>
  <w:style w:type="character" w:customStyle="1" w:styleId="BodyTextIndent3Char">
    <w:name w:val="Body Text Indent 3 Char"/>
    <w:basedOn w:val="DefaultParagraphFont"/>
    <w:link w:val="BodyTextIndent3"/>
    <w:rsid w:val="009B024D"/>
    <w:rPr>
      <w:rFonts w:ascii="Garamond" w:hAnsi="Garamond"/>
      <w:sz w:val="16"/>
      <w:szCs w:val="16"/>
      <w:lang w:eastAsia="en-US"/>
    </w:rPr>
  </w:style>
  <w:style w:type="paragraph" w:styleId="Caption">
    <w:name w:val="caption"/>
    <w:basedOn w:val="Normal"/>
    <w:next w:val="Normal"/>
    <w:semiHidden/>
    <w:unhideWhenUsed/>
    <w:qFormat/>
    <w:locked/>
    <w:rsid w:val="009B024D"/>
    <w:pPr>
      <w:spacing w:after="200"/>
    </w:pPr>
    <w:rPr>
      <w:b/>
      <w:bCs/>
      <w:color w:val="4F81BD" w:themeColor="accent1"/>
      <w:sz w:val="18"/>
      <w:szCs w:val="18"/>
    </w:rPr>
  </w:style>
  <w:style w:type="paragraph" w:styleId="Closing">
    <w:name w:val="Closing"/>
    <w:basedOn w:val="Normal"/>
    <w:link w:val="ClosingChar"/>
    <w:locked/>
    <w:rsid w:val="009B024D"/>
    <w:pPr>
      <w:spacing w:after="0"/>
      <w:ind w:left="4252"/>
    </w:pPr>
  </w:style>
  <w:style w:type="character" w:customStyle="1" w:styleId="ClosingChar">
    <w:name w:val="Closing Char"/>
    <w:basedOn w:val="DefaultParagraphFont"/>
    <w:link w:val="Closing"/>
    <w:rsid w:val="009B024D"/>
    <w:rPr>
      <w:rFonts w:ascii="Garamond" w:hAnsi="Garamond"/>
      <w:sz w:val="24"/>
      <w:lang w:eastAsia="en-US"/>
    </w:rPr>
  </w:style>
  <w:style w:type="paragraph" w:styleId="Date">
    <w:name w:val="Date"/>
    <w:basedOn w:val="Normal"/>
    <w:next w:val="Normal"/>
    <w:link w:val="DateChar"/>
    <w:locked/>
    <w:rsid w:val="009B024D"/>
  </w:style>
  <w:style w:type="character" w:customStyle="1" w:styleId="DateChar">
    <w:name w:val="Date Char"/>
    <w:basedOn w:val="DefaultParagraphFont"/>
    <w:link w:val="Date"/>
    <w:rsid w:val="009B024D"/>
    <w:rPr>
      <w:rFonts w:ascii="Garamond" w:hAnsi="Garamond"/>
      <w:sz w:val="24"/>
      <w:lang w:eastAsia="en-US"/>
    </w:rPr>
  </w:style>
  <w:style w:type="paragraph" w:styleId="DocumentMap">
    <w:name w:val="Document Map"/>
    <w:basedOn w:val="Normal"/>
    <w:link w:val="DocumentMapChar"/>
    <w:locked/>
    <w:rsid w:val="009B024D"/>
    <w:pPr>
      <w:spacing w:after="0"/>
    </w:pPr>
    <w:rPr>
      <w:rFonts w:ascii="Tahoma" w:hAnsi="Tahoma" w:cs="Tahoma"/>
      <w:sz w:val="16"/>
      <w:szCs w:val="16"/>
    </w:rPr>
  </w:style>
  <w:style w:type="character" w:customStyle="1" w:styleId="DocumentMapChar">
    <w:name w:val="Document Map Char"/>
    <w:basedOn w:val="DefaultParagraphFont"/>
    <w:link w:val="DocumentMap"/>
    <w:rsid w:val="009B024D"/>
    <w:rPr>
      <w:rFonts w:ascii="Tahoma" w:hAnsi="Tahoma" w:cs="Tahoma"/>
      <w:sz w:val="16"/>
      <w:szCs w:val="16"/>
      <w:lang w:eastAsia="en-US"/>
    </w:rPr>
  </w:style>
  <w:style w:type="paragraph" w:styleId="E-mailSignature">
    <w:name w:val="E-mail Signature"/>
    <w:basedOn w:val="Normal"/>
    <w:link w:val="E-mailSignatureChar"/>
    <w:locked/>
    <w:rsid w:val="009B024D"/>
    <w:pPr>
      <w:spacing w:after="0"/>
    </w:pPr>
  </w:style>
  <w:style w:type="character" w:customStyle="1" w:styleId="E-mailSignatureChar">
    <w:name w:val="E-mail Signature Char"/>
    <w:basedOn w:val="DefaultParagraphFont"/>
    <w:link w:val="E-mailSignature"/>
    <w:rsid w:val="009B024D"/>
    <w:rPr>
      <w:rFonts w:ascii="Garamond" w:hAnsi="Garamond"/>
      <w:sz w:val="24"/>
      <w:lang w:eastAsia="en-US"/>
    </w:rPr>
  </w:style>
  <w:style w:type="paragraph" w:styleId="EndnoteText">
    <w:name w:val="endnote text"/>
    <w:basedOn w:val="Normal"/>
    <w:link w:val="EndnoteTextChar"/>
    <w:locked/>
    <w:rsid w:val="009B024D"/>
    <w:pPr>
      <w:spacing w:after="0"/>
    </w:pPr>
    <w:rPr>
      <w:sz w:val="20"/>
    </w:rPr>
  </w:style>
  <w:style w:type="character" w:customStyle="1" w:styleId="EndnoteTextChar">
    <w:name w:val="Endnote Text Char"/>
    <w:basedOn w:val="DefaultParagraphFont"/>
    <w:link w:val="EndnoteText"/>
    <w:rsid w:val="009B024D"/>
    <w:rPr>
      <w:rFonts w:ascii="Garamond" w:hAnsi="Garamond"/>
      <w:lang w:eastAsia="en-US"/>
    </w:rPr>
  </w:style>
  <w:style w:type="paragraph" w:styleId="EnvelopeAddress">
    <w:name w:val="envelope address"/>
    <w:basedOn w:val="Normal"/>
    <w:locked/>
    <w:rsid w:val="009B024D"/>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locked/>
    <w:rsid w:val="009B024D"/>
    <w:pPr>
      <w:spacing w:after="0"/>
    </w:pPr>
    <w:rPr>
      <w:rFonts w:asciiTheme="majorHAnsi" w:eastAsiaTheme="majorEastAsia" w:hAnsiTheme="majorHAnsi" w:cstheme="majorBidi"/>
      <w:sz w:val="20"/>
    </w:rPr>
  </w:style>
  <w:style w:type="paragraph" w:styleId="HTMLAddress">
    <w:name w:val="HTML Address"/>
    <w:basedOn w:val="Normal"/>
    <w:link w:val="HTMLAddressChar"/>
    <w:locked/>
    <w:rsid w:val="009B024D"/>
    <w:pPr>
      <w:spacing w:after="0"/>
    </w:pPr>
    <w:rPr>
      <w:i/>
      <w:iCs/>
    </w:rPr>
  </w:style>
  <w:style w:type="character" w:customStyle="1" w:styleId="HTMLAddressChar">
    <w:name w:val="HTML Address Char"/>
    <w:basedOn w:val="DefaultParagraphFont"/>
    <w:link w:val="HTMLAddress"/>
    <w:rsid w:val="009B024D"/>
    <w:rPr>
      <w:rFonts w:ascii="Garamond" w:hAnsi="Garamond"/>
      <w:i/>
      <w:iCs/>
      <w:sz w:val="24"/>
      <w:lang w:eastAsia="en-US"/>
    </w:rPr>
  </w:style>
  <w:style w:type="paragraph" w:styleId="HTMLPreformatted">
    <w:name w:val="HTML Preformatted"/>
    <w:basedOn w:val="Normal"/>
    <w:link w:val="HTMLPreformattedChar"/>
    <w:locked/>
    <w:rsid w:val="009B024D"/>
    <w:pPr>
      <w:spacing w:after="0"/>
    </w:pPr>
    <w:rPr>
      <w:rFonts w:ascii="Consolas" w:hAnsi="Consolas" w:cs="Consolas"/>
      <w:sz w:val="20"/>
    </w:rPr>
  </w:style>
  <w:style w:type="character" w:customStyle="1" w:styleId="HTMLPreformattedChar">
    <w:name w:val="HTML Preformatted Char"/>
    <w:basedOn w:val="DefaultParagraphFont"/>
    <w:link w:val="HTMLPreformatted"/>
    <w:rsid w:val="009B024D"/>
    <w:rPr>
      <w:rFonts w:ascii="Consolas" w:hAnsi="Consolas" w:cs="Consolas"/>
      <w:lang w:eastAsia="en-US"/>
    </w:rPr>
  </w:style>
  <w:style w:type="paragraph" w:styleId="Index3">
    <w:name w:val="index 3"/>
    <w:basedOn w:val="Normal"/>
    <w:next w:val="Normal"/>
    <w:autoRedefine/>
    <w:rsid w:val="009B024D"/>
    <w:pPr>
      <w:spacing w:after="0"/>
      <w:ind w:left="720" w:hanging="240"/>
    </w:pPr>
  </w:style>
  <w:style w:type="paragraph" w:styleId="Index4">
    <w:name w:val="index 4"/>
    <w:basedOn w:val="Normal"/>
    <w:next w:val="Normal"/>
    <w:autoRedefine/>
    <w:rsid w:val="009B024D"/>
    <w:pPr>
      <w:spacing w:after="0"/>
      <w:ind w:left="960" w:hanging="240"/>
    </w:pPr>
  </w:style>
  <w:style w:type="paragraph" w:styleId="Index5">
    <w:name w:val="index 5"/>
    <w:basedOn w:val="Normal"/>
    <w:next w:val="Normal"/>
    <w:autoRedefine/>
    <w:rsid w:val="009B024D"/>
    <w:pPr>
      <w:spacing w:after="0"/>
      <w:ind w:left="1200" w:hanging="240"/>
    </w:pPr>
  </w:style>
  <w:style w:type="paragraph" w:styleId="Index6">
    <w:name w:val="index 6"/>
    <w:basedOn w:val="Normal"/>
    <w:next w:val="Normal"/>
    <w:autoRedefine/>
    <w:locked/>
    <w:rsid w:val="009B024D"/>
    <w:pPr>
      <w:spacing w:after="0"/>
      <w:ind w:left="1440" w:hanging="240"/>
    </w:pPr>
  </w:style>
  <w:style w:type="paragraph" w:styleId="Index7">
    <w:name w:val="index 7"/>
    <w:basedOn w:val="Normal"/>
    <w:next w:val="Normal"/>
    <w:autoRedefine/>
    <w:locked/>
    <w:rsid w:val="009B024D"/>
    <w:pPr>
      <w:spacing w:after="0"/>
      <w:ind w:left="1680" w:hanging="240"/>
    </w:pPr>
  </w:style>
  <w:style w:type="paragraph" w:styleId="Index8">
    <w:name w:val="index 8"/>
    <w:basedOn w:val="Normal"/>
    <w:next w:val="Normal"/>
    <w:autoRedefine/>
    <w:locked/>
    <w:rsid w:val="009B024D"/>
    <w:pPr>
      <w:spacing w:after="0"/>
      <w:ind w:left="1920" w:hanging="240"/>
    </w:pPr>
  </w:style>
  <w:style w:type="paragraph" w:styleId="Index9">
    <w:name w:val="index 9"/>
    <w:basedOn w:val="Normal"/>
    <w:next w:val="Normal"/>
    <w:autoRedefine/>
    <w:locked/>
    <w:rsid w:val="009B024D"/>
    <w:pPr>
      <w:spacing w:after="0"/>
      <w:ind w:left="2160" w:hanging="240"/>
    </w:pPr>
  </w:style>
  <w:style w:type="paragraph" w:styleId="IntenseQuote">
    <w:name w:val="Intense Quote"/>
    <w:basedOn w:val="Normal"/>
    <w:next w:val="Normal"/>
    <w:link w:val="IntenseQuoteChar"/>
    <w:uiPriority w:val="30"/>
    <w:rsid w:val="009B024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B024D"/>
    <w:rPr>
      <w:rFonts w:ascii="Garamond" w:hAnsi="Garamond"/>
      <w:b/>
      <w:bCs/>
      <w:i/>
      <w:iCs/>
      <w:color w:val="4F81BD" w:themeColor="accent1"/>
      <w:sz w:val="24"/>
      <w:lang w:eastAsia="en-US"/>
    </w:rPr>
  </w:style>
  <w:style w:type="paragraph" w:styleId="List">
    <w:name w:val="List"/>
    <w:basedOn w:val="Normal"/>
    <w:locked/>
    <w:rsid w:val="009B024D"/>
    <w:pPr>
      <w:ind w:left="283" w:hanging="283"/>
      <w:contextualSpacing/>
    </w:pPr>
  </w:style>
  <w:style w:type="paragraph" w:styleId="List2">
    <w:name w:val="List 2"/>
    <w:basedOn w:val="Normal"/>
    <w:locked/>
    <w:rsid w:val="009B024D"/>
    <w:pPr>
      <w:ind w:left="566" w:hanging="283"/>
      <w:contextualSpacing/>
    </w:pPr>
  </w:style>
  <w:style w:type="paragraph" w:styleId="List3">
    <w:name w:val="List 3"/>
    <w:basedOn w:val="Normal"/>
    <w:locked/>
    <w:rsid w:val="009B024D"/>
    <w:pPr>
      <w:ind w:left="849" w:hanging="283"/>
      <w:contextualSpacing/>
    </w:pPr>
  </w:style>
  <w:style w:type="paragraph" w:styleId="List4">
    <w:name w:val="List 4"/>
    <w:basedOn w:val="Normal"/>
    <w:locked/>
    <w:rsid w:val="009B024D"/>
    <w:pPr>
      <w:ind w:left="1132" w:hanging="283"/>
      <w:contextualSpacing/>
    </w:pPr>
  </w:style>
  <w:style w:type="paragraph" w:styleId="List5">
    <w:name w:val="List 5"/>
    <w:basedOn w:val="Normal"/>
    <w:locked/>
    <w:rsid w:val="009B024D"/>
    <w:pPr>
      <w:ind w:left="1415" w:hanging="283"/>
      <w:contextualSpacing/>
    </w:pPr>
  </w:style>
  <w:style w:type="paragraph" w:styleId="ListBullet">
    <w:name w:val="List Bullet"/>
    <w:basedOn w:val="Normal"/>
    <w:locked/>
    <w:rsid w:val="009B024D"/>
    <w:pPr>
      <w:tabs>
        <w:tab w:val="num" w:pos="360"/>
      </w:tabs>
      <w:ind w:left="360" w:hanging="360"/>
      <w:contextualSpacing/>
    </w:pPr>
  </w:style>
  <w:style w:type="paragraph" w:styleId="ListBullet2">
    <w:name w:val="List Bullet 2"/>
    <w:basedOn w:val="Normal"/>
    <w:locked/>
    <w:rsid w:val="009B024D"/>
    <w:pPr>
      <w:tabs>
        <w:tab w:val="num" w:pos="643"/>
      </w:tabs>
      <w:ind w:left="643" w:hanging="360"/>
      <w:contextualSpacing/>
    </w:pPr>
  </w:style>
  <w:style w:type="paragraph" w:styleId="ListBullet3">
    <w:name w:val="List Bullet 3"/>
    <w:basedOn w:val="Normal"/>
    <w:locked/>
    <w:rsid w:val="009B024D"/>
    <w:pPr>
      <w:tabs>
        <w:tab w:val="num" w:pos="926"/>
      </w:tabs>
      <w:ind w:left="926" w:hanging="360"/>
      <w:contextualSpacing/>
    </w:pPr>
  </w:style>
  <w:style w:type="paragraph" w:styleId="ListBullet4">
    <w:name w:val="List Bullet 4"/>
    <w:basedOn w:val="Normal"/>
    <w:locked/>
    <w:rsid w:val="009B024D"/>
    <w:pPr>
      <w:tabs>
        <w:tab w:val="num" w:pos="1209"/>
      </w:tabs>
      <w:ind w:left="1209" w:hanging="360"/>
      <w:contextualSpacing/>
    </w:pPr>
  </w:style>
  <w:style w:type="paragraph" w:styleId="ListBullet5">
    <w:name w:val="List Bullet 5"/>
    <w:basedOn w:val="Normal"/>
    <w:locked/>
    <w:rsid w:val="009B024D"/>
    <w:pPr>
      <w:tabs>
        <w:tab w:val="num" w:pos="1492"/>
      </w:tabs>
      <w:ind w:left="1492" w:hanging="360"/>
      <w:contextualSpacing/>
    </w:pPr>
  </w:style>
  <w:style w:type="paragraph" w:styleId="ListContinue">
    <w:name w:val="List Continue"/>
    <w:basedOn w:val="Normal"/>
    <w:locked/>
    <w:rsid w:val="009B024D"/>
    <w:pPr>
      <w:ind w:left="283"/>
      <w:contextualSpacing/>
    </w:pPr>
  </w:style>
  <w:style w:type="paragraph" w:styleId="ListContinue2">
    <w:name w:val="List Continue 2"/>
    <w:basedOn w:val="Normal"/>
    <w:locked/>
    <w:rsid w:val="009B024D"/>
    <w:pPr>
      <w:ind w:left="566"/>
      <w:contextualSpacing/>
    </w:pPr>
  </w:style>
  <w:style w:type="paragraph" w:styleId="ListContinue3">
    <w:name w:val="List Continue 3"/>
    <w:basedOn w:val="Normal"/>
    <w:locked/>
    <w:rsid w:val="009B024D"/>
    <w:pPr>
      <w:ind w:left="849"/>
      <w:contextualSpacing/>
    </w:pPr>
  </w:style>
  <w:style w:type="paragraph" w:styleId="ListContinue4">
    <w:name w:val="List Continue 4"/>
    <w:basedOn w:val="Normal"/>
    <w:locked/>
    <w:rsid w:val="009B024D"/>
    <w:pPr>
      <w:ind w:left="1132"/>
      <w:contextualSpacing/>
    </w:pPr>
  </w:style>
  <w:style w:type="paragraph" w:styleId="ListContinue5">
    <w:name w:val="List Continue 5"/>
    <w:basedOn w:val="Normal"/>
    <w:locked/>
    <w:rsid w:val="009B024D"/>
    <w:pPr>
      <w:ind w:left="1415"/>
      <w:contextualSpacing/>
    </w:pPr>
  </w:style>
  <w:style w:type="paragraph" w:styleId="ListNumber">
    <w:name w:val="List Number"/>
    <w:basedOn w:val="Normal"/>
    <w:locked/>
    <w:rsid w:val="009B024D"/>
    <w:pPr>
      <w:tabs>
        <w:tab w:val="num" w:pos="360"/>
      </w:tabs>
      <w:ind w:left="360" w:hanging="360"/>
      <w:contextualSpacing/>
    </w:pPr>
  </w:style>
  <w:style w:type="paragraph" w:styleId="ListNumber2">
    <w:name w:val="List Number 2"/>
    <w:basedOn w:val="Normal"/>
    <w:locked/>
    <w:rsid w:val="009B024D"/>
    <w:pPr>
      <w:tabs>
        <w:tab w:val="num" w:pos="643"/>
      </w:tabs>
      <w:ind w:left="643" w:hanging="360"/>
      <w:contextualSpacing/>
    </w:pPr>
  </w:style>
  <w:style w:type="paragraph" w:styleId="ListNumber3">
    <w:name w:val="List Number 3"/>
    <w:basedOn w:val="Normal"/>
    <w:locked/>
    <w:rsid w:val="009B024D"/>
    <w:pPr>
      <w:tabs>
        <w:tab w:val="num" w:pos="926"/>
      </w:tabs>
      <w:ind w:left="926" w:hanging="360"/>
      <w:contextualSpacing/>
    </w:pPr>
  </w:style>
  <w:style w:type="paragraph" w:styleId="ListNumber4">
    <w:name w:val="List Number 4"/>
    <w:basedOn w:val="Normal"/>
    <w:locked/>
    <w:rsid w:val="009B024D"/>
    <w:pPr>
      <w:tabs>
        <w:tab w:val="num" w:pos="1209"/>
      </w:tabs>
      <w:ind w:left="1209" w:hanging="360"/>
      <w:contextualSpacing/>
    </w:pPr>
  </w:style>
  <w:style w:type="paragraph" w:styleId="ListNumber5">
    <w:name w:val="List Number 5"/>
    <w:basedOn w:val="Normal"/>
    <w:locked/>
    <w:rsid w:val="009B024D"/>
    <w:pPr>
      <w:tabs>
        <w:tab w:val="num" w:pos="1492"/>
      </w:tabs>
      <w:ind w:left="1492" w:hanging="360"/>
      <w:contextualSpacing/>
    </w:pPr>
  </w:style>
  <w:style w:type="paragraph" w:styleId="MacroText">
    <w:name w:val="macro"/>
    <w:link w:val="MacroTextChar"/>
    <w:locked/>
    <w:rsid w:val="009B024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rsid w:val="009B024D"/>
    <w:rPr>
      <w:rFonts w:ascii="Consolas" w:hAnsi="Consolas" w:cs="Consolas"/>
      <w:lang w:eastAsia="en-US"/>
    </w:rPr>
  </w:style>
  <w:style w:type="paragraph" w:styleId="MessageHeader">
    <w:name w:val="Message Header"/>
    <w:basedOn w:val="Normal"/>
    <w:link w:val="MessageHeaderChar"/>
    <w:locked/>
    <w:rsid w:val="009B02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9B024D"/>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9B024D"/>
    <w:rPr>
      <w:rFonts w:ascii="Garamond" w:hAnsi="Garamond"/>
      <w:sz w:val="24"/>
      <w:lang w:eastAsia="en-US"/>
    </w:rPr>
  </w:style>
  <w:style w:type="paragraph" w:styleId="NormalWeb">
    <w:name w:val="Normal (Web)"/>
    <w:basedOn w:val="Normal"/>
    <w:uiPriority w:val="99"/>
    <w:locked/>
    <w:rsid w:val="009B024D"/>
    <w:rPr>
      <w:rFonts w:ascii="Times New Roman" w:hAnsi="Times New Roman"/>
      <w:szCs w:val="24"/>
    </w:rPr>
  </w:style>
  <w:style w:type="paragraph" w:styleId="NoteHeading">
    <w:name w:val="Note Heading"/>
    <w:basedOn w:val="Normal"/>
    <w:next w:val="Normal"/>
    <w:link w:val="NoteHeadingChar"/>
    <w:rsid w:val="009B024D"/>
    <w:pPr>
      <w:spacing w:after="0"/>
    </w:pPr>
  </w:style>
  <w:style w:type="character" w:customStyle="1" w:styleId="NoteHeadingChar">
    <w:name w:val="Note Heading Char"/>
    <w:basedOn w:val="DefaultParagraphFont"/>
    <w:link w:val="NoteHeading"/>
    <w:rsid w:val="009B024D"/>
    <w:rPr>
      <w:rFonts w:ascii="Garamond" w:hAnsi="Garamond"/>
      <w:sz w:val="24"/>
      <w:lang w:eastAsia="en-US"/>
    </w:rPr>
  </w:style>
  <w:style w:type="paragraph" w:styleId="PlainText">
    <w:name w:val="Plain Text"/>
    <w:basedOn w:val="Normal"/>
    <w:link w:val="PlainTextChar"/>
    <w:locked/>
    <w:rsid w:val="009B024D"/>
    <w:pPr>
      <w:spacing w:after="0"/>
    </w:pPr>
    <w:rPr>
      <w:rFonts w:ascii="Consolas" w:hAnsi="Consolas" w:cs="Consolas"/>
      <w:sz w:val="21"/>
      <w:szCs w:val="21"/>
    </w:rPr>
  </w:style>
  <w:style w:type="character" w:customStyle="1" w:styleId="PlainTextChar">
    <w:name w:val="Plain Text Char"/>
    <w:basedOn w:val="DefaultParagraphFont"/>
    <w:link w:val="PlainText"/>
    <w:rsid w:val="009B024D"/>
    <w:rPr>
      <w:rFonts w:ascii="Consolas" w:hAnsi="Consolas" w:cs="Consolas"/>
      <w:sz w:val="21"/>
      <w:szCs w:val="21"/>
      <w:lang w:eastAsia="en-US"/>
    </w:rPr>
  </w:style>
  <w:style w:type="paragraph" w:styleId="Salutation">
    <w:name w:val="Salutation"/>
    <w:basedOn w:val="Normal"/>
    <w:next w:val="Normal"/>
    <w:link w:val="SalutationChar"/>
    <w:locked/>
    <w:rsid w:val="009B024D"/>
  </w:style>
  <w:style w:type="character" w:customStyle="1" w:styleId="SalutationChar">
    <w:name w:val="Salutation Char"/>
    <w:basedOn w:val="DefaultParagraphFont"/>
    <w:link w:val="Salutation"/>
    <w:rsid w:val="009B024D"/>
    <w:rPr>
      <w:rFonts w:ascii="Garamond" w:hAnsi="Garamond"/>
      <w:sz w:val="24"/>
      <w:lang w:eastAsia="en-US"/>
    </w:rPr>
  </w:style>
  <w:style w:type="paragraph" w:styleId="Signature">
    <w:name w:val="Signature"/>
    <w:basedOn w:val="Normal"/>
    <w:link w:val="SignatureChar"/>
    <w:locked/>
    <w:rsid w:val="009B024D"/>
    <w:pPr>
      <w:spacing w:after="0"/>
      <w:ind w:left="4252"/>
    </w:pPr>
  </w:style>
  <w:style w:type="character" w:customStyle="1" w:styleId="SignatureChar">
    <w:name w:val="Signature Char"/>
    <w:basedOn w:val="DefaultParagraphFont"/>
    <w:link w:val="Signature"/>
    <w:rsid w:val="009B024D"/>
    <w:rPr>
      <w:rFonts w:ascii="Garamond" w:hAnsi="Garamond"/>
      <w:sz w:val="24"/>
      <w:lang w:eastAsia="en-US"/>
    </w:rPr>
  </w:style>
  <w:style w:type="paragraph" w:styleId="TableofAuthorities">
    <w:name w:val="table of authorities"/>
    <w:basedOn w:val="Normal"/>
    <w:next w:val="Normal"/>
    <w:locked/>
    <w:rsid w:val="009B024D"/>
    <w:pPr>
      <w:spacing w:after="0"/>
      <w:ind w:left="240" w:hanging="240"/>
    </w:pPr>
  </w:style>
  <w:style w:type="paragraph" w:styleId="Title">
    <w:name w:val="Title"/>
    <w:basedOn w:val="Normal"/>
    <w:next w:val="Normal"/>
    <w:link w:val="TitleChar"/>
    <w:locked/>
    <w:rsid w:val="009B024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024D"/>
    <w:rPr>
      <w:rFonts w:asciiTheme="majorHAnsi" w:eastAsiaTheme="majorEastAsia" w:hAnsiTheme="majorHAnsi" w:cstheme="majorBidi"/>
      <w:color w:val="17365D" w:themeColor="text2" w:themeShade="BF"/>
      <w:spacing w:val="5"/>
      <w:kern w:val="28"/>
      <w:sz w:val="52"/>
      <w:szCs w:val="52"/>
      <w:lang w:eastAsia="en-US"/>
    </w:rPr>
  </w:style>
  <w:style w:type="paragraph" w:styleId="TOAHeading">
    <w:name w:val="toa heading"/>
    <w:basedOn w:val="Normal"/>
    <w:next w:val="Normal"/>
    <w:locked/>
    <w:rsid w:val="009B024D"/>
    <w:pPr>
      <w:spacing w:before="120"/>
    </w:pPr>
    <w:rPr>
      <w:rFonts w:asciiTheme="majorHAnsi" w:eastAsiaTheme="majorEastAsia" w:hAnsiTheme="majorHAnsi" w:cstheme="majorBidi"/>
      <w:b/>
      <w:bCs/>
      <w:szCs w:val="24"/>
    </w:rPr>
  </w:style>
  <w:style w:type="paragraph" w:styleId="TOC6">
    <w:name w:val="toc 6"/>
    <w:basedOn w:val="Normal"/>
    <w:next w:val="Normal"/>
    <w:autoRedefine/>
    <w:locked/>
    <w:rsid w:val="009B024D"/>
    <w:pPr>
      <w:spacing w:after="100"/>
      <w:ind w:left="1200"/>
    </w:pPr>
  </w:style>
  <w:style w:type="paragraph" w:styleId="TOC7">
    <w:name w:val="toc 7"/>
    <w:basedOn w:val="Normal"/>
    <w:next w:val="Normal"/>
    <w:autoRedefine/>
    <w:locked/>
    <w:rsid w:val="009B024D"/>
    <w:pPr>
      <w:spacing w:after="100"/>
      <w:ind w:left="1440"/>
    </w:pPr>
  </w:style>
  <w:style w:type="paragraph" w:styleId="TOC8">
    <w:name w:val="toc 8"/>
    <w:basedOn w:val="Normal"/>
    <w:next w:val="Normal"/>
    <w:autoRedefine/>
    <w:locked/>
    <w:rsid w:val="009B024D"/>
    <w:pPr>
      <w:spacing w:after="100"/>
      <w:ind w:left="1680"/>
    </w:pPr>
  </w:style>
  <w:style w:type="paragraph" w:styleId="TOC9">
    <w:name w:val="toc 9"/>
    <w:basedOn w:val="Normal"/>
    <w:next w:val="Normal"/>
    <w:autoRedefine/>
    <w:locked/>
    <w:rsid w:val="009B024D"/>
    <w:pPr>
      <w:spacing w:after="100"/>
      <w:ind w:left="1920"/>
    </w:pPr>
  </w:style>
  <w:style w:type="paragraph" w:styleId="TOCHeading">
    <w:name w:val="TOC Heading"/>
    <w:basedOn w:val="Heading1"/>
    <w:next w:val="Normal"/>
    <w:uiPriority w:val="39"/>
    <w:semiHidden/>
    <w:unhideWhenUsed/>
    <w:qFormat/>
    <w:rsid w:val="009B024D"/>
    <w:pPr>
      <w:keepLines/>
      <w:spacing w:before="480" w:after="0"/>
      <w:outlineLvl w:val="9"/>
    </w:pPr>
    <w:rPr>
      <w:rFonts w:asciiTheme="majorHAnsi" w:eastAsiaTheme="majorEastAsia" w:hAnsiTheme="majorHAnsi" w:cstheme="majorBidi"/>
      <w:bCs/>
      <w:caps w:val="0"/>
      <w:color w:val="365F91" w:themeColor="accent1" w:themeShade="BF"/>
      <w:szCs w:val="28"/>
    </w:rPr>
  </w:style>
  <w:style w:type="paragraph" w:customStyle="1" w:styleId="Tabn">
    <w:name w:val="Tabn"/>
    <w:basedOn w:val="Normal"/>
    <w:semiHidden/>
    <w:qFormat/>
    <w:rsid w:val="009B024D"/>
  </w:style>
  <w:style w:type="character" w:customStyle="1" w:styleId="Heading3NumberingChar">
    <w:name w:val="Heading 3 Numbering Char"/>
    <w:link w:val="Heading3Numbering"/>
    <w:rsid w:val="009B024D"/>
    <w:rPr>
      <w:rFonts w:ascii="Calibri" w:hAnsi="Calibri"/>
      <w:b/>
      <w:i/>
      <w:kern w:val="28"/>
      <w:sz w:val="26"/>
      <w:szCs w:val="22"/>
      <w:lang w:eastAsia="en-US"/>
    </w:rPr>
  </w:style>
  <w:style w:type="paragraph" w:styleId="Quote">
    <w:name w:val="Quote"/>
    <w:basedOn w:val="Normal"/>
    <w:next w:val="Normal"/>
    <w:link w:val="QuoteChar"/>
    <w:uiPriority w:val="29"/>
    <w:rsid w:val="009B024D"/>
    <w:rPr>
      <w:i/>
      <w:iCs/>
      <w:color w:val="000000" w:themeColor="text1"/>
    </w:rPr>
  </w:style>
  <w:style w:type="character" w:customStyle="1" w:styleId="QuoteChar">
    <w:name w:val="Quote Char"/>
    <w:basedOn w:val="DefaultParagraphFont"/>
    <w:link w:val="Quote"/>
    <w:uiPriority w:val="29"/>
    <w:rsid w:val="009B024D"/>
    <w:rPr>
      <w:rFonts w:ascii="Garamond" w:hAnsi="Garamond"/>
      <w:i/>
      <w:iCs/>
      <w:color w:val="000000" w:themeColor="text1"/>
      <w:sz w:val="24"/>
      <w:lang w:eastAsia="en-US"/>
    </w:rPr>
  </w:style>
  <w:style w:type="paragraph" w:styleId="Subtitle">
    <w:name w:val="Subtitle"/>
    <w:basedOn w:val="Normal"/>
    <w:next w:val="Normal"/>
    <w:link w:val="SubtitleChar"/>
    <w:locked/>
    <w:rsid w:val="009B024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9B024D"/>
    <w:rPr>
      <w:rFonts w:asciiTheme="majorHAnsi" w:eastAsiaTheme="majorEastAsia" w:hAnsiTheme="majorHAnsi" w:cstheme="majorBidi"/>
      <w:i/>
      <w:iCs/>
      <w:color w:val="4F81BD" w:themeColor="accent1"/>
      <w:spacing w:val="15"/>
      <w:sz w:val="24"/>
      <w:szCs w:val="24"/>
      <w:lang w:eastAsia="en-US"/>
    </w:rPr>
  </w:style>
  <w:style w:type="paragraph" w:customStyle="1" w:styleId="Tablete">
    <w:name w:val="Tablete"/>
    <w:basedOn w:val="Normal"/>
    <w:qFormat/>
    <w:rsid w:val="009B024D"/>
    <w:pPr>
      <w:autoSpaceDE w:val="0"/>
      <w:autoSpaceDN w:val="0"/>
      <w:adjustRightInd w:val="0"/>
      <w:spacing w:after="0"/>
      <w:jc w:val="right"/>
    </w:pPr>
    <w:rPr>
      <w:rFonts w:ascii="Calibri" w:eastAsiaTheme="minorEastAsia" w:hAnsi="Calibri" w:cs="Calibri"/>
      <w:i/>
      <w:iCs/>
      <w:color w:val="FFFFFF"/>
      <w:sz w:val="22"/>
      <w:szCs w:val="22"/>
      <w:lang w:eastAsia="en-AU"/>
    </w:rPr>
  </w:style>
  <w:style w:type="paragraph" w:customStyle="1" w:styleId="EvenFooterLandscape">
    <w:name w:val="EvenFooterLandscape"/>
    <w:basedOn w:val="Normal"/>
    <w:qFormat/>
    <w:rsid w:val="009B024D"/>
    <w:pPr>
      <w:pBdr>
        <w:top w:val="single" w:sz="6" w:space="0" w:color="auto"/>
      </w:pBdr>
      <w:tabs>
        <w:tab w:val="center" w:pos="3686"/>
        <w:tab w:val="right" w:pos="9634"/>
      </w:tabs>
    </w:pPr>
    <w:rPr>
      <w:rFonts w:ascii="Calibri" w:hAnsi="Calibri"/>
      <w:sz w:val="22"/>
      <w:szCs w:val="18"/>
    </w:rPr>
  </w:style>
  <w:style w:type="paragraph" w:customStyle="1" w:styleId="OddFooterLandscape">
    <w:name w:val="OddFooterLandscape"/>
    <w:basedOn w:val="Footer"/>
    <w:qFormat/>
    <w:rsid w:val="009B024D"/>
    <w:pPr>
      <w:pBdr>
        <w:top w:val="single" w:sz="6" w:space="0" w:color="auto"/>
      </w:pBdr>
      <w:tabs>
        <w:tab w:val="clear" w:pos="7085"/>
        <w:tab w:val="center" w:pos="5947"/>
        <w:tab w:val="right" w:pos="9634"/>
      </w:tabs>
    </w:pPr>
  </w:style>
  <w:style w:type="paragraph" w:customStyle="1" w:styleId="ControlledEntitiesHeading1">
    <w:name w:val="ControlledEntitiesHeading1"/>
    <w:qFormat/>
    <w:rsid w:val="009B024D"/>
    <w:pPr>
      <w:shd w:val="clear" w:color="auto" w:fill="000000" w:themeFill="text1"/>
      <w:jc w:val="center"/>
    </w:pPr>
    <w:rPr>
      <w:rFonts w:asciiTheme="minorHAnsi" w:hAnsiTheme="minorHAnsi" w:cstheme="minorHAnsi"/>
      <w:b/>
      <w:i/>
      <w:color w:val="FFFFFF" w:themeColor="background1"/>
      <w:sz w:val="22"/>
      <w:szCs w:val="22"/>
    </w:rPr>
  </w:style>
  <w:style w:type="paragraph" w:customStyle="1" w:styleId="Smallline">
    <w:name w:val="Small line"/>
    <w:basedOn w:val="Normal"/>
    <w:qFormat/>
    <w:rsid w:val="009B024D"/>
    <w:pPr>
      <w:shd w:val="clear" w:color="auto" w:fill="FFFFFF" w:themeFill="background1"/>
      <w:spacing w:after="0"/>
    </w:pPr>
    <w:rPr>
      <w:rFonts w:ascii="Calibri" w:hAnsi="Calibri"/>
      <w:b/>
      <w:bCs/>
      <w:color w:val="000000" w:themeColor="text1"/>
      <w:sz w:val="4"/>
      <w:szCs w:val="18"/>
      <w:shd w:val="clear" w:color="auto" w:fill="FFFFFF" w:themeFill="background1"/>
      <w:lang w:eastAsia="en-AU"/>
    </w:rPr>
  </w:style>
  <w:style w:type="paragraph" w:customStyle="1" w:styleId="ControlledEntitiesHeading2">
    <w:name w:val="ControlledEntitiesHeading2"/>
    <w:qFormat/>
    <w:rsid w:val="009B024D"/>
    <w:pPr>
      <w:shd w:val="clear" w:color="auto" w:fill="D9D9D9" w:themeFill="background1" w:themeFillShade="D9"/>
    </w:pPr>
    <w:rPr>
      <w:rFonts w:ascii="Calibri" w:hAnsi="Calibri"/>
      <w:b/>
      <w:bCs/>
      <w:color w:val="000000" w:themeColor="text1"/>
      <w:sz w:val="18"/>
      <w:szCs w:val="18"/>
    </w:rPr>
  </w:style>
  <w:style w:type="paragraph" w:customStyle="1" w:styleId="ControlledEntitiesText">
    <w:name w:val="ControlledEntitiesText"/>
    <w:qFormat/>
    <w:rsid w:val="009B024D"/>
    <w:pPr>
      <w:spacing w:before="20" w:after="20"/>
    </w:pPr>
    <w:rPr>
      <w:rFonts w:ascii="Calibri" w:hAnsi="Calibri"/>
      <w:color w:val="000000" w:themeColor="text1"/>
      <w:sz w:val="18"/>
      <w:szCs w:val="18"/>
    </w:rPr>
  </w:style>
  <w:style w:type="paragraph" w:customStyle="1" w:styleId="ControlledEntitiesDash">
    <w:name w:val="ControlledEntitiesDash"/>
    <w:qFormat/>
    <w:rsid w:val="009B024D"/>
    <w:pPr>
      <w:numPr>
        <w:numId w:val="11"/>
      </w:numPr>
      <w:spacing w:before="20" w:after="20"/>
      <w:ind w:left="216" w:hanging="216"/>
      <w:contextualSpacing/>
    </w:pPr>
    <w:rPr>
      <w:rFonts w:ascii="Calibri" w:hAnsi="Calibri"/>
      <w:iCs/>
      <w:color w:val="000000" w:themeColor="text1"/>
      <w:sz w:val="18"/>
      <w:szCs w:val="18"/>
    </w:rPr>
  </w:style>
  <w:style w:type="paragraph" w:customStyle="1" w:styleId="TableTextright">
    <w:name w:val="Table Text right"/>
    <w:basedOn w:val="Notes"/>
    <w:qFormat/>
    <w:rsid w:val="009B024D"/>
    <w:rPr>
      <w:rFonts w:eastAsiaTheme="minorEastAsia"/>
      <w:lang w:eastAsia="en-AU"/>
    </w:rPr>
  </w:style>
  <w:style w:type="paragraph" w:customStyle="1" w:styleId="NotesFigures">
    <w:name w:val="Notes Figures"/>
    <w:basedOn w:val="TableofFigures"/>
    <w:qFormat/>
    <w:rsid w:val="009B024D"/>
    <w:rPr>
      <w:sz w:val="16"/>
    </w:rPr>
  </w:style>
  <w:style w:type="paragraph" w:customStyle="1" w:styleId="4ptline">
    <w:name w:val="4pt line"/>
    <w:basedOn w:val="Smallline"/>
    <w:qFormat/>
    <w:rsid w:val="009B024D"/>
    <w:rPr>
      <w:sz w:val="8"/>
    </w:rPr>
  </w:style>
  <w:style w:type="paragraph" w:customStyle="1" w:styleId="Charttext">
    <w:name w:val="Chart text"/>
    <w:basedOn w:val="Normal"/>
    <w:qFormat/>
    <w:rsid w:val="009B024D"/>
    <w:pPr>
      <w:spacing w:after="0"/>
      <w:jc w:val="center"/>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5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header" Target="header48.xml"/><Relationship Id="rId21" Type="http://schemas.openxmlformats.org/officeDocument/2006/relationships/footer" Target="footer9.xml"/><Relationship Id="rId42" Type="http://schemas.openxmlformats.org/officeDocument/2006/relationships/footer" Target="footer17.xml"/><Relationship Id="rId47" Type="http://schemas.openxmlformats.org/officeDocument/2006/relationships/header" Target="header13.xml"/><Relationship Id="rId63" Type="http://schemas.openxmlformats.org/officeDocument/2006/relationships/footer" Target="footer28.xml"/><Relationship Id="rId68" Type="http://schemas.openxmlformats.org/officeDocument/2006/relationships/header" Target="header23.xml"/><Relationship Id="rId84" Type="http://schemas.openxmlformats.org/officeDocument/2006/relationships/footer" Target="footer38.xml"/><Relationship Id="rId89" Type="http://schemas.openxmlformats.org/officeDocument/2006/relationships/footer" Target="footer41.xml"/><Relationship Id="rId112" Type="http://schemas.openxmlformats.org/officeDocument/2006/relationships/header" Target="header45.xml"/><Relationship Id="rId133" Type="http://schemas.openxmlformats.org/officeDocument/2006/relationships/footer" Target="footer63.xml"/><Relationship Id="rId138" Type="http://schemas.openxmlformats.org/officeDocument/2006/relationships/header" Target="header58.xml"/><Relationship Id="rId154" Type="http://schemas.openxmlformats.org/officeDocument/2006/relationships/footer" Target="footer74.xml"/><Relationship Id="rId159" Type="http://schemas.openxmlformats.org/officeDocument/2006/relationships/footer" Target="footer79.xml"/><Relationship Id="rId16" Type="http://schemas.openxmlformats.org/officeDocument/2006/relationships/footer" Target="footer5.xml"/><Relationship Id="rId107" Type="http://schemas.openxmlformats.org/officeDocument/2006/relationships/header" Target="header43.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8.xml"/><Relationship Id="rId53" Type="http://schemas.openxmlformats.org/officeDocument/2006/relationships/footer" Target="footer23.xml"/><Relationship Id="rId58" Type="http://schemas.openxmlformats.org/officeDocument/2006/relationships/header" Target="header18.xml"/><Relationship Id="rId74" Type="http://schemas.openxmlformats.org/officeDocument/2006/relationships/footer" Target="footer33.xml"/><Relationship Id="rId79" Type="http://schemas.openxmlformats.org/officeDocument/2006/relationships/footer" Target="footer36.xml"/><Relationship Id="rId102" Type="http://schemas.openxmlformats.org/officeDocument/2006/relationships/header" Target="header40.xml"/><Relationship Id="rId123" Type="http://schemas.openxmlformats.org/officeDocument/2006/relationships/footer" Target="footer58.xml"/><Relationship Id="rId128" Type="http://schemas.openxmlformats.org/officeDocument/2006/relationships/header" Target="header53.xml"/><Relationship Id="rId144" Type="http://schemas.openxmlformats.org/officeDocument/2006/relationships/footer" Target="footer69.xml"/><Relationship Id="rId149" Type="http://schemas.openxmlformats.org/officeDocument/2006/relationships/header" Target="header63.xml"/><Relationship Id="rId5" Type="http://schemas.openxmlformats.org/officeDocument/2006/relationships/webSettings" Target="webSettings.xml"/><Relationship Id="rId90" Type="http://schemas.openxmlformats.org/officeDocument/2006/relationships/header" Target="header34.xml"/><Relationship Id="rId95" Type="http://schemas.openxmlformats.org/officeDocument/2006/relationships/footer" Target="footer44.xml"/><Relationship Id="rId160" Type="http://schemas.openxmlformats.org/officeDocument/2006/relationships/footer" Target="footer80.xml"/><Relationship Id="rId22" Type="http://schemas.openxmlformats.org/officeDocument/2006/relationships/image" Target="media/image2.emf"/><Relationship Id="rId27" Type="http://schemas.openxmlformats.org/officeDocument/2006/relationships/image" Target="media/image5.png"/><Relationship Id="rId43" Type="http://schemas.openxmlformats.org/officeDocument/2006/relationships/footer" Target="footer18.xml"/><Relationship Id="rId48" Type="http://schemas.openxmlformats.org/officeDocument/2006/relationships/footer" Target="footer20.xml"/><Relationship Id="rId64" Type="http://schemas.openxmlformats.org/officeDocument/2006/relationships/header" Target="header21.xml"/><Relationship Id="rId69" Type="http://schemas.openxmlformats.org/officeDocument/2006/relationships/header" Target="header24.xml"/><Relationship Id="rId113" Type="http://schemas.openxmlformats.org/officeDocument/2006/relationships/header" Target="header46.xml"/><Relationship Id="rId118" Type="http://schemas.openxmlformats.org/officeDocument/2006/relationships/footer" Target="footer55.xml"/><Relationship Id="rId134" Type="http://schemas.openxmlformats.org/officeDocument/2006/relationships/header" Target="header56.xml"/><Relationship Id="rId139" Type="http://schemas.openxmlformats.org/officeDocument/2006/relationships/footer" Target="footer66.xml"/><Relationship Id="rId80" Type="http://schemas.openxmlformats.org/officeDocument/2006/relationships/header" Target="header29.xml"/><Relationship Id="rId85" Type="http://schemas.openxmlformats.org/officeDocument/2006/relationships/footer" Target="footer39.xml"/><Relationship Id="rId150" Type="http://schemas.openxmlformats.org/officeDocument/2006/relationships/footer" Target="footer72.xml"/><Relationship Id="rId155" Type="http://schemas.openxmlformats.org/officeDocument/2006/relationships/footer" Target="footer75.xml"/><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footer" Target="footer13.xml"/><Relationship Id="rId38" Type="http://schemas.openxmlformats.org/officeDocument/2006/relationships/footer" Target="footer15.xml"/><Relationship Id="rId59" Type="http://schemas.openxmlformats.org/officeDocument/2006/relationships/header" Target="header19.xml"/><Relationship Id="rId103" Type="http://schemas.openxmlformats.org/officeDocument/2006/relationships/header" Target="header41.xml"/><Relationship Id="rId108" Type="http://schemas.openxmlformats.org/officeDocument/2006/relationships/footer" Target="footer50.xml"/><Relationship Id="rId124" Type="http://schemas.openxmlformats.org/officeDocument/2006/relationships/header" Target="header51.xml"/><Relationship Id="rId129" Type="http://schemas.openxmlformats.org/officeDocument/2006/relationships/footer" Target="footer61.xml"/><Relationship Id="rId54" Type="http://schemas.openxmlformats.org/officeDocument/2006/relationships/header" Target="header16.xml"/><Relationship Id="rId70" Type="http://schemas.openxmlformats.org/officeDocument/2006/relationships/footer" Target="footer31.xml"/><Relationship Id="rId75" Type="http://schemas.openxmlformats.org/officeDocument/2006/relationships/footer" Target="footer34.xml"/><Relationship Id="rId91" Type="http://schemas.openxmlformats.org/officeDocument/2006/relationships/footer" Target="footer42.xml"/><Relationship Id="rId96" Type="http://schemas.openxmlformats.org/officeDocument/2006/relationships/header" Target="header37.xml"/><Relationship Id="rId140" Type="http://schemas.openxmlformats.org/officeDocument/2006/relationships/footer" Target="footer67.xml"/><Relationship Id="rId145" Type="http://schemas.openxmlformats.org/officeDocument/2006/relationships/header" Target="header61.xml"/><Relationship Id="rId161" Type="http://schemas.openxmlformats.org/officeDocument/2006/relationships/footer" Target="footer8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emf"/><Relationship Id="rId28" Type="http://schemas.openxmlformats.org/officeDocument/2006/relationships/image" Target="media/image6.png"/><Relationship Id="rId36" Type="http://schemas.openxmlformats.org/officeDocument/2006/relationships/header" Target="header7.xml"/><Relationship Id="rId49" Type="http://schemas.openxmlformats.org/officeDocument/2006/relationships/footer" Target="footer21.xml"/><Relationship Id="rId57" Type="http://schemas.openxmlformats.org/officeDocument/2006/relationships/footer" Target="footer25.xml"/><Relationship Id="rId106" Type="http://schemas.openxmlformats.org/officeDocument/2006/relationships/header" Target="header42.xml"/><Relationship Id="rId114" Type="http://schemas.openxmlformats.org/officeDocument/2006/relationships/footer" Target="footer53.xml"/><Relationship Id="rId119" Type="http://schemas.openxmlformats.org/officeDocument/2006/relationships/footer" Target="footer56.xml"/><Relationship Id="rId127" Type="http://schemas.openxmlformats.org/officeDocument/2006/relationships/footer" Target="footer60.xml"/><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eader" Target="header11.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2.xml"/><Relationship Id="rId73" Type="http://schemas.openxmlformats.org/officeDocument/2006/relationships/header" Target="header26.xml"/><Relationship Id="rId78" Type="http://schemas.openxmlformats.org/officeDocument/2006/relationships/footer" Target="footer35.xml"/><Relationship Id="rId81" Type="http://schemas.openxmlformats.org/officeDocument/2006/relationships/footer" Target="footer37.xml"/><Relationship Id="rId86" Type="http://schemas.openxmlformats.org/officeDocument/2006/relationships/header" Target="header32.xml"/><Relationship Id="rId94" Type="http://schemas.openxmlformats.org/officeDocument/2006/relationships/footer" Target="footer43.xml"/><Relationship Id="rId99" Type="http://schemas.openxmlformats.org/officeDocument/2006/relationships/footer" Target="footer46.xml"/><Relationship Id="rId101" Type="http://schemas.openxmlformats.org/officeDocument/2006/relationships/footer" Target="footer47.xml"/><Relationship Id="rId122" Type="http://schemas.openxmlformats.org/officeDocument/2006/relationships/footer" Target="footer57.xml"/><Relationship Id="rId130" Type="http://schemas.openxmlformats.org/officeDocument/2006/relationships/header" Target="header54.xml"/><Relationship Id="rId135" Type="http://schemas.openxmlformats.org/officeDocument/2006/relationships/header" Target="header57.xml"/><Relationship Id="rId143" Type="http://schemas.openxmlformats.org/officeDocument/2006/relationships/footer" Target="footer68.xml"/><Relationship Id="rId148" Type="http://schemas.openxmlformats.org/officeDocument/2006/relationships/footer" Target="footer71.xml"/><Relationship Id="rId151" Type="http://schemas.openxmlformats.org/officeDocument/2006/relationships/header" Target="header64.xml"/><Relationship Id="rId156" Type="http://schemas.openxmlformats.org/officeDocument/2006/relationships/footer" Target="footer76.xm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7.xml"/><Relationship Id="rId39" Type="http://schemas.openxmlformats.org/officeDocument/2006/relationships/footer" Target="footer16.xml"/><Relationship Id="rId109" Type="http://schemas.openxmlformats.org/officeDocument/2006/relationships/footer" Target="footer51.xml"/><Relationship Id="rId34" Type="http://schemas.openxmlformats.org/officeDocument/2006/relationships/header" Target="header6.xml"/><Relationship Id="rId50" Type="http://schemas.openxmlformats.org/officeDocument/2006/relationships/header" Target="header14.xml"/><Relationship Id="rId55" Type="http://schemas.openxmlformats.org/officeDocument/2006/relationships/header" Target="header17.xml"/><Relationship Id="rId76" Type="http://schemas.openxmlformats.org/officeDocument/2006/relationships/header" Target="header27.xml"/><Relationship Id="rId97" Type="http://schemas.openxmlformats.org/officeDocument/2006/relationships/header" Target="header38.xml"/><Relationship Id="rId104" Type="http://schemas.openxmlformats.org/officeDocument/2006/relationships/footer" Target="footer48.xml"/><Relationship Id="rId120" Type="http://schemas.openxmlformats.org/officeDocument/2006/relationships/header" Target="header49.xml"/><Relationship Id="rId125" Type="http://schemas.openxmlformats.org/officeDocument/2006/relationships/header" Target="header52.xml"/><Relationship Id="rId141" Type="http://schemas.openxmlformats.org/officeDocument/2006/relationships/header" Target="header59.xml"/><Relationship Id="rId146" Type="http://schemas.openxmlformats.org/officeDocument/2006/relationships/header" Target="header62.xml"/><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header" Target="header35.xml"/><Relationship Id="rId162" Type="http://schemas.openxmlformats.org/officeDocument/2006/relationships/footer" Target="footer82.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4.emf"/><Relationship Id="rId40" Type="http://schemas.openxmlformats.org/officeDocument/2006/relationships/header" Target="header9.xml"/><Relationship Id="rId45" Type="http://schemas.openxmlformats.org/officeDocument/2006/relationships/footer" Target="footer19.xml"/><Relationship Id="rId66" Type="http://schemas.openxmlformats.org/officeDocument/2006/relationships/footer" Target="footer29.xml"/><Relationship Id="rId87" Type="http://schemas.openxmlformats.org/officeDocument/2006/relationships/header" Target="header33.xml"/><Relationship Id="rId110" Type="http://schemas.openxmlformats.org/officeDocument/2006/relationships/header" Target="header44.xml"/><Relationship Id="rId115" Type="http://schemas.openxmlformats.org/officeDocument/2006/relationships/footer" Target="footer54.xml"/><Relationship Id="rId131" Type="http://schemas.openxmlformats.org/officeDocument/2006/relationships/header" Target="header55.xml"/><Relationship Id="rId136" Type="http://schemas.openxmlformats.org/officeDocument/2006/relationships/footer" Target="footer64.xml"/><Relationship Id="rId157" Type="http://schemas.openxmlformats.org/officeDocument/2006/relationships/footer" Target="footer77.xml"/><Relationship Id="rId61" Type="http://schemas.openxmlformats.org/officeDocument/2006/relationships/footer" Target="footer27.xml"/><Relationship Id="rId82" Type="http://schemas.openxmlformats.org/officeDocument/2006/relationships/header" Target="header30.xml"/><Relationship Id="rId152" Type="http://schemas.openxmlformats.org/officeDocument/2006/relationships/header" Target="header65.xml"/><Relationship Id="rId19" Type="http://schemas.openxmlformats.org/officeDocument/2006/relationships/chart" Target="charts/chart1.xml"/><Relationship Id="rId14" Type="http://schemas.openxmlformats.org/officeDocument/2006/relationships/footer" Target="footer3.xml"/><Relationship Id="rId30" Type="http://schemas.openxmlformats.org/officeDocument/2006/relationships/header" Target="header4.xml"/><Relationship Id="rId35" Type="http://schemas.openxmlformats.org/officeDocument/2006/relationships/footer" Target="footer14.xml"/><Relationship Id="rId56" Type="http://schemas.openxmlformats.org/officeDocument/2006/relationships/footer" Target="footer24.xml"/><Relationship Id="rId77" Type="http://schemas.openxmlformats.org/officeDocument/2006/relationships/header" Target="header28.xml"/><Relationship Id="rId100" Type="http://schemas.openxmlformats.org/officeDocument/2006/relationships/header" Target="header39.xml"/><Relationship Id="rId105" Type="http://schemas.openxmlformats.org/officeDocument/2006/relationships/footer" Target="footer49.xml"/><Relationship Id="rId126" Type="http://schemas.openxmlformats.org/officeDocument/2006/relationships/footer" Target="footer59.xml"/><Relationship Id="rId147" Type="http://schemas.openxmlformats.org/officeDocument/2006/relationships/footer" Target="footer70.xml"/><Relationship Id="rId8" Type="http://schemas.openxmlformats.org/officeDocument/2006/relationships/image" Target="media/image1.wmf"/><Relationship Id="rId51" Type="http://schemas.openxmlformats.org/officeDocument/2006/relationships/header" Target="header15.xml"/><Relationship Id="rId72" Type="http://schemas.openxmlformats.org/officeDocument/2006/relationships/header" Target="header25.xml"/><Relationship Id="rId93" Type="http://schemas.openxmlformats.org/officeDocument/2006/relationships/header" Target="header36.xml"/><Relationship Id="rId98" Type="http://schemas.openxmlformats.org/officeDocument/2006/relationships/footer" Target="footer45.xml"/><Relationship Id="rId121" Type="http://schemas.openxmlformats.org/officeDocument/2006/relationships/header" Target="header50.xml"/><Relationship Id="rId142" Type="http://schemas.openxmlformats.org/officeDocument/2006/relationships/header" Target="header60.xml"/><Relationship Id="rId163"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footer" Target="footer10.xml"/><Relationship Id="rId46" Type="http://schemas.openxmlformats.org/officeDocument/2006/relationships/header" Target="header12.xml"/><Relationship Id="rId67" Type="http://schemas.openxmlformats.org/officeDocument/2006/relationships/footer" Target="footer30.xml"/><Relationship Id="rId116" Type="http://schemas.openxmlformats.org/officeDocument/2006/relationships/header" Target="header47.xml"/><Relationship Id="rId137" Type="http://schemas.openxmlformats.org/officeDocument/2006/relationships/footer" Target="footer65.xml"/><Relationship Id="rId158" Type="http://schemas.openxmlformats.org/officeDocument/2006/relationships/footer" Target="footer78.xml"/><Relationship Id="rId20" Type="http://schemas.openxmlformats.org/officeDocument/2006/relationships/footer" Target="footer8.xml"/><Relationship Id="rId41" Type="http://schemas.openxmlformats.org/officeDocument/2006/relationships/header" Target="header10.xml"/><Relationship Id="rId62" Type="http://schemas.openxmlformats.org/officeDocument/2006/relationships/header" Target="header20.xml"/><Relationship Id="rId83" Type="http://schemas.openxmlformats.org/officeDocument/2006/relationships/header" Target="header31.xml"/><Relationship Id="rId88" Type="http://schemas.openxmlformats.org/officeDocument/2006/relationships/footer" Target="footer40.xml"/><Relationship Id="rId111" Type="http://schemas.openxmlformats.org/officeDocument/2006/relationships/footer" Target="footer52.xml"/><Relationship Id="rId132" Type="http://schemas.openxmlformats.org/officeDocument/2006/relationships/footer" Target="footer62.xml"/><Relationship Id="rId153" Type="http://schemas.openxmlformats.org/officeDocument/2006/relationships/footer" Target="footer73.xml"/></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Budget_A4.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887638463351397E-2"/>
          <c:y val="4.1993821484830045E-2"/>
          <c:w val="0.89720454604970279"/>
          <c:h val="0.72325505976141258"/>
        </c:manualLayout>
      </c:layout>
      <c:barChart>
        <c:barDir val="col"/>
        <c:grouping val="stacked"/>
        <c:varyColors val="0"/>
        <c:ser>
          <c:idx val="0"/>
          <c:order val="0"/>
          <c:tx>
            <c:strRef>
              <c:f>'Chart 2.1 data'!$B$11</c:f>
              <c:strCache>
                <c:ptCount val="1"/>
                <c:pt idx="0">
                  <c:v>General government excluding fiscal stimulus</c:v>
                </c:pt>
              </c:strCache>
            </c:strRef>
          </c:tx>
          <c:spPr>
            <a:solidFill>
              <a:schemeClr val="bg1">
                <a:lumMod val="65000"/>
              </a:schemeClr>
            </a:solidFill>
            <a:ln>
              <a:noFill/>
            </a:ln>
          </c:spPr>
          <c:invertIfNegative val="0"/>
          <c:dPt>
            <c:idx val="0"/>
            <c:invertIfNegative val="0"/>
            <c:bubble3D val="0"/>
          </c:dPt>
          <c:cat>
            <c:strRef>
              <c:f>'Chart 2.1 data'!$D$5:$W$5</c:f>
              <c:strCache>
                <c:ptCount val="20"/>
                <c:pt idx="0">
                  <c:v>1995-96</c:v>
                </c:pt>
                <c:pt idx="1">
                  <c:v>1996-97</c:v>
                </c:pt>
                <c:pt idx="2">
                  <c:v>1997-98</c:v>
                </c:pt>
                <c:pt idx="3">
                  <c:v>1998-99 </c:v>
                </c:pt>
                <c:pt idx="4">
                  <c:v>1999-00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pt idx="17">
                  <c:v>2012-13</c:v>
                </c:pt>
                <c:pt idx="18">
                  <c:v>2013-14</c:v>
                </c:pt>
                <c:pt idx="19">
                  <c:v>2014-15</c:v>
                </c:pt>
              </c:strCache>
            </c:strRef>
          </c:cat>
          <c:val>
            <c:numRef>
              <c:f>'Chart 2.1 data'!$D$11:$W$11</c:f>
              <c:numCache>
                <c:formatCode>_-* #,##0_-;\-* #,##0_-;_-* "-"??_-;_-@_-</c:formatCode>
                <c:ptCount val="20"/>
                <c:pt idx="0">
                  <c:v>1129479490</c:v>
                </c:pt>
                <c:pt idx="1">
                  <c:v>1124930474</c:v>
                </c:pt>
                <c:pt idx="2">
                  <c:v>846268594.79000056</c:v>
                </c:pt>
                <c:pt idx="3">
                  <c:v>1116045214.700001</c:v>
                </c:pt>
                <c:pt idx="4">
                  <c:v>1021590119.76</c:v>
                </c:pt>
                <c:pt idx="5">
                  <c:v>1479256540.6199999</c:v>
                </c:pt>
                <c:pt idx="6">
                  <c:v>1817642597</c:v>
                </c:pt>
                <c:pt idx="7">
                  <c:v>1795594469</c:v>
                </c:pt>
                <c:pt idx="8">
                  <c:v>2220133863</c:v>
                </c:pt>
                <c:pt idx="9">
                  <c:v>2401026052.829999</c:v>
                </c:pt>
                <c:pt idx="10">
                  <c:v>2225535487.0499978</c:v>
                </c:pt>
                <c:pt idx="11">
                  <c:v>3187062807.098999</c:v>
                </c:pt>
                <c:pt idx="12">
                  <c:v>3899355851.5100036</c:v>
                </c:pt>
                <c:pt idx="13">
                  <c:v>4014888746.5199594</c:v>
                </c:pt>
                <c:pt idx="14">
                  <c:v>4652883912.8500309</c:v>
                </c:pt>
                <c:pt idx="15">
                  <c:v>5036686297.7399998</c:v>
                </c:pt>
                <c:pt idx="16">
                  <c:v>4884612610.8599997</c:v>
                </c:pt>
                <c:pt idx="17">
                  <c:v>5184966572</c:v>
                </c:pt>
                <c:pt idx="18">
                  <c:v>5204653211.3799896</c:v>
                </c:pt>
                <c:pt idx="19">
                  <c:v>4854104005.1599998</c:v>
                </c:pt>
              </c:numCache>
            </c:numRef>
          </c:val>
        </c:ser>
        <c:ser>
          <c:idx val="2"/>
          <c:order val="1"/>
          <c:tx>
            <c:strRef>
              <c:f>'Chart 2.1 data'!$B$12</c:f>
              <c:strCache>
                <c:ptCount val="1"/>
                <c:pt idx="0">
                  <c:v>General government fiscal stimulus</c:v>
                </c:pt>
              </c:strCache>
            </c:strRef>
          </c:tx>
          <c:spPr>
            <a:solidFill>
              <a:schemeClr val="tx1">
                <a:lumMod val="75000"/>
                <a:lumOff val="25000"/>
              </a:schemeClr>
            </a:solidFill>
            <a:ln>
              <a:noFill/>
            </a:ln>
          </c:spPr>
          <c:invertIfNegative val="0"/>
          <c:cat>
            <c:strRef>
              <c:f>'Chart 2.1 data'!$D$5:$W$5</c:f>
              <c:strCache>
                <c:ptCount val="20"/>
                <c:pt idx="0">
                  <c:v>1995-96</c:v>
                </c:pt>
                <c:pt idx="1">
                  <c:v>1996-97</c:v>
                </c:pt>
                <c:pt idx="2">
                  <c:v>1997-98</c:v>
                </c:pt>
                <c:pt idx="3">
                  <c:v>1998-99 </c:v>
                </c:pt>
                <c:pt idx="4">
                  <c:v>1999-00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pt idx="17">
                  <c:v>2012-13</c:v>
                </c:pt>
                <c:pt idx="18">
                  <c:v>2013-14</c:v>
                </c:pt>
                <c:pt idx="19">
                  <c:v>2014-15</c:v>
                </c:pt>
              </c:strCache>
            </c:strRef>
          </c:cat>
          <c:val>
            <c:numRef>
              <c:f>'Chart 2.1 data'!$D$12:$W$12</c:f>
              <c:numCache>
                <c:formatCode>General</c:formatCode>
                <c:ptCount val="20"/>
                <c:pt idx="13" formatCode="_-* #,##0_-;\-* #,##0_-;_-* &quot;-&quot;??_-;_-@_-">
                  <c:v>32177000</c:v>
                </c:pt>
                <c:pt idx="14" formatCode="_-* #,##0_-;\-* #,##0_-;_-* &quot;-&quot;??_-;_-@_-">
                  <c:v>1057570000</c:v>
                </c:pt>
                <c:pt idx="15" formatCode="_-* #,##0_-;\-* #,##0_-;_-* &quot;-&quot;??_-;_-@_-">
                  <c:v>1602879000</c:v>
                </c:pt>
                <c:pt idx="16" formatCode="_-* #,##0_-;\-* #,##0_-;_-* &quot;-&quot;??_-;_-@_-">
                  <c:v>344314000</c:v>
                </c:pt>
                <c:pt idx="17" formatCode="_-* #,##0_-;\-* #,##0_-;_-* &quot;-&quot;??_-;_-@_-">
                  <c:v>17000000</c:v>
                </c:pt>
                <c:pt idx="18">
                  <c:v>0</c:v>
                </c:pt>
              </c:numCache>
            </c:numRef>
          </c:val>
        </c:ser>
        <c:dLbls>
          <c:showLegendKey val="0"/>
          <c:showVal val="0"/>
          <c:showCatName val="0"/>
          <c:showSerName val="0"/>
          <c:showPercent val="0"/>
          <c:showBubbleSize val="0"/>
        </c:dLbls>
        <c:gapWidth val="120"/>
        <c:overlap val="100"/>
        <c:axId val="79643392"/>
        <c:axId val="79644928"/>
      </c:barChart>
      <c:catAx>
        <c:axId val="7964339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nchor="ctr" anchorCtr="1"/>
          <a:lstStyle/>
          <a:p>
            <a:pPr>
              <a:defRPr sz="1000">
                <a:latin typeface="Calibri" pitchFamily="34" charset="0"/>
                <a:cs typeface="Calibri" pitchFamily="34" charset="0"/>
              </a:defRPr>
            </a:pPr>
            <a:endParaRPr lang="en-US"/>
          </a:p>
        </c:txPr>
        <c:crossAx val="79644928"/>
        <c:crosses val="autoZero"/>
        <c:auto val="0"/>
        <c:lblAlgn val="ctr"/>
        <c:lblOffset val="100"/>
        <c:tickLblSkip val="1"/>
        <c:tickMarkSkip val="1"/>
        <c:noMultiLvlLbl val="0"/>
      </c:catAx>
      <c:valAx>
        <c:axId val="79644928"/>
        <c:scaling>
          <c:orientation val="minMax"/>
          <c:max val="8000000000"/>
        </c:scaling>
        <c:delete val="0"/>
        <c:axPos val="l"/>
        <c:majorGridlines>
          <c:spPr>
            <a:ln w="3175">
              <a:solidFill>
                <a:schemeClr val="bg1">
                  <a:lumMod val="50000"/>
                </a:schemeClr>
              </a:solidFill>
              <a:prstDash val="dash"/>
            </a:ln>
          </c:spPr>
        </c:majorGridlines>
        <c:numFmt formatCode="_-* #,##0_-;\-* #,##0_-;_-* &quot;-&quot;??_-;_-@_-" sourceLinked="1"/>
        <c:majorTickMark val="cross"/>
        <c:minorTickMark val="none"/>
        <c:tickLblPos val="nextTo"/>
        <c:spPr>
          <a:ln w="3175">
            <a:solidFill>
              <a:srgbClr val="000000"/>
            </a:solidFill>
            <a:prstDash val="solid"/>
          </a:ln>
        </c:spPr>
        <c:txPr>
          <a:bodyPr rot="0" vert="horz"/>
          <a:lstStyle/>
          <a:p>
            <a:pPr>
              <a:defRPr/>
            </a:pPr>
            <a:endParaRPr lang="en-US"/>
          </a:p>
        </c:txPr>
        <c:crossAx val="79643392"/>
        <c:crosses val="autoZero"/>
        <c:crossBetween val="between"/>
        <c:dispUnits>
          <c:builtInUnit val="billions"/>
          <c:dispUnitsLbl>
            <c:layout>
              <c:manualLayout>
                <c:xMode val="edge"/>
                <c:yMode val="edge"/>
                <c:x val="5.7602373650804109E-3"/>
                <c:y val="0.36997364361717711"/>
              </c:manualLayout>
            </c:layout>
            <c:tx>
              <c:rich>
                <a:bodyPr rot="-5400000" vert="horz"/>
                <a:lstStyle/>
                <a:p>
                  <a:pPr algn="ctr">
                    <a:defRPr i="1"/>
                  </a:pPr>
                  <a:r>
                    <a:rPr lang="en-AU" i="1"/>
                    <a:t>$ billion</a:t>
                  </a:r>
                </a:p>
              </c:rich>
            </c:tx>
            <c:spPr>
              <a:noFill/>
              <a:ln w="25400">
                <a:noFill/>
              </a:ln>
            </c:spPr>
          </c:dispUnitsLbl>
        </c:dispUnits>
      </c:valAx>
      <c:spPr>
        <a:solidFill>
          <a:srgbClr val="FFFFFF"/>
        </a:solidFill>
        <a:ln w="3175">
          <a:noFill/>
          <a:prstDash val="solid"/>
        </a:ln>
      </c:spPr>
    </c:plotArea>
    <c:legend>
      <c:legendPos val="b"/>
      <c:layout>
        <c:manualLayout>
          <c:xMode val="edge"/>
          <c:yMode val="edge"/>
          <c:x val="9.3054164344372504E-3"/>
          <c:y val="0.91950067765331478"/>
          <c:w val="0.96683426471783995"/>
          <c:h val="6.6072587615309861E-2"/>
        </c:manualLayout>
      </c:layout>
      <c:overlay val="0"/>
      <c:txPr>
        <a:bodyPr/>
        <a:lstStyle/>
        <a:p>
          <a:pPr>
            <a:defRPr sz="900"/>
          </a:pPr>
          <a:endParaRPr lang="en-US"/>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0.84713</cdr:x>
      <cdr:y>0.24665</cdr:y>
    </cdr:from>
    <cdr:to>
      <cdr:x>1</cdr:x>
      <cdr:y>0.50402</cdr:y>
    </cdr:to>
    <cdr:sp macro="" textlink="">
      <cdr:nvSpPr>
        <cdr:cNvPr id="2" name="TextBox 1"/>
        <cdr:cNvSpPr txBox="1"/>
      </cdr:nvSpPr>
      <cdr:spPr>
        <a:xfrm xmlns:a="http://schemas.openxmlformats.org/drawingml/2006/main">
          <a:off x="5962650" y="876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Budget_A4.dotm</Template>
  <TotalTime>2</TotalTime>
  <Pages>228</Pages>
  <Words>77943</Words>
  <Characters>434912</Characters>
  <Application>Microsoft Office Word</Application>
  <DocSecurity>2</DocSecurity>
  <Lines>3624</Lines>
  <Paragraphs>1023</Paragraphs>
  <ScaleCrop>false</ScaleCrop>
  <HeadingPairs>
    <vt:vector size="2" baseType="variant">
      <vt:variant>
        <vt:lpstr>Title</vt:lpstr>
      </vt:variant>
      <vt:variant>
        <vt:i4>1</vt:i4>
      </vt:variant>
    </vt:vector>
  </HeadingPairs>
  <TitlesOfParts>
    <vt:vector size="1" baseType="lpstr">
      <vt:lpstr>Draft No</vt:lpstr>
    </vt:vector>
  </TitlesOfParts>
  <Company>DTF</Company>
  <LinksUpToDate>false</LinksUpToDate>
  <CharactersWithSpaces>511832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No</dc:title>
  <dc:creator>Deidre Steain</dc:creator>
  <cp:lastModifiedBy>Julie Marsal</cp:lastModifiedBy>
  <cp:revision>3</cp:revision>
  <cp:lastPrinted>2015-10-29T01:22:00Z</cp:lastPrinted>
  <dcterms:created xsi:type="dcterms:W3CDTF">2015-11-01T23:58:00Z</dcterms:created>
  <dcterms:modified xsi:type="dcterms:W3CDTF">2015-11-03T23:31:00Z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6179ee4f-92ed-4ed8-bc78-a55fe585a9ce</vt:lpwstr>
  </property>
  <property fmtid="{D5CDD505-2E9C-101B-9397-08002B2CF9AE}" pid="3" name="PSPFClassification">
    <vt:lpwstr>Do Not Mark</vt:lpwstr>
  </property>
</Properties>
</file>